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4128"/>
        <w:gridCol w:w="3665"/>
        <w:gridCol w:w="104"/>
      </w:tblGrid>
      <w:tr w:rsidR="0078618F" w:rsidRPr="00456375" w14:paraId="28252491" w14:textId="77777777" w:rsidTr="005C3C13">
        <w:trPr>
          <w:gridAfter w:val="1"/>
          <w:wAfter w:w="99" w:type="dxa"/>
          <w:trHeight w:hRule="exact" w:val="418"/>
          <w:jc w:val="center"/>
        </w:trPr>
        <w:tc>
          <w:tcPr>
            <w:tcW w:w="8721" w:type="dxa"/>
            <w:gridSpan w:val="3"/>
          </w:tcPr>
          <w:p w14:paraId="3B6B8DA1" w14:textId="77777777" w:rsidR="0078618F" w:rsidRPr="00456375" w:rsidRDefault="0078618F" w:rsidP="002336A3">
            <w:pPr>
              <w:pStyle w:val="a3"/>
              <w:jc w:val="center"/>
              <w:rPr>
                <w:rFonts w:ascii="Tahoma" w:hAnsi="Tahoma" w:cs="Tahoma"/>
                <w:color w:val="000080"/>
                <w:rtl/>
              </w:rPr>
            </w:pPr>
            <w:r w:rsidRPr="00456375">
              <w:rPr>
                <w:rFonts w:ascii="Tahoma" w:hAnsi="Tahoma" w:cs="Tahoma"/>
                <w:b/>
                <w:bCs/>
                <w:color w:val="000080"/>
                <w:rtl/>
              </w:rPr>
              <w:t>בית משפט השלום בקריות</w:t>
            </w:r>
          </w:p>
        </w:tc>
      </w:tr>
      <w:tr w:rsidR="0078618F" w:rsidRPr="00456375" w14:paraId="39144696" w14:textId="77777777" w:rsidTr="005C3C13">
        <w:trPr>
          <w:gridAfter w:val="1"/>
          <w:wAfter w:w="99" w:type="dxa"/>
          <w:trHeight w:val="337"/>
          <w:jc w:val="center"/>
        </w:trPr>
        <w:tc>
          <w:tcPr>
            <w:tcW w:w="5054" w:type="dxa"/>
            <w:gridSpan w:val="2"/>
          </w:tcPr>
          <w:p w14:paraId="33F8A8AA" w14:textId="77777777" w:rsidR="0078618F" w:rsidRPr="00456375" w:rsidRDefault="0078618F" w:rsidP="002336A3">
            <w:pPr>
              <w:rPr>
                <w:rFonts w:cs="FrankRuehl"/>
                <w:sz w:val="28"/>
                <w:szCs w:val="28"/>
                <w:rtl/>
              </w:rPr>
            </w:pPr>
            <w:r w:rsidRPr="00456375">
              <w:rPr>
                <w:rFonts w:cs="FrankRuehl"/>
                <w:sz w:val="28"/>
                <w:szCs w:val="28"/>
                <w:rtl/>
              </w:rPr>
              <w:t>ת"פ</w:t>
            </w:r>
            <w:r w:rsidRPr="00456375">
              <w:rPr>
                <w:rFonts w:cs="FrankRuehl" w:hint="cs"/>
                <w:sz w:val="28"/>
                <w:szCs w:val="28"/>
                <w:rtl/>
              </w:rPr>
              <w:t xml:space="preserve"> </w:t>
            </w:r>
            <w:r w:rsidRPr="00456375">
              <w:rPr>
                <w:rFonts w:cs="FrankRuehl"/>
                <w:sz w:val="28"/>
                <w:szCs w:val="28"/>
                <w:rtl/>
              </w:rPr>
              <w:t>50680-03-22</w:t>
            </w:r>
            <w:r w:rsidRPr="00456375">
              <w:rPr>
                <w:rFonts w:cs="FrankRuehl" w:hint="cs"/>
                <w:sz w:val="28"/>
                <w:szCs w:val="28"/>
                <w:rtl/>
              </w:rPr>
              <w:t xml:space="preserve"> </w:t>
            </w:r>
            <w:r w:rsidRPr="00456375">
              <w:rPr>
                <w:rFonts w:cs="FrankRuehl"/>
                <w:sz w:val="28"/>
                <w:szCs w:val="28"/>
                <w:rtl/>
              </w:rPr>
              <w:t>מדינת ישראל נ' זוזוט</w:t>
            </w:r>
          </w:p>
          <w:p w14:paraId="656B615D" w14:textId="77777777" w:rsidR="0078618F" w:rsidRPr="00456375" w:rsidRDefault="0078618F" w:rsidP="002336A3">
            <w:pPr>
              <w:pStyle w:val="a3"/>
              <w:rPr>
                <w:rFonts w:cs="FrankRuehl"/>
                <w:sz w:val="28"/>
                <w:szCs w:val="28"/>
                <w:rtl/>
              </w:rPr>
            </w:pPr>
          </w:p>
        </w:tc>
        <w:tc>
          <w:tcPr>
            <w:tcW w:w="3667" w:type="dxa"/>
          </w:tcPr>
          <w:p w14:paraId="6383244B" w14:textId="77777777" w:rsidR="0078618F" w:rsidRPr="00456375" w:rsidRDefault="0078618F" w:rsidP="002336A3">
            <w:pPr>
              <w:pStyle w:val="a3"/>
              <w:jc w:val="right"/>
              <w:rPr>
                <w:rFonts w:cs="FrankRuehl"/>
                <w:sz w:val="28"/>
                <w:szCs w:val="28"/>
                <w:rtl/>
              </w:rPr>
            </w:pPr>
          </w:p>
        </w:tc>
      </w:tr>
      <w:tr w:rsidR="0078618F" w:rsidRPr="00456375" w14:paraId="7AC43D71" w14:textId="77777777" w:rsidTr="005C3C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59E4AD33" w14:textId="77777777" w:rsidR="0078618F" w:rsidRPr="00456375" w:rsidRDefault="0078618F" w:rsidP="0078618F">
            <w:pPr>
              <w:jc w:val="both"/>
              <w:rPr>
                <w:rFonts w:ascii="David" w:hAnsi="David"/>
                <w:b/>
                <w:bCs/>
              </w:rPr>
            </w:pPr>
            <w:r w:rsidRPr="00456375">
              <w:rPr>
                <w:rFonts w:hint="cs"/>
                <w:rtl/>
              </w:rPr>
              <w:t xml:space="preserve"> </w:t>
            </w:r>
            <w:r w:rsidRPr="00456375">
              <w:rPr>
                <w:rFonts w:ascii="David" w:hAnsi="David"/>
                <w:b/>
                <w:bCs/>
                <w:rtl/>
              </w:rPr>
              <w:t xml:space="preserve">בפני </w:t>
            </w:r>
          </w:p>
        </w:tc>
        <w:tc>
          <w:tcPr>
            <w:tcW w:w="7897" w:type="dxa"/>
            <w:gridSpan w:val="3"/>
            <w:tcBorders>
              <w:top w:val="nil"/>
              <w:left w:val="nil"/>
              <w:bottom w:val="nil"/>
              <w:right w:val="nil"/>
            </w:tcBorders>
            <w:shd w:val="clear" w:color="auto" w:fill="auto"/>
          </w:tcPr>
          <w:p w14:paraId="34D56D06" w14:textId="77777777" w:rsidR="0078618F" w:rsidRPr="00456375" w:rsidRDefault="0078618F" w:rsidP="002336A3">
            <w:pPr>
              <w:rPr>
                <w:rFonts w:ascii="David" w:hAnsi="David"/>
                <w:b/>
                <w:bCs/>
              </w:rPr>
            </w:pPr>
            <w:r w:rsidRPr="00456375">
              <w:rPr>
                <w:rFonts w:ascii="Arial" w:hAnsi="Arial"/>
                <w:b/>
                <w:bCs/>
                <w:rtl/>
              </w:rPr>
              <w:t>כב' השופט יוסי טורס, סגן הנשיאה</w:t>
            </w:r>
          </w:p>
        </w:tc>
      </w:tr>
      <w:tr w:rsidR="0078618F" w:rsidRPr="00456375" w14:paraId="4AE93AC5" w14:textId="77777777" w:rsidTr="005C3C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5761614" w14:textId="77777777" w:rsidR="0078618F" w:rsidRPr="00456375" w:rsidRDefault="0078618F" w:rsidP="0078618F">
            <w:pPr>
              <w:jc w:val="both"/>
              <w:rPr>
                <w:rFonts w:ascii="David" w:hAnsi="David"/>
                <w:b/>
                <w:bCs/>
              </w:rPr>
            </w:pPr>
            <w:bookmarkStart w:id="0" w:name="LastJudge"/>
            <w:bookmarkEnd w:id="0"/>
          </w:p>
        </w:tc>
        <w:tc>
          <w:tcPr>
            <w:tcW w:w="4126" w:type="dxa"/>
            <w:tcBorders>
              <w:top w:val="nil"/>
              <w:left w:val="nil"/>
              <w:bottom w:val="nil"/>
              <w:right w:val="nil"/>
            </w:tcBorders>
            <w:shd w:val="clear" w:color="auto" w:fill="auto"/>
          </w:tcPr>
          <w:p w14:paraId="2E39EB30" w14:textId="77777777" w:rsidR="0078618F" w:rsidRPr="00456375" w:rsidRDefault="0078618F" w:rsidP="002336A3">
            <w:pPr>
              <w:rPr>
                <w:rFonts w:ascii="David" w:hAnsi="David"/>
                <w:b/>
                <w:bCs/>
              </w:rPr>
            </w:pPr>
          </w:p>
        </w:tc>
        <w:tc>
          <w:tcPr>
            <w:tcW w:w="3771" w:type="dxa"/>
            <w:gridSpan w:val="2"/>
            <w:tcBorders>
              <w:top w:val="nil"/>
              <w:left w:val="nil"/>
              <w:bottom w:val="nil"/>
              <w:right w:val="nil"/>
            </w:tcBorders>
            <w:shd w:val="clear" w:color="auto" w:fill="auto"/>
          </w:tcPr>
          <w:p w14:paraId="7F0055D1" w14:textId="77777777" w:rsidR="0078618F" w:rsidRPr="00456375" w:rsidRDefault="0078618F" w:rsidP="0078618F">
            <w:pPr>
              <w:jc w:val="both"/>
              <w:rPr>
                <w:rFonts w:ascii="David" w:hAnsi="David"/>
                <w:b/>
                <w:bCs/>
              </w:rPr>
            </w:pPr>
          </w:p>
        </w:tc>
      </w:tr>
      <w:tr w:rsidR="0078618F" w:rsidRPr="00456375" w14:paraId="504B737B" w14:textId="77777777" w:rsidTr="005C3C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0807D8B" w14:textId="77777777" w:rsidR="0078618F" w:rsidRPr="00456375" w:rsidRDefault="0078618F" w:rsidP="0078618F">
            <w:pPr>
              <w:jc w:val="both"/>
              <w:rPr>
                <w:rFonts w:ascii="David" w:hAnsi="David"/>
                <w:b/>
                <w:bCs/>
              </w:rPr>
            </w:pPr>
            <w:bookmarkStart w:id="1" w:name="FirstAppellant"/>
            <w:r w:rsidRPr="00456375">
              <w:rPr>
                <w:rFonts w:ascii="David" w:hAnsi="David"/>
                <w:b/>
                <w:bCs/>
                <w:rtl/>
              </w:rPr>
              <w:t>בעניין:</w:t>
            </w:r>
          </w:p>
        </w:tc>
        <w:tc>
          <w:tcPr>
            <w:tcW w:w="4126" w:type="dxa"/>
            <w:tcBorders>
              <w:top w:val="nil"/>
              <w:left w:val="nil"/>
              <w:bottom w:val="nil"/>
              <w:right w:val="nil"/>
            </w:tcBorders>
            <w:shd w:val="clear" w:color="auto" w:fill="auto"/>
          </w:tcPr>
          <w:p w14:paraId="0C5D1F81" w14:textId="77777777" w:rsidR="0078618F" w:rsidRPr="00456375" w:rsidRDefault="0078618F" w:rsidP="002336A3">
            <w:pPr>
              <w:rPr>
                <w:rFonts w:ascii="David" w:hAnsi="David"/>
                <w:b/>
                <w:bCs/>
              </w:rPr>
            </w:pPr>
            <w:r w:rsidRPr="00456375">
              <w:rPr>
                <w:rFonts w:ascii="David" w:hAnsi="David"/>
                <w:b/>
                <w:bCs/>
                <w:rtl/>
              </w:rPr>
              <w:t>מדינת ישראל</w:t>
            </w:r>
          </w:p>
        </w:tc>
        <w:tc>
          <w:tcPr>
            <w:tcW w:w="3771" w:type="dxa"/>
            <w:gridSpan w:val="2"/>
            <w:tcBorders>
              <w:top w:val="nil"/>
              <w:left w:val="nil"/>
              <w:bottom w:val="nil"/>
              <w:right w:val="nil"/>
            </w:tcBorders>
            <w:shd w:val="clear" w:color="auto" w:fill="auto"/>
          </w:tcPr>
          <w:p w14:paraId="6B8E61D1" w14:textId="77777777" w:rsidR="0078618F" w:rsidRPr="00456375" w:rsidRDefault="0078618F" w:rsidP="0078618F">
            <w:pPr>
              <w:jc w:val="right"/>
              <w:rPr>
                <w:rFonts w:ascii="David" w:hAnsi="David"/>
                <w:b/>
                <w:bCs/>
                <w:rtl/>
              </w:rPr>
            </w:pPr>
            <w:r w:rsidRPr="00456375">
              <w:rPr>
                <w:rFonts w:ascii="David" w:hAnsi="David"/>
                <w:b/>
                <w:bCs/>
                <w:rtl/>
              </w:rPr>
              <w:t>המאשימה</w:t>
            </w:r>
          </w:p>
        </w:tc>
      </w:tr>
      <w:bookmarkEnd w:id="1"/>
      <w:tr w:rsidR="0078618F" w:rsidRPr="00456375" w14:paraId="6841C499" w14:textId="77777777" w:rsidTr="005C3C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99A0687" w14:textId="77777777" w:rsidR="0078618F" w:rsidRPr="00456375" w:rsidRDefault="0078618F" w:rsidP="0078618F">
            <w:pPr>
              <w:jc w:val="both"/>
              <w:rPr>
                <w:rFonts w:ascii="David" w:hAnsi="David"/>
                <w:b/>
                <w:bCs/>
                <w:rtl/>
              </w:rPr>
            </w:pPr>
          </w:p>
        </w:tc>
        <w:tc>
          <w:tcPr>
            <w:tcW w:w="7897" w:type="dxa"/>
            <w:gridSpan w:val="3"/>
            <w:tcBorders>
              <w:top w:val="nil"/>
              <w:left w:val="nil"/>
              <w:bottom w:val="nil"/>
              <w:right w:val="nil"/>
            </w:tcBorders>
            <w:shd w:val="clear" w:color="auto" w:fill="auto"/>
          </w:tcPr>
          <w:p w14:paraId="24F968DF" w14:textId="77777777" w:rsidR="0078618F" w:rsidRPr="00456375" w:rsidRDefault="0078618F" w:rsidP="0078618F">
            <w:pPr>
              <w:jc w:val="center"/>
              <w:rPr>
                <w:rFonts w:ascii="David" w:hAnsi="David"/>
                <w:b/>
                <w:bCs/>
                <w:rtl/>
              </w:rPr>
            </w:pPr>
          </w:p>
          <w:p w14:paraId="0F39085C" w14:textId="77777777" w:rsidR="0078618F" w:rsidRPr="00456375" w:rsidRDefault="0078618F" w:rsidP="0078618F">
            <w:pPr>
              <w:jc w:val="center"/>
              <w:rPr>
                <w:rFonts w:ascii="David" w:hAnsi="David"/>
                <w:b/>
                <w:bCs/>
                <w:rtl/>
              </w:rPr>
            </w:pPr>
            <w:r w:rsidRPr="00456375">
              <w:rPr>
                <w:rFonts w:ascii="David" w:hAnsi="David"/>
                <w:b/>
                <w:bCs/>
                <w:rtl/>
              </w:rPr>
              <w:t>נגד</w:t>
            </w:r>
          </w:p>
          <w:p w14:paraId="1A0260A1" w14:textId="77777777" w:rsidR="0078618F" w:rsidRPr="00456375" w:rsidRDefault="0078618F" w:rsidP="0078618F">
            <w:pPr>
              <w:jc w:val="both"/>
              <w:rPr>
                <w:rFonts w:ascii="David" w:hAnsi="David"/>
                <w:b/>
                <w:bCs/>
              </w:rPr>
            </w:pPr>
          </w:p>
        </w:tc>
      </w:tr>
      <w:tr w:rsidR="0078618F" w:rsidRPr="00456375" w14:paraId="0F3B606C" w14:textId="77777777" w:rsidTr="005C3C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E1FFFB1" w14:textId="77777777" w:rsidR="0078618F" w:rsidRPr="00456375" w:rsidRDefault="0078618F" w:rsidP="002336A3">
            <w:pPr>
              <w:rPr>
                <w:rFonts w:ascii="David" w:hAnsi="David"/>
                <w:b/>
                <w:bCs/>
                <w:rtl/>
              </w:rPr>
            </w:pPr>
          </w:p>
        </w:tc>
        <w:tc>
          <w:tcPr>
            <w:tcW w:w="4126" w:type="dxa"/>
            <w:tcBorders>
              <w:top w:val="nil"/>
              <w:left w:val="nil"/>
              <w:bottom w:val="nil"/>
              <w:right w:val="nil"/>
            </w:tcBorders>
            <w:shd w:val="clear" w:color="auto" w:fill="auto"/>
          </w:tcPr>
          <w:p w14:paraId="6CA10888" w14:textId="77777777" w:rsidR="0078618F" w:rsidRPr="00456375" w:rsidRDefault="0078618F" w:rsidP="002336A3">
            <w:pPr>
              <w:rPr>
                <w:rFonts w:ascii="David" w:hAnsi="David"/>
                <w:b/>
                <w:bCs/>
                <w:rtl/>
              </w:rPr>
            </w:pPr>
          </w:p>
        </w:tc>
        <w:tc>
          <w:tcPr>
            <w:tcW w:w="3771" w:type="dxa"/>
            <w:gridSpan w:val="2"/>
            <w:tcBorders>
              <w:top w:val="nil"/>
              <w:left w:val="nil"/>
              <w:bottom w:val="nil"/>
              <w:right w:val="nil"/>
            </w:tcBorders>
            <w:shd w:val="clear" w:color="auto" w:fill="auto"/>
          </w:tcPr>
          <w:p w14:paraId="78D1446F" w14:textId="77777777" w:rsidR="0078618F" w:rsidRPr="00456375" w:rsidRDefault="0078618F" w:rsidP="0078618F">
            <w:pPr>
              <w:jc w:val="right"/>
              <w:rPr>
                <w:rFonts w:ascii="David" w:hAnsi="David"/>
                <w:b/>
                <w:bCs/>
              </w:rPr>
            </w:pPr>
          </w:p>
        </w:tc>
      </w:tr>
      <w:tr w:rsidR="0078618F" w:rsidRPr="00456375" w14:paraId="1A376091" w14:textId="77777777" w:rsidTr="005C3C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3EEB9B7" w14:textId="77777777" w:rsidR="0078618F" w:rsidRPr="00456375" w:rsidRDefault="0078618F" w:rsidP="0078618F">
            <w:pPr>
              <w:jc w:val="both"/>
              <w:rPr>
                <w:rFonts w:ascii="David" w:hAnsi="David"/>
                <w:b/>
                <w:bCs/>
                <w:rtl/>
              </w:rPr>
            </w:pPr>
          </w:p>
        </w:tc>
        <w:tc>
          <w:tcPr>
            <w:tcW w:w="4126" w:type="dxa"/>
            <w:tcBorders>
              <w:top w:val="nil"/>
              <w:left w:val="nil"/>
              <w:bottom w:val="nil"/>
              <w:right w:val="nil"/>
            </w:tcBorders>
            <w:shd w:val="clear" w:color="auto" w:fill="auto"/>
          </w:tcPr>
          <w:p w14:paraId="2857A14F" w14:textId="77777777" w:rsidR="0078618F" w:rsidRPr="00456375" w:rsidRDefault="0078618F" w:rsidP="0078618F">
            <w:pPr>
              <w:jc w:val="both"/>
              <w:rPr>
                <w:rFonts w:ascii="David" w:hAnsi="David"/>
                <w:b/>
                <w:bCs/>
                <w:rtl/>
              </w:rPr>
            </w:pPr>
            <w:r w:rsidRPr="00456375">
              <w:rPr>
                <w:rFonts w:ascii="David" w:hAnsi="David"/>
                <w:b/>
                <w:bCs/>
                <w:rtl/>
              </w:rPr>
              <w:t>חננאל-חן זוזוט</w:t>
            </w:r>
          </w:p>
        </w:tc>
        <w:tc>
          <w:tcPr>
            <w:tcW w:w="3771" w:type="dxa"/>
            <w:gridSpan w:val="2"/>
            <w:tcBorders>
              <w:top w:val="nil"/>
              <w:left w:val="nil"/>
              <w:bottom w:val="nil"/>
              <w:right w:val="nil"/>
            </w:tcBorders>
            <w:shd w:val="clear" w:color="auto" w:fill="auto"/>
          </w:tcPr>
          <w:p w14:paraId="44D4290B" w14:textId="77777777" w:rsidR="0078618F" w:rsidRPr="00456375" w:rsidRDefault="0078618F" w:rsidP="0078618F">
            <w:pPr>
              <w:jc w:val="right"/>
              <w:rPr>
                <w:rFonts w:ascii="David" w:hAnsi="David"/>
                <w:b/>
                <w:bCs/>
              </w:rPr>
            </w:pPr>
            <w:r w:rsidRPr="00456375">
              <w:rPr>
                <w:rFonts w:ascii="David" w:hAnsi="David"/>
                <w:b/>
                <w:bCs/>
                <w:rtl/>
              </w:rPr>
              <w:t>הנאש</w:t>
            </w:r>
            <w:r w:rsidRPr="00456375">
              <w:rPr>
                <w:rFonts w:ascii="David" w:hAnsi="David" w:hint="cs"/>
                <w:b/>
                <w:bCs/>
                <w:rtl/>
              </w:rPr>
              <w:t>ם</w:t>
            </w:r>
          </w:p>
        </w:tc>
      </w:tr>
    </w:tbl>
    <w:p w14:paraId="59805EC9" w14:textId="77777777" w:rsidR="005C3C13" w:rsidRDefault="005C3C13" w:rsidP="0078618F">
      <w:pPr>
        <w:rPr>
          <w:rtl/>
        </w:rPr>
      </w:pPr>
    </w:p>
    <w:p w14:paraId="2CC12322" w14:textId="77777777" w:rsidR="005C3C13" w:rsidRPr="005C3C13" w:rsidRDefault="005C3C13" w:rsidP="005C3C13">
      <w:pPr>
        <w:spacing w:after="120" w:line="240" w:lineRule="exact"/>
        <w:ind w:left="283" w:hanging="283"/>
        <w:jc w:val="both"/>
        <w:rPr>
          <w:rFonts w:ascii="FrankRuehl" w:hAnsi="FrankRuehl" w:cs="FrankRuehl"/>
          <w:rtl/>
        </w:rPr>
      </w:pPr>
    </w:p>
    <w:p w14:paraId="086D883A" w14:textId="77777777" w:rsidR="00A33F66" w:rsidRPr="00A33F66" w:rsidRDefault="00A33F66" w:rsidP="00A33F66">
      <w:pPr>
        <w:spacing w:before="120" w:after="120" w:line="240" w:lineRule="exact"/>
        <w:ind w:left="283" w:hanging="283"/>
        <w:jc w:val="both"/>
        <w:rPr>
          <w:rFonts w:ascii="FrankRuehl" w:hAnsi="FrankRuehl" w:cs="FrankRuehl"/>
          <w:rtl/>
        </w:rPr>
      </w:pPr>
    </w:p>
    <w:p w14:paraId="6D0FC760" w14:textId="77777777" w:rsidR="003E332E" w:rsidRDefault="003E332E" w:rsidP="003E332E">
      <w:pPr>
        <w:rPr>
          <w:rFonts w:ascii="David" w:hAnsi="David"/>
          <w:rtl/>
        </w:rPr>
      </w:pPr>
      <w:bookmarkStart w:id="2" w:name="LawTable"/>
      <w:bookmarkEnd w:id="2"/>
    </w:p>
    <w:p w14:paraId="11609175" w14:textId="77777777" w:rsidR="003E332E" w:rsidRPr="003E332E" w:rsidRDefault="003E332E" w:rsidP="003E332E">
      <w:pPr>
        <w:spacing w:before="120" w:after="120" w:line="240" w:lineRule="exact"/>
        <w:ind w:left="283" w:hanging="283"/>
        <w:jc w:val="both"/>
        <w:rPr>
          <w:rFonts w:ascii="FrankRuehl" w:hAnsi="FrankRuehl" w:cs="FrankRuehl"/>
          <w:rtl/>
        </w:rPr>
      </w:pPr>
    </w:p>
    <w:p w14:paraId="40B8F86A" w14:textId="77777777" w:rsidR="003E332E" w:rsidRPr="003E332E" w:rsidRDefault="003E332E" w:rsidP="003E332E">
      <w:pPr>
        <w:spacing w:before="120" w:after="120" w:line="240" w:lineRule="exact"/>
        <w:ind w:left="283" w:hanging="283"/>
        <w:jc w:val="both"/>
        <w:rPr>
          <w:rFonts w:ascii="FrankRuehl" w:hAnsi="FrankRuehl" w:cs="FrankRuehl"/>
          <w:rtl/>
        </w:rPr>
      </w:pPr>
    </w:p>
    <w:p w14:paraId="131EDC38" w14:textId="77777777" w:rsidR="003E332E" w:rsidRPr="003E332E" w:rsidRDefault="003E332E" w:rsidP="003E332E">
      <w:pPr>
        <w:spacing w:before="120" w:after="120" w:line="240" w:lineRule="exact"/>
        <w:ind w:left="283" w:hanging="283"/>
        <w:jc w:val="both"/>
        <w:rPr>
          <w:rFonts w:ascii="FrankRuehl" w:hAnsi="FrankRuehl" w:cs="FrankRuehl"/>
          <w:rtl/>
        </w:rPr>
      </w:pPr>
      <w:r w:rsidRPr="003E332E">
        <w:rPr>
          <w:rFonts w:ascii="FrankRuehl" w:hAnsi="FrankRuehl" w:cs="FrankRuehl"/>
          <w:rtl/>
        </w:rPr>
        <w:t xml:space="preserve">חקיקה שאוזכרה: </w:t>
      </w:r>
    </w:p>
    <w:p w14:paraId="21F2FE6D" w14:textId="77777777" w:rsidR="003E332E" w:rsidRPr="003E332E" w:rsidRDefault="003E332E" w:rsidP="003E332E">
      <w:pPr>
        <w:spacing w:before="120" w:after="120" w:line="240" w:lineRule="exact"/>
        <w:ind w:left="283" w:hanging="283"/>
        <w:jc w:val="both"/>
        <w:rPr>
          <w:rFonts w:ascii="FrankRuehl" w:hAnsi="FrankRuehl" w:cs="FrankRuehl"/>
          <w:rtl/>
        </w:rPr>
      </w:pPr>
      <w:hyperlink r:id="rId7" w:history="1">
        <w:r w:rsidRPr="003E332E">
          <w:rPr>
            <w:rFonts w:ascii="FrankRuehl" w:hAnsi="FrankRuehl" w:cs="FrankRuehl"/>
            <w:color w:val="0000FF"/>
            <w:rtl/>
          </w:rPr>
          <w:t>פקודת הסמים המסוכנים [נוסח חדש], תשל"ג-1973</w:t>
        </w:r>
      </w:hyperlink>
      <w:r w:rsidRPr="003E332E">
        <w:rPr>
          <w:rFonts w:ascii="FrankRuehl" w:hAnsi="FrankRuehl" w:cs="FrankRuehl"/>
          <w:rtl/>
        </w:rPr>
        <w:t xml:space="preserve">: סע'  </w:t>
      </w:r>
      <w:hyperlink r:id="rId8" w:history="1">
        <w:r w:rsidRPr="003E332E">
          <w:rPr>
            <w:rFonts w:ascii="FrankRuehl" w:hAnsi="FrankRuehl" w:cs="FrankRuehl"/>
            <w:color w:val="0000FF"/>
            <w:rtl/>
          </w:rPr>
          <w:t>6</w:t>
        </w:r>
      </w:hyperlink>
      <w:r w:rsidRPr="003E332E">
        <w:rPr>
          <w:rFonts w:ascii="FrankRuehl" w:hAnsi="FrankRuehl" w:cs="FrankRuehl"/>
          <w:rtl/>
        </w:rPr>
        <w:t xml:space="preserve">, </w:t>
      </w:r>
      <w:hyperlink r:id="rId9" w:history="1">
        <w:r w:rsidRPr="003E332E">
          <w:rPr>
            <w:rFonts w:ascii="FrankRuehl" w:hAnsi="FrankRuehl" w:cs="FrankRuehl"/>
            <w:color w:val="0000FF"/>
            <w:rtl/>
          </w:rPr>
          <w:t>10</w:t>
        </w:r>
      </w:hyperlink>
    </w:p>
    <w:p w14:paraId="02176A47" w14:textId="77777777" w:rsidR="003E332E" w:rsidRPr="003E332E" w:rsidRDefault="003E332E" w:rsidP="003E332E">
      <w:pPr>
        <w:rPr>
          <w:rFonts w:ascii="David" w:hAnsi="David"/>
          <w:rtl/>
        </w:rPr>
      </w:pPr>
      <w:bookmarkStart w:id="3" w:name="LawTable_End"/>
      <w:bookmarkEnd w:id="3"/>
    </w:p>
    <w:p w14:paraId="5754CEA1" w14:textId="77777777" w:rsidR="0078618F" w:rsidRPr="00A33F66" w:rsidRDefault="0078618F" w:rsidP="00A33F66">
      <w:pPr>
        <w:rPr>
          <w:rFonts w:ascii="David" w:hAnsi="David"/>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8618F" w:rsidRPr="003A3EFB" w14:paraId="53905D9A" w14:textId="77777777" w:rsidTr="0078618F">
        <w:trPr>
          <w:trHeight w:val="355"/>
          <w:jc w:val="center"/>
        </w:trPr>
        <w:tc>
          <w:tcPr>
            <w:tcW w:w="8820" w:type="dxa"/>
            <w:tcBorders>
              <w:top w:val="nil"/>
              <w:left w:val="nil"/>
              <w:bottom w:val="nil"/>
              <w:right w:val="nil"/>
            </w:tcBorders>
            <w:shd w:val="clear" w:color="auto" w:fill="auto"/>
          </w:tcPr>
          <w:p w14:paraId="6B87D01A" w14:textId="77777777" w:rsidR="00456375" w:rsidRPr="00456375" w:rsidRDefault="00456375" w:rsidP="00456375">
            <w:pPr>
              <w:jc w:val="center"/>
              <w:rPr>
                <w:rFonts w:ascii="David" w:hAnsi="David"/>
                <w:b/>
                <w:bCs/>
                <w:sz w:val="28"/>
                <w:szCs w:val="28"/>
                <w:u w:val="single"/>
                <w:rtl/>
              </w:rPr>
            </w:pPr>
            <w:bookmarkStart w:id="4" w:name="PsakDin" w:colFirst="0" w:colLast="0"/>
            <w:r w:rsidRPr="00456375">
              <w:rPr>
                <w:rFonts w:ascii="David" w:hAnsi="David"/>
                <w:b/>
                <w:bCs/>
                <w:sz w:val="28"/>
                <w:szCs w:val="28"/>
                <w:u w:val="single"/>
                <w:rtl/>
              </w:rPr>
              <w:t>גזר דין</w:t>
            </w:r>
          </w:p>
          <w:p w14:paraId="54476F94" w14:textId="77777777" w:rsidR="0078618F" w:rsidRPr="00456375" w:rsidRDefault="0078618F" w:rsidP="00456375">
            <w:pPr>
              <w:jc w:val="center"/>
              <w:rPr>
                <w:rFonts w:ascii="David" w:hAnsi="David"/>
                <w:b/>
                <w:bCs/>
                <w:u w:val="single"/>
                <w:rtl/>
              </w:rPr>
            </w:pPr>
          </w:p>
        </w:tc>
      </w:tr>
      <w:bookmarkEnd w:id="4"/>
    </w:tbl>
    <w:p w14:paraId="6463B8CE" w14:textId="77777777" w:rsidR="0078618F" w:rsidRPr="003A3EFB" w:rsidRDefault="0078618F" w:rsidP="0078618F">
      <w:pPr>
        <w:rPr>
          <w:rFonts w:ascii="David" w:hAnsi="David"/>
          <w:rtl/>
        </w:rPr>
      </w:pPr>
    </w:p>
    <w:p w14:paraId="60B5AB33" w14:textId="77777777" w:rsidR="0078618F" w:rsidRDefault="0078618F" w:rsidP="0078618F">
      <w:pPr>
        <w:spacing w:line="360" w:lineRule="auto"/>
        <w:jc w:val="both"/>
        <w:rPr>
          <w:rFonts w:ascii="David" w:hAnsi="David"/>
          <w:rtl/>
        </w:rPr>
      </w:pPr>
      <w:r>
        <w:rPr>
          <w:rFonts w:ascii="David" w:hAnsi="David" w:hint="cs"/>
          <w:b/>
          <w:bCs/>
          <w:u w:val="single"/>
          <w:rtl/>
        </w:rPr>
        <w:t>כתב האישום וההליכים</w:t>
      </w:r>
    </w:p>
    <w:p w14:paraId="3475A0BD" w14:textId="77777777" w:rsidR="0078618F" w:rsidRDefault="0078618F" w:rsidP="0078618F">
      <w:pPr>
        <w:jc w:val="both"/>
        <w:rPr>
          <w:rFonts w:ascii="David" w:hAnsi="David"/>
          <w:rtl/>
        </w:rPr>
      </w:pPr>
    </w:p>
    <w:p w14:paraId="1FA44B01" w14:textId="77777777" w:rsidR="0078618F" w:rsidRDefault="0078618F" w:rsidP="0078618F">
      <w:pPr>
        <w:pStyle w:val="a9"/>
        <w:numPr>
          <w:ilvl w:val="0"/>
          <w:numId w:val="1"/>
        </w:numPr>
        <w:spacing w:line="360" w:lineRule="auto"/>
        <w:jc w:val="both"/>
        <w:rPr>
          <w:rFonts w:ascii="David" w:hAnsi="David"/>
        </w:rPr>
      </w:pPr>
      <w:bookmarkStart w:id="5" w:name="ABSTRACT_START"/>
      <w:bookmarkEnd w:id="5"/>
      <w:r>
        <w:rPr>
          <w:rFonts w:ascii="David" w:hAnsi="David" w:hint="cs"/>
          <w:rtl/>
        </w:rPr>
        <w:t xml:space="preserve">הנאשם הורשע על פי הודאתו </w:t>
      </w:r>
      <w:r w:rsidRPr="00177001">
        <w:rPr>
          <w:rFonts w:ascii="David" w:hAnsi="David"/>
          <w:rtl/>
        </w:rPr>
        <w:t xml:space="preserve">בעבירת גידול סמים מסוכנים, לפי </w:t>
      </w:r>
      <w:hyperlink r:id="rId10" w:history="1">
        <w:r w:rsidR="005C3C13" w:rsidRPr="005C3C13">
          <w:rPr>
            <w:rStyle w:val="Hyperlink"/>
            <w:rFonts w:ascii="David" w:hAnsi="David"/>
            <w:rtl/>
          </w:rPr>
          <w:t>סעיף 6</w:t>
        </w:r>
      </w:hyperlink>
      <w:r w:rsidRPr="00177001">
        <w:rPr>
          <w:rFonts w:ascii="David" w:hAnsi="David"/>
          <w:rtl/>
        </w:rPr>
        <w:t xml:space="preserve"> ל</w:t>
      </w:r>
      <w:hyperlink r:id="rId11" w:history="1">
        <w:r w:rsidR="00456375" w:rsidRPr="00456375">
          <w:rPr>
            <w:rFonts w:ascii="David" w:hAnsi="David"/>
            <w:color w:val="0000FF"/>
            <w:u w:val="single"/>
            <w:rtl/>
          </w:rPr>
          <w:t>פקודת הסמים המסוכנים</w:t>
        </w:r>
      </w:hyperlink>
      <w:r w:rsidRPr="00177001">
        <w:rPr>
          <w:rFonts w:ascii="David" w:hAnsi="David"/>
          <w:rtl/>
        </w:rPr>
        <w:t xml:space="preserve"> [נוסח חדש], התשל"ג-1973 (להלן – </w:t>
      </w:r>
      <w:r w:rsidRPr="00177001">
        <w:rPr>
          <w:rFonts w:ascii="Miriam" w:hAnsi="Miriam" w:cs="Miriam"/>
          <w:rtl/>
        </w:rPr>
        <w:t>פקודת הסמים</w:t>
      </w:r>
      <w:r>
        <w:rPr>
          <w:rFonts w:ascii="David" w:hAnsi="David"/>
          <w:rtl/>
        </w:rPr>
        <w:t>)</w:t>
      </w:r>
      <w:r>
        <w:rPr>
          <w:rFonts w:ascii="David" w:hAnsi="David" w:hint="cs"/>
          <w:rtl/>
        </w:rPr>
        <w:t xml:space="preserve"> ובעבירת החזקת כלים להכנת סם שלא לצריכה עצמית, לפי </w:t>
      </w:r>
      <w:hyperlink r:id="rId12" w:history="1">
        <w:r w:rsidR="005C3C13" w:rsidRPr="005C3C13">
          <w:rPr>
            <w:rStyle w:val="Hyperlink"/>
            <w:rFonts w:ascii="David" w:hAnsi="David" w:hint="eastAsia"/>
            <w:rtl/>
          </w:rPr>
          <w:t>סעיף</w:t>
        </w:r>
        <w:r w:rsidR="005C3C13" w:rsidRPr="005C3C13">
          <w:rPr>
            <w:rStyle w:val="Hyperlink"/>
            <w:rFonts w:ascii="David" w:hAnsi="David"/>
            <w:rtl/>
          </w:rPr>
          <w:t xml:space="preserve"> 10</w:t>
        </w:r>
      </w:hyperlink>
      <w:r>
        <w:rPr>
          <w:rFonts w:ascii="David" w:hAnsi="David" w:hint="cs"/>
          <w:rtl/>
        </w:rPr>
        <w:t xml:space="preserve"> רישא לפקודת הסמים. על פי עובדות כתב האישום המתוקן, כמספר חודשים עובר ליום 5.8.21 הקים הנאשם, בדירה בה התגורר עם משפחתו, תשתית לצורך גידול שתילי סם מסוכן מסוג קנבוס. ביום 5.8.21 נמצא הנאשם מגדל בדירה 58 שתילי קנבוס, באופן שבחדר אחד נמצאו 44 שתילים ופרחי קנבוס במשקל כולל של 2.82 קילוגרם נטו, שהיו תלויים לייבוש על מתקן ייעודי, ובחדר נוסף 14 שתילים קטנים של קנבוס במשקל כולל של 157 גרם ברוטו. כן החזיק הנאשם בכלים לצורך גידול הסמים, היינו מפוח, 5 מנורות חימום, 5 שנאים ורשת ייבוש. </w:t>
      </w:r>
    </w:p>
    <w:p w14:paraId="7CDE1EC1" w14:textId="77777777" w:rsidR="0078618F" w:rsidRPr="00E80E52" w:rsidRDefault="0078618F" w:rsidP="0078618F">
      <w:pPr>
        <w:pStyle w:val="a9"/>
        <w:ind w:left="0"/>
        <w:jc w:val="both"/>
        <w:rPr>
          <w:rFonts w:ascii="David" w:hAnsi="David"/>
        </w:rPr>
      </w:pPr>
      <w:bookmarkStart w:id="6" w:name="ABSTRACT_END"/>
      <w:bookmarkEnd w:id="6"/>
    </w:p>
    <w:p w14:paraId="704ED78F" w14:textId="77777777" w:rsidR="0078618F" w:rsidRDefault="0078618F" w:rsidP="0078618F">
      <w:pPr>
        <w:pStyle w:val="a9"/>
        <w:numPr>
          <w:ilvl w:val="0"/>
          <w:numId w:val="1"/>
        </w:numPr>
        <w:spacing w:line="360" w:lineRule="auto"/>
        <w:jc w:val="both"/>
        <w:rPr>
          <w:rFonts w:ascii="David" w:hAnsi="David"/>
        </w:rPr>
      </w:pPr>
      <w:r>
        <w:rPr>
          <w:rFonts w:ascii="David" w:hAnsi="David" w:hint="cs"/>
          <w:rtl/>
        </w:rPr>
        <w:t xml:space="preserve">להשלמת התמונה ייאמר כי </w:t>
      </w:r>
      <w:r>
        <w:rPr>
          <w:rFonts w:ascii="David" w:hAnsi="David"/>
          <w:rtl/>
        </w:rPr>
        <w:t>הודאת הנאשם באה אגב הסדר טיעון</w:t>
      </w:r>
      <w:r>
        <w:rPr>
          <w:rFonts w:ascii="David" w:hAnsi="David" w:hint="cs"/>
          <w:rtl/>
        </w:rPr>
        <w:t xml:space="preserve"> במהלך דיון מוקד, במסגרתו הודה בכתב אישום מתוקן, אך לא הוצגה הסכמה עונשית. </w:t>
      </w:r>
    </w:p>
    <w:p w14:paraId="1BB0761F" w14:textId="77777777" w:rsidR="0078618F" w:rsidRPr="002506E2" w:rsidRDefault="0078618F" w:rsidP="0078618F">
      <w:pPr>
        <w:pStyle w:val="a9"/>
        <w:rPr>
          <w:rFonts w:ascii="David" w:hAnsi="David"/>
          <w:rtl/>
        </w:rPr>
      </w:pPr>
    </w:p>
    <w:p w14:paraId="5BB04FC3" w14:textId="77777777" w:rsidR="0078618F" w:rsidRPr="002506E2" w:rsidRDefault="0078618F" w:rsidP="0078618F">
      <w:pPr>
        <w:pStyle w:val="a9"/>
        <w:spacing w:line="360" w:lineRule="auto"/>
        <w:ind w:left="0"/>
        <w:jc w:val="both"/>
        <w:rPr>
          <w:rFonts w:ascii="David" w:hAnsi="David"/>
          <w:b/>
          <w:bCs/>
          <w:u w:val="single"/>
        </w:rPr>
      </w:pPr>
      <w:r>
        <w:rPr>
          <w:rFonts w:ascii="David" w:hAnsi="David" w:hint="cs"/>
          <w:b/>
          <w:bCs/>
          <w:u w:val="single"/>
          <w:rtl/>
        </w:rPr>
        <w:t>תסקיר שירות המבחן</w:t>
      </w:r>
    </w:p>
    <w:p w14:paraId="15F0D724" w14:textId="77777777" w:rsidR="0078618F" w:rsidRPr="002506E2" w:rsidRDefault="0078618F" w:rsidP="0078618F">
      <w:pPr>
        <w:pStyle w:val="a9"/>
        <w:rPr>
          <w:rFonts w:ascii="David" w:hAnsi="David"/>
          <w:rtl/>
        </w:rPr>
      </w:pPr>
    </w:p>
    <w:p w14:paraId="537A37C0" w14:textId="77777777" w:rsidR="0078618F" w:rsidRPr="0010691A" w:rsidRDefault="0078618F" w:rsidP="0078618F">
      <w:pPr>
        <w:pStyle w:val="a9"/>
        <w:numPr>
          <w:ilvl w:val="0"/>
          <w:numId w:val="1"/>
        </w:numPr>
        <w:spacing w:line="360" w:lineRule="auto"/>
        <w:jc w:val="both"/>
        <w:rPr>
          <w:rFonts w:ascii="David" w:hAnsi="David"/>
        </w:rPr>
      </w:pPr>
      <w:r>
        <w:rPr>
          <w:rFonts w:ascii="David" w:hAnsi="David" w:hint="cs"/>
          <w:rtl/>
        </w:rPr>
        <w:t xml:space="preserve"> </w:t>
      </w:r>
      <w:r>
        <w:rPr>
          <w:rFonts w:ascii="David" w:hAnsi="David"/>
          <w:rtl/>
        </w:rPr>
        <w:t xml:space="preserve"> </w:t>
      </w:r>
      <w:r>
        <w:rPr>
          <w:rFonts w:ascii="David" w:hAnsi="David" w:hint="cs"/>
          <w:rtl/>
        </w:rPr>
        <w:t>שירות המבחן הגיש תסקיר ובו פורטו בהרחבה נסיבות חייו של הנאשם. מטעמים של צנעת הפרט לא אפרט יתר על המידה את הדברים (</w:t>
      </w:r>
      <w:hyperlink r:id="rId13" w:history="1">
        <w:r w:rsidR="00456375" w:rsidRPr="00456375">
          <w:rPr>
            <w:rFonts w:ascii="David" w:hAnsi="David"/>
            <w:color w:val="0000FF"/>
            <w:u w:val="single"/>
            <w:rtl/>
          </w:rPr>
          <w:t>ע"א 6356/20</w:t>
        </w:r>
      </w:hyperlink>
      <w:r>
        <w:rPr>
          <w:rFonts w:ascii="David" w:hAnsi="David" w:hint="cs"/>
          <w:rtl/>
        </w:rPr>
        <w:t xml:space="preserve"> </w:t>
      </w:r>
      <w:r>
        <w:rPr>
          <w:rFonts w:ascii="David" w:hAnsi="David" w:hint="cs"/>
          <w:b/>
          <w:bCs/>
          <w:rtl/>
        </w:rPr>
        <w:t xml:space="preserve">פלוני נ' מדינת ישראל </w:t>
      </w:r>
      <w:r>
        <w:rPr>
          <w:rFonts w:ascii="David" w:hAnsi="David" w:hint="cs"/>
          <w:rtl/>
        </w:rPr>
        <w:t>(21.10.2021)), ובתמצית ייאמר כי הנאשם כבן 30, נשוי ואב לשתי בנות ועובד כשליח. הנאשם לא השלים שירות צבאי מלא ושוחרר לאחר סיום ריצוי עונש מאסר בפועל בגין עריקות. שירות המבחן ציין שבעבר נעשה ניסיון לשלבו במסגרת טיפולית אך הוא לא התגייס להליך והביע עמדה מקלה ביחס לשימוש בקנבוס. אף בהליך זה לא התייצב הנאשם לחלק מבדיקות סמים שנקבעו לו וביחס לעבירות בהן הורשע טען שגידל את הסמים לשימוש עצמי. לאור כל זאת נמנע שירות המבחן מ</w:t>
      </w:r>
      <w:r w:rsidRPr="0010691A">
        <w:rPr>
          <w:rFonts w:ascii="David" w:hAnsi="David" w:hint="cs"/>
          <w:rtl/>
        </w:rPr>
        <w:t xml:space="preserve">המלצה טיפולית וצוין </w:t>
      </w:r>
      <w:r>
        <w:rPr>
          <w:rFonts w:ascii="David" w:hAnsi="David" w:hint="cs"/>
          <w:rtl/>
        </w:rPr>
        <w:t>ש</w:t>
      </w:r>
      <w:r w:rsidRPr="0010691A">
        <w:rPr>
          <w:rFonts w:ascii="David" w:hAnsi="David" w:hint="cs"/>
          <w:rtl/>
        </w:rPr>
        <w:t>יש צורך בענישה מציבת גבול.</w:t>
      </w:r>
    </w:p>
    <w:p w14:paraId="12B99905" w14:textId="77777777" w:rsidR="0078618F" w:rsidRPr="002E3457" w:rsidRDefault="0078618F" w:rsidP="0078618F">
      <w:pPr>
        <w:pStyle w:val="a9"/>
        <w:spacing w:line="360" w:lineRule="auto"/>
        <w:ind w:left="0"/>
        <w:jc w:val="both"/>
        <w:rPr>
          <w:rFonts w:ascii="David" w:hAnsi="David"/>
          <w:rtl/>
        </w:rPr>
      </w:pPr>
    </w:p>
    <w:p w14:paraId="7530073D" w14:textId="77777777" w:rsidR="0078618F" w:rsidRPr="0010691A" w:rsidRDefault="0078618F" w:rsidP="0078618F">
      <w:pPr>
        <w:pStyle w:val="a9"/>
        <w:spacing w:line="360" w:lineRule="auto"/>
        <w:ind w:left="0"/>
        <w:jc w:val="both"/>
        <w:rPr>
          <w:rFonts w:ascii="David" w:hAnsi="David"/>
          <w:rtl/>
        </w:rPr>
      </w:pPr>
    </w:p>
    <w:p w14:paraId="4E92B8BA" w14:textId="77777777" w:rsidR="0078618F" w:rsidRDefault="0078618F" w:rsidP="0078618F">
      <w:pPr>
        <w:pStyle w:val="a9"/>
        <w:spacing w:line="360" w:lineRule="auto"/>
        <w:ind w:left="0"/>
        <w:jc w:val="both"/>
        <w:rPr>
          <w:rFonts w:ascii="David" w:hAnsi="David"/>
          <w:b/>
          <w:bCs/>
          <w:u w:val="single"/>
          <w:rtl/>
        </w:rPr>
      </w:pPr>
      <w:r>
        <w:rPr>
          <w:rFonts w:ascii="David" w:hAnsi="David" w:hint="cs"/>
          <w:b/>
          <w:bCs/>
          <w:u w:val="single"/>
          <w:rtl/>
        </w:rPr>
        <w:t>טיעוני הצדדים לעונש והראיות</w:t>
      </w:r>
    </w:p>
    <w:p w14:paraId="6DC5A44A" w14:textId="77777777" w:rsidR="0078618F" w:rsidRPr="000C1295" w:rsidRDefault="0078618F" w:rsidP="0078618F">
      <w:pPr>
        <w:pStyle w:val="a9"/>
        <w:ind w:left="0"/>
        <w:jc w:val="both"/>
        <w:rPr>
          <w:rFonts w:ascii="David" w:hAnsi="David"/>
          <w:b/>
          <w:bCs/>
          <w:u w:val="single"/>
        </w:rPr>
      </w:pPr>
    </w:p>
    <w:p w14:paraId="523C9A3A" w14:textId="77777777" w:rsidR="0078618F" w:rsidRDefault="0078618F" w:rsidP="0078618F">
      <w:pPr>
        <w:pStyle w:val="a9"/>
        <w:numPr>
          <w:ilvl w:val="0"/>
          <w:numId w:val="1"/>
        </w:numPr>
        <w:spacing w:line="360" w:lineRule="auto"/>
        <w:jc w:val="both"/>
        <w:rPr>
          <w:rFonts w:ascii="David" w:hAnsi="David"/>
        </w:rPr>
      </w:pPr>
      <w:r>
        <w:rPr>
          <w:rFonts w:ascii="David" w:hAnsi="David" w:hint="cs"/>
          <w:rtl/>
        </w:rPr>
        <w:t xml:space="preserve">ב"כ המאשימה הפנה לערכים המוגנים שנפגעו ולחומרה שבעבירת גידול סמים. נטען כי הגם שמדובר במעבדה שהוקמה בבית בו התגורר הנאשם עם בני משפחתו, אין להקל בכך ראש, בין היתר בשל כמות השתילים ומשקלם. ביחס למתחם הענישה הוגשה פסיקה ונטען שהוא נע בין 8 חודשי מאסר שניתן לרצות בעבודת שירות ועד 24 חודשי מאסר בפועל. כן צוין שהנאשם קיבל אחריות חלקית בפני שירות המבחן, אשר התרשם מהיעדר אופק שיקומי, ולכן נדרשת ענישה מרתיעה. בסיכום הדברים עתרה המאשימה לעונש מאסר בפועל למשך 14 חודשים, מאסר על תנאי, קנס, התחייבות וכן פסילת רישיון בפועל ועל תנאי.  </w:t>
      </w:r>
    </w:p>
    <w:p w14:paraId="79F579E9" w14:textId="77777777" w:rsidR="0078618F" w:rsidRDefault="0078618F" w:rsidP="0078618F">
      <w:pPr>
        <w:pStyle w:val="a9"/>
        <w:ind w:left="0"/>
        <w:jc w:val="both"/>
        <w:rPr>
          <w:rFonts w:ascii="David" w:hAnsi="David"/>
        </w:rPr>
      </w:pPr>
    </w:p>
    <w:p w14:paraId="5952CD7D" w14:textId="77777777" w:rsidR="0078618F" w:rsidRDefault="0078618F" w:rsidP="0078618F">
      <w:pPr>
        <w:pStyle w:val="a9"/>
        <w:numPr>
          <w:ilvl w:val="0"/>
          <w:numId w:val="1"/>
        </w:numPr>
        <w:spacing w:line="360" w:lineRule="auto"/>
        <w:jc w:val="both"/>
        <w:rPr>
          <w:rFonts w:ascii="David" w:hAnsi="David"/>
        </w:rPr>
      </w:pPr>
      <w:r>
        <w:rPr>
          <w:rFonts w:ascii="David" w:hAnsi="David" w:hint="cs"/>
          <w:rtl/>
        </w:rPr>
        <w:t xml:space="preserve">ב"כ הנאשם טען ששינוי המדיניות בעבירות הקשורות לצריכה עצמית של קנביס, מעיד על חומרה פחותה גם בגידולו של סם זה. נטען כי נסיבות העבירה קלות יחסית שכן הסם גודל בבית בו התגורר הנאשם ואין מדובר בכמות משמעותית. לאור כך עתר הסנגור, תוך הפניה לפסיקה, למתחם ענישה הנע בין מאסר מותנה ועד למספר חודשי מאסר בעבודות שירות. הסנגור הדגיש כי הנאשם הוא בעל משפחה, עובד לפרנסתו, הודה בעבירות וקיבל אחריות מלאה למעשיו ואינו צורך סמים כיום. לאור כך עתר הסנגור להסתפק בענישה צופה פני עתיד על מנת שלא לפגוע ביכולתו של הנאשם לעבוד. </w:t>
      </w:r>
    </w:p>
    <w:p w14:paraId="58A21956" w14:textId="77777777" w:rsidR="0078618F" w:rsidRPr="003F6D69" w:rsidRDefault="0078618F" w:rsidP="0078618F">
      <w:pPr>
        <w:pStyle w:val="a9"/>
        <w:rPr>
          <w:rFonts w:ascii="David" w:hAnsi="David"/>
          <w:rtl/>
        </w:rPr>
      </w:pPr>
    </w:p>
    <w:p w14:paraId="5DB2EBC8" w14:textId="77777777" w:rsidR="0078618F" w:rsidRPr="003A3EFB" w:rsidRDefault="0078618F" w:rsidP="0078618F">
      <w:pPr>
        <w:pStyle w:val="a9"/>
        <w:numPr>
          <w:ilvl w:val="0"/>
          <w:numId w:val="1"/>
        </w:numPr>
        <w:spacing w:line="360" w:lineRule="auto"/>
        <w:jc w:val="both"/>
        <w:rPr>
          <w:rFonts w:ascii="David" w:hAnsi="David"/>
          <w:rtl/>
        </w:rPr>
      </w:pPr>
      <w:r>
        <w:rPr>
          <w:rFonts w:ascii="David" w:hAnsi="David" w:hint="cs"/>
          <w:rtl/>
        </w:rPr>
        <w:t xml:space="preserve">הנאשם בדברו האחרון הביע צער על מעשיו, ציין שהוא עובד לפרנסת המשפחה ומקיים אורח חיים נורמטיבי. כן ביקש להתחשב במצבו ולהימנע מענישה שתפגע ביכולתו להתפרנס.     </w:t>
      </w:r>
    </w:p>
    <w:p w14:paraId="340C34F1" w14:textId="77777777" w:rsidR="0078618F" w:rsidRDefault="0078618F" w:rsidP="0078618F">
      <w:pPr>
        <w:jc w:val="both"/>
        <w:rPr>
          <w:rFonts w:ascii="David" w:hAnsi="David"/>
          <w:rtl/>
        </w:rPr>
      </w:pPr>
    </w:p>
    <w:p w14:paraId="5357E0DC" w14:textId="77777777" w:rsidR="0078618F" w:rsidRPr="00AA20ED" w:rsidRDefault="0078618F" w:rsidP="0078618F">
      <w:pPr>
        <w:spacing w:line="360" w:lineRule="auto"/>
        <w:rPr>
          <w:rFonts w:ascii="David" w:hAnsi="David"/>
          <w:b/>
          <w:bCs/>
          <w:u w:val="single"/>
          <w:rtl/>
        </w:rPr>
      </w:pPr>
      <w:r w:rsidRPr="00AA20ED">
        <w:rPr>
          <w:rFonts w:ascii="David" w:hAnsi="David"/>
          <w:b/>
          <w:bCs/>
          <w:u w:val="single"/>
          <w:rtl/>
        </w:rPr>
        <w:t>דיון והכרעה</w:t>
      </w:r>
    </w:p>
    <w:p w14:paraId="6D5A338F" w14:textId="77777777" w:rsidR="0078618F" w:rsidRPr="00AA20ED" w:rsidRDefault="0078618F" w:rsidP="0078618F">
      <w:pPr>
        <w:spacing w:line="360" w:lineRule="auto"/>
        <w:rPr>
          <w:rFonts w:ascii="David" w:hAnsi="David"/>
          <w:b/>
          <w:bCs/>
          <w:u w:val="single"/>
          <w:rtl/>
        </w:rPr>
      </w:pPr>
      <w:r>
        <w:rPr>
          <w:rFonts w:ascii="David" w:hAnsi="David"/>
          <w:b/>
          <w:bCs/>
          <w:u w:val="single"/>
          <w:rtl/>
        </w:rPr>
        <w:t>קביעת מתחם ה</w:t>
      </w:r>
      <w:r>
        <w:rPr>
          <w:rFonts w:ascii="David" w:hAnsi="David" w:hint="cs"/>
          <w:b/>
          <w:bCs/>
          <w:u w:val="single"/>
          <w:rtl/>
        </w:rPr>
        <w:t>עונש ההולם</w:t>
      </w:r>
    </w:p>
    <w:p w14:paraId="3878D469" w14:textId="77777777" w:rsidR="0078618F" w:rsidRPr="00AA20ED" w:rsidRDefault="0078618F" w:rsidP="0078618F">
      <w:pPr>
        <w:rPr>
          <w:rFonts w:ascii="David" w:hAnsi="David"/>
          <w:rtl/>
        </w:rPr>
      </w:pPr>
      <w:r w:rsidRPr="00AA20ED">
        <w:rPr>
          <w:rFonts w:ascii="David" w:hAnsi="David"/>
          <w:rtl/>
        </w:rPr>
        <w:t xml:space="preserve"> </w:t>
      </w:r>
    </w:p>
    <w:p w14:paraId="0E798382" w14:textId="77777777" w:rsidR="0078618F" w:rsidRDefault="0078618F" w:rsidP="0078618F">
      <w:pPr>
        <w:pStyle w:val="a9"/>
        <w:numPr>
          <w:ilvl w:val="0"/>
          <w:numId w:val="1"/>
        </w:numPr>
        <w:spacing w:line="360" w:lineRule="auto"/>
        <w:jc w:val="both"/>
        <w:rPr>
          <w:rFonts w:ascii="David" w:hAnsi="David"/>
        </w:rPr>
      </w:pPr>
      <w:r w:rsidRPr="00AA20ED">
        <w:rPr>
          <w:rFonts w:ascii="David" w:hAnsi="David"/>
          <w:rtl/>
        </w:rPr>
        <w:t xml:space="preserve">במעשיו פגע הנאשם בערכים של בטחון הציבור ושלומו. הסכנות הטמונות בהחזקת סם וגידולו ידועות ואין צורך להכביר מילים על הנזקים שעלולים להיגרם לחברה ולפרט ממעשים אלו. </w:t>
      </w:r>
      <w:r w:rsidRPr="00AA20ED">
        <w:rPr>
          <w:rFonts w:ascii="David" w:hAnsi="David"/>
          <w:rtl/>
        </w:rPr>
        <w:lastRenderedPageBreak/>
        <w:t>פעם אחר פעם נפסק שיש לראות בחומרה את עבירות הסמים אשר הפכו מכת מדינה וכי תוצאותיהן הישירות והעקיפות הן הרות אסון לשלומה של החברה, לבריאותה ולביטחונה.</w:t>
      </w:r>
      <w:r>
        <w:rPr>
          <w:rFonts w:ascii="David" w:hAnsi="David" w:hint="cs"/>
          <w:rtl/>
        </w:rPr>
        <w:t xml:space="preserve"> </w:t>
      </w:r>
    </w:p>
    <w:p w14:paraId="66B6D104" w14:textId="77777777" w:rsidR="0078618F" w:rsidRDefault="0078618F" w:rsidP="0078618F">
      <w:pPr>
        <w:pStyle w:val="a9"/>
        <w:ind w:left="0"/>
        <w:jc w:val="both"/>
        <w:rPr>
          <w:rFonts w:ascii="David" w:hAnsi="David"/>
        </w:rPr>
      </w:pPr>
    </w:p>
    <w:p w14:paraId="0E7D688A" w14:textId="77777777" w:rsidR="0078618F" w:rsidRPr="00D2186B" w:rsidRDefault="0078618F" w:rsidP="0078618F">
      <w:pPr>
        <w:pStyle w:val="a9"/>
        <w:numPr>
          <w:ilvl w:val="0"/>
          <w:numId w:val="1"/>
        </w:numPr>
        <w:spacing w:line="360" w:lineRule="auto"/>
        <w:jc w:val="both"/>
        <w:rPr>
          <w:rFonts w:ascii="David" w:hAnsi="David"/>
        </w:rPr>
      </w:pPr>
      <w:r>
        <w:rPr>
          <w:rFonts w:ascii="David" w:hAnsi="David" w:hint="cs"/>
          <w:rtl/>
        </w:rPr>
        <w:t>ב</w:t>
      </w:r>
      <w:r w:rsidRPr="00D2186B">
        <w:rPr>
          <w:rFonts w:ascii="David" w:hAnsi="David"/>
          <w:color w:val="000000"/>
          <w:rtl/>
        </w:rPr>
        <w:t>יחס לנסיבות ביצוע העבירה אציין שככלל, גידול סמים מצריך תכנון מוקדם, לימוד, רכישת ציוד, היערכות והתמדה</w:t>
      </w:r>
      <w:r w:rsidRPr="00D2186B">
        <w:rPr>
          <w:rFonts w:ascii="David" w:hAnsi="David" w:hint="cs"/>
          <w:color w:val="000000"/>
          <w:rtl/>
        </w:rPr>
        <w:t xml:space="preserve"> וכן השקעה כספית לא מבוטלת</w:t>
      </w:r>
      <w:r w:rsidRPr="00D2186B">
        <w:rPr>
          <w:rFonts w:ascii="David" w:hAnsi="David"/>
          <w:color w:val="000000"/>
        </w:rPr>
        <w:t>.</w:t>
      </w:r>
      <w:r w:rsidRPr="00D2186B">
        <w:rPr>
          <w:rFonts w:ascii="David" w:hAnsi="David" w:hint="cs"/>
          <w:rtl/>
        </w:rPr>
        <w:t xml:space="preserve"> </w:t>
      </w:r>
      <w:r>
        <w:rPr>
          <w:rFonts w:ascii="David" w:hAnsi="David" w:hint="cs"/>
          <w:rtl/>
        </w:rPr>
        <w:t xml:space="preserve">עם זאת, </w:t>
      </w:r>
      <w:r w:rsidRPr="00D2186B">
        <w:rPr>
          <w:rFonts w:ascii="David" w:hAnsi="David" w:hint="cs"/>
          <w:rtl/>
        </w:rPr>
        <w:t xml:space="preserve">במקרה זה, </w:t>
      </w:r>
      <w:r>
        <w:rPr>
          <w:rFonts w:ascii="David" w:hAnsi="David" w:hint="cs"/>
          <w:rtl/>
        </w:rPr>
        <w:t>הנאשם גידל את הסמים בביתו ואין מדובר אפוא בדירה ייעודית שנשכרה לשם כך</w:t>
      </w:r>
      <w:r w:rsidRPr="00D2186B">
        <w:rPr>
          <w:rFonts w:ascii="David" w:hAnsi="David" w:hint="cs"/>
          <w:rtl/>
        </w:rPr>
        <w:t xml:space="preserve">. </w:t>
      </w:r>
      <w:r>
        <w:rPr>
          <w:rFonts w:ascii="David" w:hAnsi="David" w:hint="cs"/>
          <w:rtl/>
        </w:rPr>
        <w:t xml:space="preserve">כמות השתילים (58) אינה מעטה </w:t>
      </w:r>
      <w:r w:rsidRPr="00D2186B">
        <w:rPr>
          <w:rFonts w:ascii="David" w:hAnsi="David" w:hint="cs"/>
          <w:rtl/>
        </w:rPr>
        <w:t xml:space="preserve">ועל כן פוטנציאל הנזק </w:t>
      </w:r>
      <w:r>
        <w:rPr>
          <w:rFonts w:ascii="David" w:hAnsi="David" w:hint="cs"/>
          <w:rtl/>
        </w:rPr>
        <w:t>היה לא מבוטל</w:t>
      </w:r>
      <w:r w:rsidRPr="00D2186B">
        <w:rPr>
          <w:rFonts w:ascii="David" w:hAnsi="David" w:hint="cs"/>
          <w:rtl/>
        </w:rPr>
        <w:t xml:space="preserve">. </w:t>
      </w:r>
      <w:r>
        <w:rPr>
          <w:rFonts w:ascii="David" w:hAnsi="David" w:hint="cs"/>
          <w:rtl/>
        </w:rPr>
        <w:t xml:space="preserve">לא התעלמתי מהטענה שמדובר </w:t>
      </w:r>
      <w:r w:rsidRPr="00D2186B">
        <w:rPr>
          <w:rFonts w:ascii="David" w:hAnsi="David"/>
          <w:rtl/>
        </w:rPr>
        <w:t>בסם מסוג קנבוס</w:t>
      </w:r>
      <w:r>
        <w:rPr>
          <w:rFonts w:ascii="David" w:hAnsi="David" w:hint="cs"/>
          <w:rtl/>
        </w:rPr>
        <w:t xml:space="preserve">, אך עדין מדובר בעבירה בעלת חומרה לא מבוטלת </w:t>
      </w:r>
      <w:r w:rsidRPr="00D2186B">
        <w:rPr>
          <w:rFonts w:ascii="David" w:hAnsi="David"/>
          <w:rtl/>
        </w:rPr>
        <w:t xml:space="preserve">(ראו למשל: </w:t>
      </w:r>
      <w:hyperlink r:id="rId14" w:history="1">
        <w:r w:rsidR="00456375" w:rsidRPr="00456375">
          <w:rPr>
            <w:rFonts w:ascii="David" w:hAnsi="David"/>
            <w:color w:val="0000FF"/>
            <w:u w:val="single"/>
            <w:rtl/>
          </w:rPr>
          <w:t>ע"פ 6299/20</w:t>
        </w:r>
      </w:hyperlink>
      <w:r w:rsidRPr="00D2186B">
        <w:rPr>
          <w:rFonts w:ascii="David" w:hAnsi="David"/>
          <w:rtl/>
        </w:rPr>
        <w:t xml:space="preserve"> </w:t>
      </w:r>
      <w:r w:rsidRPr="00D2186B">
        <w:rPr>
          <w:rFonts w:ascii="David" w:hAnsi="David"/>
          <w:b/>
          <w:bCs/>
          <w:rtl/>
        </w:rPr>
        <w:t>שחר חן נ' מדינת ישראל</w:t>
      </w:r>
      <w:r w:rsidRPr="00D2186B">
        <w:rPr>
          <w:rFonts w:ascii="David" w:hAnsi="David"/>
          <w:rtl/>
        </w:rPr>
        <w:t xml:space="preserve"> (4.2.2021); </w:t>
      </w:r>
      <w:hyperlink r:id="rId15" w:history="1">
        <w:r w:rsidR="00456375" w:rsidRPr="00456375">
          <w:rPr>
            <w:rFonts w:ascii="David" w:hAnsi="David"/>
            <w:color w:val="0000FF"/>
            <w:u w:val="single"/>
            <w:rtl/>
          </w:rPr>
          <w:t>ע"פ 2596/18</w:t>
        </w:r>
      </w:hyperlink>
      <w:r w:rsidRPr="00D2186B">
        <w:rPr>
          <w:rFonts w:ascii="David" w:hAnsi="David"/>
          <w:rtl/>
        </w:rPr>
        <w:t xml:space="preserve"> </w:t>
      </w:r>
      <w:r w:rsidRPr="00D2186B">
        <w:rPr>
          <w:rFonts w:ascii="David" w:hAnsi="David"/>
          <w:b/>
          <w:bCs/>
          <w:rtl/>
        </w:rPr>
        <w:t>כפיר זנזורי נ' מדינת ישראל</w:t>
      </w:r>
      <w:r w:rsidRPr="00D2186B">
        <w:rPr>
          <w:rFonts w:ascii="David" w:hAnsi="David"/>
          <w:rtl/>
        </w:rPr>
        <w:t xml:space="preserve"> (12.8.2018)</w:t>
      </w:r>
      <w:r w:rsidRPr="00D2186B">
        <w:rPr>
          <w:rFonts w:ascii="David" w:hAnsi="David" w:hint="cs"/>
          <w:rtl/>
        </w:rPr>
        <w:t xml:space="preserve">; </w:t>
      </w:r>
      <w:hyperlink r:id="rId16" w:history="1">
        <w:r w:rsidR="00456375" w:rsidRPr="00456375">
          <w:rPr>
            <w:rFonts w:ascii="David" w:hAnsi="David"/>
            <w:color w:val="0000FF"/>
            <w:u w:val="single"/>
            <w:rtl/>
          </w:rPr>
          <w:t>עפ"ג 50691-05-21</w:t>
        </w:r>
      </w:hyperlink>
      <w:r w:rsidRPr="00D2186B">
        <w:rPr>
          <w:rFonts w:ascii="David" w:hAnsi="David"/>
          <w:rtl/>
        </w:rPr>
        <w:t xml:space="preserve"> </w:t>
      </w:r>
      <w:r w:rsidRPr="00D2186B">
        <w:rPr>
          <w:rFonts w:ascii="David" w:hAnsi="David"/>
          <w:b/>
          <w:bCs/>
          <w:rtl/>
        </w:rPr>
        <w:t>טלאלקה ואח' נ' מדינת ישראל</w:t>
      </w:r>
      <w:r w:rsidRPr="00D2186B">
        <w:rPr>
          <w:rFonts w:ascii="David" w:hAnsi="David" w:hint="cs"/>
          <w:rtl/>
        </w:rPr>
        <w:t xml:space="preserve"> (10.11.2021), פסקה 10</w:t>
      </w:r>
      <w:r w:rsidRPr="00D2186B">
        <w:rPr>
          <w:rFonts w:ascii="David" w:hAnsi="David"/>
          <w:rtl/>
        </w:rPr>
        <w:t>).</w:t>
      </w:r>
      <w:r w:rsidRPr="00D2186B">
        <w:rPr>
          <w:rFonts w:ascii="David" w:hAnsi="David" w:hint="cs"/>
          <w:rtl/>
        </w:rPr>
        <w:t xml:space="preserve"> </w:t>
      </w:r>
      <w:r>
        <w:rPr>
          <w:rFonts w:ascii="David" w:hAnsi="David" w:hint="cs"/>
          <w:rtl/>
        </w:rPr>
        <w:t xml:space="preserve">ביחס לסיבת גידול הסמים, </w:t>
      </w:r>
      <w:r w:rsidRPr="00D2186B">
        <w:rPr>
          <w:rFonts w:ascii="David" w:hAnsi="David" w:hint="cs"/>
          <w:rtl/>
        </w:rPr>
        <w:t xml:space="preserve">אציין </w:t>
      </w:r>
      <w:r>
        <w:rPr>
          <w:rFonts w:ascii="David" w:hAnsi="David" w:hint="cs"/>
          <w:rtl/>
        </w:rPr>
        <w:t>שהנאשם הודה שהחזיק ב</w:t>
      </w:r>
      <w:r w:rsidRPr="00D2186B">
        <w:rPr>
          <w:rFonts w:ascii="David" w:hAnsi="David" w:hint="cs"/>
          <w:rtl/>
        </w:rPr>
        <w:t xml:space="preserve">כלים </w:t>
      </w:r>
      <w:r>
        <w:rPr>
          <w:rFonts w:ascii="David" w:hAnsi="David" w:hint="cs"/>
          <w:rtl/>
        </w:rPr>
        <w:t xml:space="preserve">שלא למטרת צריכה עצמית, כך שמסקנה זו יפה מן הסתם גם כלפי הסמים עצמם. עם זאת, לאור היעדר טיעון בעניין זה לא אקבע ממצאים בנושא, כך שסיבת הגידול נותרה ללא הוכחה </w:t>
      </w:r>
      <w:r>
        <w:rPr>
          <w:rFonts w:ascii="David" w:hAnsi="David"/>
          <w:rtl/>
        </w:rPr>
        <w:t>–</w:t>
      </w:r>
      <w:r>
        <w:rPr>
          <w:rFonts w:ascii="David" w:hAnsi="David" w:hint="cs"/>
          <w:rtl/>
        </w:rPr>
        <w:t xml:space="preserve"> לחומרה או לקולה. </w:t>
      </w:r>
    </w:p>
    <w:p w14:paraId="7C2020B0" w14:textId="77777777" w:rsidR="0078618F" w:rsidRPr="00367642" w:rsidRDefault="0078618F" w:rsidP="0078618F">
      <w:pPr>
        <w:pStyle w:val="a9"/>
        <w:rPr>
          <w:rFonts w:ascii="David" w:hAnsi="David"/>
          <w:rtl/>
        </w:rPr>
      </w:pPr>
    </w:p>
    <w:p w14:paraId="779306BB" w14:textId="77777777" w:rsidR="0078618F" w:rsidRPr="0047374C" w:rsidRDefault="0078618F" w:rsidP="0078618F">
      <w:pPr>
        <w:pStyle w:val="a9"/>
        <w:numPr>
          <w:ilvl w:val="0"/>
          <w:numId w:val="1"/>
        </w:numPr>
        <w:spacing w:line="360" w:lineRule="auto"/>
        <w:jc w:val="both"/>
        <w:rPr>
          <w:rFonts w:ascii="David" w:hAnsi="David"/>
        </w:rPr>
      </w:pPr>
      <w:r w:rsidRPr="005C7A63">
        <w:rPr>
          <w:rFonts w:ascii="David" w:hAnsi="David"/>
          <w:rtl/>
        </w:rPr>
        <w:t>מדיניות הענישה בעבירות של גידול וייצור סמים מסוכנים משתנה ממקרה למקרה ותלויה בין היתר בסוג הסם, כמותו ובנסיבותיו של הנאשם (עבר פלילי, שיקום, תסקיר חיובי וכיוצב'). עם זאת, נקבע לא אחת שיש להחמיר עם אלו שמגדלים סמים (</w:t>
      </w:r>
      <w:hyperlink r:id="rId17" w:history="1">
        <w:r w:rsidR="00456375" w:rsidRPr="00456375">
          <w:rPr>
            <w:rFonts w:ascii="David" w:hAnsi="David"/>
            <w:color w:val="0000FF"/>
            <w:u w:val="single"/>
            <w:rtl/>
          </w:rPr>
          <w:t>ע"פ 5807/17</w:t>
        </w:r>
      </w:hyperlink>
      <w:r w:rsidRPr="005C7A63">
        <w:rPr>
          <w:rFonts w:ascii="David" w:hAnsi="David"/>
          <w:rtl/>
        </w:rPr>
        <w:t xml:space="preserve"> </w:t>
      </w:r>
      <w:r w:rsidRPr="005C7A63">
        <w:rPr>
          <w:rFonts w:ascii="David" w:hAnsi="David"/>
          <w:b/>
          <w:bCs/>
          <w:rtl/>
        </w:rPr>
        <w:t>דרחי ואח' נ' מדינת ישראל</w:t>
      </w:r>
      <w:r w:rsidRPr="005C7A63">
        <w:rPr>
          <w:rFonts w:ascii="David" w:hAnsi="David"/>
          <w:rtl/>
        </w:rPr>
        <w:t xml:space="preserve"> (18.6.2018); </w:t>
      </w:r>
      <w:hyperlink r:id="rId18" w:history="1">
        <w:r w:rsidR="00456375" w:rsidRPr="00456375">
          <w:rPr>
            <w:rFonts w:ascii="David" w:hAnsi="David"/>
            <w:color w:val="0000FF"/>
            <w:u w:val="single"/>
            <w:rtl/>
          </w:rPr>
          <w:t>ע"פ 2596/18</w:t>
        </w:r>
      </w:hyperlink>
      <w:r w:rsidRPr="005C7A63">
        <w:rPr>
          <w:rFonts w:ascii="David" w:hAnsi="David"/>
          <w:rtl/>
        </w:rPr>
        <w:t xml:space="preserve"> </w:t>
      </w:r>
      <w:r w:rsidRPr="005C7A63">
        <w:rPr>
          <w:rFonts w:ascii="David" w:hAnsi="David"/>
          <w:b/>
          <w:bCs/>
          <w:rtl/>
        </w:rPr>
        <w:t>כפיר זנזורי נ' מדינת ישראל</w:t>
      </w:r>
      <w:r w:rsidRPr="005C7A63">
        <w:rPr>
          <w:rFonts w:ascii="David" w:hAnsi="David"/>
          <w:rtl/>
        </w:rPr>
        <w:t xml:space="preserve"> (12.8.2018)). במקרים בהם כמות הסם שגודלה הייתה ממשית</w:t>
      </w:r>
      <w:r>
        <w:rPr>
          <w:rFonts w:ascii="David" w:hAnsi="David" w:hint="cs"/>
          <w:rtl/>
        </w:rPr>
        <w:t>,</w:t>
      </w:r>
      <w:r w:rsidRPr="005C7A63">
        <w:rPr>
          <w:rFonts w:ascii="David" w:hAnsi="David"/>
          <w:rtl/>
        </w:rPr>
        <w:t xml:space="preserve"> הוטלו לרוב עונשי מאסר בפועל ובמקרים רבים אף שלא בעבודות שירות (</w:t>
      </w:r>
      <w:hyperlink r:id="rId19" w:history="1">
        <w:r w:rsidR="00456375" w:rsidRPr="00456375">
          <w:rPr>
            <w:rFonts w:ascii="David" w:hAnsi="David"/>
            <w:color w:val="0000FF"/>
            <w:u w:val="single"/>
            <w:rtl/>
          </w:rPr>
          <w:t>רע"פ 3841/16</w:t>
        </w:r>
      </w:hyperlink>
      <w:r w:rsidRPr="005C7A63">
        <w:rPr>
          <w:rFonts w:ascii="David" w:hAnsi="David"/>
          <w:rtl/>
        </w:rPr>
        <w:t xml:space="preserve"> </w:t>
      </w:r>
      <w:r w:rsidRPr="005C7A63">
        <w:rPr>
          <w:rFonts w:ascii="David" w:hAnsi="David"/>
          <w:b/>
          <w:bCs/>
          <w:rtl/>
        </w:rPr>
        <w:t>יעקב מזרחי נ' מדינת ישראל</w:t>
      </w:r>
      <w:r w:rsidRPr="005C7A63">
        <w:rPr>
          <w:rFonts w:ascii="David" w:hAnsi="David"/>
          <w:rtl/>
        </w:rPr>
        <w:t xml:space="preserve"> (16.5.2016); </w:t>
      </w:r>
      <w:hyperlink r:id="rId20" w:history="1">
        <w:r w:rsidR="00456375" w:rsidRPr="00456375">
          <w:rPr>
            <w:rFonts w:ascii="David" w:hAnsi="David"/>
            <w:color w:val="0000FF"/>
            <w:u w:val="single"/>
            <w:rtl/>
          </w:rPr>
          <w:t>רע"פ 1787/15</w:t>
        </w:r>
      </w:hyperlink>
      <w:r w:rsidRPr="005C7A63">
        <w:rPr>
          <w:rFonts w:ascii="David" w:hAnsi="David"/>
          <w:rtl/>
        </w:rPr>
        <w:t xml:space="preserve"> </w:t>
      </w:r>
      <w:r w:rsidRPr="005C7A63">
        <w:rPr>
          <w:rFonts w:ascii="David" w:hAnsi="David"/>
          <w:b/>
          <w:bCs/>
          <w:rtl/>
        </w:rPr>
        <w:t>עמר נ' מדינת ישראל</w:t>
      </w:r>
      <w:r w:rsidRPr="005C7A63">
        <w:rPr>
          <w:rFonts w:ascii="David" w:hAnsi="David"/>
          <w:rtl/>
        </w:rPr>
        <w:t xml:space="preserve"> (24.3.2015); </w:t>
      </w:r>
      <w:hyperlink r:id="rId21" w:history="1">
        <w:r w:rsidR="00456375" w:rsidRPr="00456375">
          <w:rPr>
            <w:rFonts w:ascii="David" w:hAnsi="David"/>
            <w:color w:val="0000FF"/>
            <w:u w:val="single"/>
            <w:rtl/>
          </w:rPr>
          <w:t>רע"פ 7005/14</w:t>
        </w:r>
      </w:hyperlink>
      <w:r w:rsidRPr="005C7A63">
        <w:rPr>
          <w:rFonts w:ascii="David" w:hAnsi="David"/>
          <w:rtl/>
        </w:rPr>
        <w:t xml:space="preserve"> </w:t>
      </w:r>
      <w:r w:rsidRPr="005C7A63">
        <w:rPr>
          <w:rFonts w:ascii="David" w:hAnsi="David"/>
          <w:b/>
          <w:bCs/>
          <w:rtl/>
        </w:rPr>
        <w:t>דגן נ' מדינת ישראל</w:t>
      </w:r>
      <w:r w:rsidRPr="005C7A63">
        <w:rPr>
          <w:rFonts w:ascii="David" w:hAnsi="David"/>
          <w:rtl/>
        </w:rPr>
        <w:t xml:space="preserve"> (30.11.2014)). כן ראו </w:t>
      </w:r>
      <w:hyperlink r:id="rId22" w:history="1">
        <w:r w:rsidR="00456375" w:rsidRPr="00456375">
          <w:rPr>
            <w:rFonts w:ascii="David" w:hAnsi="David"/>
            <w:color w:val="0000FF"/>
            <w:u w:val="single"/>
            <w:rtl/>
          </w:rPr>
          <w:t>ע"פ 4387/20</w:t>
        </w:r>
      </w:hyperlink>
      <w:r w:rsidRPr="005C7A63">
        <w:rPr>
          <w:rFonts w:ascii="David" w:hAnsi="David"/>
          <w:rtl/>
        </w:rPr>
        <w:t xml:space="preserve"> </w:t>
      </w:r>
      <w:r w:rsidRPr="005C7A63">
        <w:rPr>
          <w:rFonts w:ascii="David" w:hAnsi="David"/>
          <w:b/>
          <w:bCs/>
          <w:rtl/>
        </w:rPr>
        <w:t>מדינת ישראל נ' טל דרור</w:t>
      </w:r>
      <w:r w:rsidRPr="005C7A63">
        <w:rPr>
          <w:rFonts w:ascii="David" w:hAnsi="David"/>
          <w:rtl/>
        </w:rPr>
        <w:t xml:space="preserve"> (8.2.2021)</w:t>
      </w:r>
      <w:r>
        <w:rPr>
          <w:rFonts w:ascii="David" w:hAnsi="David" w:hint="cs"/>
          <w:rtl/>
        </w:rPr>
        <w:t xml:space="preserve">, שם צוין כי </w:t>
      </w:r>
      <w:r w:rsidRPr="0047374C">
        <w:rPr>
          <w:rFonts w:ascii="Miriam" w:hAnsi="Miriam" w:cs="Miriam"/>
          <w:rtl/>
        </w:rPr>
        <w:t>"יש צורך בהטלת ענישה ממשית אשר תרתיע עבריינים פוטנציאליים מביצוען. זאת, בין היתר במטרה למגר את מעבדות הסמים הפועלות במדינה, המתפשטות כאש בשדה קוצים</w:t>
      </w:r>
      <w:r>
        <w:rPr>
          <w:rFonts w:ascii="Miriam" w:hAnsi="Miriam" w:cs="Miriam" w:hint="cs"/>
          <w:rtl/>
        </w:rPr>
        <w:t>"</w:t>
      </w:r>
      <w:r w:rsidRPr="0047374C">
        <w:rPr>
          <w:rFonts w:ascii="Miriam" w:hAnsi="Miriam" w:cs="Miriam"/>
          <w:rtl/>
        </w:rPr>
        <w:t xml:space="preserve"> </w:t>
      </w:r>
      <w:r w:rsidRPr="0047374C">
        <w:rPr>
          <w:rFonts w:ascii="David" w:hAnsi="David"/>
          <w:rtl/>
        </w:rPr>
        <w:t xml:space="preserve">(ראו גם </w:t>
      </w:r>
      <w:hyperlink r:id="rId23" w:history="1">
        <w:r w:rsidR="00456375" w:rsidRPr="00456375">
          <w:rPr>
            <w:rFonts w:ascii="David" w:hAnsi="David"/>
            <w:color w:val="0000FF"/>
            <w:u w:val="single"/>
            <w:rtl/>
          </w:rPr>
          <w:t>רע"פ 3287/21</w:t>
        </w:r>
      </w:hyperlink>
      <w:r w:rsidRPr="0047374C">
        <w:rPr>
          <w:rFonts w:ascii="David" w:hAnsi="David"/>
          <w:rtl/>
        </w:rPr>
        <w:t xml:space="preserve"> </w:t>
      </w:r>
      <w:r w:rsidRPr="0047374C">
        <w:rPr>
          <w:rFonts w:ascii="David" w:hAnsi="David"/>
          <w:b/>
          <w:bCs/>
          <w:rtl/>
        </w:rPr>
        <w:t>זארע עתמין נ' מדינת ישראל</w:t>
      </w:r>
      <w:r w:rsidRPr="0047374C">
        <w:rPr>
          <w:rFonts w:ascii="David" w:hAnsi="David"/>
          <w:rtl/>
        </w:rPr>
        <w:t xml:space="preserve"> (15.2.2021); </w:t>
      </w:r>
      <w:hyperlink r:id="rId24" w:history="1">
        <w:r w:rsidR="00456375" w:rsidRPr="00456375">
          <w:rPr>
            <w:rFonts w:ascii="David" w:hAnsi="David"/>
            <w:color w:val="0000FF"/>
            <w:u w:val="single"/>
            <w:rtl/>
          </w:rPr>
          <w:t>ע"פ 8048/19</w:t>
        </w:r>
      </w:hyperlink>
      <w:r w:rsidRPr="0047374C">
        <w:rPr>
          <w:rFonts w:ascii="David" w:hAnsi="David"/>
          <w:rtl/>
        </w:rPr>
        <w:t xml:space="preserve"> </w:t>
      </w:r>
      <w:r w:rsidRPr="0047374C">
        <w:rPr>
          <w:rFonts w:ascii="David" w:hAnsi="David"/>
          <w:b/>
          <w:bCs/>
          <w:rtl/>
        </w:rPr>
        <w:t>פיצ'חדזה נ' מדינת ישראל</w:t>
      </w:r>
      <w:r w:rsidRPr="0047374C">
        <w:rPr>
          <w:rFonts w:ascii="David" w:hAnsi="David"/>
          <w:rtl/>
        </w:rPr>
        <w:t xml:space="preserve"> (4.6.2020)).</w:t>
      </w:r>
    </w:p>
    <w:p w14:paraId="5E762B71" w14:textId="77777777" w:rsidR="0078618F" w:rsidRPr="0047374C" w:rsidRDefault="0078618F" w:rsidP="0078618F">
      <w:pPr>
        <w:pStyle w:val="a9"/>
        <w:spacing w:line="360" w:lineRule="auto"/>
        <w:ind w:left="0"/>
        <w:jc w:val="both"/>
        <w:rPr>
          <w:rFonts w:ascii="David" w:hAnsi="David"/>
          <w:rtl/>
        </w:rPr>
      </w:pPr>
    </w:p>
    <w:p w14:paraId="766D8376" w14:textId="77777777" w:rsidR="0078618F" w:rsidRDefault="0078618F" w:rsidP="0078618F">
      <w:pPr>
        <w:pStyle w:val="a9"/>
        <w:numPr>
          <w:ilvl w:val="0"/>
          <w:numId w:val="1"/>
        </w:numPr>
        <w:spacing w:line="360" w:lineRule="auto"/>
        <w:jc w:val="both"/>
        <w:rPr>
          <w:rFonts w:ascii="David" w:hAnsi="David"/>
        </w:rPr>
      </w:pPr>
      <w:r w:rsidRPr="00616739">
        <w:rPr>
          <w:rFonts w:ascii="David" w:hAnsi="David"/>
          <w:rtl/>
        </w:rPr>
        <w:t>לצורך בחינת מדיניות הענישה הנוהגת ניתן להפנות לפסקי הדין הבאים, בשינויים המחויבים:</w:t>
      </w:r>
      <w:r>
        <w:rPr>
          <w:rFonts w:ascii="David" w:hAnsi="David" w:hint="cs"/>
          <w:rtl/>
        </w:rPr>
        <w:t xml:space="preserve"> </w:t>
      </w:r>
      <w:hyperlink r:id="rId25" w:history="1">
        <w:r w:rsidR="00456375" w:rsidRPr="00456375">
          <w:rPr>
            <w:rFonts w:ascii="David" w:hAnsi="David"/>
            <w:color w:val="0000FF"/>
            <w:u w:val="single"/>
            <w:rtl/>
          </w:rPr>
          <w:t>רע"פ 2277/21</w:t>
        </w:r>
      </w:hyperlink>
      <w:r w:rsidRPr="00616739">
        <w:rPr>
          <w:rFonts w:ascii="David" w:hAnsi="David"/>
          <w:rtl/>
        </w:rPr>
        <w:t xml:space="preserve"> </w:t>
      </w:r>
      <w:r w:rsidRPr="00616739">
        <w:rPr>
          <w:rFonts w:ascii="David" w:hAnsi="David"/>
          <w:b/>
          <w:bCs/>
          <w:rtl/>
        </w:rPr>
        <w:t>אברהם יוחננוב נ' מדינת ישראל</w:t>
      </w:r>
      <w:r w:rsidRPr="00616739">
        <w:rPr>
          <w:rFonts w:ascii="David" w:hAnsi="David"/>
          <w:rtl/>
        </w:rPr>
        <w:t xml:space="preserve"> (8.4.2021), בו נידון עניינו של נאשם שהורשע בעבירות גידול סמים והחזקת סמים שלא לצריכה עצמית במשקל קילוגרם אחד (לא צוינו מספר השתילים) ונגזרו עליו שישה חודשי מאסר לריצוי בדרך של עבודות שירות ועונשים נלווים; </w:t>
      </w:r>
      <w:hyperlink r:id="rId26" w:history="1">
        <w:r w:rsidR="00456375" w:rsidRPr="00456375">
          <w:rPr>
            <w:rFonts w:ascii="David" w:hAnsi="David"/>
            <w:color w:val="0000FF"/>
            <w:u w:val="single"/>
            <w:rtl/>
          </w:rPr>
          <w:t>רע"פ 513/21</w:t>
        </w:r>
      </w:hyperlink>
      <w:r w:rsidRPr="00616739">
        <w:rPr>
          <w:rFonts w:ascii="David" w:hAnsi="David"/>
          <w:rtl/>
        </w:rPr>
        <w:t xml:space="preserve"> </w:t>
      </w:r>
      <w:r w:rsidRPr="00616739">
        <w:rPr>
          <w:rFonts w:ascii="David" w:hAnsi="David"/>
          <w:b/>
          <w:bCs/>
          <w:rtl/>
        </w:rPr>
        <w:t>עידן יהושע נ' מדינת ישראל</w:t>
      </w:r>
      <w:r w:rsidRPr="00616739">
        <w:rPr>
          <w:rFonts w:ascii="David" w:hAnsi="David"/>
          <w:rtl/>
        </w:rPr>
        <w:t xml:space="preserve"> (4.3.2021), בו נידון נאשם שגידל 60 שתילים במשקל כולל של 10 ק"ג והחזיק כלים המשמשים להכנת סם מסוכן, לעשרה חודשי</w:t>
      </w:r>
      <w:r>
        <w:rPr>
          <w:rFonts w:ascii="David" w:hAnsi="David" w:hint="cs"/>
          <w:rtl/>
        </w:rPr>
        <w:t xml:space="preserve"> </w:t>
      </w:r>
      <w:r w:rsidRPr="00616739">
        <w:rPr>
          <w:rFonts w:ascii="David" w:hAnsi="David"/>
          <w:rtl/>
        </w:rPr>
        <w:t xml:space="preserve">מאסר בפועל וזאת למרות הליך שיקומי שעבר; </w:t>
      </w:r>
      <w:hyperlink r:id="rId27" w:history="1">
        <w:r w:rsidR="00456375" w:rsidRPr="00456375">
          <w:rPr>
            <w:rFonts w:ascii="David" w:hAnsi="David"/>
            <w:color w:val="0000FF"/>
            <w:u w:val="single"/>
            <w:rtl/>
          </w:rPr>
          <w:t>רע"פ 2151/21</w:t>
        </w:r>
      </w:hyperlink>
      <w:r w:rsidRPr="00616739">
        <w:rPr>
          <w:rFonts w:ascii="David" w:hAnsi="David"/>
          <w:rtl/>
        </w:rPr>
        <w:t xml:space="preserve"> </w:t>
      </w:r>
      <w:r w:rsidRPr="00616739">
        <w:rPr>
          <w:rFonts w:ascii="David" w:hAnsi="David"/>
          <w:b/>
          <w:bCs/>
          <w:rtl/>
        </w:rPr>
        <w:t>שחף דהן נ' מדינת ישראל</w:t>
      </w:r>
      <w:r w:rsidRPr="00616739">
        <w:rPr>
          <w:rFonts w:ascii="David" w:hAnsi="David"/>
          <w:rtl/>
        </w:rPr>
        <w:t xml:space="preserve"> (7.4.2021), בו נידון נאשם ל-18 חודשי מאסר בגין גידול 100 שתילי קנבוס במשקל כולל של 23 ק"ג. עברו של הנאשם היה נקי אך התסקיר בעניינו היה שלילי; </w:t>
      </w:r>
      <w:hyperlink r:id="rId28" w:history="1">
        <w:r w:rsidR="00456375" w:rsidRPr="00456375">
          <w:rPr>
            <w:rFonts w:ascii="David" w:hAnsi="David"/>
            <w:color w:val="0000FF"/>
            <w:u w:val="single"/>
            <w:rtl/>
          </w:rPr>
          <w:t>רע"פ 7009/20</w:t>
        </w:r>
      </w:hyperlink>
      <w:r w:rsidRPr="00616739">
        <w:rPr>
          <w:rFonts w:ascii="David" w:hAnsi="David"/>
          <w:rtl/>
        </w:rPr>
        <w:t xml:space="preserve"> ‏</w:t>
      </w:r>
      <w:r w:rsidRPr="00616739">
        <w:rPr>
          <w:rFonts w:ascii="David" w:hAnsi="David"/>
          <w:b/>
          <w:bCs/>
          <w:rtl/>
        </w:rPr>
        <w:t>בוריס ישראילוב נ' מדינת ישראל</w:t>
      </w:r>
      <w:r w:rsidRPr="00616739">
        <w:rPr>
          <w:rFonts w:ascii="David" w:hAnsi="David"/>
          <w:rtl/>
        </w:rPr>
        <w:t xml:space="preserve"> (6.12.2020), בו נידון נאשם שגידל 22 ק"ג קנבוס (לא צוינו מספר השתילים) ל-13 חודשי מאסר בפועל, חרף המלצה חיובית של שירות המבחן; </w:t>
      </w:r>
      <w:hyperlink r:id="rId29" w:history="1">
        <w:r w:rsidR="00456375" w:rsidRPr="00456375">
          <w:rPr>
            <w:rFonts w:ascii="David" w:hAnsi="David"/>
            <w:color w:val="0000FF"/>
            <w:u w:val="single"/>
            <w:rtl/>
          </w:rPr>
          <w:t>עפ"ג 26985-08-19</w:t>
        </w:r>
      </w:hyperlink>
      <w:r w:rsidRPr="00616739">
        <w:rPr>
          <w:rFonts w:ascii="David" w:hAnsi="David"/>
          <w:rtl/>
        </w:rPr>
        <w:t xml:space="preserve"> </w:t>
      </w:r>
      <w:r w:rsidRPr="00616739">
        <w:rPr>
          <w:rFonts w:ascii="David" w:hAnsi="David"/>
          <w:b/>
          <w:bCs/>
          <w:rtl/>
        </w:rPr>
        <w:t>ארטיום שטנפר נ' מדינת ישראל</w:t>
      </w:r>
      <w:r w:rsidRPr="00616739">
        <w:rPr>
          <w:rFonts w:ascii="David" w:hAnsi="David"/>
          <w:rtl/>
        </w:rPr>
        <w:t xml:space="preserve"> (21.11.2019), בו הוטל על נאשם שגידל עשרות שתילים במשקל כולל של 113 ק"ג, צו של"צ ומבחן וזאת בשל שיקולי שיקום; </w:t>
      </w:r>
      <w:hyperlink r:id="rId30" w:history="1">
        <w:r w:rsidR="00456375" w:rsidRPr="00456375">
          <w:rPr>
            <w:rFonts w:ascii="David" w:hAnsi="David"/>
            <w:color w:val="0000FF"/>
            <w:u w:val="single"/>
            <w:rtl/>
          </w:rPr>
          <w:t>עפ"ג 32119-08-21</w:t>
        </w:r>
      </w:hyperlink>
      <w:r w:rsidRPr="00616739">
        <w:rPr>
          <w:rFonts w:ascii="David" w:hAnsi="David"/>
          <w:rtl/>
        </w:rPr>
        <w:t xml:space="preserve"> </w:t>
      </w:r>
      <w:r w:rsidRPr="00616739">
        <w:rPr>
          <w:rFonts w:ascii="David" w:hAnsi="David"/>
          <w:b/>
          <w:bCs/>
          <w:rtl/>
        </w:rPr>
        <w:t>אדיר יואב נ' מדינת ישראל</w:t>
      </w:r>
      <w:r w:rsidRPr="00616739">
        <w:rPr>
          <w:rFonts w:ascii="David" w:hAnsi="David"/>
          <w:rtl/>
        </w:rPr>
        <w:t xml:space="preserve"> (28.10.2021), בו נידון נאשם שגידל 68 שתילי קנבוס במשקל 7.56 ק"ג נטו לשישה חודשי עבודות שירות ועונשים נלווים; </w:t>
      </w:r>
      <w:hyperlink r:id="rId31" w:history="1">
        <w:r w:rsidR="00456375" w:rsidRPr="00456375">
          <w:rPr>
            <w:rFonts w:ascii="David" w:hAnsi="David"/>
            <w:color w:val="0000FF"/>
            <w:u w:val="single"/>
            <w:rtl/>
          </w:rPr>
          <w:t>עפ"ג 54910-04-21</w:t>
        </w:r>
      </w:hyperlink>
      <w:r w:rsidRPr="00616739">
        <w:rPr>
          <w:rFonts w:ascii="David" w:hAnsi="David"/>
          <w:rtl/>
        </w:rPr>
        <w:t xml:space="preserve"> </w:t>
      </w:r>
      <w:r w:rsidRPr="00616739">
        <w:rPr>
          <w:rFonts w:ascii="David" w:hAnsi="David"/>
          <w:b/>
          <w:bCs/>
          <w:rtl/>
        </w:rPr>
        <w:t xml:space="preserve">מדינת ישראל נ' בן עזרי </w:t>
      </w:r>
      <w:r w:rsidRPr="00616739">
        <w:rPr>
          <w:rFonts w:ascii="David" w:hAnsi="David"/>
          <w:rtl/>
        </w:rPr>
        <w:t>(19.7.2021), בו נידון נאשם שגידל 100 שתילי קנבוס במשקל של כ-17 ק"ג לתשעה חודשי מאסר בעבודות שירות ועונשים נלווים.</w:t>
      </w:r>
    </w:p>
    <w:p w14:paraId="625937E8" w14:textId="77777777" w:rsidR="0078618F" w:rsidRDefault="0078618F" w:rsidP="0078618F">
      <w:pPr>
        <w:pStyle w:val="a9"/>
        <w:spacing w:line="360" w:lineRule="auto"/>
        <w:ind w:left="0"/>
        <w:jc w:val="both"/>
        <w:rPr>
          <w:rFonts w:ascii="David" w:hAnsi="David"/>
        </w:rPr>
      </w:pPr>
    </w:p>
    <w:p w14:paraId="13C2AACE" w14:textId="77777777" w:rsidR="0078618F" w:rsidRDefault="0078618F" w:rsidP="0078618F">
      <w:pPr>
        <w:pStyle w:val="a9"/>
        <w:numPr>
          <w:ilvl w:val="0"/>
          <w:numId w:val="1"/>
        </w:numPr>
        <w:spacing w:line="360" w:lineRule="auto"/>
        <w:jc w:val="both"/>
        <w:rPr>
          <w:rFonts w:ascii="David" w:hAnsi="David"/>
        </w:rPr>
      </w:pPr>
      <w:r w:rsidRPr="008760ED">
        <w:rPr>
          <w:rFonts w:ascii="David" w:hAnsi="David"/>
          <w:rtl/>
        </w:rPr>
        <w:t>לאור כל זאת, אני ב</w:t>
      </w:r>
      <w:r>
        <w:rPr>
          <w:rFonts w:ascii="David" w:hAnsi="David"/>
          <w:rtl/>
        </w:rPr>
        <w:t>דעה שמתחם הענישה ההולם את העביר</w:t>
      </w:r>
      <w:r>
        <w:rPr>
          <w:rFonts w:ascii="David" w:hAnsi="David" w:hint="cs"/>
          <w:rtl/>
        </w:rPr>
        <w:t>ות</w:t>
      </w:r>
      <w:r>
        <w:rPr>
          <w:rFonts w:ascii="David" w:hAnsi="David"/>
          <w:rtl/>
        </w:rPr>
        <w:t xml:space="preserve"> מושא ענייננו, בנסיבות ביצוע</w:t>
      </w:r>
      <w:r>
        <w:rPr>
          <w:rFonts w:ascii="David" w:hAnsi="David" w:hint="cs"/>
          <w:rtl/>
        </w:rPr>
        <w:t>ן</w:t>
      </w:r>
      <w:r w:rsidRPr="008760ED">
        <w:rPr>
          <w:rFonts w:ascii="David" w:hAnsi="David"/>
          <w:rtl/>
        </w:rPr>
        <w:t xml:space="preserve">, נע בין </w:t>
      </w:r>
      <w:r>
        <w:rPr>
          <w:rFonts w:ascii="David" w:hAnsi="David" w:hint="cs"/>
          <w:rtl/>
        </w:rPr>
        <w:t>מספר חודשי מאסר</w:t>
      </w:r>
      <w:r w:rsidRPr="008760ED">
        <w:rPr>
          <w:rFonts w:ascii="David" w:hAnsi="David"/>
          <w:rtl/>
        </w:rPr>
        <w:t xml:space="preserve"> שניתן לשאת בעבודות שירות ועד 18 חודשי מאסר בפועל.</w:t>
      </w:r>
    </w:p>
    <w:p w14:paraId="2E1F6D6A" w14:textId="77777777" w:rsidR="0078618F" w:rsidRDefault="0078618F" w:rsidP="0078618F">
      <w:pPr>
        <w:pStyle w:val="a9"/>
        <w:spacing w:line="360" w:lineRule="auto"/>
        <w:ind w:left="0"/>
        <w:jc w:val="both"/>
        <w:rPr>
          <w:rFonts w:ascii="David" w:hAnsi="David"/>
        </w:rPr>
      </w:pPr>
      <w:r>
        <w:rPr>
          <w:rFonts w:ascii="David" w:hAnsi="David"/>
          <w:b/>
          <w:bCs/>
          <w:color w:val="000000"/>
          <w:u w:val="single"/>
          <w:rtl/>
        </w:rPr>
        <w:t>קביעת עונשו של הנאשם</w:t>
      </w:r>
    </w:p>
    <w:p w14:paraId="06B5476A" w14:textId="77777777" w:rsidR="0078618F" w:rsidRPr="008760ED" w:rsidRDefault="0078618F" w:rsidP="0078618F">
      <w:pPr>
        <w:pStyle w:val="a9"/>
        <w:rPr>
          <w:rFonts w:ascii="David" w:hAnsi="David"/>
          <w:rtl/>
        </w:rPr>
      </w:pPr>
    </w:p>
    <w:p w14:paraId="7381610E" w14:textId="77777777" w:rsidR="0078618F" w:rsidRDefault="0078618F" w:rsidP="0078618F">
      <w:pPr>
        <w:pStyle w:val="a9"/>
        <w:numPr>
          <w:ilvl w:val="0"/>
          <w:numId w:val="1"/>
        </w:numPr>
        <w:spacing w:line="360" w:lineRule="auto"/>
        <w:jc w:val="both"/>
        <w:rPr>
          <w:rFonts w:ascii="David" w:hAnsi="David"/>
        </w:rPr>
      </w:pPr>
      <w:r w:rsidRPr="005F4D83">
        <w:rPr>
          <w:rFonts w:ascii="David" w:hAnsi="David" w:hint="cs"/>
          <w:rtl/>
        </w:rPr>
        <w:t xml:space="preserve">על רקע תוכנו של תסקיר שירות המבחן, לא טענו הצדדים לחריגה מהמתחם, אלא הדיון התמקד במיקום העונש בגדרי המתחם. אף אני סבור שעניינו של הנאשם אינו מאפשר מסקנה בדבר סיכויי שיקום ממשיים </w:t>
      </w:r>
      <w:r>
        <w:rPr>
          <w:rFonts w:ascii="David" w:hAnsi="David" w:hint="cs"/>
          <w:rtl/>
        </w:rPr>
        <w:t xml:space="preserve">המצדיקים חריגה לקולה מהמתחם, </w:t>
      </w:r>
      <w:r w:rsidRPr="005F4D83">
        <w:rPr>
          <w:rFonts w:ascii="David" w:hAnsi="David" w:hint="cs"/>
          <w:rtl/>
        </w:rPr>
        <w:t xml:space="preserve">ומשכך על העונש להיקבע בגדרי המתחם. </w:t>
      </w:r>
    </w:p>
    <w:p w14:paraId="45755517" w14:textId="77777777" w:rsidR="0078618F" w:rsidRPr="005F4D83" w:rsidRDefault="0078618F" w:rsidP="0078618F">
      <w:pPr>
        <w:pStyle w:val="a9"/>
        <w:ind w:left="0"/>
        <w:jc w:val="both"/>
        <w:rPr>
          <w:rFonts w:ascii="David" w:hAnsi="David"/>
        </w:rPr>
      </w:pPr>
    </w:p>
    <w:p w14:paraId="414E28B3" w14:textId="77777777" w:rsidR="0078618F" w:rsidRDefault="0078618F" w:rsidP="0078618F">
      <w:pPr>
        <w:pStyle w:val="a9"/>
        <w:numPr>
          <w:ilvl w:val="0"/>
          <w:numId w:val="1"/>
        </w:numPr>
        <w:spacing w:line="360" w:lineRule="auto"/>
        <w:jc w:val="both"/>
        <w:rPr>
          <w:rFonts w:ascii="David" w:hAnsi="David"/>
        </w:rPr>
      </w:pPr>
      <w:r>
        <w:rPr>
          <w:rFonts w:ascii="David" w:hAnsi="David"/>
          <w:rtl/>
        </w:rPr>
        <w:t xml:space="preserve">לצורך קביעת עונשו של הנאשם הבאתי בחשבון </w:t>
      </w:r>
      <w:r>
        <w:rPr>
          <w:rFonts w:ascii="David" w:hAnsi="David" w:hint="cs"/>
          <w:rtl/>
        </w:rPr>
        <w:t xml:space="preserve">לקולה את גילו, היותו איש משפחה העובד לפרנסתה ואת העובדה שקיבל אחריות למעשיו. מנגד הבאתי בחשבון את עברו הפלילי הכולל עבירת אלימות בגינה נשא עונש מאסר (אם כי חלף מאז זמן לא מבוטל והרשעה זו אף התיישנה). כן הבאתי בחשבון, לחובת הנאשם, את התרשמות שירות המבחן ממנו ואת הסיכון להישנות העבירות. בשקלול נתונים אלו דעתי היא שאין מקום לעונש בכליאה, אשר יהא מחמיר יתר על המידה בנסיבות העניין, אלא ניתן להסתפק בעונש מאסר בעבודות שירות. ביחס לאורך התקופה, התחשבתי בנתוני הנאשם ובעיקר בעובדה שענישה מחמירה תפגע במשפחה מבחינה כלכלית. עם זאת, אין מקום לעונש בתחתית המתחם אלא קרוב לכך (ראו בהשוואה: </w:t>
      </w:r>
      <w:hyperlink r:id="rId32" w:history="1">
        <w:r w:rsidR="00456375" w:rsidRPr="00456375">
          <w:rPr>
            <w:rFonts w:ascii="David" w:hAnsi="David"/>
            <w:color w:val="0000FF"/>
            <w:u w:val="single"/>
            <w:rtl/>
          </w:rPr>
          <w:t>ע"פ 652/23</w:t>
        </w:r>
      </w:hyperlink>
      <w:r>
        <w:rPr>
          <w:rFonts w:ascii="David" w:hAnsi="David" w:hint="cs"/>
          <w:rtl/>
        </w:rPr>
        <w:t xml:space="preserve"> </w:t>
      </w:r>
      <w:r w:rsidRPr="000C0CC0">
        <w:rPr>
          <w:b/>
          <w:bCs/>
          <w:rtl/>
        </w:rPr>
        <w:t>עבאס מחאג'נה</w:t>
      </w:r>
      <w:r w:rsidRPr="000C0CC0">
        <w:rPr>
          <w:rFonts w:hint="cs"/>
          <w:b/>
          <w:bCs/>
          <w:rtl/>
        </w:rPr>
        <w:t xml:space="preserve"> נ' מדינת ישראל</w:t>
      </w:r>
      <w:r>
        <w:rPr>
          <w:rFonts w:hint="cs"/>
          <w:rtl/>
        </w:rPr>
        <w:t xml:space="preserve"> (24.4.2023); </w:t>
      </w:r>
      <w:hyperlink r:id="rId33" w:history="1">
        <w:r w:rsidR="00456375" w:rsidRPr="00456375">
          <w:rPr>
            <w:color w:val="0000FF"/>
            <w:u w:val="single"/>
            <w:rtl/>
          </w:rPr>
          <w:t>ע"פ 280/23</w:t>
        </w:r>
      </w:hyperlink>
      <w:r w:rsidRPr="000C0CC0">
        <w:rPr>
          <w:rFonts w:ascii="David" w:hAnsi="David" w:hint="cs"/>
          <w:rtl/>
        </w:rPr>
        <w:t xml:space="preserve"> </w:t>
      </w:r>
      <w:r w:rsidRPr="000C0CC0">
        <w:rPr>
          <w:rFonts w:ascii="David" w:hAnsi="David" w:hint="cs"/>
          <w:b/>
          <w:bCs/>
          <w:rtl/>
        </w:rPr>
        <w:t xml:space="preserve">מדינת ישראל נ' </w:t>
      </w:r>
      <w:r w:rsidRPr="000C0CC0">
        <w:rPr>
          <w:rFonts w:ascii="David" w:hAnsi="David"/>
          <w:b/>
          <w:bCs/>
        </w:rPr>
        <w:t>Ibrahim Yahia Alnour Abker</w:t>
      </w:r>
      <w:r w:rsidRPr="000C0CC0">
        <w:rPr>
          <w:rFonts w:ascii="David" w:hAnsi="David" w:hint="cs"/>
          <w:b/>
          <w:bCs/>
          <w:rtl/>
        </w:rPr>
        <w:t xml:space="preserve"> </w:t>
      </w:r>
      <w:r w:rsidRPr="000C0CC0">
        <w:rPr>
          <w:rFonts w:ascii="David" w:hAnsi="David" w:hint="cs"/>
          <w:rtl/>
        </w:rPr>
        <w:t>(18.5.2023)</w:t>
      </w:r>
      <w:r>
        <w:rPr>
          <w:rFonts w:ascii="David" w:hAnsi="David" w:hint="cs"/>
          <w:rtl/>
        </w:rPr>
        <w:t xml:space="preserve">, פסקה 9). </w:t>
      </w:r>
      <w:r w:rsidRPr="000C0CC0">
        <w:rPr>
          <w:rFonts w:ascii="David" w:hAnsi="David" w:hint="cs"/>
          <w:rtl/>
        </w:rPr>
        <w:t>בעניין</w:t>
      </w:r>
      <w:r>
        <w:rPr>
          <w:rFonts w:hint="cs"/>
          <w:rtl/>
        </w:rPr>
        <w:t xml:space="preserve"> זה אדגיש עוד שעל מנת להימנע מפגיעה קשה מידי בנאשם, אמנע מפסילת רישיון נהיגה ואסתפק בעונש פסילה מותנה. </w:t>
      </w:r>
    </w:p>
    <w:p w14:paraId="6E7C3098" w14:textId="77777777" w:rsidR="0078618F" w:rsidRPr="00A74E9C" w:rsidRDefault="0078618F" w:rsidP="0078618F">
      <w:pPr>
        <w:pStyle w:val="a9"/>
        <w:rPr>
          <w:rtl/>
        </w:rPr>
      </w:pPr>
    </w:p>
    <w:p w14:paraId="2D6121B1" w14:textId="77777777" w:rsidR="0078618F" w:rsidRDefault="0078618F" w:rsidP="0078618F">
      <w:pPr>
        <w:numPr>
          <w:ilvl w:val="0"/>
          <w:numId w:val="1"/>
        </w:numPr>
        <w:spacing w:before="120" w:after="120" w:line="360" w:lineRule="auto"/>
        <w:contextualSpacing/>
        <w:jc w:val="both"/>
      </w:pPr>
      <w:r>
        <w:rPr>
          <w:rtl/>
        </w:rPr>
        <w:t>סיכומו של דבר, לאחר שבחנתי את מכלול השיקולים, הן לקולה והן לחומרה, אני מטיל על הנאשם את העונשים הבאים:</w:t>
      </w:r>
    </w:p>
    <w:p w14:paraId="0256617D" w14:textId="77777777" w:rsidR="0078618F" w:rsidRDefault="0078618F" w:rsidP="0078618F">
      <w:pPr>
        <w:pStyle w:val="a9"/>
        <w:numPr>
          <w:ilvl w:val="0"/>
          <w:numId w:val="2"/>
        </w:numPr>
        <w:spacing w:line="360" w:lineRule="auto"/>
        <w:jc w:val="both"/>
        <w:rPr>
          <w:rFonts w:ascii="David" w:hAnsi="David"/>
        </w:rPr>
      </w:pPr>
      <w:r>
        <w:rPr>
          <w:rFonts w:ascii="David" w:hAnsi="David" w:hint="cs"/>
          <w:b/>
          <w:bCs/>
          <w:rtl/>
        </w:rPr>
        <w:t>חמישה חודשי</w:t>
      </w:r>
      <w:r>
        <w:rPr>
          <w:rFonts w:ascii="David" w:hAnsi="David"/>
          <w:b/>
          <w:bCs/>
          <w:rtl/>
        </w:rPr>
        <w:t xml:space="preserve"> מאסר.</w:t>
      </w:r>
      <w:r>
        <w:rPr>
          <w:rFonts w:ascii="David" w:hAnsi="David"/>
          <w:rtl/>
        </w:rPr>
        <w:t xml:space="preserve"> </w:t>
      </w:r>
      <w:r>
        <w:rPr>
          <w:rFonts w:ascii="David" w:hAnsi="David"/>
          <w:color w:val="000000"/>
          <w:rtl/>
        </w:rPr>
        <w:t xml:space="preserve">הנאשם יישא עונש זה בעבודות שירות בהתאם לחוות דעת הממונה החל מיום </w:t>
      </w:r>
      <w:r>
        <w:rPr>
          <w:rFonts w:ascii="David" w:hAnsi="David" w:hint="cs"/>
          <w:color w:val="000000"/>
          <w:rtl/>
        </w:rPr>
        <w:t xml:space="preserve">7.8.23. </w:t>
      </w:r>
      <w:r>
        <w:rPr>
          <w:rFonts w:ascii="David" w:hAnsi="David"/>
          <w:color w:val="000000"/>
          <w:u w:val="single"/>
          <w:rtl/>
        </w:rPr>
        <w:t>ביום זה יתייצב הנאשם במשרדי הממונה- יחידת ברקאי- עבודות שירות שלוחה צפון- מתחם כלא מגידו.</w:t>
      </w:r>
      <w:r>
        <w:rPr>
          <w:rFonts w:ascii="David" w:hAnsi="David"/>
          <w:color w:val="000000"/>
          <w:rtl/>
        </w:rPr>
        <w:t xml:space="preserve"> </w:t>
      </w:r>
      <w:r>
        <w:rPr>
          <w:rFonts w:ascii="David" w:hAnsi="David"/>
          <w:b/>
          <w:bCs/>
          <w:color w:val="000000"/>
          <w:rtl/>
        </w:rPr>
        <w:t xml:space="preserve">מובהר לנאשם </w:t>
      </w:r>
      <w:r>
        <w:rPr>
          <w:rFonts w:ascii="David" w:hAnsi="David" w:hint="cs"/>
          <w:b/>
          <w:bCs/>
          <w:color w:val="000000"/>
          <w:rtl/>
        </w:rPr>
        <w:t>ש</w:t>
      </w:r>
      <w:r>
        <w:rPr>
          <w:rFonts w:ascii="David" w:hAnsi="David"/>
          <w:b/>
          <w:bCs/>
          <w:color w:val="000000"/>
          <w:rtl/>
        </w:rPr>
        <w:t>עליו לבצע את העבודות לשביעות רצון הממונה וכי אם לא יעשה כן ניתן יהיה להפקיע את העבודות מנהלית והוא יאלץ לשאת ביתרת התקופה בבית מאסר</w:t>
      </w:r>
      <w:r>
        <w:rPr>
          <w:rFonts w:ascii="David" w:hAnsi="David"/>
          <w:color w:val="000000"/>
        </w:rPr>
        <w:t>.</w:t>
      </w:r>
    </w:p>
    <w:p w14:paraId="46E6B840" w14:textId="77777777" w:rsidR="0078618F" w:rsidRDefault="0078618F" w:rsidP="0078618F">
      <w:pPr>
        <w:pStyle w:val="a9"/>
        <w:numPr>
          <w:ilvl w:val="0"/>
          <w:numId w:val="2"/>
        </w:numPr>
        <w:spacing w:before="120" w:after="120" w:line="360" w:lineRule="auto"/>
        <w:jc w:val="both"/>
      </w:pPr>
      <w:r>
        <w:rPr>
          <w:rtl/>
        </w:rPr>
        <w:t xml:space="preserve">מאסר על תנאי לתקופה של </w:t>
      </w:r>
      <w:r>
        <w:rPr>
          <w:rFonts w:hint="cs"/>
          <w:rtl/>
        </w:rPr>
        <w:t>6</w:t>
      </w:r>
      <w:r>
        <w:rPr>
          <w:rtl/>
        </w:rPr>
        <w:t xml:space="preserve"> חודשים והתנאי הוא שהנאשם לא יעבור במשך שנתיים כל עבירה על פקודת הסמים שהיא פשע.</w:t>
      </w:r>
    </w:p>
    <w:p w14:paraId="1C373FCE" w14:textId="77777777" w:rsidR="0078618F" w:rsidRDefault="0078618F" w:rsidP="0078618F">
      <w:pPr>
        <w:pStyle w:val="a9"/>
        <w:numPr>
          <w:ilvl w:val="0"/>
          <w:numId w:val="2"/>
        </w:numPr>
        <w:spacing w:line="360" w:lineRule="auto"/>
        <w:jc w:val="both"/>
        <w:rPr>
          <w:rFonts w:ascii="David" w:hAnsi="David"/>
        </w:rPr>
      </w:pPr>
      <w:r>
        <w:rPr>
          <w:rtl/>
        </w:rPr>
        <w:t xml:space="preserve">קנס בסך </w:t>
      </w:r>
      <w:r>
        <w:rPr>
          <w:rFonts w:hint="cs"/>
          <w:rtl/>
        </w:rPr>
        <w:t>4</w:t>
      </w:r>
      <w:r>
        <w:rPr>
          <w:rtl/>
        </w:rPr>
        <w:t>,000</w:t>
      </w:r>
      <w:r>
        <w:rPr>
          <w:rFonts w:hint="cs"/>
          <w:rtl/>
        </w:rPr>
        <w:t xml:space="preserve"> </w:t>
      </w:r>
      <w:r>
        <w:rPr>
          <w:rtl/>
        </w:rPr>
        <w:t xml:space="preserve">₪. הקנס ישולם </w:t>
      </w:r>
      <w:r>
        <w:rPr>
          <w:rFonts w:hint="cs"/>
          <w:rtl/>
        </w:rPr>
        <w:t>בשמונה</w:t>
      </w:r>
      <w:r>
        <w:rPr>
          <w:rtl/>
        </w:rPr>
        <w:t xml:space="preserve"> תשלומים שווים ורצופים מיום 1.</w:t>
      </w:r>
      <w:r>
        <w:rPr>
          <w:rFonts w:hint="cs"/>
          <w:rtl/>
        </w:rPr>
        <w:t>9</w:t>
      </w:r>
      <w:r>
        <w:rPr>
          <w:rtl/>
        </w:rPr>
        <w:t>.23 ובכל -1 לחודש שלאחריו. לא ישולם אחד התשלומים או יותר במועדו, תעמוד היתרה לפירעון מידי.</w:t>
      </w:r>
    </w:p>
    <w:p w14:paraId="0E977012" w14:textId="77777777" w:rsidR="0078618F" w:rsidRPr="00616739" w:rsidRDefault="0078618F" w:rsidP="0078618F">
      <w:pPr>
        <w:pStyle w:val="a9"/>
        <w:numPr>
          <w:ilvl w:val="0"/>
          <w:numId w:val="2"/>
        </w:numPr>
        <w:spacing w:line="360" w:lineRule="auto"/>
        <w:jc w:val="both"/>
        <w:rPr>
          <w:rFonts w:ascii="David" w:hAnsi="David"/>
          <w:rtl/>
        </w:rPr>
      </w:pPr>
      <w:r>
        <w:rPr>
          <w:rFonts w:ascii="David" w:hAnsi="David" w:hint="cs"/>
          <w:rtl/>
        </w:rPr>
        <w:t>אני מורה על פסילת רישיון הנהיגה של הנאשם לתקופה בת 4 חודשים וזאת על תנאי כאשר התנאי הוא שלא יעבור בתוך שנתיים כל עבירה על פקודת הסמים.</w:t>
      </w:r>
    </w:p>
    <w:p w14:paraId="62B318C9" w14:textId="77777777" w:rsidR="0078618F" w:rsidRDefault="0078618F" w:rsidP="0078618F">
      <w:pPr>
        <w:spacing w:line="360" w:lineRule="auto"/>
        <w:jc w:val="both"/>
        <w:rPr>
          <w:rFonts w:ascii="David" w:hAnsi="David"/>
          <w:rtl/>
        </w:rPr>
      </w:pPr>
    </w:p>
    <w:p w14:paraId="0BCAC458" w14:textId="77777777" w:rsidR="0078618F" w:rsidRDefault="0078618F" w:rsidP="0078618F">
      <w:pPr>
        <w:spacing w:line="360" w:lineRule="auto"/>
        <w:jc w:val="both"/>
        <w:rPr>
          <w:rFonts w:ascii="David" w:hAnsi="David"/>
          <w:rtl/>
        </w:rPr>
      </w:pPr>
    </w:p>
    <w:p w14:paraId="7CDB17F7" w14:textId="77777777" w:rsidR="0078618F" w:rsidRDefault="0078618F" w:rsidP="0078618F">
      <w:pPr>
        <w:spacing w:line="360" w:lineRule="auto"/>
        <w:jc w:val="both"/>
        <w:rPr>
          <w:rFonts w:ascii="David" w:hAnsi="David"/>
          <w:rtl/>
        </w:rPr>
      </w:pPr>
    </w:p>
    <w:p w14:paraId="7C33612D" w14:textId="77777777" w:rsidR="0078618F" w:rsidRDefault="0078618F" w:rsidP="0078618F">
      <w:pPr>
        <w:spacing w:line="360" w:lineRule="auto"/>
        <w:jc w:val="both"/>
        <w:rPr>
          <w:rFonts w:ascii="David" w:hAnsi="David"/>
          <w:rtl/>
        </w:rPr>
      </w:pPr>
    </w:p>
    <w:p w14:paraId="5A2404B1" w14:textId="77777777" w:rsidR="0078618F" w:rsidRDefault="0078618F" w:rsidP="0078618F">
      <w:pPr>
        <w:spacing w:before="120" w:after="120" w:line="360" w:lineRule="auto"/>
        <w:contextualSpacing/>
        <w:jc w:val="both"/>
        <w:rPr>
          <w:b/>
          <w:bCs/>
          <w:u w:val="single"/>
        </w:rPr>
      </w:pPr>
      <w:r>
        <w:rPr>
          <w:b/>
          <w:bCs/>
          <w:u w:val="single"/>
          <w:rtl/>
        </w:rPr>
        <w:t xml:space="preserve">בחלוף תקופת הערעור, ניתן להשמיד את הסמים ואת הציוד. </w:t>
      </w:r>
    </w:p>
    <w:p w14:paraId="32D4D231" w14:textId="77777777" w:rsidR="0078618F" w:rsidRDefault="0078618F" w:rsidP="0078618F">
      <w:pPr>
        <w:spacing w:line="360" w:lineRule="auto"/>
        <w:rPr>
          <w:rFonts w:ascii="David" w:hAnsi="David"/>
          <w:b/>
          <w:bCs/>
          <w:u w:val="single"/>
          <w:rtl/>
        </w:rPr>
      </w:pPr>
      <w:r>
        <w:rPr>
          <w:rFonts w:ascii="David" w:hAnsi="David"/>
          <w:b/>
          <w:bCs/>
          <w:u w:val="single"/>
          <w:rtl/>
        </w:rPr>
        <w:t>זכות ערעור לבית המשפט המחוזי בתוך 45 ימים.</w:t>
      </w:r>
    </w:p>
    <w:p w14:paraId="29907E1D" w14:textId="77777777" w:rsidR="0078618F" w:rsidRDefault="0078618F" w:rsidP="0078618F">
      <w:pPr>
        <w:spacing w:line="360" w:lineRule="auto"/>
        <w:jc w:val="both"/>
        <w:rPr>
          <w:rFonts w:ascii="David" w:hAnsi="David"/>
          <w:b/>
          <w:bCs/>
          <w:u w:val="single"/>
          <w:rtl/>
        </w:rPr>
      </w:pPr>
      <w:r>
        <w:rPr>
          <w:rFonts w:ascii="David" w:hAnsi="David"/>
          <w:b/>
          <w:bCs/>
          <w:u w:val="single"/>
          <w:rtl/>
        </w:rPr>
        <w:t>המזכירות תשלח את גזר הדין לממונה</w:t>
      </w:r>
      <w:r>
        <w:rPr>
          <w:rFonts w:ascii="David" w:hAnsi="David" w:hint="cs"/>
          <w:b/>
          <w:bCs/>
          <w:u w:val="single"/>
          <w:rtl/>
        </w:rPr>
        <w:t xml:space="preserve"> למעקב</w:t>
      </w:r>
      <w:r>
        <w:rPr>
          <w:rFonts w:ascii="David" w:hAnsi="David"/>
          <w:b/>
          <w:bCs/>
          <w:u w:val="single"/>
          <w:rtl/>
        </w:rPr>
        <w:t>.</w:t>
      </w:r>
    </w:p>
    <w:p w14:paraId="2742EFFC" w14:textId="77777777" w:rsidR="0078618F" w:rsidRPr="00456375" w:rsidRDefault="00456375" w:rsidP="0078618F">
      <w:pPr>
        <w:rPr>
          <w:rFonts w:ascii="David" w:hAnsi="David"/>
          <w:color w:val="FFFFFF"/>
          <w:sz w:val="2"/>
          <w:szCs w:val="2"/>
          <w:rtl/>
        </w:rPr>
      </w:pPr>
      <w:r w:rsidRPr="00456375">
        <w:rPr>
          <w:rFonts w:ascii="David" w:hAnsi="David"/>
          <w:color w:val="FFFFFF"/>
          <w:sz w:val="2"/>
          <w:szCs w:val="2"/>
          <w:rtl/>
        </w:rPr>
        <w:t>5129371</w:t>
      </w:r>
    </w:p>
    <w:p w14:paraId="4DFD5B08" w14:textId="77777777" w:rsidR="0078618F" w:rsidRPr="00456375" w:rsidRDefault="00456375" w:rsidP="0078618F">
      <w:pPr>
        <w:rPr>
          <w:rFonts w:ascii="David" w:hAnsi="David"/>
          <w:color w:val="FFFFFF"/>
          <w:sz w:val="2"/>
          <w:szCs w:val="2"/>
          <w:rtl/>
        </w:rPr>
      </w:pPr>
      <w:r w:rsidRPr="00456375">
        <w:rPr>
          <w:rFonts w:ascii="David" w:hAnsi="David"/>
          <w:color w:val="FFFFFF"/>
          <w:sz w:val="2"/>
          <w:szCs w:val="2"/>
          <w:rtl/>
        </w:rPr>
        <w:t>54678313</w:t>
      </w:r>
    </w:p>
    <w:p w14:paraId="0B9A1C80" w14:textId="77777777" w:rsidR="0078618F" w:rsidRPr="003A3EFB" w:rsidRDefault="0078618F" w:rsidP="0078618F">
      <w:pPr>
        <w:rPr>
          <w:rFonts w:ascii="David" w:hAnsi="David"/>
          <w:rtl/>
        </w:rPr>
      </w:pPr>
    </w:p>
    <w:p w14:paraId="3243FEC4" w14:textId="77777777" w:rsidR="0078618F" w:rsidRPr="003A3EFB" w:rsidRDefault="00456375" w:rsidP="0078618F">
      <w:pPr>
        <w:rPr>
          <w:rFonts w:ascii="David" w:hAnsi="David"/>
          <w:rtl/>
        </w:rPr>
      </w:pPr>
      <w:bookmarkStart w:id="7" w:name="Nitan"/>
      <w:r>
        <w:rPr>
          <w:rFonts w:ascii="David" w:hAnsi="David"/>
          <w:rtl/>
        </w:rPr>
        <w:t xml:space="preserve">ניתן היום,  כ"ב סיוון תשפ"ג, 11 יוני 2023, במעמד הצדדים. </w:t>
      </w:r>
      <w:bookmarkEnd w:id="7"/>
    </w:p>
    <w:p w14:paraId="75917BBE" w14:textId="77777777" w:rsidR="0078618F" w:rsidRPr="003A3EFB" w:rsidRDefault="0078618F" w:rsidP="00456375">
      <w:pPr>
        <w:jc w:val="center"/>
      </w:pPr>
      <w:r w:rsidRPr="003A3EFB">
        <w:rPr>
          <w:rFonts w:ascii="David" w:hAnsi="David"/>
          <w:rtl/>
        </w:rPr>
        <w:t xml:space="preserve">   </w:t>
      </w:r>
      <w:r w:rsidRPr="003A3EFB">
        <w:rPr>
          <w:rFonts w:ascii="David" w:hAnsi="David"/>
          <w:rtl/>
        </w:rPr>
        <w:tab/>
      </w:r>
      <w:r w:rsidRPr="003A3EFB">
        <w:rPr>
          <w:rFonts w:ascii="David" w:hAnsi="David"/>
          <w:rtl/>
        </w:rPr>
        <w:tab/>
      </w:r>
      <w:r w:rsidRPr="003A3EFB">
        <w:rPr>
          <w:rFonts w:ascii="David" w:hAnsi="David"/>
          <w:rtl/>
        </w:rPr>
        <w:tab/>
      </w:r>
      <w:r w:rsidRPr="003A3EFB">
        <w:rPr>
          <w:rFonts w:ascii="David" w:hAnsi="David"/>
          <w:rtl/>
        </w:rPr>
        <w:tab/>
      </w:r>
      <w:r w:rsidRPr="003A3EFB">
        <w:rPr>
          <w:rFonts w:ascii="David" w:hAnsi="David"/>
          <w:rtl/>
        </w:rPr>
        <w:tab/>
      </w:r>
    </w:p>
    <w:p w14:paraId="6945205B" w14:textId="77777777" w:rsidR="0078618F" w:rsidRPr="003A3EFB" w:rsidRDefault="0078618F" w:rsidP="0078618F">
      <w:pPr>
        <w:jc w:val="center"/>
        <w:rPr>
          <w:rFonts w:ascii="David" w:hAnsi="David"/>
          <w:rtl/>
        </w:rPr>
      </w:pPr>
    </w:p>
    <w:p w14:paraId="1BF73879" w14:textId="77777777" w:rsidR="008078BA" w:rsidRPr="00456375" w:rsidRDefault="008078BA" w:rsidP="00456375">
      <w:pPr>
        <w:keepNext/>
        <w:rPr>
          <w:rFonts w:ascii="David" w:hAnsi="David"/>
          <w:color w:val="000000"/>
          <w:sz w:val="22"/>
          <w:szCs w:val="22"/>
          <w:rtl/>
        </w:rPr>
      </w:pPr>
    </w:p>
    <w:p w14:paraId="763E45A2" w14:textId="77777777" w:rsidR="00456375" w:rsidRPr="00456375" w:rsidRDefault="00456375" w:rsidP="00456375">
      <w:pPr>
        <w:keepNext/>
        <w:rPr>
          <w:rFonts w:ascii="David" w:hAnsi="David"/>
          <w:color w:val="000000"/>
          <w:sz w:val="22"/>
          <w:szCs w:val="22"/>
          <w:rtl/>
        </w:rPr>
      </w:pPr>
      <w:r w:rsidRPr="00456375">
        <w:rPr>
          <w:rFonts w:ascii="David" w:hAnsi="David"/>
          <w:color w:val="000000"/>
          <w:sz w:val="22"/>
          <w:szCs w:val="22"/>
          <w:rtl/>
        </w:rPr>
        <w:t>יוסי טורס 54678313</w:t>
      </w:r>
    </w:p>
    <w:p w14:paraId="4E024339" w14:textId="77777777" w:rsidR="00456375" w:rsidRDefault="00456375" w:rsidP="00456375">
      <w:r w:rsidRPr="00456375">
        <w:rPr>
          <w:color w:val="000000"/>
          <w:rtl/>
        </w:rPr>
        <w:t>נוסח מסמך זה כפוף לשינויי ניסוח ועריכה</w:t>
      </w:r>
    </w:p>
    <w:p w14:paraId="47D9C6C9" w14:textId="77777777" w:rsidR="00456375" w:rsidRDefault="00456375" w:rsidP="00456375">
      <w:pPr>
        <w:rPr>
          <w:rtl/>
        </w:rPr>
      </w:pPr>
    </w:p>
    <w:p w14:paraId="08ABE823" w14:textId="77777777" w:rsidR="00456375" w:rsidRDefault="00456375" w:rsidP="00456375">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45F53565" w14:textId="77777777" w:rsidR="00456375" w:rsidRPr="00456375" w:rsidRDefault="00456375" w:rsidP="00456375">
      <w:pPr>
        <w:jc w:val="center"/>
        <w:rPr>
          <w:color w:val="0000FF"/>
          <w:u w:val="single"/>
        </w:rPr>
      </w:pPr>
    </w:p>
    <w:sectPr w:rsidR="00456375" w:rsidRPr="00456375" w:rsidSect="00456375">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9ECD59" w14:textId="77777777" w:rsidR="00965ED0" w:rsidRDefault="00965ED0" w:rsidP="001F666D">
      <w:r>
        <w:separator/>
      </w:r>
    </w:p>
  </w:endnote>
  <w:endnote w:type="continuationSeparator" w:id="0">
    <w:p w14:paraId="31938516" w14:textId="77777777" w:rsidR="00965ED0" w:rsidRDefault="00965ED0" w:rsidP="001F6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29E54" w14:textId="77777777" w:rsidR="00456375" w:rsidRDefault="00456375" w:rsidP="0045637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790B64A" w14:textId="77777777" w:rsidR="002336A3" w:rsidRPr="00456375" w:rsidRDefault="00456375" w:rsidP="0045637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FA001F" w14:textId="77777777" w:rsidR="00456375" w:rsidRDefault="00456375" w:rsidP="0045637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251E2">
      <w:rPr>
        <w:rFonts w:ascii="FrankRuehl" w:hAnsi="FrankRuehl" w:cs="FrankRuehl"/>
        <w:noProof/>
        <w:rtl/>
      </w:rPr>
      <w:t>1</w:t>
    </w:r>
    <w:r>
      <w:rPr>
        <w:rFonts w:ascii="FrankRuehl" w:hAnsi="FrankRuehl" w:cs="FrankRuehl"/>
        <w:rtl/>
      </w:rPr>
      <w:fldChar w:fldCharType="end"/>
    </w:r>
  </w:p>
  <w:p w14:paraId="10E36C99" w14:textId="77777777" w:rsidR="002336A3" w:rsidRPr="00456375" w:rsidRDefault="00456375" w:rsidP="0045637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1B7A5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49F159" w14:textId="77777777" w:rsidR="00965ED0" w:rsidRDefault="00965ED0" w:rsidP="001F666D">
      <w:r>
        <w:separator/>
      </w:r>
    </w:p>
  </w:footnote>
  <w:footnote w:type="continuationSeparator" w:id="0">
    <w:p w14:paraId="365F8FF5" w14:textId="77777777" w:rsidR="00965ED0" w:rsidRDefault="00965ED0" w:rsidP="001F66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C61876" w14:textId="77777777" w:rsidR="00456375" w:rsidRPr="00456375" w:rsidRDefault="00456375" w:rsidP="0045637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50680-03-22</w:t>
    </w:r>
    <w:r>
      <w:rPr>
        <w:rFonts w:ascii="David" w:hAnsi="David"/>
        <w:color w:val="000000"/>
        <w:sz w:val="22"/>
        <w:szCs w:val="22"/>
        <w:rtl/>
      </w:rPr>
      <w:tab/>
      <w:t xml:space="preserve"> מדינת ישראל נ' חננאל-חן זוזוט</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439D0" w14:textId="77777777" w:rsidR="00456375" w:rsidRPr="00456375" w:rsidRDefault="00456375" w:rsidP="0045637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50680-03-22</w:t>
    </w:r>
    <w:r>
      <w:rPr>
        <w:rFonts w:ascii="David" w:hAnsi="David"/>
        <w:color w:val="000000"/>
        <w:sz w:val="22"/>
        <w:szCs w:val="22"/>
        <w:rtl/>
      </w:rPr>
      <w:tab/>
      <w:t xml:space="preserve"> מדינת ישראל נ' חננאל-חן זוזוט</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D0180C"/>
    <w:multiLevelType w:val="hybridMultilevel"/>
    <w:tmpl w:val="4F2CC0BE"/>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3179F5"/>
    <w:multiLevelType w:val="hybridMultilevel"/>
    <w:tmpl w:val="8806F4F8"/>
    <w:lvl w:ilvl="0" w:tplc="2DEE8392">
      <w:start w:val="1"/>
      <w:numFmt w:val="decimal"/>
      <w:lvlText w:val="%1."/>
      <w:lvlJc w:val="left"/>
      <w:pPr>
        <w:tabs>
          <w:tab w:val="num" w:pos="567"/>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5993278">
    <w:abstractNumId w:val="1"/>
  </w:num>
  <w:num w:numId="2" w16cid:durableId="1403091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8618F"/>
    <w:rsid w:val="000676BD"/>
    <w:rsid w:val="001A04C4"/>
    <w:rsid w:val="001B5A3B"/>
    <w:rsid w:val="001C5355"/>
    <w:rsid w:val="001F666D"/>
    <w:rsid w:val="002336A3"/>
    <w:rsid w:val="00253680"/>
    <w:rsid w:val="00260B8A"/>
    <w:rsid w:val="003E332E"/>
    <w:rsid w:val="00456375"/>
    <w:rsid w:val="005C3C13"/>
    <w:rsid w:val="007251E2"/>
    <w:rsid w:val="0078618F"/>
    <w:rsid w:val="008078BA"/>
    <w:rsid w:val="00965ED0"/>
    <w:rsid w:val="00A33F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0E0DDD7"/>
  <w15:chartTrackingRefBased/>
  <w15:docId w15:val="{13C001A6-34D1-41C2-A5D1-CBB050734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8618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8618F"/>
    <w:pPr>
      <w:tabs>
        <w:tab w:val="center" w:pos="4153"/>
        <w:tab w:val="right" w:pos="8306"/>
      </w:tabs>
    </w:pPr>
  </w:style>
  <w:style w:type="character" w:customStyle="1" w:styleId="a4">
    <w:name w:val="כותרת עליונה תו"/>
    <w:link w:val="a3"/>
    <w:rsid w:val="0078618F"/>
    <w:rPr>
      <w:rFonts w:ascii="Times New Roman" w:eastAsia="Times New Roman" w:hAnsi="Times New Roman" w:cs="David"/>
      <w:sz w:val="24"/>
      <w:szCs w:val="24"/>
    </w:rPr>
  </w:style>
  <w:style w:type="paragraph" w:styleId="a5">
    <w:name w:val="footer"/>
    <w:basedOn w:val="a"/>
    <w:link w:val="a6"/>
    <w:rsid w:val="0078618F"/>
    <w:pPr>
      <w:tabs>
        <w:tab w:val="center" w:pos="4153"/>
        <w:tab w:val="right" w:pos="8306"/>
      </w:tabs>
    </w:pPr>
  </w:style>
  <w:style w:type="character" w:customStyle="1" w:styleId="a6">
    <w:name w:val="כותרת תחתונה תו"/>
    <w:link w:val="a5"/>
    <w:rsid w:val="0078618F"/>
    <w:rPr>
      <w:rFonts w:ascii="Times New Roman" w:eastAsia="Times New Roman" w:hAnsi="Times New Roman" w:cs="David"/>
      <w:sz w:val="24"/>
      <w:szCs w:val="24"/>
    </w:rPr>
  </w:style>
  <w:style w:type="table" w:styleId="a7">
    <w:name w:val="Table Grid"/>
    <w:basedOn w:val="a1"/>
    <w:rsid w:val="0078618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8618F"/>
  </w:style>
  <w:style w:type="paragraph" w:styleId="a9">
    <w:name w:val="List Paragraph"/>
    <w:basedOn w:val="a"/>
    <w:qFormat/>
    <w:rsid w:val="0078618F"/>
    <w:pPr>
      <w:ind w:left="720"/>
      <w:contextualSpacing/>
    </w:pPr>
  </w:style>
  <w:style w:type="character" w:styleId="Hyperlink">
    <w:name w:val="Hyperlink"/>
    <w:rsid w:val="004563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6995435" TargetMode="External"/><Relationship Id="rId18" Type="http://schemas.openxmlformats.org/officeDocument/2006/relationships/hyperlink" Target="http://www.nevo.co.il/case/23827604" TargetMode="External"/><Relationship Id="rId26" Type="http://schemas.openxmlformats.org/officeDocument/2006/relationships/hyperlink" Target="http://www.nevo.co.il/case/27347635" TargetMode="External"/><Relationship Id="rId39" Type="http://schemas.openxmlformats.org/officeDocument/2006/relationships/fontTable" Target="fontTable.xml"/><Relationship Id="rId21" Type="http://schemas.openxmlformats.org/officeDocument/2006/relationships/hyperlink" Target="http://www.nevo.co.il/case/18107527"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10" TargetMode="External"/><Relationship Id="rId17" Type="http://schemas.openxmlformats.org/officeDocument/2006/relationships/hyperlink" Target="http://www.nevo.co.il/case/22841413" TargetMode="External"/><Relationship Id="rId25" Type="http://schemas.openxmlformats.org/officeDocument/2006/relationships/hyperlink" Target="http://www.nevo.co.il/case/27517511" TargetMode="External"/><Relationship Id="rId33" Type="http://schemas.openxmlformats.org/officeDocument/2006/relationships/hyperlink" Target="http://www.nevo.co.il/case/29290757"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27647087" TargetMode="External"/><Relationship Id="rId20" Type="http://schemas.openxmlformats.org/officeDocument/2006/relationships/hyperlink" Target="http://www.nevo.co.il/case/20111708" TargetMode="External"/><Relationship Id="rId29" Type="http://schemas.openxmlformats.org/officeDocument/2006/relationships/hyperlink" Target="http://www.nevo.co.il/case/2594624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24" Type="http://schemas.openxmlformats.org/officeDocument/2006/relationships/hyperlink" Target="http://www.nevo.co.il/case/26246488" TargetMode="External"/><Relationship Id="rId32" Type="http://schemas.openxmlformats.org/officeDocument/2006/relationships/hyperlink" Target="http://www.nevo.co.il/case/29334329"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23827604" TargetMode="External"/><Relationship Id="rId23" Type="http://schemas.openxmlformats.org/officeDocument/2006/relationships/hyperlink" Target="http://www.nevo.co.il/case/27615803" TargetMode="External"/><Relationship Id="rId28" Type="http://schemas.openxmlformats.org/officeDocument/2006/relationships/hyperlink" Target="http://www.nevo.co.il/case/27066481" TargetMode="External"/><Relationship Id="rId36" Type="http://schemas.openxmlformats.org/officeDocument/2006/relationships/header" Target="header2.xml"/><Relationship Id="rId10" Type="http://schemas.openxmlformats.org/officeDocument/2006/relationships/hyperlink" Target="http://www.nevo.co.il/law/4216/6" TargetMode="External"/><Relationship Id="rId19" Type="http://schemas.openxmlformats.org/officeDocument/2006/relationships/hyperlink" Target="http://www.nevo.co.il/case/21474175" TargetMode="External"/><Relationship Id="rId31" Type="http://schemas.openxmlformats.org/officeDocument/2006/relationships/hyperlink" Target="http://www.nevo.co.il/case/27573801" TargetMode="External"/><Relationship Id="rId4" Type="http://schemas.openxmlformats.org/officeDocument/2006/relationships/webSettings" Target="webSettings.xml"/><Relationship Id="rId9" Type="http://schemas.openxmlformats.org/officeDocument/2006/relationships/hyperlink" Target="http://www.nevo.co.il/law/4216/10" TargetMode="External"/><Relationship Id="rId14" Type="http://schemas.openxmlformats.org/officeDocument/2006/relationships/hyperlink" Target="http://www.nevo.co.il/case/26991436" TargetMode="External"/><Relationship Id="rId22" Type="http://schemas.openxmlformats.org/officeDocument/2006/relationships/hyperlink" Target="http://www.nevo.co.il/case/26797877" TargetMode="External"/><Relationship Id="rId27" Type="http://schemas.openxmlformats.org/officeDocument/2006/relationships/hyperlink" Target="http://www.nevo.co.il/case/27502816" TargetMode="External"/><Relationship Id="rId30" Type="http://schemas.openxmlformats.org/officeDocument/2006/relationships/hyperlink" Target="http://www.nevo.co.il/case/27862619" TargetMode="External"/><Relationship Id="rId35" Type="http://schemas.openxmlformats.org/officeDocument/2006/relationships/header" Target="header1.xml"/><Relationship Id="rId8" Type="http://schemas.openxmlformats.org/officeDocument/2006/relationships/hyperlink" Target="http://www.nevo.co.il/law/4216/6"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1703</Words>
  <Characters>8517</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10200</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3473523</vt:i4>
      </vt:variant>
      <vt:variant>
        <vt:i4>78</vt:i4>
      </vt:variant>
      <vt:variant>
        <vt:i4>0</vt:i4>
      </vt:variant>
      <vt:variant>
        <vt:i4>5</vt:i4>
      </vt:variant>
      <vt:variant>
        <vt:lpwstr>http://www.nevo.co.il/case/29290757</vt:lpwstr>
      </vt:variant>
      <vt:variant>
        <vt:lpwstr/>
      </vt:variant>
      <vt:variant>
        <vt:i4>3604605</vt:i4>
      </vt:variant>
      <vt:variant>
        <vt:i4>75</vt:i4>
      </vt:variant>
      <vt:variant>
        <vt:i4>0</vt:i4>
      </vt:variant>
      <vt:variant>
        <vt:i4>5</vt:i4>
      </vt:variant>
      <vt:variant>
        <vt:lpwstr>http://www.nevo.co.il/case/29334329</vt:lpwstr>
      </vt:variant>
      <vt:variant>
        <vt:lpwstr/>
      </vt:variant>
      <vt:variant>
        <vt:i4>3407996</vt:i4>
      </vt:variant>
      <vt:variant>
        <vt:i4>72</vt:i4>
      </vt:variant>
      <vt:variant>
        <vt:i4>0</vt:i4>
      </vt:variant>
      <vt:variant>
        <vt:i4>5</vt:i4>
      </vt:variant>
      <vt:variant>
        <vt:lpwstr>http://www.nevo.co.il/case/27573801</vt:lpwstr>
      </vt:variant>
      <vt:variant>
        <vt:lpwstr/>
      </vt:variant>
      <vt:variant>
        <vt:i4>3735667</vt:i4>
      </vt:variant>
      <vt:variant>
        <vt:i4>69</vt:i4>
      </vt:variant>
      <vt:variant>
        <vt:i4>0</vt:i4>
      </vt:variant>
      <vt:variant>
        <vt:i4>5</vt:i4>
      </vt:variant>
      <vt:variant>
        <vt:lpwstr>http://www.nevo.co.il/case/27862619</vt:lpwstr>
      </vt:variant>
      <vt:variant>
        <vt:lpwstr/>
      </vt:variant>
      <vt:variant>
        <vt:i4>3735671</vt:i4>
      </vt:variant>
      <vt:variant>
        <vt:i4>66</vt:i4>
      </vt:variant>
      <vt:variant>
        <vt:i4>0</vt:i4>
      </vt:variant>
      <vt:variant>
        <vt:i4>5</vt:i4>
      </vt:variant>
      <vt:variant>
        <vt:lpwstr>http://www.nevo.co.il/case/25946245</vt:lpwstr>
      </vt:variant>
      <vt:variant>
        <vt:lpwstr/>
      </vt:variant>
      <vt:variant>
        <vt:i4>3932273</vt:i4>
      </vt:variant>
      <vt:variant>
        <vt:i4>63</vt:i4>
      </vt:variant>
      <vt:variant>
        <vt:i4>0</vt:i4>
      </vt:variant>
      <vt:variant>
        <vt:i4>5</vt:i4>
      </vt:variant>
      <vt:variant>
        <vt:lpwstr>http://www.nevo.co.il/case/27066481</vt:lpwstr>
      </vt:variant>
      <vt:variant>
        <vt:lpwstr/>
      </vt:variant>
      <vt:variant>
        <vt:i4>3407995</vt:i4>
      </vt:variant>
      <vt:variant>
        <vt:i4>60</vt:i4>
      </vt:variant>
      <vt:variant>
        <vt:i4>0</vt:i4>
      </vt:variant>
      <vt:variant>
        <vt:i4>5</vt:i4>
      </vt:variant>
      <vt:variant>
        <vt:lpwstr>http://www.nevo.co.il/case/27502816</vt:lpwstr>
      </vt:variant>
      <vt:variant>
        <vt:lpwstr/>
      </vt:variant>
      <vt:variant>
        <vt:i4>3473521</vt:i4>
      </vt:variant>
      <vt:variant>
        <vt:i4>57</vt:i4>
      </vt:variant>
      <vt:variant>
        <vt:i4>0</vt:i4>
      </vt:variant>
      <vt:variant>
        <vt:i4>5</vt:i4>
      </vt:variant>
      <vt:variant>
        <vt:lpwstr>http://www.nevo.co.il/case/27347635</vt:lpwstr>
      </vt:variant>
      <vt:variant>
        <vt:lpwstr/>
      </vt:variant>
      <vt:variant>
        <vt:i4>3211383</vt:i4>
      </vt:variant>
      <vt:variant>
        <vt:i4>54</vt:i4>
      </vt:variant>
      <vt:variant>
        <vt:i4>0</vt:i4>
      </vt:variant>
      <vt:variant>
        <vt:i4>5</vt:i4>
      </vt:variant>
      <vt:variant>
        <vt:lpwstr>http://www.nevo.co.il/case/27517511</vt:lpwstr>
      </vt:variant>
      <vt:variant>
        <vt:lpwstr/>
      </vt:variant>
      <vt:variant>
        <vt:i4>4063346</vt:i4>
      </vt:variant>
      <vt:variant>
        <vt:i4>51</vt:i4>
      </vt:variant>
      <vt:variant>
        <vt:i4>0</vt:i4>
      </vt:variant>
      <vt:variant>
        <vt:i4>5</vt:i4>
      </vt:variant>
      <vt:variant>
        <vt:lpwstr>http://www.nevo.co.il/case/26246488</vt:lpwstr>
      </vt:variant>
      <vt:variant>
        <vt:lpwstr/>
      </vt:variant>
      <vt:variant>
        <vt:i4>3211386</vt:i4>
      </vt:variant>
      <vt:variant>
        <vt:i4>48</vt:i4>
      </vt:variant>
      <vt:variant>
        <vt:i4>0</vt:i4>
      </vt:variant>
      <vt:variant>
        <vt:i4>5</vt:i4>
      </vt:variant>
      <vt:variant>
        <vt:lpwstr>http://www.nevo.co.il/case/27615803</vt:lpwstr>
      </vt:variant>
      <vt:variant>
        <vt:lpwstr/>
      </vt:variant>
      <vt:variant>
        <vt:i4>3473523</vt:i4>
      </vt:variant>
      <vt:variant>
        <vt:i4>45</vt:i4>
      </vt:variant>
      <vt:variant>
        <vt:i4>0</vt:i4>
      </vt:variant>
      <vt:variant>
        <vt:i4>5</vt:i4>
      </vt:variant>
      <vt:variant>
        <vt:lpwstr>http://www.nevo.co.il/case/26797877</vt:lpwstr>
      </vt:variant>
      <vt:variant>
        <vt:lpwstr/>
      </vt:variant>
      <vt:variant>
        <vt:i4>3473529</vt:i4>
      </vt:variant>
      <vt:variant>
        <vt:i4>42</vt:i4>
      </vt:variant>
      <vt:variant>
        <vt:i4>0</vt:i4>
      </vt:variant>
      <vt:variant>
        <vt:i4>5</vt:i4>
      </vt:variant>
      <vt:variant>
        <vt:lpwstr>http://www.nevo.co.il/case/18107527</vt:lpwstr>
      </vt:variant>
      <vt:variant>
        <vt:lpwstr/>
      </vt:variant>
      <vt:variant>
        <vt:i4>3276914</vt:i4>
      </vt:variant>
      <vt:variant>
        <vt:i4>39</vt:i4>
      </vt:variant>
      <vt:variant>
        <vt:i4>0</vt:i4>
      </vt:variant>
      <vt:variant>
        <vt:i4>5</vt:i4>
      </vt:variant>
      <vt:variant>
        <vt:lpwstr>http://www.nevo.co.il/case/20111708</vt:lpwstr>
      </vt:variant>
      <vt:variant>
        <vt:lpwstr/>
      </vt:variant>
      <vt:variant>
        <vt:i4>3473523</vt:i4>
      </vt:variant>
      <vt:variant>
        <vt:i4>36</vt:i4>
      </vt:variant>
      <vt:variant>
        <vt:i4>0</vt:i4>
      </vt:variant>
      <vt:variant>
        <vt:i4>5</vt:i4>
      </vt:variant>
      <vt:variant>
        <vt:lpwstr>http://www.nevo.co.il/case/21474175</vt:lpwstr>
      </vt:variant>
      <vt:variant>
        <vt:lpwstr/>
      </vt:variant>
      <vt:variant>
        <vt:i4>3997811</vt:i4>
      </vt:variant>
      <vt:variant>
        <vt:i4>33</vt:i4>
      </vt:variant>
      <vt:variant>
        <vt:i4>0</vt:i4>
      </vt:variant>
      <vt:variant>
        <vt:i4>5</vt:i4>
      </vt:variant>
      <vt:variant>
        <vt:lpwstr>http://www.nevo.co.il/case/23827604</vt:lpwstr>
      </vt:variant>
      <vt:variant>
        <vt:lpwstr/>
      </vt:variant>
      <vt:variant>
        <vt:i4>3801206</vt:i4>
      </vt:variant>
      <vt:variant>
        <vt:i4>30</vt:i4>
      </vt:variant>
      <vt:variant>
        <vt:i4>0</vt:i4>
      </vt:variant>
      <vt:variant>
        <vt:i4>5</vt:i4>
      </vt:variant>
      <vt:variant>
        <vt:lpwstr>http://www.nevo.co.il/case/22841413</vt:lpwstr>
      </vt:variant>
      <vt:variant>
        <vt:lpwstr/>
      </vt:variant>
      <vt:variant>
        <vt:i4>3866743</vt:i4>
      </vt:variant>
      <vt:variant>
        <vt:i4>27</vt:i4>
      </vt:variant>
      <vt:variant>
        <vt:i4>0</vt:i4>
      </vt:variant>
      <vt:variant>
        <vt:i4>5</vt:i4>
      </vt:variant>
      <vt:variant>
        <vt:lpwstr>http://www.nevo.co.il/case/27647087</vt:lpwstr>
      </vt:variant>
      <vt:variant>
        <vt:lpwstr/>
      </vt:variant>
      <vt:variant>
        <vt:i4>3997811</vt:i4>
      </vt:variant>
      <vt:variant>
        <vt:i4>24</vt:i4>
      </vt:variant>
      <vt:variant>
        <vt:i4>0</vt:i4>
      </vt:variant>
      <vt:variant>
        <vt:i4>5</vt:i4>
      </vt:variant>
      <vt:variant>
        <vt:lpwstr>http://www.nevo.co.il/case/23827604</vt:lpwstr>
      </vt:variant>
      <vt:variant>
        <vt:lpwstr/>
      </vt:variant>
      <vt:variant>
        <vt:i4>3735679</vt:i4>
      </vt:variant>
      <vt:variant>
        <vt:i4>21</vt:i4>
      </vt:variant>
      <vt:variant>
        <vt:i4>0</vt:i4>
      </vt:variant>
      <vt:variant>
        <vt:i4>5</vt:i4>
      </vt:variant>
      <vt:variant>
        <vt:lpwstr>http://www.nevo.co.il/case/26991436</vt:lpwstr>
      </vt:variant>
      <vt:variant>
        <vt:lpwstr/>
      </vt:variant>
      <vt:variant>
        <vt:i4>3997823</vt:i4>
      </vt:variant>
      <vt:variant>
        <vt:i4>18</vt:i4>
      </vt:variant>
      <vt:variant>
        <vt:i4>0</vt:i4>
      </vt:variant>
      <vt:variant>
        <vt:i4>5</vt:i4>
      </vt:variant>
      <vt:variant>
        <vt:lpwstr>http://www.nevo.co.il/case/26995435</vt:lpwstr>
      </vt:variant>
      <vt:variant>
        <vt:lpwstr/>
      </vt:variant>
      <vt:variant>
        <vt:i4>5177418</vt:i4>
      </vt:variant>
      <vt:variant>
        <vt:i4>15</vt:i4>
      </vt:variant>
      <vt:variant>
        <vt:i4>0</vt:i4>
      </vt:variant>
      <vt:variant>
        <vt:i4>5</vt:i4>
      </vt:variant>
      <vt:variant>
        <vt:lpwstr>http://www.nevo.co.il/law/4216/10</vt:lpwstr>
      </vt:variant>
      <vt:variant>
        <vt:lpwstr/>
      </vt:variant>
      <vt:variant>
        <vt:i4>8257637</vt:i4>
      </vt:variant>
      <vt:variant>
        <vt:i4>12</vt:i4>
      </vt:variant>
      <vt:variant>
        <vt:i4>0</vt:i4>
      </vt:variant>
      <vt:variant>
        <vt:i4>5</vt:i4>
      </vt:variant>
      <vt:variant>
        <vt:lpwstr>http://www.nevo.co.il/law/4216</vt:lpwstr>
      </vt:variant>
      <vt:variant>
        <vt:lpwstr/>
      </vt:variant>
      <vt:variant>
        <vt:i4>4718666</vt:i4>
      </vt:variant>
      <vt:variant>
        <vt:i4>9</vt:i4>
      </vt:variant>
      <vt:variant>
        <vt:i4>0</vt:i4>
      </vt:variant>
      <vt:variant>
        <vt:i4>5</vt:i4>
      </vt:variant>
      <vt:variant>
        <vt:lpwstr>http://www.nevo.co.il/law/4216/6</vt:lpwstr>
      </vt:variant>
      <vt:variant>
        <vt:lpwstr/>
      </vt:variant>
      <vt:variant>
        <vt:i4>5177418</vt:i4>
      </vt:variant>
      <vt:variant>
        <vt:i4>6</vt:i4>
      </vt:variant>
      <vt:variant>
        <vt:i4>0</vt:i4>
      </vt:variant>
      <vt:variant>
        <vt:i4>5</vt:i4>
      </vt:variant>
      <vt:variant>
        <vt:lpwstr>http://www.nevo.co.il/law/4216/10</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2025-04-23T01:24:00Z</dcterms:created>
  <dcterms:modified xsi:type="dcterms:W3CDTF">2025-04-23T01:24:00Z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50680</vt:lpwstr>
  </property>
  <property fmtid="{D5CDD505-2E9C-101B-9397-08002B2CF9AE}" pid="6" name="NEWPARTB">
    <vt:lpwstr>03</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חננאל-חן זוזוט</vt:lpwstr>
  </property>
  <property fmtid="{D5CDD505-2E9C-101B-9397-08002B2CF9AE}" pid="10" name="JUDGE">
    <vt:lpwstr>יוסי טורס</vt:lpwstr>
  </property>
  <property fmtid="{D5CDD505-2E9C-101B-9397-08002B2CF9AE}" pid="11" name="CITY">
    <vt:lpwstr>קריות</vt:lpwstr>
  </property>
  <property fmtid="{D5CDD505-2E9C-101B-9397-08002B2CF9AE}" pid="12" name="DATE">
    <vt:lpwstr>20230611</vt:lpwstr>
  </property>
  <property fmtid="{D5CDD505-2E9C-101B-9397-08002B2CF9AE}" pid="13" name="TYPE_N_DATE">
    <vt:lpwstr>38020230611</vt:lpwstr>
  </property>
  <property fmtid="{D5CDD505-2E9C-101B-9397-08002B2CF9AE}" pid="14" name="WORDNUMPAGES">
    <vt:lpwstr>5</vt:lpwstr>
  </property>
  <property fmtid="{D5CDD505-2E9C-101B-9397-08002B2CF9AE}" pid="15" name="TYPE_ABS_DATE">
    <vt:lpwstr>380020230611</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26995435;26991436;23827604:2;27647087;22841413;21474175;20111708;18107527;26797877;27615803;26246488;27517511;27347635;27502816;27066481;25946245;27862619;27573801;29334329;29290757</vt:lpwstr>
  </property>
  <property fmtid="{D5CDD505-2E9C-101B-9397-08002B2CF9AE}" pid="36" name="LAWLISTTMP1">
    <vt:lpwstr>4216/006;010</vt:lpwstr>
  </property>
</Properties>
</file>