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7609B" w:rsidRPr="00062911" w14:paraId="69ED4656" w14:textId="77777777" w:rsidTr="002A597D">
        <w:trPr>
          <w:trHeight w:hRule="exact" w:val="418"/>
          <w:jc w:val="center"/>
        </w:trPr>
        <w:tc>
          <w:tcPr>
            <w:tcW w:w="8721" w:type="dxa"/>
            <w:gridSpan w:val="2"/>
          </w:tcPr>
          <w:p w14:paraId="79C0864E" w14:textId="77777777" w:rsidR="00A7609B" w:rsidRPr="00062911" w:rsidRDefault="00A7609B" w:rsidP="008769DD">
            <w:pPr>
              <w:pStyle w:val="a3"/>
              <w:jc w:val="center"/>
              <w:rPr>
                <w:rFonts w:ascii="Tahoma" w:hAnsi="Tahoma" w:cs="Tahoma"/>
                <w:color w:val="000080"/>
                <w:rtl/>
              </w:rPr>
            </w:pPr>
            <w:bookmarkStart w:id="0" w:name="LastJudge"/>
            <w:r w:rsidRPr="00062911">
              <w:rPr>
                <w:rFonts w:ascii="Tahoma" w:hAnsi="Tahoma" w:cs="Tahoma"/>
                <w:b/>
                <w:bCs/>
                <w:color w:val="000080"/>
                <w:rtl/>
              </w:rPr>
              <w:t>בית משפט השלום בראשון לציון</w:t>
            </w:r>
          </w:p>
        </w:tc>
      </w:tr>
      <w:tr w:rsidR="00A7609B" w:rsidRPr="00062911" w14:paraId="4578472D" w14:textId="77777777" w:rsidTr="002A597D">
        <w:trPr>
          <w:trHeight w:val="337"/>
          <w:jc w:val="center"/>
        </w:trPr>
        <w:tc>
          <w:tcPr>
            <w:tcW w:w="5058" w:type="dxa"/>
          </w:tcPr>
          <w:p w14:paraId="4EB02F94" w14:textId="77777777" w:rsidR="00A7609B" w:rsidRPr="00062911" w:rsidRDefault="00A7609B" w:rsidP="008769DD">
            <w:pPr>
              <w:rPr>
                <w:rFonts w:cs="FrankRuehl"/>
                <w:sz w:val="28"/>
                <w:szCs w:val="28"/>
                <w:rtl/>
              </w:rPr>
            </w:pPr>
            <w:r w:rsidRPr="00062911">
              <w:rPr>
                <w:rFonts w:cs="FrankRuehl"/>
                <w:sz w:val="28"/>
                <w:szCs w:val="28"/>
                <w:rtl/>
              </w:rPr>
              <w:t>ת"פ</w:t>
            </w:r>
            <w:r w:rsidRPr="00062911">
              <w:rPr>
                <w:rFonts w:cs="FrankRuehl" w:hint="cs"/>
                <w:sz w:val="28"/>
                <w:szCs w:val="28"/>
                <w:rtl/>
              </w:rPr>
              <w:t xml:space="preserve"> </w:t>
            </w:r>
            <w:r w:rsidRPr="00062911">
              <w:rPr>
                <w:rFonts w:cs="FrankRuehl"/>
                <w:sz w:val="28"/>
                <w:szCs w:val="28"/>
                <w:rtl/>
              </w:rPr>
              <w:t>54141-03-22</w:t>
            </w:r>
            <w:r w:rsidRPr="00062911">
              <w:rPr>
                <w:rFonts w:cs="FrankRuehl" w:hint="cs"/>
                <w:sz w:val="28"/>
                <w:szCs w:val="28"/>
                <w:rtl/>
              </w:rPr>
              <w:t xml:space="preserve"> </w:t>
            </w:r>
            <w:r w:rsidRPr="00062911">
              <w:rPr>
                <w:rFonts w:cs="FrankRuehl"/>
                <w:sz w:val="28"/>
                <w:szCs w:val="28"/>
                <w:rtl/>
              </w:rPr>
              <w:t>מדינת ישראל נ' בן ארוש(עציר)</w:t>
            </w:r>
          </w:p>
          <w:p w14:paraId="581E0E8A" w14:textId="77777777" w:rsidR="00A7609B" w:rsidRPr="00062911" w:rsidRDefault="00A7609B" w:rsidP="008769DD">
            <w:pPr>
              <w:pStyle w:val="a3"/>
              <w:rPr>
                <w:rFonts w:cs="FrankRuehl"/>
                <w:sz w:val="28"/>
                <w:szCs w:val="28"/>
                <w:rtl/>
              </w:rPr>
            </w:pPr>
          </w:p>
        </w:tc>
        <w:tc>
          <w:tcPr>
            <w:tcW w:w="3663" w:type="dxa"/>
          </w:tcPr>
          <w:p w14:paraId="1420B2CE" w14:textId="77777777" w:rsidR="00A7609B" w:rsidRPr="00062911" w:rsidRDefault="00A7609B" w:rsidP="008769DD">
            <w:pPr>
              <w:pStyle w:val="a3"/>
              <w:jc w:val="right"/>
              <w:rPr>
                <w:rFonts w:cs="FrankRuehl"/>
                <w:sz w:val="28"/>
                <w:szCs w:val="28"/>
                <w:rtl/>
              </w:rPr>
            </w:pPr>
          </w:p>
        </w:tc>
      </w:tr>
    </w:tbl>
    <w:p w14:paraId="324F67FC" w14:textId="77777777" w:rsidR="00A7609B" w:rsidRPr="00062911" w:rsidRDefault="00A7609B" w:rsidP="00A7609B">
      <w:pPr>
        <w:pStyle w:val="a3"/>
        <w:rPr>
          <w:rtl/>
        </w:rPr>
      </w:pPr>
      <w:r w:rsidRPr="00062911">
        <w:rPr>
          <w:rFonts w:hint="cs"/>
          <w:rtl/>
        </w:rPr>
        <w:t xml:space="preserve"> </w:t>
      </w:r>
    </w:p>
    <w:p w14:paraId="2B54F1D6" w14:textId="77777777" w:rsidR="00A7609B" w:rsidRPr="00062911" w:rsidRDefault="00A7609B" w:rsidP="00A7609B">
      <w:pPr>
        <w:rPr>
          <w:rtl/>
        </w:rPr>
      </w:pPr>
    </w:p>
    <w:p w14:paraId="74CE5690" w14:textId="77777777" w:rsidR="00A7609B" w:rsidRPr="00062911" w:rsidRDefault="00A7609B" w:rsidP="00A7609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7609B" w:rsidRPr="00062911" w14:paraId="05FA5B80" w14:textId="77777777" w:rsidTr="00A7609B">
        <w:trPr>
          <w:trHeight w:val="295"/>
          <w:jc w:val="center"/>
        </w:trPr>
        <w:tc>
          <w:tcPr>
            <w:tcW w:w="923" w:type="dxa"/>
            <w:tcBorders>
              <w:top w:val="nil"/>
              <w:left w:val="nil"/>
              <w:bottom w:val="nil"/>
              <w:right w:val="nil"/>
            </w:tcBorders>
            <w:shd w:val="clear" w:color="auto" w:fill="auto"/>
          </w:tcPr>
          <w:p w14:paraId="2ADBB884" w14:textId="77777777" w:rsidR="00A7609B" w:rsidRPr="00062911" w:rsidRDefault="00A7609B" w:rsidP="00A7609B">
            <w:pPr>
              <w:jc w:val="both"/>
              <w:rPr>
                <w:rFonts w:ascii="David" w:hAnsi="David"/>
                <w:sz w:val="26"/>
                <w:szCs w:val="26"/>
              </w:rPr>
            </w:pPr>
            <w:r w:rsidRPr="0006291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A427080" w14:textId="77777777" w:rsidR="00A7609B" w:rsidRPr="00062911" w:rsidRDefault="00A7609B" w:rsidP="008769DD">
            <w:pPr>
              <w:rPr>
                <w:rFonts w:ascii="David" w:hAnsi="David"/>
                <w:b/>
                <w:bCs/>
                <w:sz w:val="26"/>
                <w:szCs w:val="26"/>
                <w:rtl/>
              </w:rPr>
            </w:pPr>
            <w:r w:rsidRPr="00062911">
              <w:rPr>
                <w:rFonts w:ascii="David" w:hAnsi="David"/>
                <w:b/>
                <w:bCs/>
                <w:sz w:val="26"/>
                <w:szCs w:val="26"/>
                <w:rtl/>
              </w:rPr>
              <w:t>כבוד השופט  טל ענר</w:t>
            </w:r>
          </w:p>
          <w:p w14:paraId="71E2C274" w14:textId="77777777" w:rsidR="00A7609B" w:rsidRPr="00062911" w:rsidRDefault="00A7609B" w:rsidP="008769DD">
            <w:pPr>
              <w:rPr>
                <w:rFonts w:ascii="David" w:hAnsi="David"/>
                <w:sz w:val="26"/>
                <w:szCs w:val="26"/>
                <w:rtl/>
              </w:rPr>
            </w:pPr>
          </w:p>
          <w:p w14:paraId="234AC1D2" w14:textId="77777777" w:rsidR="00A7609B" w:rsidRPr="00062911" w:rsidRDefault="00A7609B" w:rsidP="00A7609B">
            <w:pPr>
              <w:jc w:val="both"/>
              <w:rPr>
                <w:rFonts w:ascii="David" w:hAnsi="David"/>
                <w:sz w:val="26"/>
                <w:szCs w:val="26"/>
              </w:rPr>
            </w:pPr>
          </w:p>
        </w:tc>
      </w:tr>
      <w:tr w:rsidR="00A7609B" w:rsidRPr="00062911" w14:paraId="0EDD02F6" w14:textId="77777777" w:rsidTr="00A7609B">
        <w:trPr>
          <w:trHeight w:val="355"/>
          <w:jc w:val="center"/>
        </w:trPr>
        <w:tc>
          <w:tcPr>
            <w:tcW w:w="923" w:type="dxa"/>
            <w:tcBorders>
              <w:top w:val="nil"/>
              <w:left w:val="nil"/>
              <w:bottom w:val="nil"/>
              <w:right w:val="nil"/>
            </w:tcBorders>
            <w:shd w:val="clear" w:color="auto" w:fill="auto"/>
          </w:tcPr>
          <w:p w14:paraId="7094F88A" w14:textId="77777777" w:rsidR="00A7609B" w:rsidRPr="00062911" w:rsidRDefault="00A7609B" w:rsidP="00A7609B">
            <w:pPr>
              <w:jc w:val="both"/>
              <w:rPr>
                <w:rFonts w:ascii="David" w:hAnsi="David"/>
                <w:sz w:val="26"/>
                <w:szCs w:val="26"/>
              </w:rPr>
            </w:pPr>
            <w:bookmarkStart w:id="1" w:name="FirstAppellant"/>
            <w:r w:rsidRPr="00062911">
              <w:rPr>
                <w:rFonts w:ascii="David" w:hAnsi="David"/>
                <w:sz w:val="26"/>
                <w:szCs w:val="26"/>
                <w:rtl/>
              </w:rPr>
              <w:t>בעניין:</w:t>
            </w:r>
          </w:p>
        </w:tc>
        <w:tc>
          <w:tcPr>
            <w:tcW w:w="3219" w:type="dxa"/>
            <w:tcBorders>
              <w:top w:val="nil"/>
              <w:left w:val="nil"/>
              <w:bottom w:val="nil"/>
              <w:right w:val="nil"/>
            </w:tcBorders>
            <w:shd w:val="clear" w:color="auto" w:fill="auto"/>
          </w:tcPr>
          <w:p w14:paraId="1E0FCB6F" w14:textId="77777777" w:rsidR="00A7609B" w:rsidRPr="00062911" w:rsidRDefault="00A7609B" w:rsidP="00A7609B">
            <w:pPr>
              <w:suppressLineNumbers/>
            </w:pPr>
            <w:r w:rsidRPr="00062911">
              <w:rPr>
                <w:rFonts w:ascii="Arial" w:hAnsi="Arial" w:hint="cs"/>
                <w:b/>
                <w:bCs/>
                <w:sz w:val="26"/>
                <w:szCs w:val="26"/>
                <w:rtl/>
              </w:rPr>
              <w:t>ה</w:t>
            </w:r>
            <w:r w:rsidRPr="00062911">
              <w:rPr>
                <w:rFonts w:ascii="Arial" w:hAnsi="Arial"/>
                <w:b/>
                <w:bCs/>
                <w:sz w:val="26"/>
                <w:szCs w:val="26"/>
                <w:rtl/>
              </w:rPr>
              <w:t>מאשימה</w:t>
            </w:r>
          </w:p>
          <w:p w14:paraId="5EFC1A31" w14:textId="77777777" w:rsidR="00A7609B" w:rsidRPr="00062911" w:rsidRDefault="00A7609B" w:rsidP="008769DD">
            <w:pPr>
              <w:rPr>
                <w:rFonts w:ascii="David" w:hAnsi="David"/>
                <w:sz w:val="26"/>
                <w:szCs w:val="26"/>
              </w:rPr>
            </w:pPr>
          </w:p>
        </w:tc>
        <w:tc>
          <w:tcPr>
            <w:tcW w:w="4678" w:type="dxa"/>
            <w:tcBorders>
              <w:top w:val="nil"/>
              <w:left w:val="nil"/>
              <w:bottom w:val="nil"/>
              <w:right w:val="nil"/>
            </w:tcBorders>
            <w:shd w:val="clear" w:color="auto" w:fill="auto"/>
            <w:vAlign w:val="center"/>
          </w:tcPr>
          <w:p w14:paraId="0885C4D6" w14:textId="77777777" w:rsidR="00A7609B" w:rsidRPr="00062911" w:rsidRDefault="00A7609B" w:rsidP="00A7609B">
            <w:pPr>
              <w:suppressLineNumbers/>
              <w:rPr>
                <w:rFonts w:ascii="David" w:hAnsi="David"/>
                <w:sz w:val="26"/>
                <w:szCs w:val="26"/>
              </w:rPr>
            </w:pPr>
            <w:r w:rsidRPr="00062911">
              <w:rPr>
                <w:rFonts w:ascii="Arial" w:hAnsi="Arial"/>
                <w:b/>
                <w:bCs/>
                <w:sz w:val="26"/>
                <w:szCs w:val="26"/>
                <w:rtl/>
              </w:rPr>
              <w:t>מדינת ישראל</w:t>
            </w:r>
            <w:r w:rsidRPr="00062911">
              <w:rPr>
                <w:rFonts w:ascii="Arial" w:hAnsi="Arial" w:hint="cs"/>
                <w:b/>
                <w:bCs/>
                <w:sz w:val="26"/>
                <w:szCs w:val="26"/>
                <w:rtl/>
              </w:rPr>
              <w:t xml:space="preserve"> </w:t>
            </w:r>
          </w:p>
        </w:tc>
      </w:tr>
      <w:bookmarkEnd w:id="1"/>
      <w:tr w:rsidR="00A7609B" w:rsidRPr="00062911" w14:paraId="46F1C7C3" w14:textId="77777777" w:rsidTr="00A7609B">
        <w:trPr>
          <w:trHeight w:val="355"/>
          <w:jc w:val="center"/>
        </w:trPr>
        <w:tc>
          <w:tcPr>
            <w:tcW w:w="923" w:type="dxa"/>
            <w:tcBorders>
              <w:top w:val="nil"/>
              <w:left w:val="nil"/>
              <w:bottom w:val="nil"/>
              <w:right w:val="nil"/>
            </w:tcBorders>
            <w:shd w:val="clear" w:color="auto" w:fill="auto"/>
          </w:tcPr>
          <w:p w14:paraId="4FC75A34" w14:textId="77777777" w:rsidR="00A7609B" w:rsidRPr="00062911" w:rsidRDefault="00A7609B" w:rsidP="00A7609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DC57A1" w14:textId="77777777" w:rsidR="00A7609B" w:rsidRPr="00062911" w:rsidRDefault="00A7609B" w:rsidP="00A7609B">
            <w:pPr>
              <w:jc w:val="center"/>
              <w:rPr>
                <w:rFonts w:ascii="David" w:hAnsi="David"/>
                <w:b/>
                <w:bCs/>
                <w:sz w:val="26"/>
                <w:szCs w:val="26"/>
                <w:rtl/>
              </w:rPr>
            </w:pPr>
          </w:p>
          <w:p w14:paraId="791A940D" w14:textId="77777777" w:rsidR="00A7609B" w:rsidRPr="00062911" w:rsidRDefault="00A7609B" w:rsidP="00A7609B">
            <w:pPr>
              <w:jc w:val="center"/>
              <w:rPr>
                <w:rFonts w:ascii="David" w:hAnsi="David"/>
                <w:b/>
                <w:bCs/>
                <w:sz w:val="26"/>
                <w:szCs w:val="26"/>
                <w:rtl/>
              </w:rPr>
            </w:pPr>
            <w:r w:rsidRPr="00062911">
              <w:rPr>
                <w:rFonts w:ascii="David" w:hAnsi="David"/>
                <w:b/>
                <w:bCs/>
                <w:sz w:val="26"/>
                <w:szCs w:val="26"/>
                <w:rtl/>
              </w:rPr>
              <w:t>נגד</w:t>
            </w:r>
          </w:p>
          <w:p w14:paraId="0BAEAB64" w14:textId="77777777" w:rsidR="00A7609B" w:rsidRPr="00062911" w:rsidRDefault="00A7609B" w:rsidP="00A7609B">
            <w:pPr>
              <w:jc w:val="both"/>
              <w:rPr>
                <w:rFonts w:ascii="David" w:hAnsi="David"/>
                <w:sz w:val="26"/>
                <w:szCs w:val="26"/>
              </w:rPr>
            </w:pPr>
          </w:p>
        </w:tc>
      </w:tr>
      <w:tr w:rsidR="00A7609B" w:rsidRPr="00062911" w14:paraId="678F2082" w14:textId="77777777" w:rsidTr="00A7609B">
        <w:trPr>
          <w:trHeight w:val="355"/>
          <w:jc w:val="center"/>
        </w:trPr>
        <w:tc>
          <w:tcPr>
            <w:tcW w:w="923" w:type="dxa"/>
            <w:tcBorders>
              <w:top w:val="nil"/>
              <w:left w:val="nil"/>
              <w:bottom w:val="nil"/>
              <w:right w:val="nil"/>
            </w:tcBorders>
            <w:shd w:val="clear" w:color="auto" w:fill="auto"/>
          </w:tcPr>
          <w:p w14:paraId="448952AA" w14:textId="77777777" w:rsidR="00A7609B" w:rsidRPr="00062911" w:rsidRDefault="00A7609B" w:rsidP="008769DD">
            <w:pPr>
              <w:rPr>
                <w:rFonts w:ascii="David" w:hAnsi="David"/>
                <w:sz w:val="26"/>
                <w:szCs w:val="26"/>
                <w:rtl/>
              </w:rPr>
            </w:pPr>
          </w:p>
        </w:tc>
        <w:tc>
          <w:tcPr>
            <w:tcW w:w="3219" w:type="dxa"/>
            <w:tcBorders>
              <w:top w:val="nil"/>
              <w:left w:val="nil"/>
              <w:bottom w:val="nil"/>
              <w:right w:val="nil"/>
            </w:tcBorders>
            <w:shd w:val="clear" w:color="auto" w:fill="auto"/>
          </w:tcPr>
          <w:p w14:paraId="633520E4" w14:textId="77777777" w:rsidR="00A7609B" w:rsidRPr="00062911" w:rsidRDefault="00A7609B" w:rsidP="008769DD">
            <w:pPr>
              <w:rPr>
                <w:rFonts w:ascii="Arial" w:hAnsi="Arial"/>
                <w:b/>
                <w:bCs/>
                <w:sz w:val="26"/>
                <w:szCs w:val="26"/>
                <w:rtl/>
              </w:rPr>
            </w:pPr>
            <w:r w:rsidRPr="00062911">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83BC291" w14:textId="77777777" w:rsidR="00A7609B" w:rsidRPr="00062911" w:rsidRDefault="00A7609B" w:rsidP="00A7609B">
            <w:pPr>
              <w:suppressLineNumbers/>
            </w:pPr>
            <w:r w:rsidRPr="00062911">
              <w:rPr>
                <w:rFonts w:ascii="Arial" w:hAnsi="Arial"/>
                <w:b/>
                <w:bCs/>
                <w:sz w:val="26"/>
                <w:szCs w:val="26"/>
                <w:rtl/>
              </w:rPr>
              <w:t xml:space="preserve">אושרי בן ארוש </w:t>
            </w:r>
          </w:p>
          <w:p w14:paraId="77A3F230" w14:textId="77777777" w:rsidR="00A7609B" w:rsidRPr="00062911" w:rsidRDefault="00A7609B" w:rsidP="008769DD">
            <w:pPr>
              <w:rPr>
                <w:rFonts w:ascii="David" w:hAnsi="David"/>
                <w:sz w:val="26"/>
                <w:szCs w:val="26"/>
              </w:rPr>
            </w:pPr>
          </w:p>
        </w:tc>
      </w:tr>
      <w:tr w:rsidR="00A7609B" w:rsidRPr="00062911" w14:paraId="15A54A51" w14:textId="77777777" w:rsidTr="00A7609B">
        <w:trPr>
          <w:trHeight w:val="355"/>
          <w:jc w:val="center"/>
        </w:trPr>
        <w:tc>
          <w:tcPr>
            <w:tcW w:w="923" w:type="dxa"/>
            <w:tcBorders>
              <w:top w:val="nil"/>
              <w:left w:val="nil"/>
              <w:bottom w:val="nil"/>
              <w:right w:val="nil"/>
            </w:tcBorders>
            <w:shd w:val="clear" w:color="auto" w:fill="auto"/>
          </w:tcPr>
          <w:p w14:paraId="78DF0BD7" w14:textId="77777777" w:rsidR="00A7609B" w:rsidRPr="00062911" w:rsidRDefault="00A7609B" w:rsidP="00A7609B">
            <w:pPr>
              <w:jc w:val="both"/>
              <w:rPr>
                <w:rFonts w:ascii="David" w:hAnsi="David"/>
                <w:sz w:val="26"/>
                <w:szCs w:val="26"/>
                <w:rtl/>
              </w:rPr>
            </w:pPr>
          </w:p>
        </w:tc>
        <w:tc>
          <w:tcPr>
            <w:tcW w:w="3219" w:type="dxa"/>
            <w:tcBorders>
              <w:top w:val="nil"/>
              <w:left w:val="nil"/>
              <w:bottom w:val="nil"/>
              <w:right w:val="nil"/>
            </w:tcBorders>
            <w:shd w:val="clear" w:color="auto" w:fill="auto"/>
          </w:tcPr>
          <w:p w14:paraId="1FD63789" w14:textId="77777777" w:rsidR="00A7609B" w:rsidRPr="00062911" w:rsidRDefault="00A7609B" w:rsidP="00A7609B">
            <w:pPr>
              <w:jc w:val="both"/>
              <w:rPr>
                <w:rFonts w:ascii="David" w:hAnsi="David"/>
                <w:sz w:val="26"/>
                <w:szCs w:val="26"/>
                <w:rtl/>
              </w:rPr>
            </w:pPr>
          </w:p>
        </w:tc>
        <w:tc>
          <w:tcPr>
            <w:tcW w:w="4678" w:type="dxa"/>
            <w:tcBorders>
              <w:top w:val="nil"/>
              <w:left w:val="nil"/>
              <w:bottom w:val="nil"/>
              <w:right w:val="nil"/>
            </w:tcBorders>
            <w:shd w:val="clear" w:color="auto" w:fill="auto"/>
          </w:tcPr>
          <w:p w14:paraId="781D4321" w14:textId="77777777" w:rsidR="00A7609B" w:rsidRPr="00062911" w:rsidRDefault="00A7609B" w:rsidP="00A7609B">
            <w:pPr>
              <w:jc w:val="right"/>
              <w:rPr>
                <w:rFonts w:ascii="David" w:hAnsi="David"/>
                <w:sz w:val="26"/>
                <w:szCs w:val="26"/>
              </w:rPr>
            </w:pPr>
          </w:p>
        </w:tc>
      </w:tr>
    </w:tbl>
    <w:p w14:paraId="0120CCB0" w14:textId="77777777" w:rsidR="00340B9A" w:rsidRPr="00340B9A" w:rsidRDefault="00340B9A" w:rsidP="00340B9A">
      <w:pPr>
        <w:spacing w:before="120" w:after="120" w:line="240" w:lineRule="exact"/>
        <w:ind w:left="283" w:hanging="283"/>
        <w:jc w:val="both"/>
        <w:rPr>
          <w:rFonts w:ascii="FrankRuehl" w:hAnsi="FrankRuehl" w:cs="FrankRuehl"/>
          <w:rtl/>
        </w:rPr>
      </w:pPr>
    </w:p>
    <w:p w14:paraId="62592572" w14:textId="77777777" w:rsidR="00FF0BEB" w:rsidRDefault="00FF0BEB" w:rsidP="00FF0BEB">
      <w:pPr>
        <w:rPr>
          <w:sz w:val="26"/>
          <w:szCs w:val="26"/>
          <w:rtl/>
        </w:rPr>
      </w:pPr>
      <w:bookmarkStart w:id="2" w:name="LawTable"/>
      <w:bookmarkEnd w:id="2"/>
    </w:p>
    <w:p w14:paraId="10FE7862" w14:textId="77777777" w:rsidR="00FF0BEB" w:rsidRPr="00FF0BEB" w:rsidRDefault="00FF0BEB" w:rsidP="00FF0BEB">
      <w:pPr>
        <w:spacing w:before="120" w:after="120" w:line="240" w:lineRule="exact"/>
        <w:ind w:left="283" w:hanging="283"/>
        <w:jc w:val="both"/>
        <w:rPr>
          <w:rFonts w:ascii="FrankRuehl" w:hAnsi="FrankRuehl" w:cs="FrankRuehl"/>
          <w:rtl/>
        </w:rPr>
      </w:pPr>
    </w:p>
    <w:p w14:paraId="0D5D111C" w14:textId="77777777" w:rsidR="00FF0BEB" w:rsidRPr="00FF0BEB" w:rsidRDefault="00FF0BEB" w:rsidP="00FF0BEB">
      <w:pPr>
        <w:spacing w:before="120" w:after="120" w:line="240" w:lineRule="exact"/>
        <w:ind w:left="283" w:hanging="283"/>
        <w:jc w:val="both"/>
        <w:rPr>
          <w:rFonts w:ascii="FrankRuehl" w:hAnsi="FrankRuehl" w:cs="FrankRuehl"/>
          <w:rtl/>
        </w:rPr>
      </w:pPr>
    </w:p>
    <w:p w14:paraId="466619EA" w14:textId="77777777" w:rsidR="00FF0BEB" w:rsidRPr="00FF0BEB" w:rsidRDefault="00FF0BEB" w:rsidP="00FF0BEB">
      <w:pPr>
        <w:spacing w:before="120" w:after="120" w:line="240" w:lineRule="exact"/>
        <w:ind w:left="283" w:hanging="283"/>
        <w:jc w:val="both"/>
        <w:rPr>
          <w:rFonts w:ascii="FrankRuehl" w:hAnsi="FrankRuehl" w:cs="FrankRuehl"/>
          <w:rtl/>
        </w:rPr>
      </w:pPr>
      <w:r w:rsidRPr="00FF0BEB">
        <w:rPr>
          <w:rFonts w:ascii="FrankRuehl" w:hAnsi="FrankRuehl" w:cs="FrankRuehl"/>
          <w:rtl/>
        </w:rPr>
        <w:t xml:space="preserve">חקיקה שאוזכרה: </w:t>
      </w:r>
    </w:p>
    <w:p w14:paraId="55FD0F6E" w14:textId="77777777" w:rsidR="00FF0BEB" w:rsidRPr="00FF0BEB" w:rsidRDefault="00FF0BEB" w:rsidP="00FF0BEB">
      <w:pPr>
        <w:spacing w:before="120" w:after="120" w:line="240" w:lineRule="exact"/>
        <w:ind w:left="283" w:hanging="283"/>
        <w:jc w:val="both"/>
        <w:rPr>
          <w:rFonts w:ascii="FrankRuehl" w:hAnsi="FrankRuehl" w:cs="FrankRuehl"/>
          <w:rtl/>
        </w:rPr>
      </w:pPr>
      <w:hyperlink r:id="rId7" w:history="1">
        <w:r w:rsidRPr="00FF0BEB">
          <w:rPr>
            <w:rFonts w:ascii="FrankRuehl" w:hAnsi="FrankRuehl" w:cs="FrankRuehl"/>
            <w:color w:val="0000FF"/>
            <w:rtl/>
          </w:rPr>
          <w:t>פקודת הסמים המסוכנים [נוסח חדש], תשל"ג-1973</w:t>
        </w:r>
      </w:hyperlink>
      <w:r w:rsidRPr="00FF0BEB">
        <w:rPr>
          <w:rFonts w:ascii="FrankRuehl" w:hAnsi="FrankRuehl" w:cs="FrankRuehl"/>
          <w:rtl/>
        </w:rPr>
        <w:t xml:space="preserve">: סע'  </w:t>
      </w:r>
      <w:hyperlink r:id="rId8" w:history="1">
        <w:r w:rsidRPr="00FF0BEB">
          <w:rPr>
            <w:rFonts w:ascii="FrankRuehl" w:hAnsi="FrankRuehl" w:cs="FrankRuehl"/>
            <w:color w:val="0000FF"/>
            <w:rtl/>
          </w:rPr>
          <w:t>36(1)</w:t>
        </w:r>
      </w:hyperlink>
      <w:r w:rsidRPr="00FF0BEB">
        <w:rPr>
          <w:rFonts w:ascii="FrankRuehl" w:hAnsi="FrankRuehl" w:cs="FrankRuehl"/>
          <w:rtl/>
        </w:rPr>
        <w:t xml:space="preserve">, </w:t>
      </w:r>
      <w:hyperlink r:id="rId9" w:history="1">
        <w:r w:rsidRPr="00FF0BEB">
          <w:rPr>
            <w:rFonts w:ascii="FrankRuehl" w:hAnsi="FrankRuehl" w:cs="FrankRuehl"/>
            <w:color w:val="0000FF"/>
            <w:rtl/>
          </w:rPr>
          <w:t>36א(ב)</w:t>
        </w:r>
      </w:hyperlink>
    </w:p>
    <w:p w14:paraId="6845DE9A" w14:textId="77777777" w:rsidR="00FF0BEB" w:rsidRPr="00FF0BEB" w:rsidRDefault="00FF0BEB" w:rsidP="00FF0BEB">
      <w:pPr>
        <w:rPr>
          <w:sz w:val="26"/>
          <w:szCs w:val="26"/>
          <w:rtl/>
        </w:rPr>
      </w:pPr>
      <w:bookmarkStart w:id="3" w:name="LawTable_End"/>
      <w:bookmarkEnd w:id="3"/>
    </w:p>
    <w:p w14:paraId="5B79AC82" w14:textId="77777777" w:rsidR="00A7609B" w:rsidRPr="00340B9A" w:rsidRDefault="00A7609B" w:rsidP="00340B9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609B" w14:paraId="160C8971" w14:textId="77777777" w:rsidTr="00A7609B">
        <w:trPr>
          <w:trHeight w:val="355"/>
          <w:jc w:val="center"/>
        </w:trPr>
        <w:tc>
          <w:tcPr>
            <w:tcW w:w="8820" w:type="dxa"/>
            <w:tcBorders>
              <w:top w:val="nil"/>
              <w:left w:val="nil"/>
              <w:bottom w:val="nil"/>
              <w:right w:val="nil"/>
            </w:tcBorders>
            <w:shd w:val="clear" w:color="auto" w:fill="auto"/>
          </w:tcPr>
          <w:p w14:paraId="65DBED03" w14:textId="77777777" w:rsidR="00062911" w:rsidRPr="00062911" w:rsidRDefault="00062911" w:rsidP="00062911">
            <w:pPr>
              <w:jc w:val="center"/>
              <w:rPr>
                <w:rFonts w:ascii="David" w:hAnsi="David"/>
                <w:b/>
                <w:bCs/>
                <w:sz w:val="32"/>
                <w:szCs w:val="32"/>
                <w:u w:val="single"/>
                <w:rtl/>
              </w:rPr>
            </w:pPr>
            <w:bookmarkStart w:id="4" w:name="PsakDin" w:colFirst="0" w:colLast="0"/>
            <w:bookmarkEnd w:id="0"/>
            <w:r w:rsidRPr="00062911">
              <w:rPr>
                <w:rFonts w:ascii="David" w:hAnsi="David"/>
                <w:b/>
                <w:bCs/>
                <w:sz w:val="32"/>
                <w:szCs w:val="32"/>
                <w:u w:val="single"/>
                <w:rtl/>
              </w:rPr>
              <w:t>גזר דין</w:t>
            </w:r>
          </w:p>
          <w:p w14:paraId="41207A9C" w14:textId="77777777" w:rsidR="00A7609B" w:rsidRPr="00062911" w:rsidRDefault="00A7609B" w:rsidP="00062911">
            <w:pPr>
              <w:jc w:val="center"/>
              <w:rPr>
                <w:rFonts w:ascii="David" w:hAnsi="David"/>
                <w:bCs/>
                <w:sz w:val="32"/>
                <w:szCs w:val="32"/>
                <w:u w:val="single"/>
                <w:rtl/>
              </w:rPr>
            </w:pPr>
          </w:p>
        </w:tc>
      </w:tr>
      <w:bookmarkEnd w:id="4"/>
    </w:tbl>
    <w:p w14:paraId="7A017490" w14:textId="77777777" w:rsidR="00A7609B" w:rsidRPr="000F2247" w:rsidRDefault="00A7609B" w:rsidP="00A7609B">
      <w:pPr>
        <w:rPr>
          <w:rFonts w:ascii="Arial" w:hAnsi="Arial"/>
          <w:b/>
          <w:bCs/>
          <w:sz w:val="26"/>
          <w:szCs w:val="26"/>
          <w:rtl/>
        </w:rPr>
      </w:pPr>
    </w:p>
    <w:p w14:paraId="24E1A137" w14:textId="77777777" w:rsidR="00A7609B" w:rsidRPr="00620C3A" w:rsidRDefault="00A7609B" w:rsidP="00A7609B">
      <w:pPr>
        <w:pStyle w:val="a9"/>
        <w:numPr>
          <w:ilvl w:val="0"/>
          <w:numId w:val="1"/>
        </w:numPr>
        <w:spacing w:line="360" w:lineRule="auto"/>
        <w:jc w:val="both"/>
        <w:rPr>
          <w:rFonts w:ascii="David" w:hAnsi="David" w:cs="David"/>
          <w:sz w:val="24"/>
          <w:szCs w:val="24"/>
        </w:rPr>
      </w:pPr>
      <w:bookmarkStart w:id="5" w:name="ABSTRACT_START"/>
      <w:bookmarkEnd w:id="5"/>
      <w:r w:rsidRPr="00620C3A">
        <w:rPr>
          <w:rFonts w:ascii="David" w:hAnsi="David" w:cs="David"/>
          <w:sz w:val="24"/>
          <w:szCs w:val="24"/>
          <w:rtl/>
        </w:rPr>
        <w:t>הנאשם הורשע על פי הודאתו בכתב האישום המתוקן, בעבירות של סחר בסמים והפרת הוראה חוקית.</w:t>
      </w:r>
      <w:r w:rsidRPr="00620C3A">
        <w:rPr>
          <w:rFonts w:ascii="David" w:hAnsi="David" w:cs="David" w:hint="cs"/>
          <w:sz w:val="24"/>
          <w:szCs w:val="24"/>
          <w:rtl/>
        </w:rPr>
        <w:t xml:space="preserve"> </w:t>
      </w:r>
      <w:r w:rsidRPr="00620C3A">
        <w:rPr>
          <w:rFonts w:ascii="David" w:hAnsi="David" w:cs="David"/>
          <w:sz w:val="24"/>
          <w:szCs w:val="24"/>
          <w:rtl/>
        </w:rPr>
        <w:t xml:space="preserve">כעולה מעובדות כתב האישום, סחר הנאשם בסם מסוג קוקאין בכמות </w:t>
      </w:r>
      <w:r w:rsidRPr="00620C3A">
        <w:rPr>
          <w:rFonts w:ascii="David" w:hAnsi="David" w:cs="David"/>
          <w:b/>
          <w:bCs/>
          <w:sz w:val="24"/>
          <w:szCs w:val="24"/>
          <w:u w:val="single"/>
          <w:rtl/>
        </w:rPr>
        <w:t>0.1 גרם</w:t>
      </w:r>
      <w:r w:rsidRPr="00620C3A">
        <w:rPr>
          <w:rFonts w:ascii="David" w:hAnsi="David" w:cs="David"/>
          <w:sz w:val="24"/>
          <w:szCs w:val="24"/>
          <w:rtl/>
        </w:rPr>
        <w:t xml:space="preserve">, תמורת </w:t>
      </w:r>
      <w:r w:rsidRPr="00620C3A">
        <w:rPr>
          <w:rFonts w:ascii="David" w:hAnsi="David" w:cs="David"/>
          <w:sz w:val="24"/>
          <w:szCs w:val="24"/>
          <w:rtl/>
        </w:rPr>
        <w:br/>
        <w:t>400 ש"ח. אירוע הסחר התרחש כשהנאשם מפר תנאים מגבילים ומכאן ההרשעה בהפרת הוראה חוקית.</w:t>
      </w:r>
    </w:p>
    <w:p w14:paraId="7EF279D7" w14:textId="77777777" w:rsidR="00A7609B" w:rsidRPr="00620C3A" w:rsidRDefault="00A7609B" w:rsidP="00A7609B">
      <w:pPr>
        <w:pStyle w:val="a9"/>
        <w:spacing w:line="360" w:lineRule="auto"/>
        <w:ind w:left="360"/>
        <w:jc w:val="both"/>
        <w:rPr>
          <w:rFonts w:ascii="David" w:hAnsi="David" w:cs="David"/>
          <w:sz w:val="24"/>
          <w:szCs w:val="24"/>
        </w:rPr>
      </w:pPr>
      <w:bookmarkStart w:id="6" w:name="ABSTRACT_END"/>
      <w:bookmarkEnd w:id="6"/>
    </w:p>
    <w:p w14:paraId="37393C85" w14:textId="77777777" w:rsidR="00A7609B" w:rsidRDefault="00A7609B" w:rsidP="00A7609B">
      <w:pPr>
        <w:pStyle w:val="a9"/>
        <w:numPr>
          <w:ilvl w:val="0"/>
          <w:numId w:val="1"/>
        </w:numPr>
        <w:spacing w:line="360" w:lineRule="auto"/>
        <w:jc w:val="both"/>
        <w:rPr>
          <w:rFonts w:ascii="David" w:hAnsi="David" w:cs="David"/>
          <w:sz w:val="24"/>
          <w:szCs w:val="24"/>
        </w:rPr>
      </w:pPr>
      <w:r>
        <w:rPr>
          <w:rFonts w:ascii="David" w:hAnsi="David" w:cs="David"/>
          <w:sz w:val="24"/>
          <w:szCs w:val="24"/>
          <w:rtl/>
        </w:rPr>
        <w:t>המאשימה בטיעוניה לעונש ציינה את הפגיעה בבריאות הציבור ובמלחמה בנגע הסמים, לצד הפגיעה בסדרי השלטון והמשפט. המאשימה עתרה, בין השאר על בסיס פסיקה שהוגשה, לקבוע מתחם ענישה כולל של 10 עד 24 חודשי מאסר. המאשימה עמדה על עברו הפלילי של הנאשם הכולל ארבע הרשעות קודמות וכן מאסר מותנה בר הפעלה בן 12 חודשים. בסיכומו של דבר עתרה התביעה, בשל עבר</w:t>
      </w:r>
      <w:r>
        <w:rPr>
          <w:rFonts w:ascii="David" w:hAnsi="David" w:cs="David" w:hint="cs"/>
          <w:sz w:val="24"/>
          <w:szCs w:val="24"/>
          <w:rtl/>
        </w:rPr>
        <w:t>ו</w:t>
      </w:r>
      <w:r>
        <w:rPr>
          <w:rFonts w:ascii="David" w:hAnsi="David" w:cs="David"/>
          <w:sz w:val="24"/>
          <w:szCs w:val="24"/>
          <w:rtl/>
        </w:rPr>
        <w:t xml:space="preserve"> הפלילי </w:t>
      </w:r>
      <w:r>
        <w:rPr>
          <w:rFonts w:ascii="David" w:hAnsi="David" w:cs="David" w:hint="cs"/>
          <w:sz w:val="24"/>
          <w:szCs w:val="24"/>
          <w:rtl/>
        </w:rPr>
        <w:t xml:space="preserve">של הנאשם </w:t>
      </w:r>
      <w:r>
        <w:rPr>
          <w:rFonts w:ascii="David" w:hAnsi="David" w:cs="David"/>
          <w:sz w:val="24"/>
          <w:szCs w:val="24"/>
          <w:rtl/>
        </w:rPr>
        <w:t xml:space="preserve">ושיקולי הרתעה לגזור עונש במרכז המתחם – 16 חודשי מאסר, להפעיל את המאסר המותנה, וכן להטיל מאסרים מותנים, פסילת רישיון נהיגה וקנס מרתיע. התביעה עתרה לצבור את כל רכיבי המאסר בפועל זה לזה וכן לעונש המאסר אותו </w:t>
      </w:r>
      <w:r>
        <w:rPr>
          <w:rFonts w:ascii="David" w:hAnsi="David" w:cs="David"/>
          <w:sz w:val="24"/>
          <w:szCs w:val="24"/>
          <w:rtl/>
        </w:rPr>
        <w:lastRenderedPageBreak/>
        <w:t>מרצה הנאשם כעת. לבסוף התבקשתי להכריז על הנאשם סוחר סמים ולחלט את הרכוש התפוס המוזכר בכתב האישום המתוקן.</w:t>
      </w:r>
    </w:p>
    <w:p w14:paraId="29D38745" w14:textId="77777777" w:rsidR="00A7609B" w:rsidRDefault="00A7609B" w:rsidP="00A7609B">
      <w:pPr>
        <w:pStyle w:val="a9"/>
        <w:rPr>
          <w:rFonts w:ascii="David" w:hAnsi="David" w:cs="David"/>
          <w:sz w:val="24"/>
          <w:szCs w:val="24"/>
        </w:rPr>
      </w:pPr>
    </w:p>
    <w:p w14:paraId="32F92A73" w14:textId="77777777" w:rsidR="00A7609B" w:rsidRDefault="00A7609B" w:rsidP="00A7609B">
      <w:pPr>
        <w:pStyle w:val="a9"/>
        <w:numPr>
          <w:ilvl w:val="0"/>
          <w:numId w:val="1"/>
        </w:numPr>
        <w:spacing w:line="360" w:lineRule="auto"/>
        <w:jc w:val="both"/>
        <w:rPr>
          <w:rFonts w:ascii="David" w:hAnsi="David" w:cs="David"/>
          <w:sz w:val="24"/>
          <w:szCs w:val="24"/>
          <w:rtl/>
        </w:rPr>
      </w:pPr>
      <w:r>
        <w:rPr>
          <w:rFonts w:ascii="David" w:hAnsi="David" w:cs="David"/>
          <w:sz w:val="24"/>
          <w:szCs w:val="24"/>
          <w:rtl/>
        </w:rPr>
        <w:t>הסניגור טען כי עתירת המאשימה אינה מידתית ואינה מתיישבת עם המקובל בפסיקה. לעניין נסיבות העבירה עמד הסניגור על כך שמדובר בעיסקה אחת, ובכמות מזערית של סם (0.1 גרם, כאמור). בעניין המאסר המותנה טען הסניגור שאין הלימה בין אורכו של המאסר המתונה לבין העבירות בתיק הנוכחי שהביאו להפעלתו. בעניין זה הופניתי ל</w:t>
      </w:r>
      <w:hyperlink r:id="rId10" w:history="1">
        <w:r w:rsidR="00062911" w:rsidRPr="00062911">
          <w:rPr>
            <w:rFonts w:ascii="David" w:hAnsi="David" w:cs="David"/>
            <w:color w:val="0000FF"/>
            <w:sz w:val="24"/>
            <w:szCs w:val="24"/>
            <w:u w:val="single"/>
            <w:rtl/>
          </w:rPr>
          <w:t>רע"פ 1441/14</w:t>
        </w:r>
      </w:hyperlink>
      <w:r>
        <w:rPr>
          <w:rFonts w:ascii="David" w:hAnsi="David" w:cs="David"/>
          <w:sz w:val="24"/>
          <w:szCs w:val="24"/>
          <w:rtl/>
        </w:rPr>
        <w:t xml:space="preserve"> </w:t>
      </w:r>
      <w:r>
        <w:rPr>
          <w:rFonts w:ascii="David" w:hAnsi="David" w:cs="David"/>
          <w:b/>
          <w:bCs/>
          <w:sz w:val="24"/>
          <w:szCs w:val="24"/>
          <w:rtl/>
        </w:rPr>
        <w:t>חמיס נ' מדינת ישראל</w:t>
      </w:r>
      <w:r>
        <w:rPr>
          <w:rFonts w:ascii="David" w:hAnsi="David" w:cs="David"/>
          <w:sz w:val="24"/>
          <w:szCs w:val="24"/>
          <w:rtl/>
        </w:rPr>
        <w:t>. הסניגור הפנה להודאה שחסכה זמן שיפוטי, לחרטה שהביע הנאשם, להליך שיקומי אותו החל בין כתלי הכלא ולעובדה שהוא מרצה כעת מאסר ממושך בן 25 חודשים ב</w:t>
      </w:r>
      <w:r>
        <w:rPr>
          <w:rFonts w:ascii="David" w:hAnsi="David" w:cs="David" w:hint="cs"/>
          <w:sz w:val="24"/>
          <w:szCs w:val="24"/>
          <w:rtl/>
        </w:rPr>
        <w:t>עקבות הרשעתו ב</w:t>
      </w:r>
      <w:r>
        <w:rPr>
          <w:rFonts w:ascii="David" w:hAnsi="David" w:cs="David"/>
          <w:sz w:val="24"/>
          <w:szCs w:val="24"/>
          <w:rtl/>
        </w:rPr>
        <w:t xml:space="preserve">תיק אחר. בנסיבות אלה עתר הסניגור להארכת המאסר המותנה, ולחילופין לגזור את הדין באופן שהמאסר שיוטל יהיה בחפיפה מלאה למאסר אותו מרצה כעת. לבסוף, הסניגור התנגד להכרזה </w:t>
      </w:r>
      <w:r>
        <w:rPr>
          <w:rFonts w:ascii="David" w:hAnsi="David" w:cs="David" w:hint="cs"/>
          <w:sz w:val="24"/>
          <w:szCs w:val="24"/>
          <w:rtl/>
        </w:rPr>
        <w:t>על</w:t>
      </w:r>
      <w:r>
        <w:rPr>
          <w:rFonts w:ascii="David" w:hAnsi="David" w:cs="David"/>
          <w:sz w:val="24"/>
          <w:szCs w:val="24"/>
          <w:rtl/>
        </w:rPr>
        <w:t xml:space="preserve"> הנאשם כסוחר סמים וביקש להשיב לו את התפוסים.</w:t>
      </w:r>
    </w:p>
    <w:p w14:paraId="1BDE4317"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Pr>
      </w:pPr>
      <w:r>
        <w:rPr>
          <w:rFonts w:ascii="David" w:hAnsi="David" w:cs="David"/>
          <w:rtl/>
        </w:rPr>
        <w:t>בקביעת מתחם העונש ההולם בהתאם לעקרון ההלימה, יש להתחשב בערכים החברתיים שנפגעו, במידת הפגיעה, במדיניות הענישה הנוהגת ובנסיבות הקשורות ב</w:t>
      </w:r>
      <w:r>
        <w:rPr>
          <w:rFonts w:ascii="David" w:hAnsi="David" w:cs="David" w:hint="cs"/>
          <w:rtl/>
        </w:rPr>
        <w:t>ביצוע ה</w:t>
      </w:r>
      <w:r>
        <w:rPr>
          <w:rFonts w:ascii="David" w:hAnsi="David" w:cs="David"/>
          <w:rtl/>
        </w:rPr>
        <w:t>עבירה</w:t>
      </w:r>
      <w:r>
        <w:rPr>
          <w:rFonts w:ascii="David" w:hAnsi="David" w:cs="David"/>
          <w:color w:val="000000"/>
          <w:rtl/>
        </w:rPr>
        <w:t xml:space="preserve">. בענייננו הערכים המוגנים שנפגעו הם בריאות הציבור והמלחמה בנגע הסמים. בנוסף פגע הנאשם בסדרי השלטון והמשפט ובערך של כיבוד החלטות שיפוטיות. </w:t>
      </w:r>
    </w:p>
    <w:p w14:paraId="38C07D82" w14:textId="77777777" w:rsidR="00A7609B" w:rsidRDefault="00A7609B" w:rsidP="00A7609B">
      <w:pPr>
        <w:pStyle w:val="a9"/>
        <w:rPr>
          <w:rFonts w:ascii="David" w:hAnsi="David" w:cs="David"/>
          <w:color w:val="000000"/>
          <w:sz w:val="24"/>
          <w:szCs w:val="24"/>
        </w:rPr>
      </w:pPr>
    </w:p>
    <w:p w14:paraId="4B9BA7E3"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tl/>
        </w:rPr>
      </w:pPr>
      <w:r>
        <w:rPr>
          <w:rFonts w:ascii="David" w:hAnsi="David" w:cs="David"/>
          <w:color w:val="000000"/>
          <w:rtl/>
        </w:rPr>
        <w:t xml:space="preserve">פסיקת בתי המשפט חזרה ושנתה כי מי שחוטא בסחר בסמים, לא כל שכן בסמים המוגדרים כקשים כגון קוקאין, ראוי לעונש של מאסר מאחורי סורג ובריח. דברים אלה נכונים ביתר שאת, שעה שהעבירה מבוצעת תוך כדי הפרת תנאי שחרור. מנגד, אין להתעלם מכך שמדובר באירוע מכירה </w:t>
      </w:r>
      <w:r>
        <w:rPr>
          <w:rFonts w:ascii="David" w:hAnsi="David" w:cs="David" w:hint="cs"/>
          <w:color w:val="000000"/>
          <w:rtl/>
        </w:rPr>
        <w:t>יחיד</w:t>
      </w:r>
      <w:r>
        <w:rPr>
          <w:rFonts w:ascii="David" w:hAnsi="David" w:cs="David"/>
          <w:color w:val="000000"/>
          <w:rtl/>
        </w:rPr>
        <w:t xml:space="preserve">, ובכמות קטנה של סם. בשקלול הנתונים סבורני כי הפגיעה בערכים המוגנים אינה ברמה גבוהה. </w:t>
      </w:r>
    </w:p>
    <w:p w14:paraId="2D848A21" w14:textId="77777777" w:rsidR="00A7609B" w:rsidRDefault="00A7609B" w:rsidP="00A7609B">
      <w:pPr>
        <w:pStyle w:val="a9"/>
        <w:rPr>
          <w:rFonts w:ascii="David" w:hAnsi="David" w:cs="David"/>
          <w:color w:val="000000"/>
          <w:sz w:val="24"/>
          <w:szCs w:val="24"/>
        </w:rPr>
      </w:pPr>
    </w:p>
    <w:p w14:paraId="50B3E596"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tl/>
        </w:rPr>
      </w:pPr>
      <w:r>
        <w:rPr>
          <w:rFonts w:ascii="David" w:hAnsi="David" w:cs="David"/>
          <w:color w:val="000000"/>
          <w:rtl/>
        </w:rPr>
        <w:t>בית המשפט העליון נדרש במספר הזדמנויות לסוגיית מתחמי הענישה בעבירות של סחר בסם מסוכן מסוג קוקאין במשקל של גרמים בודדים ואף פחות מכך.</w:t>
      </w:r>
    </w:p>
    <w:p w14:paraId="207B7DEA" w14:textId="77777777" w:rsidR="00A7609B" w:rsidRDefault="00A7609B" w:rsidP="00A7609B">
      <w:pPr>
        <w:pStyle w:val="a9"/>
        <w:rPr>
          <w:rFonts w:ascii="David" w:hAnsi="David" w:cs="David"/>
          <w:color w:val="000000"/>
          <w:sz w:val="24"/>
          <w:szCs w:val="24"/>
        </w:rPr>
      </w:pPr>
    </w:p>
    <w:p w14:paraId="3C9A4C5B" w14:textId="77777777" w:rsidR="00A7609B" w:rsidRDefault="00A7609B" w:rsidP="00A7609B">
      <w:pPr>
        <w:pStyle w:val="aa"/>
        <w:bidi/>
        <w:spacing w:before="0" w:beforeAutospacing="0" w:after="0" w:afterAutospacing="0" w:line="360" w:lineRule="atLeast"/>
        <w:ind w:left="360"/>
        <w:jc w:val="both"/>
        <w:rPr>
          <w:rFonts w:ascii="David" w:hAnsi="David" w:cs="David"/>
          <w:color w:val="000000"/>
          <w:rtl/>
        </w:rPr>
      </w:pPr>
      <w:r>
        <w:rPr>
          <w:rFonts w:ascii="David" w:hAnsi="David" w:cs="David"/>
          <w:color w:val="000000"/>
          <w:rtl/>
        </w:rPr>
        <w:t>ב</w:t>
      </w:r>
      <w:hyperlink r:id="rId11" w:history="1">
        <w:r w:rsidR="00062911" w:rsidRPr="00062911">
          <w:rPr>
            <w:rFonts w:ascii="David" w:hAnsi="David" w:cs="David"/>
            <w:color w:val="0000FF"/>
            <w:u w:val="single"/>
            <w:rtl/>
          </w:rPr>
          <w:t>רע"פ 126/15</w:t>
        </w:r>
      </w:hyperlink>
      <w:r>
        <w:rPr>
          <w:rFonts w:ascii="David" w:hAnsi="David" w:cs="David"/>
          <w:color w:val="000000"/>
        </w:rPr>
        <w:t xml:space="preserve"> </w:t>
      </w:r>
      <w:r>
        <w:rPr>
          <w:rFonts w:ascii="David" w:hAnsi="David" w:cs="David"/>
          <w:b/>
          <w:bCs/>
          <w:color w:val="000000"/>
          <w:rtl/>
        </w:rPr>
        <w:t>חביף נ' מדינת ישראל</w:t>
      </w:r>
      <w:r>
        <w:rPr>
          <w:rFonts w:ascii="David" w:hAnsi="David" w:cs="David"/>
          <w:color w:val="000000"/>
          <w:rtl/>
        </w:rPr>
        <w:t xml:space="preserve"> (15.01.2015), מכר הנאשם קוקאין לסוכן משטרתי בשלושה אירועים שונים, במשקלים של 0.39 גרם, 0.81 גרם ו-2.5 גרם. בית משפט השלום קבע כי </w:t>
      </w:r>
      <w:r>
        <w:rPr>
          <w:rFonts w:ascii="David" w:hAnsi="David" w:cs="David"/>
          <w:color w:val="000000"/>
          <w:u w:val="single"/>
          <w:rtl/>
        </w:rPr>
        <w:t>מתחם העונש לכל מכירה נע בין 8 ל-18 חודשי מאסר</w:t>
      </w:r>
      <w:r>
        <w:rPr>
          <w:rFonts w:ascii="David" w:hAnsi="David" w:cs="David"/>
          <w:color w:val="000000"/>
          <w:rtl/>
        </w:rPr>
        <w:t>. בית המשפט העליון קבע כי מתחם זה הינו "הולם</w:t>
      </w:r>
      <w:r w:rsidR="00062911">
        <w:rPr>
          <w:rFonts w:ascii="David" w:hAnsi="David" w:cs="David"/>
          <w:color w:val="000000"/>
          <w:rtl/>
        </w:rPr>
        <w:t xml:space="preserve"> </w:t>
      </w:r>
      <w:r>
        <w:rPr>
          <w:rFonts w:ascii="David" w:hAnsi="David" w:cs="David"/>
          <w:color w:val="000000"/>
          <w:rtl/>
        </w:rPr>
        <w:t>ואף מקל".</w:t>
      </w:r>
    </w:p>
    <w:p w14:paraId="06700A71" w14:textId="77777777" w:rsidR="00A7609B" w:rsidRDefault="00A7609B" w:rsidP="00A7609B">
      <w:pPr>
        <w:pStyle w:val="aa"/>
        <w:bidi/>
        <w:spacing w:before="0" w:beforeAutospacing="0" w:after="0" w:afterAutospacing="0" w:line="360" w:lineRule="atLeast"/>
        <w:ind w:left="360"/>
        <w:jc w:val="both"/>
        <w:rPr>
          <w:rFonts w:ascii="David" w:hAnsi="David" w:cs="David"/>
          <w:color w:val="000000"/>
        </w:rPr>
      </w:pPr>
    </w:p>
    <w:p w14:paraId="134D3A31" w14:textId="77777777" w:rsidR="00A7609B" w:rsidRDefault="00A7609B" w:rsidP="00A7609B">
      <w:pPr>
        <w:pStyle w:val="aa"/>
        <w:bidi/>
        <w:spacing w:before="0" w:beforeAutospacing="0" w:after="0" w:afterAutospacing="0" w:line="360" w:lineRule="atLeast"/>
        <w:ind w:left="360"/>
        <w:jc w:val="both"/>
        <w:rPr>
          <w:rFonts w:ascii="David" w:hAnsi="David" w:cs="David"/>
          <w:color w:val="000000"/>
          <w:rtl/>
        </w:rPr>
      </w:pPr>
      <w:r>
        <w:rPr>
          <w:rFonts w:ascii="David" w:hAnsi="David" w:cs="David"/>
          <w:color w:val="000000"/>
          <w:rtl/>
        </w:rPr>
        <w:t>ב</w:t>
      </w:r>
      <w:hyperlink r:id="rId12" w:history="1">
        <w:r w:rsidR="00062911" w:rsidRPr="00062911">
          <w:rPr>
            <w:rFonts w:ascii="David" w:hAnsi="David" w:cs="David"/>
            <w:color w:val="0000FF"/>
            <w:u w:val="single"/>
            <w:rtl/>
          </w:rPr>
          <w:t>רע"פ 65/15</w:t>
        </w:r>
      </w:hyperlink>
      <w:r w:rsidR="00062911">
        <w:rPr>
          <w:rFonts w:ascii="David" w:hAnsi="David" w:cs="David"/>
          <w:color w:val="000000"/>
          <w:rtl/>
        </w:rPr>
        <w:t xml:space="preserve"> </w:t>
      </w:r>
      <w:r>
        <w:rPr>
          <w:rFonts w:ascii="David" w:hAnsi="David" w:cs="David"/>
          <w:color w:val="000000"/>
          <w:rtl/>
        </w:rPr>
        <w:t xml:space="preserve"> </w:t>
      </w:r>
      <w:r>
        <w:rPr>
          <w:rFonts w:ascii="David" w:hAnsi="David" w:cs="David"/>
          <w:b/>
          <w:bCs/>
          <w:color w:val="000000"/>
          <w:rtl/>
        </w:rPr>
        <w:t>מסראווה נ' מדינת ישראל</w:t>
      </w:r>
      <w:r w:rsidR="00062911">
        <w:rPr>
          <w:rFonts w:ascii="David" w:hAnsi="David" w:cs="David"/>
          <w:color w:val="000000"/>
          <w:rtl/>
        </w:rPr>
        <w:t xml:space="preserve"> </w:t>
      </w:r>
      <w:r>
        <w:rPr>
          <w:rFonts w:ascii="David" w:hAnsi="David" w:cs="David"/>
          <w:color w:val="000000"/>
          <w:rtl/>
        </w:rPr>
        <w:t xml:space="preserve">(13.1.2015) נדחתה בקשת רשות ערעור של מי שהורשע בשתי עבירות של סחר בקוקאין תמורת 200 ש"ח. באותה פרשה נקבע בערכאה הדיונית מתחם ענישה של </w:t>
      </w:r>
      <w:r>
        <w:rPr>
          <w:rFonts w:ascii="David" w:hAnsi="David" w:cs="David"/>
          <w:color w:val="000000"/>
          <w:u w:val="single"/>
          <w:rtl/>
        </w:rPr>
        <w:t>18-6 חודשי מאסר בגין שני אירועי הסחר</w:t>
      </w:r>
      <w:r>
        <w:rPr>
          <w:rFonts w:ascii="David" w:hAnsi="David" w:cs="David"/>
          <w:color w:val="000000"/>
          <w:rtl/>
        </w:rPr>
        <w:t>.</w:t>
      </w:r>
    </w:p>
    <w:p w14:paraId="14BE1291" w14:textId="77777777" w:rsidR="00A7609B" w:rsidRDefault="00A7609B" w:rsidP="00A7609B">
      <w:pPr>
        <w:pStyle w:val="a9"/>
        <w:rPr>
          <w:rFonts w:ascii="David" w:hAnsi="David" w:cs="David"/>
          <w:color w:val="000000"/>
          <w:sz w:val="24"/>
          <w:szCs w:val="24"/>
        </w:rPr>
      </w:pPr>
    </w:p>
    <w:p w14:paraId="5ADAF0F5" w14:textId="77777777" w:rsidR="00A7609B" w:rsidRDefault="00A7609B" w:rsidP="00A7609B">
      <w:pPr>
        <w:pStyle w:val="aa"/>
        <w:bidi/>
        <w:spacing w:before="0" w:beforeAutospacing="0" w:after="0" w:afterAutospacing="0" w:line="360" w:lineRule="atLeast"/>
        <w:ind w:left="360"/>
        <w:jc w:val="both"/>
        <w:rPr>
          <w:rFonts w:ascii="David" w:hAnsi="David" w:cs="David"/>
          <w:color w:val="000000"/>
          <w:rtl/>
        </w:rPr>
      </w:pPr>
      <w:r>
        <w:rPr>
          <w:rFonts w:ascii="David" w:hAnsi="David" w:cs="David"/>
          <w:color w:val="000000"/>
          <w:rtl/>
        </w:rPr>
        <w:t>ב</w:t>
      </w:r>
      <w:hyperlink r:id="rId13" w:history="1">
        <w:r w:rsidR="00062911" w:rsidRPr="00062911">
          <w:rPr>
            <w:rFonts w:ascii="David" w:hAnsi="David" w:cs="David"/>
            <w:color w:val="0000FF"/>
            <w:u w:val="single"/>
            <w:rtl/>
          </w:rPr>
          <w:t>רע"פ 7681/13</w:t>
        </w:r>
      </w:hyperlink>
      <w:r w:rsidR="00062911">
        <w:rPr>
          <w:rFonts w:ascii="David" w:hAnsi="David" w:cs="David"/>
          <w:color w:val="000000"/>
          <w:rtl/>
        </w:rPr>
        <w:t xml:space="preserve"> </w:t>
      </w:r>
      <w:r>
        <w:rPr>
          <w:rFonts w:ascii="David" w:hAnsi="David" w:cs="David"/>
          <w:b/>
          <w:bCs/>
          <w:color w:val="000000"/>
          <w:rtl/>
        </w:rPr>
        <w:t>דקה נ' מדינת ישראל</w:t>
      </w:r>
      <w:r>
        <w:rPr>
          <w:rFonts w:ascii="David" w:hAnsi="David" w:cs="David"/>
          <w:color w:val="000000"/>
          <w:rtl/>
        </w:rPr>
        <w:t xml:space="preserve"> (21.1.2014) נדחתה בקשת רשות ערעור על חומרת העונש מטעם נאשם אשר נדון ל-10 חודשי מאסר בגין שתי עבירות של סחר בסם מסוכן מסוג הרואין במשקל מצטבר של כשלושה גרם. מתחם הענישה שנקבע באותו הליך היה </w:t>
      </w:r>
      <w:r>
        <w:rPr>
          <w:rFonts w:ascii="David" w:hAnsi="David" w:cs="David"/>
          <w:color w:val="000000"/>
          <w:u w:val="single"/>
          <w:rtl/>
        </w:rPr>
        <w:t>12-6 חודשי מאסר לכל אחת ממכירות הסם</w:t>
      </w:r>
      <w:r>
        <w:rPr>
          <w:rFonts w:ascii="David" w:hAnsi="David" w:cs="David"/>
          <w:color w:val="000000"/>
          <w:rtl/>
        </w:rPr>
        <w:t xml:space="preserve">. </w:t>
      </w:r>
    </w:p>
    <w:p w14:paraId="1C5ACE42" w14:textId="77777777" w:rsidR="00A7609B" w:rsidRDefault="00A7609B" w:rsidP="00A7609B">
      <w:pPr>
        <w:pStyle w:val="a9"/>
        <w:rPr>
          <w:rFonts w:ascii="David" w:hAnsi="David" w:cs="David"/>
          <w:color w:val="000000"/>
          <w:sz w:val="24"/>
          <w:szCs w:val="24"/>
        </w:rPr>
      </w:pPr>
    </w:p>
    <w:p w14:paraId="62A778FD"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tl/>
        </w:rPr>
      </w:pPr>
      <w:r>
        <w:rPr>
          <w:rFonts w:ascii="David" w:hAnsi="David" w:cs="David"/>
          <w:color w:val="000000"/>
          <w:rtl/>
        </w:rPr>
        <w:t>לאור האמור, בהינתן הערכים המוגנים ומידת הפגיעה בהם ולאור הענישה המקובלת בעבירות סחר בסמים קשים בכמות קטנה</w:t>
      </w:r>
      <w:r>
        <w:rPr>
          <w:rFonts w:ascii="David" w:hAnsi="David" w:cs="David" w:hint="cs"/>
          <w:color w:val="000000"/>
          <w:rtl/>
        </w:rPr>
        <w:t xml:space="preserve"> (ובשים לב לכך שבעניין </w:t>
      </w:r>
      <w:r w:rsidRPr="003D0B1B">
        <w:rPr>
          <w:rFonts w:ascii="David" w:hAnsi="David" w:cs="David" w:hint="cs"/>
          <w:b/>
          <w:bCs/>
          <w:color w:val="000000"/>
          <w:rtl/>
        </w:rPr>
        <w:t>חביף</w:t>
      </w:r>
      <w:r>
        <w:rPr>
          <w:rFonts w:ascii="David" w:hAnsi="David" w:cs="David" w:hint="cs"/>
          <w:color w:val="000000"/>
          <w:rtl/>
        </w:rPr>
        <w:t xml:space="preserve"> </w:t>
      </w:r>
      <w:r w:rsidRPr="003D0B1B">
        <w:rPr>
          <w:rFonts w:ascii="David" w:hAnsi="David" w:cs="David" w:hint="cs"/>
          <w:b/>
          <w:bCs/>
          <w:color w:val="000000"/>
          <w:rtl/>
        </w:rPr>
        <w:t>ודקה</w:t>
      </w:r>
      <w:r>
        <w:rPr>
          <w:rFonts w:ascii="David" w:hAnsi="David" w:cs="David" w:hint="cs"/>
          <w:color w:val="000000"/>
          <w:rtl/>
        </w:rPr>
        <w:t xml:space="preserve"> שהוזכרו לעיל דובר במכירת גרמים בודדים ובענייננו מדובר בשברירי-גרם)</w:t>
      </w:r>
      <w:r>
        <w:rPr>
          <w:rFonts w:ascii="David" w:hAnsi="David" w:cs="David"/>
          <w:color w:val="000000"/>
          <w:rtl/>
        </w:rPr>
        <w:t xml:space="preserve">, מצאתי לקבוע כי מתחם העונש ההולם בענייננו נע בין </w:t>
      </w:r>
      <w:r>
        <w:rPr>
          <w:rFonts w:ascii="David" w:hAnsi="David" w:cs="David" w:hint="cs"/>
          <w:color w:val="000000"/>
          <w:rtl/>
        </w:rPr>
        <w:t>5</w:t>
      </w:r>
      <w:r>
        <w:rPr>
          <w:rFonts w:ascii="David" w:hAnsi="David" w:cs="David"/>
          <w:color w:val="000000"/>
          <w:rtl/>
        </w:rPr>
        <w:t xml:space="preserve"> ל-</w:t>
      </w:r>
      <w:r>
        <w:rPr>
          <w:rFonts w:ascii="David" w:hAnsi="David" w:cs="David" w:hint="cs"/>
          <w:color w:val="000000"/>
          <w:rtl/>
        </w:rPr>
        <w:t>10</w:t>
      </w:r>
      <w:r>
        <w:rPr>
          <w:rFonts w:ascii="David" w:hAnsi="David" w:cs="David"/>
          <w:color w:val="000000"/>
          <w:rtl/>
        </w:rPr>
        <w:t xml:space="preserve"> חודשי מאסר בפועל.</w:t>
      </w:r>
    </w:p>
    <w:p w14:paraId="4DD978E5" w14:textId="77777777" w:rsidR="00A7609B" w:rsidRDefault="00A7609B" w:rsidP="00A7609B">
      <w:pPr>
        <w:pStyle w:val="aa"/>
        <w:bidi/>
        <w:spacing w:before="0" w:beforeAutospacing="0" w:after="0" w:afterAutospacing="0" w:line="360" w:lineRule="atLeast"/>
        <w:jc w:val="both"/>
        <w:rPr>
          <w:rFonts w:ascii="David" w:hAnsi="David" w:cs="David"/>
          <w:color w:val="000000"/>
        </w:rPr>
      </w:pPr>
    </w:p>
    <w:p w14:paraId="2AFFD41E"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tl/>
        </w:rPr>
      </w:pPr>
      <w:r>
        <w:rPr>
          <w:rFonts w:ascii="David" w:hAnsi="David" w:cs="David"/>
          <w:color w:val="000000"/>
          <w:rtl/>
        </w:rPr>
        <w:t>בבואי לקבוע את העונש המתאים לנאשם בתוך המתחם (אין בפניי טענה כי יש לסטות מן המתחם לכאן או לכאן) שקלתי לחומרא את עברו הפלילי ואת העובדה שענישה ממשית לא הרתיעה אותו בעבר. לקולא שקלתי את הודאתו ונטילת האחריות, ואת העובדה שהוא מרצה כעת מאסר ממושך. שיקולים אלה הובילוני למסקנה שהעונש ההולם בענייננו הוא 8 חודשי מאסר</w:t>
      </w:r>
      <w:r>
        <w:rPr>
          <w:rFonts w:ascii="David" w:hAnsi="David" w:cs="David" w:hint="cs"/>
          <w:color w:val="000000"/>
          <w:rtl/>
        </w:rPr>
        <w:t xml:space="preserve"> בפועל</w:t>
      </w:r>
      <w:r>
        <w:rPr>
          <w:rFonts w:ascii="David" w:hAnsi="David" w:cs="David"/>
          <w:color w:val="000000"/>
          <w:rtl/>
        </w:rPr>
        <w:t>.</w:t>
      </w:r>
    </w:p>
    <w:p w14:paraId="33793E18" w14:textId="77777777" w:rsidR="00A7609B" w:rsidRDefault="00A7609B" w:rsidP="00A7609B">
      <w:pPr>
        <w:pStyle w:val="a9"/>
        <w:rPr>
          <w:rFonts w:ascii="David" w:hAnsi="David" w:cs="David"/>
          <w:color w:val="000000"/>
          <w:sz w:val="24"/>
          <w:szCs w:val="24"/>
        </w:rPr>
      </w:pPr>
    </w:p>
    <w:p w14:paraId="4D4FE53A"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Pr>
      </w:pPr>
      <w:r>
        <w:rPr>
          <w:rFonts w:ascii="David" w:hAnsi="David" w:cs="David"/>
          <w:color w:val="000000"/>
          <w:rtl/>
        </w:rPr>
        <w:t>בכך לא תם הדיון, שעה שנתבקשתי להפעיל מאסר מותנה תלוי ועומד בן 12 חודש</w:t>
      </w:r>
      <w:r>
        <w:rPr>
          <w:rFonts w:ascii="David" w:hAnsi="David" w:cs="David" w:hint="cs"/>
          <w:color w:val="000000"/>
          <w:rtl/>
        </w:rPr>
        <w:t>ים</w:t>
      </w:r>
      <w:r>
        <w:rPr>
          <w:rFonts w:ascii="David" w:hAnsi="David" w:cs="David"/>
          <w:color w:val="000000"/>
          <w:rtl/>
        </w:rPr>
        <w:t xml:space="preserve">. לאחר שקבעתי כי יש להטיל בתיק זה עונש מאסר בפועל, ברור שלא ניתן להיעתר לבקשת הסניגור להורות על הארכת המאסר המותנה. ועוד ברור כי המאסר המותנה הוא עונש שהוטל בתיק הקודם, והוא אינו אמור להלום את העבירות בתיק שבו מתבקשת הפעלתו. עדיין מתעוררת אי-נוחות כאשר הרשעה </w:t>
      </w:r>
      <w:r>
        <w:rPr>
          <w:rFonts w:ascii="David" w:hAnsi="David" w:cs="David" w:hint="cs"/>
          <w:color w:val="000000"/>
          <w:rtl/>
        </w:rPr>
        <w:t>ב</w:t>
      </w:r>
      <w:r>
        <w:rPr>
          <w:rFonts w:ascii="David" w:hAnsi="David" w:cs="David"/>
          <w:color w:val="000000"/>
          <w:rtl/>
        </w:rPr>
        <w:t>עבירה שנסיבותיה קלות יחסית מפעילה מאסר מותנה ממושך. יש שיאמרו כי זה מהותו של עונש צופה פני עתיד ואין לנאשם אלא להלין על עצמו ש</w:t>
      </w:r>
      <w:r>
        <w:rPr>
          <w:rFonts w:ascii="David" w:hAnsi="David" w:cs="David" w:hint="cs"/>
          <w:color w:val="000000"/>
          <w:rtl/>
        </w:rPr>
        <w:t>חטא</w:t>
      </w:r>
      <w:r>
        <w:rPr>
          <w:rFonts w:ascii="David" w:hAnsi="David" w:cs="David"/>
          <w:color w:val="000000"/>
          <w:rtl/>
        </w:rPr>
        <w:t xml:space="preserve"> פעם נוספת חרף הידיעה שמרחף מעליו מאסר מותנה ממושך. עם זאת, גם בית המשפט העליון הכיר לא אחת בקושי שמעורר מאסר מותנה ממושך שמתבקשת הפעלתו בשל עבירה קלה יחסית (ר' למשל </w:t>
      </w:r>
      <w:hyperlink r:id="rId14" w:history="1">
        <w:r w:rsidR="00062911" w:rsidRPr="00062911">
          <w:rPr>
            <w:rFonts w:ascii="David" w:hAnsi="David" w:cs="David"/>
            <w:color w:val="0000FF"/>
            <w:u w:val="single"/>
            <w:rtl/>
          </w:rPr>
          <w:t>רע"פ 1441/14</w:t>
        </w:r>
      </w:hyperlink>
      <w:r>
        <w:rPr>
          <w:rFonts w:ascii="David" w:hAnsi="David" w:cs="David"/>
          <w:color w:val="000000"/>
          <w:rtl/>
        </w:rPr>
        <w:t xml:space="preserve"> </w:t>
      </w:r>
      <w:r>
        <w:rPr>
          <w:rFonts w:ascii="David" w:hAnsi="David" w:cs="David"/>
          <w:b/>
          <w:bCs/>
          <w:color w:val="000000"/>
          <w:rtl/>
        </w:rPr>
        <w:t>חמיס נ' מדינת ישראל</w:t>
      </w:r>
      <w:r>
        <w:rPr>
          <w:rFonts w:ascii="David" w:hAnsi="David" w:cs="David"/>
          <w:color w:val="000000"/>
          <w:rtl/>
        </w:rPr>
        <w:t xml:space="preserve">; </w:t>
      </w:r>
      <w:hyperlink r:id="rId15" w:history="1">
        <w:r w:rsidR="00062911" w:rsidRPr="00062911">
          <w:rPr>
            <w:rFonts w:ascii="David" w:hAnsi="David" w:cs="David"/>
            <w:color w:val="0000FF"/>
            <w:u w:val="single"/>
            <w:rtl/>
          </w:rPr>
          <w:t>ע"פ 608/07</w:t>
        </w:r>
      </w:hyperlink>
      <w:r>
        <w:rPr>
          <w:rFonts w:ascii="David" w:hAnsi="David" w:cs="David"/>
          <w:color w:val="000000"/>
          <w:rtl/>
        </w:rPr>
        <w:t xml:space="preserve"> </w:t>
      </w:r>
      <w:r>
        <w:rPr>
          <w:rFonts w:ascii="David" w:hAnsi="David" w:cs="David"/>
          <w:b/>
          <w:bCs/>
          <w:color w:val="000000"/>
          <w:rtl/>
        </w:rPr>
        <w:t>פלוני נ' מדינת ישראל</w:t>
      </w:r>
      <w:r>
        <w:rPr>
          <w:rFonts w:ascii="David" w:hAnsi="David" w:cs="David"/>
          <w:color w:val="000000"/>
          <w:rtl/>
        </w:rPr>
        <w:t xml:space="preserve">; </w:t>
      </w:r>
      <w:hyperlink r:id="rId16" w:history="1">
        <w:r w:rsidR="00062911" w:rsidRPr="00062911">
          <w:rPr>
            <w:rFonts w:ascii="David" w:hAnsi="David" w:cs="David"/>
            <w:color w:val="0000FF"/>
            <w:u w:val="single"/>
            <w:rtl/>
          </w:rPr>
          <w:t>רע"פ 5798/00</w:t>
        </w:r>
      </w:hyperlink>
      <w:r>
        <w:rPr>
          <w:rFonts w:ascii="David" w:hAnsi="David" w:cs="David"/>
          <w:color w:val="000000"/>
          <w:rtl/>
        </w:rPr>
        <w:t xml:space="preserve"> </w:t>
      </w:r>
      <w:r>
        <w:rPr>
          <w:rFonts w:ascii="David" w:hAnsi="David" w:cs="David"/>
          <w:b/>
          <w:bCs/>
          <w:color w:val="000000"/>
          <w:rtl/>
        </w:rPr>
        <w:t>ריזי נ' מדינת ישראל</w:t>
      </w:r>
      <w:r>
        <w:rPr>
          <w:rFonts w:ascii="David" w:hAnsi="David" w:cs="David"/>
          <w:color w:val="000000"/>
          <w:rtl/>
        </w:rPr>
        <w:t xml:space="preserve">). </w:t>
      </w:r>
    </w:p>
    <w:p w14:paraId="0D19B8FE" w14:textId="77777777" w:rsidR="00A7609B" w:rsidRDefault="00A7609B" w:rsidP="00A7609B">
      <w:pPr>
        <w:pStyle w:val="a9"/>
        <w:rPr>
          <w:rFonts w:ascii="David" w:hAnsi="David" w:cs="David"/>
          <w:color w:val="000000"/>
          <w:rtl/>
        </w:rPr>
      </w:pPr>
    </w:p>
    <w:p w14:paraId="2EDA905D"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tl/>
        </w:rPr>
      </w:pPr>
      <w:r>
        <w:rPr>
          <w:rFonts w:ascii="David" w:hAnsi="David" w:cs="David"/>
          <w:color w:val="000000"/>
          <w:rtl/>
        </w:rPr>
        <w:t xml:space="preserve">חובת ההקפדה על מאסרים מותנים מידתיים מוטלת בעיקרה על הערכאה הראשונה, אשר גוזרת את המאסר המותנה, אך זו אינה יכולה לצפות כל תרחיש עתידי ולעיתים נדרשת הערכאה השנייה, שמתבקשת להפעיל את המאסר המותנה, להבטיח כי התוצאה העונשית הסופית תהיה מידתית. הטכניקה העיקרית שבידי בית המשפט להשגת תוצאה זו היא בקביעת הוראות מתאימות בעניין חפיפה והצטברות העונשים, וכך אעשה בהמשך. </w:t>
      </w:r>
    </w:p>
    <w:p w14:paraId="11E0FA15" w14:textId="77777777" w:rsidR="00A7609B" w:rsidRDefault="00A7609B" w:rsidP="00A7609B">
      <w:pPr>
        <w:pStyle w:val="aa"/>
        <w:bidi/>
        <w:spacing w:before="0" w:beforeAutospacing="0" w:after="0" w:afterAutospacing="0" w:line="360" w:lineRule="atLeast"/>
        <w:ind w:left="360"/>
        <w:jc w:val="both"/>
        <w:rPr>
          <w:rFonts w:ascii="David" w:hAnsi="David" w:cs="David"/>
          <w:color w:val="000000"/>
        </w:rPr>
      </w:pPr>
    </w:p>
    <w:p w14:paraId="7EE6B73D" w14:textId="77777777" w:rsidR="00A7609B" w:rsidRDefault="00A7609B" w:rsidP="00A7609B">
      <w:pPr>
        <w:pStyle w:val="aa"/>
        <w:numPr>
          <w:ilvl w:val="0"/>
          <w:numId w:val="1"/>
        </w:numPr>
        <w:bidi/>
        <w:spacing w:before="0" w:beforeAutospacing="0" w:after="0" w:afterAutospacing="0" w:line="360" w:lineRule="atLeast"/>
        <w:jc w:val="both"/>
        <w:rPr>
          <w:rFonts w:ascii="David" w:hAnsi="David" w:cs="David"/>
          <w:color w:val="000000"/>
        </w:rPr>
      </w:pPr>
      <w:r>
        <w:rPr>
          <w:rFonts w:ascii="David" w:hAnsi="David" w:cs="David"/>
          <w:color w:val="000000"/>
          <w:rtl/>
        </w:rPr>
        <w:t xml:space="preserve">אציין כבר עתה שלא ניתן להיעתר למשאלת הסניגור לחפוף במלואם את המאסר המותנה המופעל ואת המאסר בפועל שיוטל בתיק זה לעונש אותו מרצה הנאשם. תוצאה מעין זו תרוקן מתוכן מעשי הן את מטרתו ההרתעתית של המאסר המותנה שאפעיל והן את עקרון ההלימה בנוגע לתיק הנוכחי. עם זאת, המתח שבין מאסר מותנה ממושך לטיב העבירה הנוספת, וכן עובדת היותו של הנאשם אסיר – יילקחו בחשבון באופן משמעותי בקביעת ה"שורה התחתונה" של גזר הדין.    </w:t>
      </w:r>
    </w:p>
    <w:p w14:paraId="7410A787" w14:textId="77777777" w:rsidR="00A7609B" w:rsidRDefault="00A7609B" w:rsidP="00A7609B">
      <w:pPr>
        <w:pStyle w:val="a9"/>
        <w:rPr>
          <w:rFonts w:ascii="David" w:hAnsi="David" w:cs="David"/>
          <w:color w:val="000000"/>
          <w:sz w:val="24"/>
          <w:szCs w:val="24"/>
        </w:rPr>
      </w:pPr>
    </w:p>
    <w:p w14:paraId="3DF7D65C" w14:textId="77777777" w:rsidR="00A7609B" w:rsidRDefault="00A7609B" w:rsidP="00A7609B">
      <w:pPr>
        <w:pStyle w:val="aa"/>
        <w:numPr>
          <w:ilvl w:val="0"/>
          <w:numId w:val="1"/>
        </w:numPr>
        <w:bidi/>
        <w:spacing w:before="0" w:beforeAutospacing="0" w:after="0" w:afterAutospacing="0" w:line="360" w:lineRule="atLeast"/>
        <w:jc w:val="both"/>
        <w:rPr>
          <w:rStyle w:val="default"/>
          <w:rtl/>
        </w:rPr>
      </w:pPr>
      <w:r>
        <w:rPr>
          <w:rFonts w:ascii="David" w:hAnsi="David" w:cs="David"/>
          <w:color w:val="000000"/>
          <w:rtl/>
        </w:rPr>
        <w:t xml:space="preserve">עניין אחרון לפנינו: ההכרזה על הנאשם כסוחר סמים ושאלת החילוט. </w:t>
      </w:r>
      <w:hyperlink r:id="rId17" w:history="1">
        <w:r w:rsidR="002A597D" w:rsidRPr="002A597D">
          <w:rPr>
            <w:rStyle w:val="Hyperlink"/>
            <w:rFonts w:ascii="David" w:hAnsi="David" w:cs="David"/>
            <w:rtl/>
          </w:rPr>
          <w:t>סעיף 36א(ב)</w:t>
        </w:r>
      </w:hyperlink>
      <w:r>
        <w:rPr>
          <w:rFonts w:ascii="David" w:hAnsi="David" w:cs="David"/>
          <w:color w:val="000000"/>
          <w:rtl/>
        </w:rPr>
        <w:t xml:space="preserve"> ל</w:t>
      </w:r>
      <w:hyperlink r:id="rId18" w:history="1">
        <w:r w:rsidR="00062911" w:rsidRPr="00062911">
          <w:rPr>
            <w:rFonts w:ascii="David" w:hAnsi="David" w:cs="David"/>
            <w:color w:val="0000FF"/>
            <w:u w:val="single"/>
            <w:rtl/>
          </w:rPr>
          <w:t>פקודת הסמים המסוכנים</w:t>
        </w:r>
      </w:hyperlink>
      <w:r>
        <w:rPr>
          <w:rFonts w:ascii="David" w:hAnsi="David" w:cs="David"/>
          <w:color w:val="000000"/>
          <w:rtl/>
        </w:rPr>
        <w:t xml:space="preserve"> קובע כי אם הוכח שנאשם </w:t>
      </w:r>
      <w:r>
        <w:rPr>
          <w:rFonts w:ascii="David" w:hAnsi="David" w:cs="David"/>
          <w:b/>
          <w:bCs/>
          <w:color w:val="000000"/>
          <w:rtl/>
        </w:rPr>
        <w:t>"הפיק רווח מעבירה של עסקת סמים או שהיה אמור להפיק רווח מעבירה כאמור"</w:t>
      </w:r>
      <w:r>
        <w:rPr>
          <w:rFonts w:ascii="David" w:hAnsi="David" w:cs="David"/>
          <w:color w:val="000000"/>
          <w:rtl/>
        </w:rPr>
        <w:t xml:space="preserve">, ייקבע כי הוא סוחר סמים ויחולט לאוצר המדינה כל רכוש שלו שהושג בעבירה של עסקת סמים (ר' ע"פ </w:t>
      </w:r>
      <w:hyperlink r:id="rId19" w:history="1">
        <w:r w:rsidR="00340B9A" w:rsidRPr="00340B9A">
          <w:rPr>
            <w:rFonts w:ascii="David" w:hAnsi="David" w:cs="David"/>
            <w:color w:val="0000FF"/>
            <w:u w:val="single"/>
            <w:rtl/>
          </w:rPr>
          <w:t xml:space="preserve">170/07‏ </w:t>
        </w:r>
      </w:hyperlink>
      <w:r>
        <w:rPr>
          <w:rFonts w:ascii="David" w:hAnsi="David" w:cs="David"/>
          <w:b/>
          <w:bCs/>
          <w:color w:val="000000"/>
          <w:rtl/>
        </w:rPr>
        <w:t xml:space="preserve"> מטיס נ' מדינת ישראל). </w:t>
      </w:r>
      <w:r>
        <w:rPr>
          <w:rFonts w:ascii="David" w:hAnsi="David" w:cs="David" w:hint="cs"/>
          <w:color w:val="000000"/>
          <w:rtl/>
        </w:rPr>
        <w:t xml:space="preserve">בנוסף, </w:t>
      </w:r>
      <w:r>
        <w:rPr>
          <w:rFonts w:ascii="David" w:hAnsi="David" w:cs="David"/>
          <w:color w:val="000000"/>
          <w:rtl/>
        </w:rPr>
        <w:t xml:space="preserve"> </w:t>
      </w:r>
      <w:hyperlink r:id="rId20" w:history="1">
        <w:r w:rsidR="002A597D" w:rsidRPr="002A597D">
          <w:rPr>
            <w:rStyle w:val="Hyperlink"/>
            <w:rFonts w:ascii="David" w:hAnsi="David" w:cs="David"/>
            <w:rtl/>
          </w:rPr>
          <w:t>סעיף 36(1)</w:t>
        </w:r>
      </w:hyperlink>
      <w:r>
        <w:rPr>
          <w:rFonts w:ascii="David" w:hAnsi="David" w:cs="David"/>
          <w:color w:val="000000"/>
          <w:rtl/>
        </w:rPr>
        <w:t xml:space="preserve"> לפקודה קובע כי חזקה הניתנת לסתירה לפיה כל רכוש של הנידון </w:t>
      </w:r>
      <w:r>
        <w:rPr>
          <w:rStyle w:val="default"/>
          <w:rFonts w:ascii="David" w:hAnsi="David" w:cs="David"/>
          <w:color w:val="000000"/>
          <w:rtl/>
        </w:rPr>
        <w:t xml:space="preserve">ייראה כרכוש שהושג בעבירה של עסקת סמים. הנאשם, בהתאם לעובדות כתב האישום בהן הודה, הפיק רווח מעסקת סמים </w:t>
      </w:r>
      <w:r>
        <w:rPr>
          <w:rStyle w:val="default"/>
          <w:rFonts w:ascii="David" w:hAnsi="David" w:cs="David"/>
          <w:b/>
          <w:bCs/>
          <w:color w:val="000000"/>
          <w:u w:val="single"/>
          <w:rtl/>
        </w:rPr>
        <w:t>ועל כן הריני לקבוע כי הוא סוחר סמים</w:t>
      </w:r>
      <w:r>
        <w:rPr>
          <w:rStyle w:val="default"/>
          <w:rFonts w:ascii="David" w:hAnsi="David" w:cs="David"/>
          <w:color w:val="000000"/>
          <w:rtl/>
        </w:rPr>
        <w:t>, ו</w:t>
      </w:r>
      <w:r>
        <w:rPr>
          <w:rStyle w:val="default"/>
          <w:rFonts w:ascii="David" w:hAnsi="David" w:cs="David" w:hint="cs"/>
          <w:color w:val="000000"/>
          <w:rtl/>
        </w:rPr>
        <w:t xml:space="preserve">בהיעדר סתירת החזקה הנ"ל - </w:t>
      </w:r>
      <w:r>
        <w:rPr>
          <w:rStyle w:val="default"/>
          <w:rFonts w:ascii="David" w:hAnsi="David" w:cs="David"/>
          <w:color w:val="000000"/>
          <w:rtl/>
        </w:rPr>
        <w:t>יש לחלט את הכסף המזומן שנתפס אצלו. לא מצאתי ה</w:t>
      </w:r>
      <w:r>
        <w:rPr>
          <w:rStyle w:val="default"/>
          <w:rFonts w:ascii="David" w:hAnsi="David" w:cs="David" w:hint="cs"/>
          <w:color w:val="000000"/>
          <w:rtl/>
        </w:rPr>
        <w:t>כרח</w:t>
      </w:r>
      <w:r>
        <w:rPr>
          <w:rStyle w:val="default"/>
          <w:rFonts w:ascii="David" w:hAnsi="David" w:cs="David"/>
          <w:color w:val="000000"/>
          <w:rtl/>
        </w:rPr>
        <w:t xml:space="preserve"> לחלט את הטלפונים הניידים התפוסים, שעה שאין בהרשעת הנאשם אינדיקציה שתפוסים אלה שימשו לביצוע העבירות</w:t>
      </w:r>
      <w:r>
        <w:rPr>
          <w:rStyle w:val="default"/>
          <w:rFonts w:ascii="David" w:hAnsi="David" w:cs="David" w:hint="cs"/>
          <w:color w:val="000000"/>
          <w:rtl/>
        </w:rPr>
        <w:t>, ויש לתפוסים אלה ערך עבור בעליהם החורג בהרבה מערכם הכספי, בשל המידע האישי האצור בהם</w:t>
      </w:r>
      <w:r>
        <w:rPr>
          <w:rStyle w:val="default"/>
          <w:rFonts w:ascii="David" w:hAnsi="David" w:cs="David"/>
          <w:color w:val="000000"/>
          <w:rtl/>
        </w:rPr>
        <w:t>.</w:t>
      </w:r>
    </w:p>
    <w:p w14:paraId="67E76C0C" w14:textId="77777777" w:rsidR="00A7609B" w:rsidRDefault="00A7609B" w:rsidP="00A7609B">
      <w:pPr>
        <w:pStyle w:val="a9"/>
        <w:rPr>
          <w:rStyle w:val="default"/>
          <w:rFonts w:ascii="David" w:hAnsi="David" w:cs="David"/>
          <w:color w:val="000000"/>
          <w:sz w:val="24"/>
          <w:szCs w:val="24"/>
        </w:rPr>
      </w:pPr>
    </w:p>
    <w:p w14:paraId="34290664" w14:textId="77777777" w:rsidR="00A7609B" w:rsidRDefault="00A7609B" w:rsidP="00A7609B">
      <w:pPr>
        <w:spacing w:line="360" w:lineRule="auto"/>
        <w:jc w:val="both"/>
        <w:rPr>
          <w:rtl/>
        </w:rPr>
      </w:pPr>
      <w:r>
        <w:rPr>
          <w:rFonts w:hint="cs"/>
          <w:b/>
          <w:bCs/>
          <w:u w:val="single"/>
          <w:rtl/>
        </w:rPr>
        <w:t>סיכום</w:t>
      </w:r>
    </w:p>
    <w:p w14:paraId="24E6F1BD" w14:textId="77777777" w:rsidR="00A7609B" w:rsidRDefault="00A7609B" w:rsidP="00A7609B">
      <w:pPr>
        <w:spacing w:line="360" w:lineRule="auto"/>
        <w:jc w:val="both"/>
        <w:rPr>
          <w:rtl/>
        </w:rPr>
      </w:pPr>
    </w:p>
    <w:p w14:paraId="4AD4971B" w14:textId="77777777" w:rsidR="00A7609B" w:rsidRDefault="00A7609B" w:rsidP="00A7609B">
      <w:pPr>
        <w:spacing w:line="360" w:lineRule="auto"/>
        <w:jc w:val="both"/>
      </w:pPr>
      <w:r>
        <w:rPr>
          <w:rFonts w:hint="cs"/>
          <w:rtl/>
        </w:rPr>
        <w:t>אשר על כן אני דן את הנאשם לעונשים הבאים:</w:t>
      </w:r>
    </w:p>
    <w:p w14:paraId="58B5D088" w14:textId="77777777" w:rsidR="00A7609B" w:rsidRDefault="00A7609B" w:rsidP="00A7609B">
      <w:pPr>
        <w:spacing w:line="360" w:lineRule="auto"/>
        <w:jc w:val="both"/>
        <w:rPr>
          <w:rtl/>
        </w:rPr>
      </w:pPr>
    </w:p>
    <w:p w14:paraId="520DD68F" w14:textId="77777777" w:rsidR="00A7609B" w:rsidRDefault="00A7609B" w:rsidP="00A7609B">
      <w:pPr>
        <w:pStyle w:val="a9"/>
        <w:numPr>
          <w:ilvl w:val="0"/>
          <w:numId w:val="2"/>
        </w:numPr>
        <w:spacing w:line="360" w:lineRule="auto"/>
        <w:jc w:val="both"/>
        <w:rPr>
          <w:rFonts w:ascii="David" w:hAnsi="David" w:cs="David"/>
          <w:sz w:val="24"/>
          <w:szCs w:val="24"/>
        </w:rPr>
      </w:pPr>
      <w:r>
        <w:rPr>
          <w:rFonts w:ascii="David" w:hAnsi="David" w:cs="David"/>
          <w:b/>
          <w:bCs/>
          <w:sz w:val="24"/>
          <w:szCs w:val="24"/>
          <w:rtl/>
        </w:rPr>
        <w:t>8 חודשי מאסר בפועל</w:t>
      </w:r>
      <w:r>
        <w:rPr>
          <w:rFonts w:ascii="David" w:hAnsi="David" w:cs="David"/>
          <w:sz w:val="24"/>
          <w:szCs w:val="24"/>
          <w:rtl/>
        </w:rPr>
        <w:t>.</w:t>
      </w:r>
    </w:p>
    <w:p w14:paraId="77ED0E07" w14:textId="77777777" w:rsidR="00A7609B" w:rsidRDefault="00A7609B" w:rsidP="00A7609B">
      <w:pPr>
        <w:pStyle w:val="a9"/>
        <w:spacing w:line="360" w:lineRule="auto"/>
        <w:ind w:left="460"/>
        <w:jc w:val="both"/>
        <w:rPr>
          <w:rFonts w:ascii="David" w:hAnsi="David" w:cs="David"/>
          <w:sz w:val="24"/>
          <w:szCs w:val="24"/>
        </w:rPr>
      </w:pPr>
    </w:p>
    <w:p w14:paraId="5C4019D4" w14:textId="77777777" w:rsidR="00A7609B" w:rsidRDefault="00A7609B" w:rsidP="00A7609B">
      <w:pPr>
        <w:pStyle w:val="a9"/>
        <w:numPr>
          <w:ilvl w:val="0"/>
          <w:numId w:val="2"/>
        </w:numPr>
        <w:spacing w:line="360" w:lineRule="auto"/>
        <w:jc w:val="both"/>
        <w:rPr>
          <w:rFonts w:ascii="David" w:hAnsi="David" w:cs="David"/>
          <w:sz w:val="24"/>
          <w:szCs w:val="24"/>
        </w:rPr>
      </w:pPr>
      <w:r>
        <w:rPr>
          <w:rFonts w:ascii="David" w:hAnsi="David" w:cs="David"/>
          <w:b/>
          <w:bCs/>
          <w:sz w:val="24"/>
          <w:szCs w:val="24"/>
          <w:rtl/>
        </w:rPr>
        <w:t>מורה על הפעלת מאסר מותנה בן 12 חודשים מ</w:t>
      </w:r>
      <w:hyperlink r:id="rId21" w:history="1">
        <w:r w:rsidR="00062911" w:rsidRPr="00062911">
          <w:rPr>
            <w:rFonts w:ascii="David" w:hAnsi="David" w:cs="David"/>
            <w:b/>
            <w:bCs/>
            <w:color w:val="0000FF"/>
            <w:sz w:val="24"/>
            <w:szCs w:val="24"/>
            <w:u w:val="single"/>
            <w:rtl/>
          </w:rPr>
          <w:t>ת"פ 35655-05-18</w:t>
        </w:r>
      </w:hyperlink>
      <w:r>
        <w:rPr>
          <w:rFonts w:ascii="David" w:hAnsi="David" w:cs="David"/>
          <w:sz w:val="24"/>
          <w:szCs w:val="24"/>
          <w:rtl/>
        </w:rPr>
        <w:t xml:space="preserve"> (גז"ד מיום 19.3.2019).</w:t>
      </w:r>
    </w:p>
    <w:p w14:paraId="222BBA73" w14:textId="77777777" w:rsidR="00A7609B" w:rsidRDefault="00A7609B" w:rsidP="00A7609B">
      <w:pPr>
        <w:ind w:left="460"/>
        <w:jc w:val="both"/>
        <w:rPr>
          <w:rFonts w:ascii="David" w:hAnsi="David"/>
        </w:rPr>
      </w:pPr>
      <w:r>
        <w:rPr>
          <w:rFonts w:hint="cs"/>
          <w:b/>
          <w:bCs/>
          <w:sz w:val="26"/>
          <w:szCs w:val="26"/>
          <w:u w:val="single"/>
          <w:rtl/>
        </w:rPr>
        <w:t xml:space="preserve">המאסרים יופעלו במצטבר זה לזה, ובחפיפה חלקית לעונש המאסר אותו מרצה הנאשם כעת, כך שמתוך 20 חודשי המאסר שהוטלו בגזר דין זה  - </w:t>
      </w:r>
      <w:r>
        <w:rPr>
          <w:rFonts w:hint="cs"/>
          <w:b/>
          <w:bCs/>
          <w:sz w:val="26"/>
          <w:szCs w:val="26"/>
          <w:u w:val="double"/>
          <w:rtl/>
        </w:rPr>
        <w:t>5 חודשים יצטברו לעונש המעצר שמרצה הנאשם כעת, והיתרה תרוצה באופן חופף</w:t>
      </w:r>
      <w:r>
        <w:rPr>
          <w:rFonts w:hint="cs"/>
          <w:b/>
          <w:bCs/>
          <w:sz w:val="26"/>
          <w:szCs w:val="26"/>
          <w:rtl/>
        </w:rPr>
        <w:t xml:space="preserve">. </w:t>
      </w:r>
    </w:p>
    <w:p w14:paraId="029C9EDB" w14:textId="77777777" w:rsidR="00A7609B" w:rsidRDefault="00A7609B" w:rsidP="00A7609B">
      <w:pPr>
        <w:pStyle w:val="a9"/>
        <w:spacing w:line="240" w:lineRule="auto"/>
        <w:ind w:left="820"/>
        <w:jc w:val="both"/>
        <w:rPr>
          <w:rFonts w:ascii="David" w:hAnsi="David" w:cs="David"/>
          <w:sz w:val="24"/>
          <w:szCs w:val="24"/>
        </w:rPr>
      </w:pPr>
    </w:p>
    <w:p w14:paraId="4D86D933" w14:textId="77777777" w:rsidR="00A7609B" w:rsidRDefault="00A7609B" w:rsidP="00A7609B">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9 חודשי מאסר על תנאי</w:t>
      </w:r>
      <w:r>
        <w:rPr>
          <w:rFonts w:ascii="David" w:hAnsi="David" w:cs="David"/>
          <w:sz w:val="24"/>
          <w:szCs w:val="24"/>
          <w:rtl/>
        </w:rPr>
        <w:t xml:space="preserve">, למשך שנתיים מיום שחרורו ממאסר, לבל יעבור הנאשם עבירת פשע על </w:t>
      </w:r>
      <w:hyperlink r:id="rId22" w:history="1">
        <w:r w:rsidR="00062911" w:rsidRPr="00062911">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494768B9" w14:textId="77777777" w:rsidR="00A7609B" w:rsidRDefault="00A7609B" w:rsidP="00A7609B">
      <w:pPr>
        <w:pStyle w:val="a9"/>
        <w:spacing w:line="360" w:lineRule="auto"/>
        <w:ind w:left="460"/>
        <w:jc w:val="both"/>
        <w:rPr>
          <w:rFonts w:ascii="David" w:hAnsi="David" w:cs="David"/>
          <w:sz w:val="24"/>
          <w:szCs w:val="24"/>
        </w:rPr>
      </w:pPr>
    </w:p>
    <w:p w14:paraId="538960F7" w14:textId="77777777" w:rsidR="00A7609B" w:rsidRDefault="00A7609B" w:rsidP="00A7609B">
      <w:pPr>
        <w:pStyle w:val="a9"/>
        <w:numPr>
          <w:ilvl w:val="0"/>
          <w:numId w:val="2"/>
        </w:numPr>
        <w:spacing w:line="360" w:lineRule="auto"/>
        <w:jc w:val="both"/>
        <w:rPr>
          <w:rFonts w:ascii="David" w:hAnsi="David" w:cs="David"/>
          <w:sz w:val="24"/>
          <w:szCs w:val="24"/>
        </w:rPr>
      </w:pPr>
      <w:r>
        <w:rPr>
          <w:rFonts w:ascii="David" w:hAnsi="David" w:cs="David"/>
          <w:b/>
          <w:bCs/>
          <w:sz w:val="24"/>
          <w:szCs w:val="24"/>
          <w:rtl/>
        </w:rPr>
        <w:t>3 חודשי מאסר על תנאי</w:t>
      </w:r>
      <w:r>
        <w:rPr>
          <w:rFonts w:ascii="David" w:hAnsi="David" w:cs="David"/>
          <w:sz w:val="24"/>
          <w:szCs w:val="24"/>
          <w:rtl/>
        </w:rPr>
        <w:t>, למשך שנתיים מיום שחרורו ממאסר, לבל יעבור הנאשם עבירת הפרת הוראה חוקית.</w:t>
      </w:r>
    </w:p>
    <w:p w14:paraId="5859C2D0" w14:textId="77777777" w:rsidR="00A7609B" w:rsidRDefault="00A7609B" w:rsidP="00A7609B">
      <w:pPr>
        <w:pStyle w:val="a9"/>
        <w:spacing w:line="360" w:lineRule="auto"/>
        <w:ind w:left="820"/>
        <w:jc w:val="both"/>
        <w:rPr>
          <w:rFonts w:ascii="David" w:hAnsi="David" w:cs="David"/>
          <w:b/>
          <w:bCs/>
          <w:sz w:val="24"/>
          <w:szCs w:val="24"/>
        </w:rPr>
      </w:pPr>
    </w:p>
    <w:p w14:paraId="069392A9" w14:textId="77777777" w:rsidR="00A7609B" w:rsidRDefault="00A7609B" w:rsidP="00A7609B">
      <w:pPr>
        <w:pStyle w:val="a9"/>
        <w:numPr>
          <w:ilvl w:val="0"/>
          <w:numId w:val="2"/>
        </w:numPr>
        <w:spacing w:line="360" w:lineRule="auto"/>
        <w:jc w:val="both"/>
        <w:rPr>
          <w:rFonts w:ascii="David" w:hAnsi="David" w:cs="David"/>
          <w:sz w:val="24"/>
          <w:szCs w:val="24"/>
        </w:rPr>
      </w:pPr>
      <w:r>
        <w:rPr>
          <w:rFonts w:ascii="David" w:hAnsi="David" w:cs="David"/>
          <w:b/>
          <w:bCs/>
          <w:sz w:val="24"/>
          <w:szCs w:val="24"/>
          <w:rtl/>
        </w:rPr>
        <w:t>קנס כספי בסך 5,000 ש"ח</w:t>
      </w:r>
      <w:r>
        <w:rPr>
          <w:rFonts w:ascii="David" w:hAnsi="David" w:cs="David"/>
          <w:sz w:val="24"/>
          <w:szCs w:val="24"/>
          <w:rtl/>
        </w:rPr>
        <w:t>, או</w:t>
      </w:r>
      <w:r w:rsidR="00062911">
        <w:rPr>
          <w:rFonts w:ascii="David" w:hAnsi="David" w:cs="David"/>
          <w:sz w:val="24"/>
          <w:szCs w:val="24"/>
          <w:rtl/>
        </w:rPr>
        <w:t xml:space="preserve"> </w:t>
      </w:r>
      <w:r>
        <w:rPr>
          <w:rFonts w:ascii="David" w:hAnsi="David" w:cs="David"/>
          <w:sz w:val="24"/>
          <w:szCs w:val="24"/>
          <w:rtl/>
        </w:rPr>
        <w:t xml:space="preserve">30 ימי מאסר תמורתו. הקנס ישולם לא יאוחר מיום 1.1.2023. </w:t>
      </w:r>
    </w:p>
    <w:p w14:paraId="666E22DA" w14:textId="77777777" w:rsidR="00A7609B" w:rsidRDefault="00A7609B" w:rsidP="00A7609B">
      <w:pPr>
        <w:pStyle w:val="a9"/>
        <w:rPr>
          <w:rFonts w:ascii="David" w:hAnsi="David" w:cs="David"/>
          <w:sz w:val="24"/>
          <w:szCs w:val="24"/>
        </w:rPr>
      </w:pPr>
    </w:p>
    <w:p w14:paraId="2A3BEDA6" w14:textId="77777777" w:rsidR="00A7609B" w:rsidRDefault="00A7609B" w:rsidP="00A7609B">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פסילה מלהחזיק או לקבל רישיון נהיגה למשך 6 חודשים מיום שחרורו ממאסר. </w:t>
      </w:r>
    </w:p>
    <w:p w14:paraId="5818B4B9" w14:textId="77777777" w:rsidR="00A7609B" w:rsidRDefault="00A7609B" w:rsidP="00A7609B">
      <w:pPr>
        <w:pStyle w:val="a9"/>
        <w:rPr>
          <w:rFonts w:ascii="David" w:hAnsi="David" w:cs="David"/>
          <w:sz w:val="24"/>
          <w:szCs w:val="24"/>
        </w:rPr>
      </w:pPr>
    </w:p>
    <w:p w14:paraId="46D9F89F" w14:textId="77777777" w:rsidR="00A7609B" w:rsidRDefault="00A7609B" w:rsidP="00A7609B">
      <w:pPr>
        <w:pStyle w:val="a9"/>
        <w:numPr>
          <w:ilvl w:val="0"/>
          <w:numId w:val="2"/>
        </w:numPr>
        <w:spacing w:line="360" w:lineRule="auto"/>
        <w:jc w:val="both"/>
        <w:rPr>
          <w:rFonts w:ascii="David" w:hAnsi="David" w:cs="David"/>
          <w:sz w:val="24"/>
          <w:szCs w:val="24"/>
          <w:rtl/>
        </w:rPr>
      </w:pPr>
      <w:r>
        <w:rPr>
          <w:rFonts w:ascii="David" w:hAnsi="David" w:cs="David"/>
          <w:b/>
          <w:bCs/>
          <w:sz w:val="24"/>
          <w:szCs w:val="24"/>
          <w:u w:val="single"/>
          <w:rtl/>
        </w:rPr>
        <w:t>חילוט</w:t>
      </w:r>
      <w:r>
        <w:rPr>
          <w:rFonts w:ascii="David" w:hAnsi="David" w:cs="David"/>
          <w:sz w:val="24"/>
          <w:szCs w:val="24"/>
          <w:rtl/>
        </w:rPr>
        <w:t>: כסף מזומן בסך 7219 ₪ יחולט לקופת המדינה. טלפונים תפוסים יוחזרו לנאשם.</w:t>
      </w:r>
    </w:p>
    <w:p w14:paraId="3323B651" w14:textId="77777777" w:rsidR="00A7609B" w:rsidRDefault="00A7609B" w:rsidP="00A7609B">
      <w:pPr>
        <w:pStyle w:val="a9"/>
        <w:rPr>
          <w:rFonts w:ascii="David" w:hAnsi="David" w:cs="David"/>
          <w:sz w:val="24"/>
          <w:szCs w:val="24"/>
        </w:rPr>
      </w:pPr>
    </w:p>
    <w:p w14:paraId="7C1610FF" w14:textId="77777777" w:rsidR="00A7609B" w:rsidRDefault="00A7609B" w:rsidP="00A7609B">
      <w:pPr>
        <w:spacing w:line="360" w:lineRule="auto"/>
        <w:jc w:val="both"/>
        <w:rPr>
          <w:rFonts w:ascii="David" w:hAnsi="David"/>
          <w:rtl/>
        </w:rPr>
      </w:pPr>
      <w:r>
        <w:rPr>
          <w:rFonts w:hint="cs"/>
          <w:rtl/>
        </w:rPr>
        <w:t xml:space="preserve">הסמים התפוסים יושמדו. </w:t>
      </w:r>
    </w:p>
    <w:p w14:paraId="75970317" w14:textId="77777777" w:rsidR="00A7609B" w:rsidRPr="00062911" w:rsidRDefault="00062911" w:rsidP="00A7609B">
      <w:pPr>
        <w:spacing w:line="360" w:lineRule="auto"/>
        <w:rPr>
          <w:color w:val="FFFFFF"/>
          <w:sz w:val="2"/>
          <w:szCs w:val="2"/>
        </w:rPr>
      </w:pPr>
      <w:r w:rsidRPr="00062911">
        <w:rPr>
          <w:color w:val="FFFFFF"/>
          <w:sz w:val="2"/>
          <w:szCs w:val="2"/>
          <w:rtl/>
        </w:rPr>
        <w:t>5129371</w:t>
      </w:r>
    </w:p>
    <w:p w14:paraId="3D5E7E52" w14:textId="77777777" w:rsidR="00A7609B" w:rsidRPr="00062911" w:rsidRDefault="00062911" w:rsidP="00A7609B">
      <w:pPr>
        <w:rPr>
          <w:rFonts w:ascii="Arial" w:hAnsi="Arial"/>
          <w:b/>
          <w:bCs/>
          <w:color w:val="FFFFFF"/>
          <w:sz w:val="2"/>
          <w:szCs w:val="2"/>
          <w:rtl/>
        </w:rPr>
      </w:pPr>
      <w:r w:rsidRPr="00062911">
        <w:rPr>
          <w:rFonts w:ascii="Arial" w:hAnsi="Arial"/>
          <w:b/>
          <w:bCs/>
          <w:color w:val="FFFFFF"/>
          <w:sz w:val="2"/>
          <w:szCs w:val="2"/>
          <w:rtl/>
        </w:rPr>
        <w:t>54678313</w:t>
      </w:r>
    </w:p>
    <w:p w14:paraId="6D20D818" w14:textId="77777777" w:rsidR="00A7609B" w:rsidRPr="000F2247" w:rsidRDefault="00A7609B" w:rsidP="00A7609B">
      <w:pPr>
        <w:rPr>
          <w:rFonts w:ascii="Arial" w:hAnsi="Arial"/>
          <w:b/>
          <w:bCs/>
          <w:sz w:val="26"/>
          <w:szCs w:val="26"/>
          <w:rtl/>
        </w:rPr>
      </w:pPr>
    </w:p>
    <w:p w14:paraId="200EF56D" w14:textId="77777777" w:rsidR="00A7609B" w:rsidRPr="000F2247" w:rsidRDefault="00062911" w:rsidP="00A7609B">
      <w:pPr>
        <w:rPr>
          <w:rFonts w:ascii="Arial" w:hAnsi="Arial"/>
          <w:b/>
          <w:bCs/>
          <w:sz w:val="26"/>
          <w:szCs w:val="26"/>
          <w:rtl/>
        </w:rPr>
      </w:pPr>
      <w:bookmarkStart w:id="7" w:name="Nitan"/>
      <w:r>
        <w:rPr>
          <w:rFonts w:ascii="Arial" w:hAnsi="Arial"/>
          <w:b/>
          <w:bCs/>
          <w:sz w:val="26"/>
          <w:szCs w:val="26"/>
          <w:rtl/>
        </w:rPr>
        <w:t xml:space="preserve">ניתן היום,  י"א תשרי תשפ"ג, 06 אוקטובר 2022, במעמד הצדדים. </w:t>
      </w:r>
      <w:bookmarkEnd w:id="7"/>
    </w:p>
    <w:p w14:paraId="78EA0EDE" w14:textId="77777777" w:rsidR="00A7609B" w:rsidRPr="000F2247" w:rsidRDefault="00A7609B" w:rsidP="0006291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649444C" w14:textId="77777777" w:rsidR="00A7609B" w:rsidRPr="000F2247" w:rsidRDefault="00A7609B" w:rsidP="00A7609B">
      <w:pPr>
        <w:jc w:val="center"/>
        <w:rPr>
          <w:rFonts w:ascii="Arial" w:hAnsi="Arial"/>
          <w:b/>
          <w:bCs/>
          <w:sz w:val="26"/>
          <w:szCs w:val="26"/>
          <w:rtl/>
        </w:rPr>
      </w:pPr>
    </w:p>
    <w:p w14:paraId="03CDF5F3" w14:textId="77777777" w:rsidR="00E666CE" w:rsidRPr="00062911" w:rsidRDefault="00E666CE" w:rsidP="00062911">
      <w:pPr>
        <w:keepNext/>
        <w:rPr>
          <w:rFonts w:ascii="David" w:hAnsi="David"/>
          <w:color w:val="000000"/>
          <w:sz w:val="22"/>
          <w:szCs w:val="22"/>
          <w:rtl/>
        </w:rPr>
      </w:pPr>
    </w:p>
    <w:p w14:paraId="0F6112B1" w14:textId="77777777" w:rsidR="00062911" w:rsidRPr="00062911" w:rsidRDefault="00062911" w:rsidP="00062911">
      <w:pPr>
        <w:keepNext/>
        <w:rPr>
          <w:rFonts w:ascii="David" w:hAnsi="David"/>
          <w:color w:val="000000"/>
          <w:sz w:val="22"/>
          <w:szCs w:val="22"/>
          <w:rtl/>
        </w:rPr>
      </w:pPr>
      <w:r w:rsidRPr="00062911">
        <w:rPr>
          <w:rFonts w:ascii="David" w:hAnsi="David"/>
          <w:color w:val="000000"/>
          <w:sz w:val="22"/>
          <w:szCs w:val="22"/>
          <w:rtl/>
        </w:rPr>
        <w:t>טל ענר 54678313</w:t>
      </w:r>
    </w:p>
    <w:p w14:paraId="1A16D89C" w14:textId="77777777" w:rsidR="00062911" w:rsidRDefault="00062911" w:rsidP="00062911">
      <w:r w:rsidRPr="00062911">
        <w:rPr>
          <w:color w:val="000000"/>
          <w:rtl/>
        </w:rPr>
        <w:t>נוסח מסמך זה כפוף לשינויי ניסוח ועריכה</w:t>
      </w:r>
    </w:p>
    <w:p w14:paraId="79809702" w14:textId="77777777" w:rsidR="00062911" w:rsidRDefault="00062911" w:rsidP="00062911">
      <w:pPr>
        <w:rPr>
          <w:rtl/>
        </w:rPr>
      </w:pPr>
    </w:p>
    <w:p w14:paraId="552E2CB9" w14:textId="77777777" w:rsidR="00062911" w:rsidRDefault="00062911" w:rsidP="0006291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7769EEE" w14:textId="77777777" w:rsidR="00062911" w:rsidRPr="00062911" w:rsidRDefault="00062911" w:rsidP="00062911">
      <w:pPr>
        <w:jc w:val="center"/>
        <w:rPr>
          <w:color w:val="0000FF"/>
          <w:u w:val="single"/>
        </w:rPr>
      </w:pPr>
    </w:p>
    <w:sectPr w:rsidR="00062911" w:rsidRPr="00062911" w:rsidSect="00062911">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BE129" w14:textId="77777777" w:rsidR="00EA49D9" w:rsidRDefault="00EA49D9" w:rsidP="00D2115B">
      <w:r>
        <w:separator/>
      </w:r>
    </w:p>
  </w:endnote>
  <w:endnote w:type="continuationSeparator" w:id="0">
    <w:p w14:paraId="646A07FB" w14:textId="77777777" w:rsidR="00EA49D9" w:rsidRDefault="00EA49D9" w:rsidP="00D2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EC7EA" w14:textId="77777777" w:rsidR="00062911" w:rsidRDefault="00062911" w:rsidP="000629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780FB5" w14:textId="77777777" w:rsidR="008769DD" w:rsidRPr="00062911" w:rsidRDefault="00062911" w:rsidP="000629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E7EE8" w14:textId="77777777" w:rsidR="00062911" w:rsidRDefault="00062911" w:rsidP="000629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0687">
      <w:rPr>
        <w:rFonts w:ascii="FrankRuehl" w:hAnsi="FrankRuehl" w:cs="FrankRuehl"/>
        <w:noProof/>
        <w:rtl/>
      </w:rPr>
      <w:t>1</w:t>
    </w:r>
    <w:r>
      <w:rPr>
        <w:rFonts w:ascii="FrankRuehl" w:hAnsi="FrankRuehl" w:cs="FrankRuehl"/>
        <w:rtl/>
      </w:rPr>
      <w:fldChar w:fldCharType="end"/>
    </w:r>
  </w:p>
  <w:p w14:paraId="33B759A2" w14:textId="77777777" w:rsidR="008769DD" w:rsidRPr="00062911" w:rsidRDefault="00062911" w:rsidP="000629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CB8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A6A1D" w14:textId="77777777" w:rsidR="00EA49D9" w:rsidRDefault="00EA49D9" w:rsidP="00D2115B">
      <w:r>
        <w:separator/>
      </w:r>
    </w:p>
  </w:footnote>
  <w:footnote w:type="continuationSeparator" w:id="0">
    <w:p w14:paraId="505F45B9" w14:textId="77777777" w:rsidR="00EA49D9" w:rsidRDefault="00EA49D9" w:rsidP="00D21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6043" w14:textId="77777777" w:rsidR="00062911" w:rsidRPr="00062911" w:rsidRDefault="00062911" w:rsidP="000629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54141-03-22</w:t>
    </w:r>
    <w:r>
      <w:rPr>
        <w:rFonts w:ascii="David" w:hAnsi="David"/>
        <w:color w:val="000000"/>
        <w:sz w:val="22"/>
        <w:szCs w:val="22"/>
        <w:rtl/>
      </w:rPr>
      <w:tab/>
      <w:t xml:space="preserve"> מדינת ישראל נ' אושרי בן ארוש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3914A" w14:textId="77777777" w:rsidR="00062911" w:rsidRPr="00062911" w:rsidRDefault="00062911" w:rsidP="000629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54141-03-22</w:t>
    </w:r>
    <w:r>
      <w:rPr>
        <w:rFonts w:ascii="David" w:hAnsi="David"/>
        <w:color w:val="000000"/>
        <w:sz w:val="22"/>
        <w:szCs w:val="22"/>
        <w:rtl/>
      </w:rPr>
      <w:tab/>
      <w:t xml:space="preserve"> מדינת ישראל נ' אושרי בן ארוש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3C6"/>
    <w:multiLevelType w:val="hybridMultilevel"/>
    <w:tmpl w:val="8E0CDB42"/>
    <w:lvl w:ilvl="0" w:tplc="31E69958">
      <w:start w:val="1"/>
      <w:numFmt w:val="hebrew1"/>
      <w:lvlText w:val="%1."/>
      <w:lvlJc w:val="left"/>
      <w:pPr>
        <w:ind w:left="460" w:hanging="4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4972FF7"/>
    <w:multiLevelType w:val="hybridMultilevel"/>
    <w:tmpl w:val="8796E8AC"/>
    <w:lvl w:ilvl="0" w:tplc="C128D378">
      <w:start w:val="1"/>
      <w:numFmt w:val="decimal"/>
      <w:lvlText w:val="%1."/>
      <w:lvlJc w:val="left"/>
      <w:pPr>
        <w:ind w:left="360" w:hanging="360"/>
      </w:pPr>
      <w:rPr>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351422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4541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609B"/>
    <w:rsid w:val="00062911"/>
    <w:rsid w:val="001B5A3B"/>
    <w:rsid w:val="00227E41"/>
    <w:rsid w:val="002A597D"/>
    <w:rsid w:val="00340B9A"/>
    <w:rsid w:val="00392057"/>
    <w:rsid w:val="00530AE0"/>
    <w:rsid w:val="005E3A4F"/>
    <w:rsid w:val="00850687"/>
    <w:rsid w:val="008769DD"/>
    <w:rsid w:val="00A7609B"/>
    <w:rsid w:val="00BC1DEA"/>
    <w:rsid w:val="00D2115B"/>
    <w:rsid w:val="00E666CE"/>
    <w:rsid w:val="00EA49D9"/>
    <w:rsid w:val="00EF1886"/>
    <w:rsid w:val="00FF0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CFD2CD"/>
  <w15:chartTrackingRefBased/>
  <w15:docId w15:val="{B407A478-30C6-4E53-8EDB-83309A2E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60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609B"/>
    <w:pPr>
      <w:tabs>
        <w:tab w:val="center" w:pos="4153"/>
        <w:tab w:val="right" w:pos="8306"/>
      </w:tabs>
    </w:pPr>
  </w:style>
  <w:style w:type="character" w:customStyle="1" w:styleId="a4">
    <w:name w:val="כותרת עליונה תו"/>
    <w:link w:val="a3"/>
    <w:rsid w:val="00A7609B"/>
    <w:rPr>
      <w:rFonts w:ascii="Times New Roman" w:eastAsia="Times New Roman" w:hAnsi="Times New Roman" w:cs="David"/>
      <w:sz w:val="24"/>
      <w:szCs w:val="24"/>
    </w:rPr>
  </w:style>
  <w:style w:type="paragraph" w:styleId="a5">
    <w:name w:val="footer"/>
    <w:basedOn w:val="a"/>
    <w:link w:val="a6"/>
    <w:rsid w:val="00A7609B"/>
    <w:pPr>
      <w:tabs>
        <w:tab w:val="center" w:pos="4153"/>
        <w:tab w:val="right" w:pos="8306"/>
      </w:tabs>
    </w:pPr>
  </w:style>
  <w:style w:type="character" w:customStyle="1" w:styleId="a6">
    <w:name w:val="כותרת תחתונה תו"/>
    <w:link w:val="a5"/>
    <w:rsid w:val="00A7609B"/>
    <w:rPr>
      <w:rFonts w:ascii="Times New Roman" w:eastAsia="Times New Roman" w:hAnsi="Times New Roman" w:cs="David"/>
      <w:sz w:val="24"/>
      <w:szCs w:val="24"/>
    </w:rPr>
  </w:style>
  <w:style w:type="table" w:styleId="a7">
    <w:name w:val="Table Grid"/>
    <w:basedOn w:val="a1"/>
    <w:rsid w:val="00A760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609B"/>
  </w:style>
  <w:style w:type="paragraph" w:styleId="a9">
    <w:name w:val="List Paragraph"/>
    <w:basedOn w:val="a"/>
    <w:qFormat/>
    <w:rsid w:val="00A7609B"/>
    <w:pPr>
      <w:spacing w:after="160" w:line="252" w:lineRule="auto"/>
      <w:ind w:left="720"/>
      <w:contextualSpacing/>
    </w:pPr>
    <w:rPr>
      <w:rFonts w:ascii="Calibri" w:eastAsia="Calibri" w:hAnsi="Calibri" w:cs="Calibri"/>
      <w:sz w:val="22"/>
      <w:szCs w:val="22"/>
    </w:rPr>
  </w:style>
  <w:style w:type="paragraph" w:customStyle="1" w:styleId="aa">
    <w:name w:val="a"/>
    <w:basedOn w:val="a"/>
    <w:rsid w:val="00A7609B"/>
    <w:pPr>
      <w:bidi w:val="0"/>
      <w:spacing w:before="100" w:beforeAutospacing="1" w:after="100" w:afterAutospacing="1"/>
    </w:pPr>
    <w:rPr>
      <w:rFonts w:cs="Times New Roman"/>
    </w:rPr>
  </w:style>
  <w:style w:type="character" w:customStyle="1" w:styleId="default">
    <w:name w:val="default"/>
    <w:rsid w:val="00A7609B"/>
  </w:style>
  <w:style w:type="character" w:styleId="Hyperlink">
    <w:name w:val="Hyperlink"/>
    <w:rsid w:val="00A760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1" TargetMode="External"/><Relationship Id="rId13" Type="http://schemas.openxmlformats.org/officeDocument/2006/relationships/hyperlink" Target="http://www.nevo.co.il/case/10459115" TargetMode="External"/><Relationship Id="rId18" Type="http://schemas.openxmlformats.org/officeDocument/2006/relationships/hyperlink" Target="http://www.nevo.co.il/law/421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4188324" TargetMode="External"/><Relationship Id="rId7" Type="http://schemas.openxmlformats.org/officeDocument/2006/relationships/hyperlink" Target="http://www.nevo.co.il/law/4216" TargetMode="External"/><Relationship Id="rId12" Type="http://schemas.openxmlformats.org/officeDocument/2006/relationships/hyperlink" Target="http://www.nevo.co.il/case/18784698" TargetMode="External"/><Relationship Id="rId17" Type="http://schemas.openxmlformats.org/officeDocument/2006/relationships/hyperlink" Target="http://www.nevo.co.il/law/4216/36a.b"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032952" TargetMode="External"/><Relationship Id="rId20" Type="http://schemas.openxmlformats.org/officeDocument/2006/relationships/hyperlink" Target="http://www.nevo.co.il/law/4216/36.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879336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619304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12930657" TargetMode="External"/><Relationship Id="rId19" Type="http://schemas.openxmlformats.org/officeDocument/2006/relationships/hyperlink" Target="http://www.nevo.co.il/case/5681787" TargetMode="Externa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case/12930657"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1358</Words>
  <Characters>6791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8133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3735675</vt:i4>
      </vt:variant>
      <vt:variant>
        <vt:i4>42</vt:i4>
      </vt:variant>
      <vt:variant>
        <vt:i4>0</vt:i4>
      </vt:variant>
      <vt:variant>
        <vt:i4>5</vt:i4>
      </vt:variant>
      <vt:variant>
        <vt:lpwstr>http://www.nevo.co.il/case/24188324</vt:lpwstr>
      </vt:variant>
      <vt:variant>
        <vt:lpwstr/>
      </vt:variant>
      <vt:variant>
        <vt:i4>6488188</vt:i4>
      </vt:variant>
      <vt:variant>
        <vt:i4>39</vt:i4>
      </vt:variant>
      <vt:variant>
        <vt:i4>0</vt:i4>
      </vt:variant>
      <vt:variant>
        <vt:i4>5</vt:i4>
      </vt:variant>
      <vt:variant>
        <vt:lpwstr>http://www.nevo.co.il/law/4216/36.1</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8257637</vt:i4>
      </vt:variant>
      <vt:variant>
        <vt:i4>33</vt:i4>
      </vt:variant>
      <vt:variant>
        <vt:i4>0</vt:i4>
      </vt:variant>
      <vt:variant>
        <vt:i4>5</vt:i4>
      </vt:variant>
      <vt:variant>
        <vt:lpwstr>http://www.nevo.co.il/law/4216</vt:lpwstr>
      </vt:variant>
      <vt:variant>
        <vt:lpwstr/>
      </vt:variant>
      <vt:variant>
        <vt:i4>5111890</vt:i4>
      </vt:variant>
      <vt:variant>
        <vt:i4>30</vt:i4>
      </vt:variant>
      <vt:variant>
        <vt:i4>0</vt:i4>
      </vt:variant>
      <vt:variant>
        <vt:i4>5</vt:i4>
      </vt:variant>
      <vt:variant>
        <vt:lpwstr>http://www.nevo.co.il/law/4216/36a.b</vt:lpwstr>
      </vt:variant>
      <vt:variant>
        <vt:lpwstr/>
      </vt:variant>
      <vt:variant>
        <vt:i4>4063347</vt:i4>
      </vt:variant>
      <vt:variant>
        <vt:i4>27</vt:i4>
      </vt:variant>
      <vt:variant>
        <vt:i4>0</vt:i4>
      </vt:variant>
      <vt:variant>
        <vt:i4>5</vt:i4>
      </vt:variant>
      <vt:variant>
        <vt:lpwstr>http://www.nevo.co.il/case/6032952</vt:lpwstr>
      </vt:variant>
      <vt:variant>
        <vt:lpwstr/>
      </vt:variant>
      <vt:variant>
        <vt:i4>3735666</vt:i4>
      </vt:variant>
      <vt:variant>
        <vt:i4>24</vt:i4>
      </vt:variant>
      <vt:variant>
        <vt:i4>0</vt:i4>
      </vt:variant>
      <vt:variant>
        <vt:i4>5</vt:i4>
      </vt:variant>
      <vt:variant>
        <vt:lpwstr>http://www.nevo.co.il/case/6193046</vt:lpwstr>
      </vt:variant>
      <vt:variant>
        <vt:lpwstr/>
      </vt:variant>
      <vt:variant>
        <vt:i4>3997811</vt:i4>
      </vt:variant>
      <vt:variant>
        <vt:i4>21</vt:i4>
      </vt:variant>
      <vt:variant>
        <vt:i4>0</vt:i4>
      </vt:variant>
      <vt:variant>
        <vt:i4>5</vt:i4>
      </vt:variant>
      <vt:variant>
        <vt:lpwstr>http://www.nevo.co.il/case/12930657</vt:lpwstr>
      </vt:variant>
      <vt:variant>
        <vt:lpwstr/>
      </vt:variant>
      <vt:variant>
        <vt:i4>3997808</vt:i4>
      </vt:variant>
      <vt:variant>
        <vt:i4>18</vt:i4>
      </vt:variant>
      <vt:variant>
        <vt:i4>0</vt:i4>
      </vt:variant>
      <vt:variant>
        <vt:i4>5</vt:i4>
      </vt:variant>
      <vt:variant>
        <vt:lpwstr>http://www.nevo.co.il/case/10459115</vt:lpwstr>
      </vt:variant>
      <vt:variant>
        <vt:lpwstr/>
      </vt:variant>
      <vt:variant>
        <vt:i4>3866738</vt:i4>
      </vt:variant>
      <vt:variant>
        <vt:i4>15</vt:i4>
      </vt:variant>
      <vt:variant>
        <vt:i4>0</vt:i4>
      </vt:variant>
      <vt:variant>
        <vt:i4>5</vt:i4>
      </vt:variant>
      <vt:variant>
        <vt:lpwstr>http://www.nevo.co.il/case/18784698</vt:lpwstr>
      </vt:variant>
      <vt:variant>
        <vt:lpwstr/>
      </vt:variant>
      <vt:variant>
        <vt:i4>3342454</vt:i4>
      </vt:variant>
      <vt:variant>
        <vt:i4>12</vt:i4>
      </vt:variant>
      <vt:variant>
        <vt:i4>0</vt:i4>
      </vt:variant>
      <vt:variant>
        <vt:i4>5</vt:i4>
      </vt:variant>
      <vt:variant>
        <vt:lpwstr>http://www.nevo.co.il/case/18793360</vt:lpwstr>
      </vt:variant>
      <vt:variant>
        <vt:lpwstr/>
      </vt:variant>
      <vt:variant>
        <vt:i4>3997811</vt:i4>
      </vt:variant>
      <vt:variant>
        <vt:i4>9</vt:i4>
      </vt:variant>
      <vt:variant>
        <vt:i4>0</vt:i4>
      </vt:variant>
      <vt:variant>
        <vt:i4>5</vt:i4>
      </vt:variant>
      <vt:variant>
        <vt:lpwstr>http://www.nevo.co.il/case/12930657</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6488188</vt:i4>
      </vt:variant>
      <vt:variant>
        <vt:i4>3</vt:i4>
      </vt:variant>
      <vt:variant>
        <vt:i4>0</vt:i4>
      </vt:variant>
      <vt:variant>
        <vt:i4>5</vt:i4>
      </vt:variant>
      <vt:variant>
        <vt:lpwstr>http://www.nevo.co.il/law/4216/36.1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54141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אושרי בן ארוש</vt:lpwstr>
  </property>
  <property fmtid="{D5CDD505-2E9C-101B-9397-08002B2CF9AE}" pid="10" name="JUDGE">
    <vt:lpwstr>טל ענר</vt:lpwstr>
  </property>
  <property fmtid="{D5CDD505-2E9C-101B-9397-08002B2CF9AE}" pid="11" name="CITY">
    <vt:lpwstr>ראשל"צ</vt:lpwstr>
  </property>
  <property fmtid="{D5CDD505-2E9C-101B-9397-08002B2CF9AE}" pid="12" name="DATE">
    <vt:lpwstr>20221006</vt:lpwstr>
  </property>
  <property fmtid="{D5CDD505-2E9C-101B-9397-08002B2CF9AE}" pid="13" name="TYPE_N_DATE">
    <vt:lpwstr>38020221006</vt:lpwstr>
  </property>
  <property fmtid="{D5CDD505-2E9C-101B-9397-08002B2CF9AE}" pid="14" name="WORDNUMPAGES">
    <vt:lpwstr>5</vt:lpwstr>
  </property>
  <property fmtid="{D5CDD505-2E9C-101B-9397-08002B2CF9AE}" pid="15" name="TYPE_ABS_DATE">
    <vt:lpwstr>380020221006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12930657:2;18793360;18784698;10459115;6193046;6032952;5681787;24188324</vt:lpwstr>
  </property>
  <property fmtid="{D5CDD505-2E9C-101B-9397-08002B2CF9AE}" pid="36" name="LAWLISTTMP1">
    <vt:lpwstr>4216/036a.b;036.1</vt:lpwstr>
  </property>
</Properties>
</file>