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4126"/>
        <w:gridCol w:w="10"/>
        <w:gridCol w:w="3662"/>
        <w:gridCol w:w="99"/>
      </w:tblGrid>
      <w:tr w:rsidR="00576FE3" w:rsidRPr="00686232" w14:paraId="511C292B" w14:textId="77777777" w:rsidTr="00053B5D">
        <w:trPr>
          <w:gridAfter w:val="1"/>
          <w:wAfter w:w="99" w:type="dxa"/>
          <w:trHeight w:hRule="exact" w:val="418"/>
          <w:jc w:val="center"/>
        </w:trPr>
        <w:tc>
          <w:tcPr>
            <w:tcW w:w="8721" w:type="dxa"/>
            <w:gridSpan w:val="4"/>
          </w:tcPr>
          <w:p w14:paraId="2F32F635" w14:textId="77777777" w:rsidR="00576FE3" w:rsidRPr="00686232" w:rsidRDefault="00576FE3" w:rsidP="004D3DDF">
            <w:pPr>
              <w:pStyle w:val="a3"/>
              <w:jc w:val="center"/>
              <w:rPr>
                <w:rFonts w:ascii="Tahoma" w:hAnsi="Tahoma" w:cs="Tahoma"/>
                <w:color w:val="000080"/>
                <w:rtl/>
              </w:rPr>
            </w:pPr>
            <w:r w:rsidRPr="00686232">
              <w:rPr>
                <w:rFonts w:ascii="Tahoma" w:hAnsi="Tahoma" w:cs="Tahoma"/>
                <w:b/>
                <w:bCs/>
                <w:color w:val="000080"/>
                <w:rtl/>
              </w:rPr>
              <w:t>בית משפט השלום בקריות</w:t>
            </w:r>
          </w:p>
        </w:tc>
      </w:tr>
      <w:tr w:rsidR="00576FE3" w:rsidRPr="00686232" w14:paraId="227B5AAA" w14:textId="77777777" w:rsidTr="00053B5D">
        <w:trPr>
          <w:gridAfter w:val="1"/>
          <w:wAfter w:w="99" w:type="dxa"/>
          <w:trHeight w:val="337"/>
          <w:jc w:val="center"/>
        </w:trPr>
        <w:tc>
          <w:tcPr>
            <w:tcW w:w="5059" w:type="dxa"/>
            <w:gridSpan w:val="3"/>
          </w:tcPr>
          <w:p w14:paraId="40642F43" w14:textId="77777777" w:rsidR="00576FE3" w:rsidRPr="00686232" w:rsidRDefault="00576FE3" w:rsidP="004D3DDF">
            <w:pPr>
              <w:rPr>
                <w:rFonts w:cs="FrankRuehl"/>
                <w:sz w:val="28"/>
                <w:szCs w:val="28"/>
                <w:rtl/>
              </w:rPr>
            </w:pPr>
            <w:r w:rsidRPr="00686232">
              <w:rPr>
                <w:rFonts w:cs="FrankRuehl"/>
                <w:sz w:val="28"/>
                <w:szCs w:val="28"/>
                <w:rtl/>
              </w:rPr>
              <w:t>ת"פ</w:t>
            </w:r>
            <w:r w:rsidRPr="00686232">
              <w:rPr>
                <w:rFonts w:cs="FrankRuehl" w:hint="cs"/>
                <w:sz w:val="28"/>
                <w:szCs w:val="28"/>
                <w:rtl/>
              </w:rPr>
              <w:t xml:space="preserve"> </w:t>
            </w:r>
            <w:r w:rsidRPr="00686232">
              <w:rPr>
                <w:rFonts w:cs="FrankRuehl"/>
                <w:sz w:val="28"/>
                <w:szCs w:val="28"/>
                <w:rtl/>
              </w:rPr>
              <w:t>60760-03-22</w:t>
            </w:r>
            <w:r w:rsidRPr="00686232">
              <w:rPr>
                <w:rFonts w:cs="FrankRuehl" w:hint="cs"/>
                <w:sz w:val="28"/>
                <w:szCs w:val="28"/>
                <w:rtl/>
              </w:rPr>
              <w:t xml:space="preserve"> </w:t>
            </w:r>
            <w:r w:rsidRPr="00686232">
              <w:rPr>
                <w:rFonts w:cs="FrankRuehl"/>
                <w:sz w:val="28"/>
                <w:szCs w:val="28"/>
                <w:rtl/>
              </w:rPr>
              <w:t>מדינת ישראל נ' אמסלם(עציר)</w:t>
            </w:r>
          </w:p>
          <w:p w14:paraId="5E75F29B" w14:textId="77777777" w:rsidR="00576FE3" w:rsidRPr="00686232" w:rsidRDefault="00576FE3" w:rsidP="004D3DDF">
            <w:pPr>
              <w:pStyle w:val="a3"/>
              <w:rPr>
                <w:rFonts w:cs="FrankRuehl"/>
                <w:sz w:val="28"/>
                <w:szCs w:val="28"/>
                <w:rtl/>
              </w:rPr>
            </w:pPr>
          </w:p>
        </w:tc>
        <w:tc>
          <w:tcPr>
            <w:tcW w:w="3662" w:type="dxa"/>
          </w:tcPr>
          <w:p w14:paraId="6DE91945" w14:textId="77777777" w:rsidR="00576FE3" w:rsidRPr="00686232" w:rsidRDefault="00576FE3" w:rsidP="004D3DDF">
            <w:pPr>
              <w:pStyle w:val="a3"/>
              <w:jc w:val="right"/>
              <w:rPr>
                <w:rFonts w:cs="FrankRuehl"/>
                <w:sz w:val="28"/>
                <w:szCs w:val="28"/>
                <w:rtl/>
              </w:rPr>
            </w:pPr>
          </w:p>
        </w:tc>
      </w:tr>
      <w:tr w:rsidR="00576FE3" w:rsidRPr="00686232" w14:paraId="60FDA172" w14:textId="77777777" w:rsidTr="00053B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7151E321" w14:textId="77777777" w:rsidR="00576FE3" w:rsidRPr="00686232" w:rsidRDefault="00576FE3" w:rsidP="00576FE3">
            <w:pPr>
              <w:jc w:val="both"/>
              <w:rPr>
                <w:rFonts w:ascii="David" w:hAnsi="David"/>
                <w:b/>
                <w:bCs/>
              </w:rPr>
            </w:pPr>
            <w:r w:rsidRPr="00686232">
              <w:rPr>
                <w:rFonts w:hint="cs"/>
                <w:rtl/>
              </w:rPr>
              <w:t xml:space="preserve"> </w:t>
            </w:r>
            <w:r w:rsidRPr="00686232">
              <w:rPr>
                <w:rFonts w:ascii="David" w:hAnsi="David"/>
                <w:b/>
                <w:bCs/>
                <w:rtl/>
              </w:rPr>
              <w:t xml:space="preserve">בפני </w:t>
            </w:r>
          </w:p>
        </w:tc>
        <w:tc>
          <w:tcPr>
            <w:tcW w:w="7897" w:type="dxa"/>
            <w:gridSpan w:val="4"/>
            <w:tcBorders>
              <w:top w:val="nil"/>
              <w:left w:val="nil"/>
              <w:bottom w:val="nil"/>
              <w:right w:val="nil"/>
            </w:tcBorders>
            <w:shd w:val="clear" w:color="auto" w:fill="auto"/>
          </w:tcPr>
          <w:p w14:paraId="6D834BBE" w14:textId="77777777" w:rsidR="00576FE3" w:rsidRPr="00686232" w:rsidRDefault="00576FE3" w:rsidP="004D3DDF">
            <w:pPr>
              <w:rPr>
                <w:rFonts w:ascii="David" w:hAnsi="David"/>
                <w:b/>
                <w:bCs/>
              </w:rPr>
            </w:pPr>
            <w:r w:rsidRPr="00686232">
              <w:rPr>
                <w:rFonts w:ascii="Arial" w:hAnsi="Arial"/>
                <w:b/>
                <w:bCs/>
                <w:rtl/>
              </w:rPr>
              <w:t>כב' השופט יוסי טורס , סגן הנשיאה</w:t>
            </w:r>
          </w:p>
        </w:tc>
      </w:tr>
      <w:tr w:rsidR="00576FE3" w:rsidRPr="00686232" w14:paraId="1D295BE5" w14:textId="77777777" w:rsidTr="00053B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D278221" w14:textId="77777777" w:rsidR="00576FE3" w:rsidRPr="00686232" w:rsidRDefault="00576FE3" w:rsidP="00576FE3">
            <w:pPr>
              <w:jc w:val="both"/>
              <w:rPr>
                <w:rFonts w:ascii="David" w:hAnsi="David"/>
                <w:b/>
                <w:bCs/>
              </w:rPr>
            </w:pPr>
            <w:bookmarkStart w:id="0" w:name="LastJudge"/>
            <w:bookmarkEnd w:id="0"/>
          </w:p>
        </w:tc>
        <w:tc>
          <w:tcPr>
            <w:tcW w:w="4126" w:type="dxa"/>
            <w:tcBorders>
              <w:top w:val="nil"/>
              <w:left w:val="nil"/>
              <w:bottom w:val="nil"/>
              <w:right w:val="nil"/>
            </w:tcBorders>
            <w:shd w:val="clear" w:color="auto" w:fill="auto"/>
          </w:tcPr>
          <w:p w14:paraId="6FB82585" w14:textId="77777777" w:rsidR="00576FE3" w:rsidRPr="00686232" w:rsidRDefault="00576FE3" w:rsidP="004D3DDF">
            <w:pPr>
              <w:rPr>
                <w:rFonts w:ascii="David" w:hAnsi="David"/>
                <w:b/>
                <w:bCs/>
              </w:rPr>
            </w:pPr>
          </w:p>
        </w:tc>
        <w:tc>
          <w:tcPr>
            <w:tcW w:w="3771" w:type="dxa"/>
            <w:gridSpan w:val="3"/>
            <w:tcBorders>
              <w:top w:val="nil"/>
              <w:left w:val="nil"/>
              <w:bottom w:val="nil"/>
              <w:right w:val="nil"/>
            </w:tcBorders>
            <w:shd w:val="clear" w:color="auto" w:fill="auto"/>
          </w:tcPr>
          <w:p w14:paraId="06845123" w14:textId="77777777" w:rsidR="00576FE3" w:rsidRPr="00686232" w:rsidRDefault="00576FE3" w:rsidP="00576FE3">
            <w:pPr>
              <w:jc w:val="both"/>
              <w:rPr>
                <w:rFonts w:ascii="David" w:hAnsi="David"/>
                <w:b/>
                <w:bCs/>
              </w:rPr>
            </w:pPr>
          </w:p>
        </w:tc>
      </w:tr>
      <w:tr w:rsidR="00576FE3" w:rsidRPr="00686232" w14:paraId="0762B878" w14:textId="77777777" w:rsidTr="00053B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6B73229" w14:textId="77777777" w:rsidR="00576FE3" w:rsidRPr="00686232" w:rsidRDefault="00576FE3" w:rsidP="00576FE3">
            <w:pPr>
              <w:jc w:val="both"/>
              <w:rPr>
                <w:rFonts w:ascii="David" w:hAnsi="David"/>
                <w:b/>
                <w:bCs/>
              </w:rPr>
            </w:pPr>
            <w:bookmarkStart w:id="1" w:name="FirstAppellant"/>
            <w:r w:rsidRPr="00686232">
              <w:rPr>
                <w:rFonts w:ascii="David" w:hAnsi="David"/>
                <w:b/>
                <w:bCs/>
                <w:rtl/>
              </w:rPr>
              <w:t>בעניין:</w:t>
            </w:r>
          </w:p>
        </w:tc>
        <w:tc>
          <w:tcPr>
            <w:tcW w:w="4126" w:type="dxa"/>
            <w:tcBorders>
              <w:top w:val="nil"/>
              <w:left w:val="nil"/>
              <w:bottom w:val="nil"/>
              <w:right w:val="nil"/>
            </w:tcBorders>
            <w:shd w:val="clear" w:color="auto" w:fill="auto"/>
          </w:tcPr>
          <w:p w14:paraId="4D0C4428" w14:textId="77777777" w:rsidR="00576FE3" w:rsidRPr="00686232" w:rsidRDefault="00576FE3" w:rsidP="004D3DDF">
            <w:pPr>
              <w:rPr>
                <w:rFonts w:ascii="David" w:hAnsi="David"/>
                <w:b/>
                <w:bCs/>
              </w:rPr>
            </w:pPr>
            <w:r w:rsidRPr="00686232">
              <w:rPr>
                <w:rFonts w:ascii="David" w:hAnsi="David"/>
                <w:b/>
                <w:bCs/>
                <w:rtl/>
              </w:rPr>
              <w:t>מדינת ישראל</w:t>
            </w:r>
          </w:p>
        </w:tc>
        <w:tc>
          <w:tcPr>
            <w:tcW w:w="3771" w:type="dxa"/>
            <w:gridSpan w:val="3"/>
            <w:tcBorders>
              <w:top w:val="nil"/>
              <w:left w:val="nil"/>
              <w:bottom w:val="nil"/>
              <w:right w:val="nil"/>
            </w:tcBorders>
            <w:shd w:val="clear" w:color="auto" w:fill="auto"/>
          </w:tcPr>
          <w:p w14:paraId="6A9F96A2" w14:textId="77777777" w:rsidR="00576FE3" w:rsidRPr="00686232" w:rsidRDefault="00576FE3" w:rsidP="00576FE3">
            <w:pPr>
              <w:jc w:val="right"/>
              <w:rPr>
                <w:rFonts w:ascii="David" w:hAnsi="David"/>
                <w:b/>
                <w:bCs/>
                <w:rtl/>
              </w:rPr>
            </w:pPr>
            <w:r w:rsidRPr="00686232">
              <w:rPr>
                <w:rFonts w:ascii="David" w:hAnsi="David"/>
                <w:b/>
                <w:bCs/>
                <w:rtl/>
              </w:rPr>
              <w:t>המאשימה</w:t>
            </w:r>
          </w:p>
        </w:tc>
      </w:tr>
      <w:bookmarkEnd w:id="1"/>
      <w:tr w:rsidR="00576FE3" w:rsidRPr="00686232" w14:paraId="25340C72" w14:textId="77777777" w:rsidTr="00053B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14B917B" w14:textId="77777777" w:rsidR="00576FE3" w:rsidRPr="00686232" w:rsidRDefault="00576FE3" w:rsidP="00576FE3">
            <w:pPr>
              <w:jc w:val="both"/>
              <w:rPr>
                <w:rFonts w:ascii="David" w:hAnsi="David"/>
                <w:b/>
                <w:bCs/>
                <w:rtl/>
              </w:rPr>
            </w:pPr>
          </w:p>
        </w:tc>
        <w:tc>
          <w:tcPr>
            <w:tcW w:w="7897" w:type="dxa"/>
            <w:gridSpan w:val="4"/>
            <w:tcBorders>
              <w:top w:val="nil"/>
              <w:left w:val="nil"/>
              <w:bottom w:val="nil"/>
              <w:right w:val="nil"/>
            </w:tcBorders>
            <w:shd w:val="clear" w:color="auto" w:fill="auto"/>
          </w:tcPr>
          <w:p w14:paraId="7B191D3B" w14:textId="77777777" w:rsidR="00576FE3" w:rsidRPr="00686232" w:rsidRDefault="00576FE3" w:rsidP="00576FE3">
            <w:pPr>
              <w:jc w:val="center"/>
              <w:rPr>
                <w:rFonts w:ascii="David" w:hAnsi="David"/>
                <w:b/>
                <w:bCs/>
                <w:rtl/>
              </w:rPr>
            </w:pPr>
          </w:p>
          <w:p w14:paraId="0D8362E3" w14:textId="77777777" w:rsidR="00576FE3" w:rsidRPr="00686232" w:rsidRDefault="00576FE3" w:rsidP="00576FE3">
            <w:pPr>
              <w:jc w:val="center"/>
              <w:rPr>
                <w:rFonts w:ascii="David" w:hAnsi="David"/>
                <w:b/>
                <w:bCs/>
                <w:rtl/>
              </w:rPr>
            </w:pPr>
            <w:r w:rsidRPr="00686232">
              <w:rPr>
                <w:rFonts w:ascii="David" w:hAnsi="David"/>
                <w:b/>
                <w:bCs/>
                <w:rtl/>
              </w:rPr>
              <w:t>נגד</w:t>
            </w:r>
          </w:p>
          <w:p w14:paraId="04755B16" w14:textId="77777777" w:rsidR="00576FE3" w:rsidRPr="00686232" w:rsidRDefault="00576FE3" w:rsidP="00576FE3">
            <w:pPr>
              <w:jc w:val="both"/>
              <w:rPr>
                <w:rFonts w:ascii="David" w:hAnsi="David"/>
                <w:b/>
                <w:bCs/>
              </w:rPr>
            </w:pPr>
          </w:p>
        </w:tc>
      </w:tr>
      <w:tr w:rsidR="00576FE3" w:rsidRPr="00686232" w14:paraId="09AFAFC8" w14:textId="77777777" w:rsidTr="00053B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8CE46C2" w14:textId="77777777" w:rsidR="00576FE3" w:rsidRPr="00686232" w:rsidRDefault="00576FE3" w:rsidP="004D3DDF">
            <w:pPr>
              <w:rPr>
                <w:rFonts w:ascii="David" w:hAnsi="David"/>
                <w:b/>
                <w:bCs/>
                <w:rtl/>
              </w:rPr>
            </w:pPr>
          </w:p>
        </w:tc>
        <w:tc>
          <w:tcPr>
            <w:tcW w:w="4126" w:type="dxa"/>
            <w:tcBorders>
              <w:top w:val="nil"/>
              <w:left w:val="nil"/>
              <w:bottom w:val="nil"/>
              <w:right w:val="nil"/>
            </w:tcBorders>
            <w:shd w:val="clear" w:color="auto" w:fill="auto"/>
          </w:tcPr>
          <w:p w14:paraId="7C7D560B" w14:textId="77777777" w:rsidR="00576FE3" w:rsidRPr="00686232" w:rsidRDefault="00576FE3" w:rsidP="004D3DDF">
            <w:pPr>
              <w:rPr>
                <w:rFonts w:ascii="David" w:hAnsi="David"/>
                <w:b/>
                <w:bCs/>
                <w:rtl/>
              </w:rPr>
            </w:pPr>
          </w:p>
        </w:tc>
        <w:tc>
          <w:tcPr>
            <w:tcW w:w="3771" w:type="dxa"/>
            <w:gridSpan w:val="3"/>
            <w:tcBorders>
              <w:top w:val="nil"/>
              <w:left w:val="nil"/>
              <w:bottom w:val="nil"/>
              <w:right w:val="nil"/>
            </w:tcBorders>
            <w:shd w:val="clear" w:color="auto" w:fill="auto"/>
          </w:tcPr>
          <w:p w14:paraId="6F5ACE77" w14:textId="77777777" w:rsidR="00576FE3" w:rsidRPr="00686232" w:rsidRDefault="00576FE3" w:rsidP="00576FE3">
            <w:pPr>
              <w:jc w:val="right"/>
              <w:rPr>
                <w:rFonts w:ascii="David" w:hAnsi="David"/>
                <w:b/>
                <w:bCs/>
              </w:rPr>
            </w:pPr>
          </w:p>
        </w:tc>
      </w:tr>
      <w:tr w:rsidR="00576FE3" w:rsidRPr="00686232" w14:paraId="47D608EC" w14:textId="77777777" w:rsidTr="00053B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3F74B92" w14:textId="77777777" w:rsidR="00576FE3" w:rsidRPr="00686232" w:rsidRDefault="00576FE3" w:rsidP="00576FE3">
            <w:pPr>
              <w:jc w:val="both"/>
              <w:rPr>
                <w:rFonts w:ascii="David" w:hAnsi="David"/>
                <w:b/>
                <w:bCs/>
                <w:rtl/>
              </w:rPr>
            </w:pPr>
          </w:p>
        </w:tc>
        <w:tc>
          <w:tcPr>
            <w:tcW w:w="4126" w:type="dxa"/>
            <w:tcBorders>
              <w:top w:val="nil"/>
              <w:left w:val="nil"/>
              <w:bottom w:val="nil"/>
              <w:right w:val="nil"/>
            </w:tcBorders>
            <w:shd w:val="clear" w:color="auto" w:fill="auto"/>
          </w:tcPr>
          <w:p w14:paraId="311AF78E" w14:textId="77777777" w:rsidR="00576FE3" w:rsidRPr="00686232" w:rsidRDefault="00576FE3" w:rsidP="00576FE3">
            <w:pPr>
              <w:jc w:val="both"/>
              <w:rPr>
                <w:rFonts w:ascii="David" w:hAnsi="David"/>
                <w:b/>
                <w:bCs/>
                <w:rtl/>
              </w:rPr>
            </w:pPr>
            <w:r w:rsidRPr="00686232">
              <w:rPr>
                <w:rFonts w:ascii="David" w:hAnsi="David"/>
                <w:b/>
                <w:bCs/>
                <w:rtl/>
              </w:rPr>
              <w:t xml:space="preserve">בר אמסלם </w:t>
            </w:r>
          </w:p>
        </w:tc>
        <w:tc>
          <w:tcPr>
            <w:tcW w:w="3771" w:type="dxa"/>
            <w:gridSpan w:val="3"/>
            <w:tcBorders>
              <w:top w:val="nil"/>
              <w:left w:val="nil"/>
              <w:bottom w:val="nil"/>
              <w:right w:val="nil"/>
            </w:tcBorders>
            <w:shd w:val="clear" w:color="auto" w:fill="auto"/>
          </w:tcPr>
          <w:p w14:paraId="7297E26B" w14:textId="77777777" w:rsidR="00576FE3" w:rsidRPr="00686232" w:rsidRDefault="00576FE3" w:rsidP="00576FE3">
            <w:pPr>
              <w:jc w:val="right"/>
              <w:rPr>
                <w:rFonts w:ascii="David" w:hAnsi="David"/>
                <w:b/>
                <w:bCs/>
              </w:rPr>
            </w:pPr>
            <w:r w:rsidRPr="00686232">
              <w:rPr>
                <w:rFonts w:ascii="David" w:hAnsi="David"/>
                <w:b/>
                <w:bCs/>
                <w:rtl/>
              </w:rPr>
              <w:t>הנאש</w:t>
            </w:r>
            <w:r w:rsidRPr="00686232">
              <w:rPr>
                <w:rFonts w:ascii="David" w:hAnsi="David" w:hint="cs"/>
                <w:b/>
                <w:bCs/>
                <w:rtl/>
              </w:rPr>
              <w:t>ם</w:t>
            </w:r>
          </w:p>
        </w:tc>
      </w:tr>
    </w:tbl>
    <w:p w14:paraId="79212EDB" w14:textId="77777777" w:rsidR="00053B5D" w:rsidRDefault="00053B5D" w:rsidP="00576FE3">
      <w:pPr>
        <w:rPr>
          <w:rtl/>
        </w:rPr>
      </w:pPr>
    </w:p>
    <w:p w14:paraId="090F81B2" w14:textId="77777777" w:rsidR="00053B5D" w:rsidRPr="00053B5D" w:rsidRDefault="00053B5D" w:rsidP="00053B5D">
      <w:pPr>
        <w:spacing w:after="120" w:line="240" w:lineRule="exact"/>
        <w:ind w:left="283" w:hanging="283"/>
        <w:jc w:val="both"/>
        <w:rPr>
          <w:rFonts w:ascii="FrankRuehl" w:hAnsi="FrankRuehl" w:cs="FrankRuehl"/>
          <w:rtl/>
        </w:rPr>
      </w:pPr>
    </w:p>
    <w:p w14:paraId="32EF4023" w14:textId="77777777" w:rsidR="00416C82" w:rsidRPr="00416C82" w:rsidRDefault="00416C82" w:rsidP="00416C82">
      <w:pPr>
        <w:spacing w:before="120" w:after="120" w:line="240" w:lineRule="exact"/>
        <w:ind w:left="283" w:hanging="283"/>
        <w:jc w:val="both"/>
        <w:rPr>
          <w:rFonts w:ascii="FrankRuehl" w:hAnsi="FrankRuehl" w:cs="FrankRuehl"/>
          <w:rtl/>
        </w:rPr>
      </w:pPr>
    </w:p>
    <w:p w14:paraId="1F7C5A94" w14:textId="77777777" w:rsidR="008C5E59" w:rsidRDefault="008C5E59" w:rsidP="008C5E59">
      <w:pPr>
        <w:rPr>
          <w:rFonts w:ascii="David" w:hAnsi="David"/>
          <w:rtl/>
        </w:rPr>
      </w:pPr>
      <w:bookmarkStart w:id="2" w:name="LawTable"/>
      <w:bookmarkEnd w:id="2"/>
    </w:p>
    <w:p w14:paraId="00ABADC5" w14:textId="77777777" w:rsidR="008C5E59" w:rsidRPr="008C5E59" w:rsidRDefault="008C5E59" w:rsidP="008C5E59">
      <w:pPr>
        <w:spacing w:before="120" w:after="120" w:line="240" w:lineRule="exact"/>
        <w:ind w:left="283" w:hanging="283"/>
        <w:jc w:val="both"/>
        <w:rPr>
          <w:rFonts w:ascii="FrankRuehl" w:hAnsi="FrankRuehl" w:cs="FrankRuehl"/>
          <w:rtl/>
        </w:rPr>
      </w:pPr>
    </w:p>
    <w:p w14:paraId="5536156A" w14:textId="77777777" w:rsidR="008C5E59" w:rsidRPr="008C5E59" w:rsidRDefault="008C5E59" w:rsidP="008C5E59">
      <w:pPr>
        <w:spacing w:before="120" w:after="120" w:line="240" w:lineRule="exact"/>
        <w:ind w:left="283" w:hanging="283"/>
        <w:jc w:val="both"/>
        <w:rPr>
          <w:rFonts w:ascii="FrankRuehl" w:hAnsi="FrankRuehl" w:cs="FrankRuehl"/>
          <w:rtl/>
        </w:rPr>
      </w:pPr>
    </w:p>
    <w:p w14:paraId="16E05BDA" w14:textId="77777777" w:rsidR="008C5E59" w:rsidRPr="008C5E59" w:rsidRDefault="008C5E59" w:rsidP="008C5E59">
      <w:pPr>
        <w:spacing w:before="120" w:after="120" w:line="240" w:lineRule="exact"/>
        <w:ind w:left="283" w:hanging="283"/>
        <w:jc w:val="both"/>
        <w:rPr>
          <w:rFonts w:ascii="FrankRuehl" w:hAnsi="FrankRuehl" w:cs="FrankRuehl"/>
          <w:rtl/>
        </w:rPr>
      </w:pPr>
      <w:r w:rsidRPr="008C5E59">
        <w:rPr>
          <w:rFonts w:ascii="FrankRuehl" w:hAnsi="FrankRuehl" w:cs="FrankRuehl"/>
          <w:rtl/>
        </w:rPr>
        <w:t xml:space="preserve">חקיקה שאוזכרה: </w:t>
      </w:r>
    </w:p>
    <w:p w14:paraId="38307F0E" w14:textId="77777777" w:rsidR="008C5E59" w:rsidRPr="008C5E59" w:rsidRDefault="008C5E59" w:rsidP="008C5E59">
      <w:pPr>
        <w:spacing w:before="120" w:after="120" w:line="240" w:lineRule="exact"/>
        <w:ind w:left="283" w:hanging="283"/>
        <w:jc w:val="both"/>
        <w:rPr>
          <w:rFonts w:ascii="FrankRuehl" w:hAnsi="FrankRuehl" w:cs="FrankRuehl"/>
          <w:rtl/>
        </w:rPr>
      </w:pPr>
      <w:hyperlink r:id="rId7" w:history="1">
        <w:r w:rsidRPr="008C5E59">
          <w:rPr>
            <w:rFonts w:ascii="FrankRuehl" w:hAnsi="FrankRuehl" w:cs="FrankRuehl"/>
            <w:color w:val="0000FF"/>
            <w:rtl/>
          </w:rPr>
          <w:t>חוק העונשין, תשל"ז-1977</w:t>
        </w:r>
      </w:hyperlink>
      <w:r w:rsidRPr="008C5E59">
        <w:rPr>
          <w:rFonts w:ascii="FrankRuehl" w:hAnsi="FrankRuehl" w:cs="FrankRuehl"/>
          <w:rtl/>
        </w:rPr>
        <w:t xml:space="preserve">: סע'  </w:t>
      </w:r>
      <w:hyperlink r:id="rId8" w:history="1">
        <w:r w:rsidRPr="008C5E59">
          <w:rPr>
            <w:rFonts w:ascii="FrankRuehl" w:hAnsi="FrankRuehl" w:cs="FrankRuehl"/>
            <w:color w:val="0000FF"/>
            <w:rtl/>
          </w:rPr>
          <w:t>40.ט.7</w:t>
        </w:r>
      </w:hyperlink>
      <w:r w:rsidRPr="008C5E59">
        <w:rPr>
          <w:rFonts w:ascii="FrankRuehl" w:hAnsi="FrankRuehl" w:cs="FrankRuehl"/>
          <w:rtl/>
        </w:rPr>
        <w:t xml:space="preserve">, </w:t>
      </w:r>
      <w:hyperlink r:id="rId9" w:history="1">
        <w:r w:rsidRPr="008C5E59">
          <w:rPr>
            <w:rFonts w:ascii="FrankRuehl" w:hAnsi="FrankRuehl" w:cs="FrankRuehl"/>
            <w:color w:val="0000FF"/>
            <w:rtl/>
          </w:rPr>
          <w:t>40ט.6.</w:t>
        </w:r>
      </w:hyperlink>
      <w:r w:rsidRPr="008C5E59">
        <w:rPr>
          <w:rFonts w:ascii="FrankRuehl" w:hAnsi="FrankRuehl" w:cs="FrankRuehl"/>
          <w:rtl/>
        </w:rPr>
        <w:t xml:space="preserve">, </w:t>
      </w:r>
      <w:hyperlink r:id="rId10" w:history="1">
        <w:r w:rsidRPr="008C5E59">
          <w:rPr>
            <w:rFonts w:ascii="FrankRuehl" w:hAnsi="FrankRuehl" w:cs="FrankRuehl"/>
            <w:color w:val="0000FF"/>
            <w:rtl/>
          </w:rPr>
          <w:t>186(א)</w:t>
        </w:r>
      </w:hyperlink>
      <w:r w:rsidRPr="008C5E59">
        <w:rPr>
          <w:rFonts w:ascii="FrankRuehl" w:hAnsi="FrankRuehl" w:cs="FrankRuehl"/>
          <w:rtl/>
        </w:rPr>
        <w:t xml:space="preserve">, </w:t>
      </w:r>
      <w:hyperlink r:id="rId11" w:history="1">
        <w:r w:rsidRPr="008C5E59">
          <w:rPr>
            <w:rFonts w:ascii="FrankRuehl" w:hAnsi="FrankRuehl" w:cs="FrankRuehl"/>
            <w:color w:val="0000FF"/>
            <w:rtl/>
          </w:rPr>
          <w:t>192</w:t>
        </w:r>
      </w:hyperlink>
      <w:r w:rsidRPr="008C5E59">
        <w:rPr>
          <w:rFonts w:ascii="FrankRuehl" w:hAnsi="FrankRuehl" w:cs="FrankRuehl"/>
          <w:rtl/>
        </w:rPr>
        <w:t xml:space="preserve">, </w:t>
      </w:r>
      <w:hyperlink r:id="rId12" w:history="1">
        <w:r w:rsidRPr="008C5E59">
          <w:rPr>
            <w:rFonts w:ascii="FrankRuehl" w:hAnsi="FrankRuehl" w:cs="FrankRuehl"/>
            <w:color w:val="0000FF"/>
            <w:rtl/>
          </w:rPr>
          <w:t>40יא(8)</w:t>
        </w:r>
      </w:hyperlink>
    </w:p>
    <w:p w14:paraId="37871327" w14:textId="77777777" w:rsidR="008C5E59" w:rsidRPr="008C5E59" w:rsidRDefault="008C5E59" w:rsidP="008C5E59">
      <w:pPr>
        <w:spacing w:before="120" w:after="120" w:line="240" w:lineRule="exact"/>
        <w:ind w:left="283" w:hanging="283"/>
        <w:jc w:val="both"/>
        <w:rPr>
          <w:rFonts w:ascii="FrankRuehl" w:hAnsi="FrankRuehl" w:cs="FrankRuehl"/>
          <w:rtl/>
        </w:rPr>
      </w:pPr>
      <w:hyperlink r:id="rId13" w:history="1">
        <w:r w:rsidRPr="008C5E59">
          <w:rPr>
            <w:rFonts w:ascii="FrankRuehl" w:hAnsi="FrankRuehl" w:cs="FrankRuehl"/>
            <w:color w:val="0000FF"/>
            <w:rtl/>
          </w:rPr>
          <w:t>פקודת הסמים המסוכנים [נוסח חדש], תשל"ג-1973</w:t>
        </w:r>
      </w:hyperlink>
      <w:r w:rsidRPr="008C5E59">
        <w:rPr>
          <w:rFonts w:ascii="FrankRuehl" w:hAnsi="FrankRuehl" w:cs="FrankRuehl"/>
          <w:rtl/>
        </w:rPr>
        <w:t xml:space="preserve">: סע'  </w:t>
      </w:r>
      <w:hyperlink r:id="rId14" w:history="1">
        <w:r w:rsidRPr="008C5E59">
          <w:rPr>
            <w:rFonts w:ascii="FrankRuehl" w:hAnsi="FrankRuehl" w:cs="FrankRuehl"/>
            <w:color w:val="0000FF"/>
            <w:rtl/>
          </w:rPr>
          <w:t>7.א.</w:t>
        </w:r>
      </w:hyperlink>
      <w:r w:rsidRPr="008C5E59">
        <w:rPr>
          <w:rFonts w:ascii="FrankRuehl" w:hAnsi="FrankRuehl" w:cs="FrankRuehl"/>
          <w:rtl/>
        </w:rPr>
        <w:t xml:space="preserve">, </w:t>
      </w:r>
      <w:hyperlink r:id="rId15" w:history="1">
        <w:r w:rsidRPr="008C5E59">
          <w:rPr>
            <w:rFonts w:ascii="FrankRuehl" w:hAnsi="FrankRuehl" w:cs="FrankRuehl"/>
            <w:color w:val="0000FF"/>
            <w:rtl/>
          </w:rPr>
          <w:t>7.ג</w:t>
        </w:r>
      </w:hyperlink>
    </w:p>
    <w:p w14:paraId="53F69B8E" w14:textId="77777777" w:rsidR="008C5E59" w:rsidRPr="008C5E59" w:rsidRDefault="008C5E59" w:rsidP="008C5E59">
      <w:pPr>
        <w:rPr>
          <w:rFonts w:ascii="David" w:hAnsi="David"/>
          <w:rtl/>
        </w:rPr>
      </w:pPr>
      <w:bookmarkStart w:id="3" w:name="LawTable_End"/>
      <w:bookmarkEnd w:id="3"/>
    </w:p>
    <w:p w14:paraId="36BA6F01" w14:textId="77777777" w:rsidR="00576FE3" w:rsidRPr="00416C82" w:rsidRDefault="00576FE3" w:rsidP="00416C82">
      <w:pPr>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76FE3" w:rsidRPr="00A13E4B" w14:paraId="16D3A1E1" w14:textId="77777777" w:rsidTr="00576FE3">
        <w:trPr>
          <w:trHeight w:val="355"/>
          <w:jc w:val="center"/>
        </w:trPr>
        <w:tc>
          <w:tcPr>
            <w:tcW w:w="8820" w:type="dxa"/>
            <w:tcBorders>
              <w:top w:val="nil"/>
              <w:left w:val="nil"/>
              <w:bottom w:val="nil"/>
              <w:right w:val="nil"/>
            </w:tcBorders>
            <w:shd w:val="clear" w:color="auto" w:fill="auto"/>
          </w:tcPr>
          <w:p w14:paraId="294139BA" w14:textId="77777777" w:rsidR="00686232" w:rsidRPr="00686232" w:rsidRDefault="00686232" w:rsidP="00686232">
            <w:pPr>
              <w:jc w:val="center"/>
              <w:rPr>
                <w:rFonts w:ascii="David" w:hAnsi="David"/>
                <w:b/>
                <w:bCs/>
                <w:sz w:val="28"/>
                <w:szCs w:val="28"/>
                <w:u w:val="single"/>
                <w:rtl/>
              </w:rPr>
            </w:pPr>
            <w:bookmarkStart w:id="4" w:name="PsakDin" w:colFirst="0" w:colLast="0"/>
            <w:r w:rsidRPr="00686232">
              <w:rPr>
                <w:rFonts w:ascii="David" w:hAnsi="David"/>
                <w:b/>
                <w:bCs/>
                <w:sz w:val="28"/>
                <w:szCs w:val="28"/>
                <w:u w:val="single"/>
                <w:rtl/>
              </w:rPr>
              <w:t>גזר דין</w:t>
            </w:r>
          </w:p>
          <w:p w14:paraId="46506F88" w14:textId="77777777" w:rsidR="00576FE3" w:rsidRPr="00686232" w:rsidRDefault="00576FE3" w:rsidP="00686232">
            <w:pPr>
              <w:jc w:val="center"/>
              <w:rPr>
                <w:rFonts w:ascii="David" w:hAnsi="David"/>
                <w:b/>
                <w:bCs/>
                <w:u w:val="single"/>
                <w:rtl/>
              </w:rPr>
            </w:pPr>
          </w:p>
        </w:tc>
      </w:tr>
      <w:bookmarkEnd w:id="4"/>
    </w:tbl>
    <w:p w14:paraId="4FF5F6AD" w14:textId="77777777" w:rsidR="00576FE3" w:rsidRDefault="00576FE3" w:rsidP="00576FE3">
      <w:pPr>
        <w:rPr>
          <w:rFonts w:ascii="David" w:hAnsi="David"/>
          <w:rtl/>
        </w:rPr>
      </w:pPr>
    </w:p>
    <w:p w14:paraId="2A051EB2" w14:textId="77777777" w:rsidR="00576FE3" w:rsidRDefault="00576FE3" w:rsidP="00576FE3">
      <w:pPr>
        <w:spacing w:line="360" w:lineRule="auto"/>
        <w:jc w:val="both"/>
        <w:rPr>
          <w:rFonts w:ascii="David" w:hAnsi="David"/>
          <w:b/>
          <w:bCs/>
          <w:u w:val="single"/>
          <w:rtl/>
        </w:rPr>
      </w:pPr>
      <w:r>
        <w:rPr>
          <w:rFonts w:ascii="David" w:hAnsi="David" w:hint="cs"/>
          <w:b/>
          <w:bCs/>
          <w:u w:val="single"/>
          <w:rtl/>
        </w:rPr>
        <w:t>כתב האישום וההליכים</w:t>
      </w:r>
    </w:p>
    <w:p w14:paraId="21774FF5" w14:textId="77777777" w:rsidR="00576FE3" w:rsidRPr="0051107B" w:rsidRDefault="00576FE3" w:rsidP="00576FE3">
      <w:pPr>
        <w:spacing w:line="360" w:lineRule="auto"/>
        <w:jc w:val="both"/>
        <w:rPr>
          <w:rFonts w:ascii="David" w:hAnsi="David"/>
          <w:rtl/>
        </w:rPr>
      </w:pPr>
    </w:p>
    <w:p w14:paraId="794333CE" w14:textId="77777777" w:rsidR="00576FE3" w:rsidRDefault="00576FE3" w:rsidP="00576FE3">
      <w:pPr>
        <w:pStyle w:val="a9"/>
        <w:numPr>
          <w:ilvl w:val="0"/>
          <w:numId w:val="1"/>
        </w:numPr>
        <w:spacing w:line="360" w:lineRule="auto"/>
        <w:jc w:val="both"/>
        <w:rPr>
          <w:rFonts w:ascii="David" w:hAnsi="David"/>
        </w:rPr>
      </w:pPr>
      <w:bookmarkStart w:id="5" w:name="ABSTRACT_START"/>
      <w:bookmarkEnd w:id="5"/>
      <w:r>
        <w:rPr>
          <w:rFonts w:ascii="David" w:hAnsi="David" w:hint="cs"/>
          <w:rtl/>
        </w:rPr>
        <w:t xml:space="preserve">הנאשם הורשע על פי הודאתו בעובדות כתב האישום בעבירות איומים, לפי </w:t>
      </w:r>
      <w:hyperlink r:id="rId16" w:history="1">
        <w:r w:rsidR="00053B5D" w:rsidRPr="00053B5D">
          <w:rPr>
            <w:rStyle w:val="Hyperlink"/>
            <w:rFonts w:ascii="David" w:hAnsi="David" w:hint="eastAsia"/>
            <w:rtl/>
          </w:rPr>
          <w:t>סעיף</w:t>
        </w:r>
        <w:r w:rsidR="00053B5D" w:rsidRPr="00053B5D">
          <w:rPr>
            <w:rStyle w:val="Hyperlink"/>
            <w:rFonts w:ascii="David" w:hAnsi="David"/>
            <w:rtl/>
          </w:rPr>
          <w:t xml:space="preserve"> 192</w:t>
        </w:r>
      </w:hyperlink>
      <w:r>
        <w:rPr>
          <w:rFonts w:ascii="David" w:hAnsi="David" w:hint="cs"/>
          <w:rtl/>
        </w:rPr>
        <w:t xml:space="preserve"> ל</w:t>
      </w:r>
      <w:hyperlink r:id="rId17" w:history="1">
        <w:r w:rsidR="00686232" w:rsidRPr="00686232">
          <w:rPr>
            <w:rFonts w:ascii="David" w:hAnsi="David"/>
            <w:color w:val="0000FF"/>
            <w:u w:val="single"/>
            <w:rtl/>
          </w:rPr>
          <w:t>חוק העונשין</w:t>
        </w:r>
      </w:hyperlink>
      <w:r>
        <w:rPr>
          <w:rFonts w:ascii="David" w:hAnsi="David" w:hint="cs"/>
          <w:rtl/>
        </w:rPr>
        <w:t xml:space="preserve">, תשל"ז- 1977 (להלן </w:t>
      </w:r>
      <w:r>
        <w:rPr>
          <w:rFonts w:ascii="David" w:hAnsi="David"/>
          <w:rtl/>
        </w:rPr>
        <w:t>–</w:t>
      </w:r>
      <w:r>
        <w:rPr>
          <w:rFonts w:ascii="David" w:hAnsi="David" w:hint="cs"/>
          <w:rtl/>
        </w:rPr>
        <w:t xml:space="preserve"> </w:t>
      </w:r>
      <w:r w:rsidRPr="00BF08C4">
        <w:rPr>
          <w:rFonts w:ascii="Miriam" w:hAnsi="Miriam" w:cs="Miriam"/>
          <w:rtl/>
        </w:rPr>
        <w:t>חוק העונשין</w:t>
      </w:r>
      <w:r>
        <w:rPr>
          <w:rFonts w:ascii="David" w:hAnsi="David" w:hint="cs"/>
          <w:rtl/>
        </w:rPr>
        <w:t xml:space="preserve">), החזקת סכין שלא כדין, לפי </w:t>
      </w:r>
      <w:hyperlink r:id="rId18" w:history="1">
        <w:r w:rsidR="00053B5D" w:rsidRPr="00053B5D">
          <w:rPr>
            <w:rStyle w:val="Hyperlink"/>
            <w:rFonts w:ascii="David" w:hAnsi="David" w:hint="eastAsia"/>
            <w:rtl/>
          </w:rPr>
          <w:t>סעיף</w:t>
        </w:r>
        <w:r w:rsidR="00053B5D" w:rsidRPr="00053B5D">
          <w:rPr>
            <w:rStyle w:val="Hyperlink"/>
            <w:rFonts w:ascii="David" w:hAnsi="David"/>
            <w:rtl/>
          </w:rPr>
          <w:t xml:space="preserve"> 186(א)</w:t>
        </w:r>
      </w:hyperlink>
      <w:r>
        <w:rPr>
          <w:rFonts w:ascii="David" w:hAnsi="David" w:hint="cs"/>
          <w:rtl/>
        </w:rPr>
        <w:t xml:space="preserve"> לחוק העונשין והחזקת סמים שלא לצריכה עצמית, לפי </w:t>
      </w:r>
      <w:hyperlink r:id="rId19" w:history="1">
        <w:r w:rsidR="00053B5D" w:rsidRPr="00053B5D">
          <w:rPr>
            <w:rStyle w:val="Hyperlink"/>
            <w:rFonts w:ascii="David" w:hAnsi="David" w:hint="eastAsia"/>
            <w:rtl/>
          </w:rPr>
          <w:t>סעיף</w:t>
        </w:r>
        <w:r w:rsidR="00053B5D" w:rsidRPr="00053B5D">
          <w:rPr>
            <w:rStyle w:val="Hyperlink"/>
            <w:rFonts w:ascii="David" w:hAnsi="David"/>
            <w:rtl/>
          </w:rPr>
          <w:t xml:space="preserve"> 7(א)+7(ג)</w:t>
        </w:r>
      </w:hyperlink>
      <w:r>
        <w:rPr>
          <w:rFonts w:ascii="David" w:hAnsi="David" w:hint="cs"/>
          <w:rtl/>
        </w:rPr>
        <w:t xml:space="preserve"> רישא </w:t>
      </w:r>
      <w:r>
        <w:rPr>
          <w:rFonts w:ascii="Arial" w:hAnsi="Arial"/>
          <w:rtl/>
        </w:rPr>
        <w:t>לפקודת הסמים [נוסח חדש], תשל"ג- 1973</w:t>
      </w:r>
      <w:r>
        <w:rPr>
          <w:rFonts w:ascii="David" w:hAnsi="David" w:hint="cs"/>
          <w:rtl/>
        </w:rPr>
        <w:t>. על פי עובדות כתב האישום, ביום 19.3.22 בסמוך לשעה 20:30 התקשר הנאשם להוריו</w:t>
      </w:r>
      <w:r w:rsidRPr="00BF08C4">
        <w:rPr>
          <w:rFonts w:ascii="David" w:hAnsi="David" w:hint="cs"/>
          <w:rtl/>
        </w:rPr>
        <w:t xml:space="preserve"> </w:t>
      </w:r>
      <w:r>
        <w:rPr>
          <w:rFonts w:ascii="David" w:hAnsi="David" w:hint="cs"/>
          <w:rtl/>
        </w:rPr>
        <w:t xml:space="preserve">(להלן </w:t>
      </w:r>
      <w:r>
        <w:rPr>
          <w:rFonts w:ascii="David" w:hAnsi="David"/>
          <w:rtl/>
        </w:rPr>
        <w:t>–</w:t>
      </w:r>
      <w:r>
        <w:rPr>
          <w:rFonts w:ascii="David" w:hAnsi="David" w:hint="cs"/>
          <w:rtl/>
        </w:rPr>
        <w:t xml:space="preserve"> </w:t>
      </w:r>
      <w:r w:rsidRPr="008A14DF">
        <w:rPr>
          <w:rFonts w:ascii="David" w:hAnsi="David" w:cs="Miriam" w:hint="cs"/>
          <w:rtl/>
        </w:rPr>
        <w:t>המתלוננים</w:t>
      </w:r>
      <w:r>
        <w:rPr>
          <w:rFonts w:ascii="David" w:hAnsi="David" w:hint="cs"/>
          <w:rtl/>
        </w:rPr>
        <w:t xml:space="preserve">), שהיו בדרכם הביתה, קילל אותם ואיים על אביו באומרו </w:t>
      </w:r>
      <w:bookmarkStart w:id="6" w:name="ABSTRACT_END"/>
      <w:bookmarkEnd w:id="6"/>
      <w:r>
        <w:rPr>
          <w:rFonts w:ascii="David" w:hAnsi="David" w:hint="cs"/>
          <w:rtl/>
        </w:rPr>
        <w:t>"</w:t>
      </w:r>
      <w:r w:rsidRPr="00BF08C4">
        <w:rPr>
          <w:rFonts w:ascii="Miriam" w:hAnsi="Miriam" w:cs="Miriam"/>
          <w:rtl/>
        </w:rPr>
        <w:t>אני מחכה לך תבוא לפה ותראה מה אני עושה, היום אני דוקר אותך, שובר לך את הבית ואני אהרוג את שניכם</w:t>
      </w:r>
      <w:r>
        <w:rPr>
          <w:rFonts w:ascii="David" w:hAnsi="David" w:hint="cs"/>
          <w:rtl/>
        </w:rPr>
        <w:t xml:space="preserve">". המתלוננים הזעיקו משטרה ושני שוטרים הגיעו לבית המשפחה ופגשו בהם. בשלב זה התקשר הנאשם בשנית לאביו, דרש ממנו "להעיף" את המשטרה וקילל אותו. השוטרים הבחינו שהנאשם עומד בחדר מדרגות בבניין מול בית הוריו כשברשותו סכין שאורך להבה כ-15 ס"מ, סכין יפנית מתקבעת בעלת להב באורך כ-7 ס"מ, אלה מעץ וגז פלפל. כן נמצא הנאשם במעמד זה מחזיק בסם מסוכן מסוג קנבוס במשקל 57.46 גרם נטו, שלא לצריכתו העצמית. </w:t>
      </w:r>
    </w:p>
    <w:p w14:paraId="222762D2" w14:textId="77777777" w:rsidR="00576FE3" w:rsidRDefault="00576FE3" w:rsidP="00576FE3">
      <w:pPr>
        <w:pStyle w:val="a9"/>
        <w:ind w:left="0"/>
        <w:jc w:val="both"/>
        <w:rPr>
          <w:rFonts w:ascii="David" w:hAnsi="David"/>
        </w:rPr>
      </w:pPr>
    </w:p>
    <w:p w14:paraId="5C06C4DD" w14:textId="77777777" w:rsidR="00576FE3" w:rsidRDefault="00576FE3" w:rsidP="00576FE3">
      <w:pPr>
        <w:pStyle w:val="a9"/>
        <w:numPr>
          <w:ilvl w:val="0"/>
          <w:numId w:val="1"/>
        </w:numPr>
        <w:spacing w:line="360" w:lineRule="auto"/>
        <w:jc w:val="both"/>
        <w:rPr>
          <w:rFonts w:ascii="David" w:hAnsi="David"/>
        </w:rPr>
      </w:pPr>
      <w:r>
        <w:rPr>
          <w:rFonts w:ascii="David" w:hAnsi="David" w:hint="cs"/>
          <w:rtl/>
        </w:rPr>
        <w:t xml:space="preserve">הודאת הנאשם באה במסגרת הסדר טיעון לפיו הוסכם שהמאשימה תעתור לעונש מאסר בן 12 חודשים, בעוד שההגנה תטען לעונש מאסר בן 5 חודשים בלבד. </w:t>
      </w:r>
    </w:p>
    <w:p w14:paraId="0ABB436E" w14:textId="77777777" w:rsidR="00576FE3" w:rsidRDefault="00576FE3" w:rsidP="00576FE3">
      <w:pPr>
        <w:rPr>
          <w:rFonts w:ascii="David" w:hAnsi="David"/>
          <w:rtl/>
        </w:rPr>
      </w:pPr>
    </w:p>
    <w:p w14:paraId="4D169113" w14:textId="77777777" w:rsidR="00576FE3" w:rsidRPr="00BC4F56" w:rsidRDefault="00576FE3" w:rsidP="00576FE3">
      <w:pPr>
        <w:rPr>
          <w:rFonts w:ascii="David" w:hAnsi="David"/>
          <w:b/>
          <w:bCs/>
          <w:u w:val="single"/>
          <w:rtl/>
        </w:rPr>
      </w:pPr>
      <w:r w:rsidRPr="00BC4F56">
        <w:rPr>
          <w:rFonts w:ascii="David" w:hAnsi="David" w:hint="cs"/>
          <w:b/>
          <w:bCs/>
          <w:u w:val="single"/>
          <w:rtl/>
        </w:rPr>
        <w:t>טיעוני הצדדים לעונש</w:t>
      </w:r>
      <w:r>
        <w:rPr>
          <w:rFonts w:ascii="David" w:hAnsi="David" w:hint="cs"/>
          <w:b/>
          <w:bCs/>
          <w:u w:val="single"/>
          <w:rtl/>
        </w:rPr>
        <w:t xml:space="preserve"> והראיות</w:t>
      </w:r>
    </w:p>
    <w:p w14:paraId="75C875FE" w14:textId="77777777" w:rsidR="00576FE3" w:rsidRPr="00BC4F56" w:rsidRDefault="00576FE3" w:rsidP="00576FE3">
      <w:pPr>
        <w:rPr>
          <w:rFonts w:ascii="David" w:hAnsi="David"/>
          <w:b/>
          <w:bCs/>
          <w:rtl/>
        </w:rPr>
      </w:pPr>
    </w:p>
    <w:p w14:paraId="2663874A" w14:textId="77777777" w:rsidR="00576FE3" w:rsidRDefault="00576FE3" w:rsidP="00576FE3">
      <w:pPr>
        <w:pStyle w:val="a9"/>
        <w:numPr>
          <w:ilvl w:val="0"/>
          <w:numId w:val="1"/>
        </w:numPr>
        <w:spacing w:line="360" w:lineRule="auto"/>
        <w:jc w:val="both"/>
        <w:rPr>
          <w:rFonts w:ascii="David" w:hAnsi="David"/>
        </w:rPr>
      </w:pPr>
      <w:r>
        <w:rPr>
          <w:rFonts w:ascii="David" w:hAnsi="David" w:hint="cs"/>
          <w:rtl/>
        </w:rPr>
        <w:t>ב"כ המאשימה עמדה על חומרת העבירות וטענה כי הערכים המוגנים שנפגעו הם שמירה על שלמות גופם, נפשם וביטחונ</w:t>
      </w:r>
      <w:r>
        <w:rPr>
          <w:rFonts w:ascii="David" w:hAnsi="David" w:hint="eastAsia"/>
          <w:rtl/>
        </w:rPr>
        <w:t>ם</w:t>
      </w:r>
      <w:r>
        <w:rPr>
          <w:rFonts w:ascii="David" w:hAnsi="David" w:hint="cs"/>
          <w:rtl/>
        </w:rPr>
        <w:t xml:space="preserve"> של המתלוננים. כן נטען שנפגע ערך נוסף </w:t>
      </w:r>
      <w:r>
        <w:rPr>
          <w:rFonts w:ascii="Arial" w:hAnsi="Arial" w:hint="cs"/>
          <w:rtl/>
        </w:rPr>
        <w:t>ו</w:t>
      </w:r>
      <w:r>
        <w:rPr>
          <w:rFonts w:ascii="Arial" w:hAnsi="Arial"/>
          <w:rtl/>
        </w:rPr>
        <w:t xml:space="preserve">הוא </w:t>
      </w:r>
      <w:r>
        <w:rPr>
          <w:rtl/>
        </w:rPr>
        <w:t>שמירה על בטחון הציבור מפני נגעי הסמים.</w:t>
      </w:r>
      <w:r>
        <w:rPr>
          <w:rFonts w:ascii="David" w:hAnsi="David" w:hint="cs"/>
          <w:rtl/>
        </w:rPr>
        <w:t xml:space="preserve"> המאשימה הפנתה לפסיקה וטענה שיש לקבוע מתחם אחד לכל העבירות הנע בין 10 חודשי מאסר בפועל ועד 20 חודשי מאסר בפועל. ביחס לעונש הראוי לנאשם הפנתה המאשימה לעברו הפלילי ולמצבו הנפשי ונטען שבהיעדר סיכויי שיקום יש לגזור את עונשו בגדרי מתחם הענישה, תוך העדפת שיקולי הגמול וההרתעה. בהתאם להסדר הטיעון עתרה המאשימה לגזור על הנאשם 12 חודשי מאסר בפועל, מאסר על תנאי והתחייבות. </w:t>
      </w:r>
    </w:p>
    <w:p w14:paraId="5349D8A8" w14:textId="77777777" w:rsidR="00576FE3" w:rsidRDefault="00576FE3" w:rsidP="00576FE3">
      <w:pPr>
        <w:pStyle w:val="a9"/>
        <w:numPr>
          <w:ilvl w:val="0"/>
          <w:numId w:val="1"/>
        </w:numPr>
        <w:spacing w:line="360" w:lineRule="auto"/>
        <w:jc w:val="both"/>
        <w:rPr>
          <w:rFonts w:ascii="David" w:hAnsi="David"/>
        </w:rPr>
      </w:pPr>
      <w:r>
        <w:rPr>
          <w:rFonts w:ascii="David" w:hAnsi="David" w:hint="cs"/>
          <w:rtl/>
        </w:rPr>
        <w:t xml:space="preserve">ב"כ הנאשם טען שמדובר בנאשם צעיר יחסית שהודה בהזדמנות הראשונה וקיבל אחריות למעשיו. נטען כי חרף עברו הפלילי יש להביא בחשבון שהרשעתו האחרונה היא בגין עבירה משנת 2018. ההגנה ציינה שבשל מצבו הנפשי הופסקו הליכים קודמים שנוהלו נגדו וביקשה להביא בחשבון את מצבו הנפשי המורכב כנסיבה המצדיקה הקלה. ביחס לנסיבות ביצוע העבירה טען הסנגור כי מדובר באיום ברף נמוך של חומרה וכי החזקת הסכין הייתה בקרבת הבית ולא במרחב ציבורי. לאור כך נטען שמתחם העונש ההולם נע בין מאסר מותנה ועד שנת מאסר בפועל. ביחס לעונש הראוי לנאשם עתרה ההגנה להתחשב, כאמור, במצבו הנפשי, בעמדת המתלונן, בתקופת המעצר וביתר הנסיבות. בהתאם להסדר הטיעון ביקש הסנגור לגזור על הנאשם 5 חודשי מאסר בפועל לצד ענישה צופה פני עתיד. </w:t>
      </w:r>
    </w:p>
    <w:p w14:paraId="53097667" w14:textId="77777777" w:rsidR="00576FE3" w:rsidRPr="00695CBF" w:rsidRDefault="00576FE3" w:rsidP="00576FE3">
      <w:pPr>
        <w:pStyle w:val="a9"/>
        <w:rPr>
          <w:rFonts w:ascii="David" w:hAnsi="David"/>
          <w:rtl/>
        </w:rPr>
      </w:pPr>
    </w:p>
    <w:p w14:paraId="2D10314D" w14:textId="77777777" w:rsidR="00576FE3" w:rsidRDefault="00576FE3" w:rsidP="00576FE3">
      <w:pPr>
        <w:pStyle w:val="a9"/>
        <w:numPr>
          <w:ilvl w:val="0"/>
          <w:numId w:val="1"/>
        </w:numPr>
        <w:spacing w:line="360" w:lineRule="auto"/>
        <w:jc w:val="both"/>
        <w:rPr>
          <w:rFonts w:ascii="David" w:hAnsi="David"/>
        </w:rPr>
      </w:pPr>
      <w:r>
        <w:rPr>
          <w:rFonts w:ascii="David" w:hAnsi="David" w:hint="cs"/>
          <w:rtl/>
        </w:rPr>
        <w:t xml:space="preserve">הנאשם בדברו האחרון ציין שהרקע לעבירות הוא סכסוך משפחתי-כספי בינו לבין הוריו, הדגיש שהוא מודע לחומרת מעשיו וטען שברצונו לשקם את חייו ואת יחסיו עם המשפחה. כן ציין הנאשם שברצונו להיגמל מסמים, להתרחק מחברה שולית ולסגל אורח חיים חיובי. </w:t>
      </w:r>
    </w:p>
    <w:p w14:paraId="61400F51" w14:textId="77777777" w:rsidR="00576FE3" w:rsidRPr="00374A8A" w:rsidRDefault="00576FE3" w:rsidP="00576FE3">
      <w:pPr>
        <w:rPr>
          <w:rFonts w:ascii="David" w:hAnsi="David"/>
          <w:rtl/>
        </w:rPr>
      </w:pPr>
    </w:p>
    <w:p w14:paraId="7198870A" w14:textId="77777777" w:rsidR="00576FE3" w:rsidRDefault="00576FE3" w:rsidP="00576FE3">
      <w:pPr>
        <w:spacing w:line="360" w:lineRule="auto"/>
        <w:jc w:val="both"/>
        <w:rPr>
          <w:b/>
          <w:bCs/>
          <w:u w:val="single"/>
        </w:rPr>
      </w:pPr>
      <w:r>
        <w:rPr>
          <w:b/>
          <w:bCs/>
          <w:u w:val="single"/>
          <w:rtl/>
        </w:rPr>
        <w:t>דיון והכרעה</w:t>
      </w:r>
    </w:p>
    <w:p w14:paraId="03818B10" w14:textId="77777777" w:rsidR="00576FE3" w:rsidRDefault="00576FE3" w:rsidP="00576FE3">
      <w:pPr>
        <w:spacing w:line="360" w:lineRule="auto"/>
        <w:jc w:val="both"/>
        <w:rPr>
          <w:b/>
          <w:bCs/>
          <w:u w:val="single"/>
        </w:rPr>
      </w:pPr>
      <w:r>
        <w:rPr>
          <w:b/>
          <w:bCs/>
          <w:u w:val="single"/>
          <w:rtl/>
        </w:rPr>
        <w:t>קביעת מתחם הענישה</w:t>
      </w:r>
    </w:p>
    <w:p w14:paraId="1BC0A52E" w14:textId="77777777" w:rsidR="00576FE3" w:rsidRPr="00856C3F" w:rsidRDefault="00576FE3" w:rsidP="00576FE3">
      <w:pPr>
        <w:rPr>
          <w:rFonts w:ascii="David" w:hAnsi="David"/>
          <w:rtl/>
        </w:rPr>
      </w:pPr>
    </w:p>
    <w:p w14:paraId="488D8A4F" w14:textId="77777777" w:rsidR="00576FE3" w:rsidRDefault="00576FE3" w:rsidP="00576FE3">
      <w:pPr>
        <w:pStyle w:val="a9"/>
        <w:numPr>
          <w:ilvl w:val="0"/>
          <w:numId w:val="1"/>
        </w:numPr>
        <w:spacing w:line="360" w:lineRule="auto"/>
        <w:jc w:val="both"/>
        <w:rPr>
          <w:rFonts w:ascii="David" w:hAnsi="David"/>
        </w:rPr>
      </w:pPr>
      <w:r w:rsidRPr="001A719B">
        <w:rPr>
          <w:rFonts w:ascii="David" w:hAnsi="David"/>
          <w:rtl/>
        </w:rPr>
        <w:t>כפי שצוין לעיל, בין הצדדים קיים הסדר טיעון במסגרתו</w:t>
      </w:r>
      <w:r>
        <w:rPr>
          <w:rFonts w:ascii="David" w:hAnsi="David" w:hint="cs"/>
          <w:rtl/>
        </w:rPr>
        <w:t xml:space="preserve"> הוסכם שעונשו של הנאשם ייגזר בטווח הענישה שבין 5 חודשי מאסר בפועל ועד 12 חודשי מאסר בפועל.</w:t>
      </w:r>
      <w:r w:rsidRPr="001A719B">
        <w:rPr>
          <w:rFonts w:ascii="David" w:hAnsi="David"/>
          <w:rtl/>
        </w:rPr>
        <w:t xml:space="preserve"> </w:t>
      </w:r>
      <w:r>
        <w:rPr>
          <w:rFonts w:ascii="David" w:hAnsi="David"/>
          <w:color w:val="000000"/>
          <w:rtl/>
        </w:rPr>
        <w:t>טרם הידרשות לשאלת סבירותו של ההסדר וקביעת העונש לאורו</w:t>
      </w:r>
      <w:r>
        <w:rPr>
          <w:rFonts w:ascii="David" w:hAnsi="David" w:hint="cs"/>
          <w:color w:val="000000"/>
          <w:rtl/>
        </w:rPr>
        <w:t xml:space="preserve">, אציין שביחס להסדר טיעון הכולל טווח ענישה מוסכם נקבע </w:t>
      </w:r>
      <w:r w:rsidRPr="001A719B">
        <w:rPr>
          <w:rFonts w:ascii="David" w:hAnsi="David"/>
          <w:rtl/>
        </w:rPr>
        <w:t>כי "</w:t>
      </w:r>
      <w:r w:rsidRPr="00956B0C">
        <w:rPr>
          <w:rFonts w:ascii="Miriam" w:hAnsi="Miriam" w:cs="Miriam"/>
          <w:rtl/>
        </w:rPr>
        <w:t>אף אם יש הסכמה בין הצדדים לטווח ענישה, שהוא תוצאה של כוח מיקוח הצדדים, על בית המשפט לבחון את מתחם הענישה, המהווה קביעה נורמטיבית בדבר האיזון הראוי שנקבע על ידי המחוקק... ראוי כי יקבע מתחם זה בנפרד מהסכמות אלו, וזאת כדי לאפשר את בחינת הסדר הטיעון לאור העונש ההולם בנסיבות העניין</w:t>
      </w:r>
      <w:r w:rsidRPr="001A719B">
        <w:rPr>
          <w:rFonts w:ascii="David" w:hAnsi="David"/>
          <w:rtl/>
        </w:rPr>
        <w:t>" (</w:t>
      </w:r>
      <w:hyperlink r:id="rId20" w:history="1">
        <w:r w:rsidR="00686232" w:rsidRPr="00686232">
          <w:rPr>
            <w:rFonts w:ascii="David" w:hAnsi="David"/>
            <w:color w:val="0000FF"/>
            <w:u w:val="single"/>
            <w:rtl/>
          </w:rPr>
          <w:t>ע"פ 6197/20</w:t>
        </w:r>
      </w:hyperlink>
      <w:r w:rsidRPr="001A719B">
        <w:rPr>
          <w:rFonts w:ascii="David" w:hAnsi="David"/>
          <w:rtl/>
        </w:rPr>
        <w:t xml:space="preserve"> </w:t>
      </w:r>
      <w:r w:rsidRPr="00956B0C">
        <w:rPr>
          <w:rFonts w:ascii="David" w:hAnsi="David"/>
          <w:b/>
          <w:bCs/>
          <w:rtl/>
        </w:rPr>
        <w:t>מדינת ישראל נ' פארוק גולאני</w:t>
      </w:r>
      <w:r w:rsidRPr="001A719B">
        <w:rPr>
          <w:rFonts w:ascii="David" w:hAnsi="David"/>
          <w:rtl/>
        </w:rPr>
        <w:t xml:space="preserve"> (28.11.2021)).</w:t>
      </w:r>
      <w:r>
        <w:rPr>
          <w:rFonts w:ascii="David" w:hAnsi="David" w:hint="cs"/>
          <w:rtl/>
        </w:rPr>
        <w:t xml:space="preserve"> משכך, נדרשת התייחסות למתחם הענישה ההולם את העבירות. עם </w:t>
      </w:r>
      <w:r>
        <w:rPr>
          <w:rFonts w:ascii="David" w:hAnsi="David" w:hint="cs"/>
          <w:rtl/>
        </w:rPr>
        <w:lastRenderedPageBreak/>
        <w:t xml:space="preserve">זאת אציין כבר עתה כי </w:t>
      </w:r>
      <w:r>
        <w:rPr>
          <w:rFonts w:ascii="David" w:hAnsi="David"/>
          <w:color w:val="000000"/>
          <w:rtl/>
        </w:rPr>
        <w:t xml:space="preserve">טווח הענישה המוסכם </w:t>
      </w:r>
      <w:r>
        <w:rPr>
          <w:rFonts w:ascii="David" w:hAnsi="David" w:hint="cs"/>
          <w:color w:val="000000"/>
          <w:rtl/>
        </w:rPr>
        <w:t xml:space="preserve">בין הצדדים </w:t>
      </w:r>
      <w:r>
        <w:rPr>
          <w:rFonts w:ascii="David" w:hAnsi="David"/>
          <w:color w:val="000000"/>
          <w:rtl/>
        </w:rPr>
        <w:t xml:space="preserve">מצוי בבירור בתוך מתחם הענישה ההולם </w:t>
      </w:r>
      <w:r>
        <w:rPr>
          <w:rFonts w:ascii="David" w:hAnsi="David" w:hint="cs"/>
          <w:color w:val="000000"/>
          <w:rtl/>
        </w:rPr>
        <w:t xml:space="preserve">את העבירות בנסיבות ביצוען </w:t>
      </w:r>
      <w:r>
        <w:rPr>
          <w:rFonts w:ascii="David" w:hAnsi="David"/>
          <w:color w:val="000000"/>
          <w:rtl/>
        </w:rPr>
        <w:t>והוא סביר על פני הדברים</w:t>
      </w:r>
      <w:r>
        <w:rPr>
          <w:rFonts w:ascii="David" w:hAnsi="David" w:hint="cs"/>
          <w:color w:val="000000"/>
          <w:rtl/>
        </w:rPr>
        <w:t xml:space="preserve">. </w:t>
      </w:r>
    </w:p>
    <w:p w14:paraId="78FFE62B" w14:textId="77777777" w:rsidR="00576FE3" w:rsidRPr="00374A8A" w:rsidRDefault="00576FE3" w:rsidP="00576FE3">
      <w:pPr>
        <w:pStyle w:val="a9"/>
        <w:ind w:left="0"/>
        <w:jc w:val="both"/>
        <w:rPr>
          <w:rFonts w:ascii="David" w:hAnsi="David"/>
        </w:rPr>
      </w:pPr>
    </w:p>
    <w:p w14:paraId="0C2DE7ED" w14:textId="77777777" w:rsidR="00576FE3" w:rsidRDefault="00576FE3" w:rsidP="00576FE3">
      <w:pPr>
        <w:pStyle w:val="a9"/>
        <w:numPr>
          <w:ilvl w:val="0"/>
          <w:numId w:val="1"/>
        </w:numPr>
        <w:spacing w:line="360" w:lineRule="auto"/>
        <w:jc w:val="both"/>
        <w:rPr>
          <w:rFonts w:ascii="David" w:hAnsi="David"/>
        </w:rPr>
      </w:pPr>
      <w:r w:rsidRPr="00794076">
        <w:rPr>
          <w:rFonts w:ascii="David" w:hAnsi="David"/>
          <w:rtl/>
        </w:rPr>
        <w:t xml:space="preserve">מעשי הנאשם פגעו </w:t>
      </w:r>
      <w:r w:rsidRPr="00794076">
        <w:rPr>
          <w:rFonts w:ascii="David" w:hAnsi="David"/>
          <w:b/>
          <w:bCs/>
          <w:rtl/>
        </w:rPr>
        <w:t>במספר ערכים מוגנים</w:t>
      </w:r>
      <w:r w:rsidRPr="00794076">
        <w:rPr>
          <w:rFonts w:ascii="David" w:hAnsi="David"/>
          <w:rtl/>
        </w:rPr>
        <w:t xml:space="preserve"> ובהם שלוות הנפש, הביטחון האי</w:t>
      </w:r>
      <w:r>
        <w:rPr>
          <w:rFonts w:ascii="David" w:hAnsi="David"/>
          <w:rtl/>
        </w:rPr>
        <w:t xml:space="preserve">שי והאוטונומיה של הפרט. </w:t>
      </w:r>
      <w:r>
        <w:rPr>
          <w:rFonts w:ascii="David" w:hAnsi="David" w:hint="cs"/>
          <w:rtl/>
        </w:rPr>
        <w:t xml:space="preserve">כן פגעו המעשים בשלום הציבור ובביטחונו. עצמת הפגיעה בערכים אלו אינה נמוכה וזאת בשל מהות האיום, כמות וסוג הנשק הקר שהחזיק הנאשם וכמות הסם (בעניין הפגיעה בערכים המוגנים חרף העובדה שמדובר בסם מסוג קנבוס, ראו: </w:t>
      </w:r>
      <w:hyperlink r:id="rId21" w:history="1">
        <w:r w:rsidR="00686232" w:rsidRPr="00686232">
          <w:rPr>
            <w:rFonts w:ascii="David" w:hAnsi="David"/>
            <w:color w:val="0000FF"/>
            <w:u w:val="single"/>
            <w:rtl/>
          </w:rPr>
          <w:t>ע"פ  6299/20</w:t>
        </w:r>
      </w:hyperlink>
      <w:r>
        <w:rPr>
          <w:rFonts w:ascii="David" w:hAnsi="David" w:hint="cs"/>
          <w:rtl/>
        </w:rPr>
        <w:t xml:space="preserve"> </w:t>
      </w:r>
      <w:r>
        <w:rPr>
          <w:rFonts w:ascii="David" w:hAnsi="David" w:hint="cs"/>
          <w:b/>
          <w:bCs/>
          <w:rtl/>
        </w:rPr>
        <w:t>שחר חן נ' מדינת ישראל</w:t>
      </w:r>
      <w:r>
        <w:rPr>
          <w:rFonts w:ascii="David" w:hAnsi="David" w:hint="cs"/>
          <w:rtl/>
        </w:rPr>
        <w:t xml:space="preserve"> (4.2.2021)). </w:t>
      </w:r>
    </w:p>
    <w:p w14:paraId="58271C94" w14:textId="77777777" w:rsidR="00576FE3" w:rsidRPr="00634BBD" w:rsidRDefault="00576FE3" w:rsidP="00576FE3">
      <w:pPr>
        <w:pStyle w:val="a9"/>
        <w:rPr>
          <w:rFonts w:ascii="David" w:hAnsi="David"/>
          <w:color w:val="000000"/>
          <w:rtl/>
        </w:rPr>
      </w:pPr>
    </w:p>
    <w:p w14:paraId="6F803D6B" w14:textId="77777777" w:rsidR="00576FE3" w:rsidRDefault="00576FE3" w:rsidP="00576FE3">
      <w:pPr>
        <w:pStyle w:val="a9"/>
        <w:numPr>
          <w:ilvl w:val="0"/>
          <w:numId w:val="1"/>
        </w:numPr>
        <w:spacing w:line="360" w:lineRule="auto"/>
        <w:jc w:val="both"/>
        <w:rPr>
          <w:rFonts w:ascii="David" w:hAnsi="David"/>
        </w:rPr>
      </w:pPr>
      <w:r>
        <w:rPr>
          <w:rFonts w:ascii="David" w:hAnsi="David"/>
          <w:color w:val="000000"/>
          <w:rtl/>
        </w:rPr>
        <w:t>ביחס</w:t>
      </w:r>
      <w:r w:rsidR="00686232">
        <w:rPr>
          <w:rFonts w:ascii="David" w:hAnsi="David"/>
          <w:b/>
          <w:bCs/>
          <w:color w:val="000000"/>
          <w:rtl/>
        </w:rPr>
        <w:t xml:space="preserve"> </w:t>
      </w:r>
      <w:r>
        <w:rPr>
          <w:rFonts w:ascii="David" w:hAnsi="David"/>
          <w:b/>
          <w:bCs/>
          <w:color w:val="000000"/>
          <w:rtl/>
        </w:rPr>
        <w:t>לנסיבות הקשורות לביצוע העבירות</w:t>
      </w:r>
      <w:r w:rsidR="00686232">
        <w:rPr>
          <w:rFonts w:ascii="David" w:hAnsi="David"/>
          <w:b/>
          <w:bCs/>
          <w:color w:val="000000"/>
          <w:rtl/>
        </w:rPr>
        <w:t xml:space="preserve"> </w:t>
      </w:r>
      <w:r w:rsidRPr="00634BBD">
        <w:rPr>
          <w:rFonts w:ascii="David" w:hAnsi="David" w:hint="cs"/>
          <w:color w:val="000000"/>
          <w:rtl/>
        </w:rPr>
        <w:t>דומה שמדובר</w:t>
      </w:r>
      <w:r>
        <w:rPr>
          <w:rFonts w:ascii="David" w:hAnsi="David" w:hint="cs"/>
          <w:color w:val="000000"/>
          <w:rtl/>
        </w:rPr>
        <w:t xml:space="preserve"> </w:t>
      </w:r>
      <w:r>
        <w:rPr>
          <w:rFonts w:ascii="David" w:hAnsi="David" w:hint="cs"/>
          <w:rtl/>
        </w:rPr>
        <w:t xml:space="preserve">בהתפרצות ספונטנית שלא קדם לה תכנון. עם זאת, האיום בו נקט הנאשם חמור והעובדה שזמן קצר לאחר מכן נמצא סמוך לבית הוריו, כשברשותו סכין מטבח, סכין יפנית, אלה מעץ וגז פלפל, מוסיפה חומרה יתרה לאירוע כולו. בעניין זה ראיתי להדגיש שחרף סמיכות הזמנים והמקום שבין האיום (ותוכנו) לבין החזקת הסכינים והאלה, אין ללמוד מכך על תכנון או כוונה לעשות בהם שימוש פוגעני כלפי ההורים, שהרי לו כך היו פני הדברים, הייתה מיוחסת לנאשם עבירת ניסיון כלשהי. משלא יוחסה לו עבירה כאמור (בשל כך שלא נמצאו ראיות ליסוד נפשי כאמור), יש להיזהר מפני החמרת יתר עקב השלמה רעיונית של הקשר בין העבירות השונות. כמו כן, אין להתעלם ממצבו הנפשי של הנאשם ומהעובדה שהליך קודם הופסק בשל מחלת נפש ממנה הוא סובל. על אף שבהליך זה לא הוגשו מסמכים בנושא, </w:t>
      </w:r>
      <w:r>
        <w:rPr>
          <w:rFonts w:ascii="David" w:hAnsi="David"/>
          <w:color w:val="000000"/>
          <w:rtl/>
        </w:rPr>
        <w:t xml:space="preserve">דומה שנכון להביא בחשבון גם נתון זה לצורך בחינת </w:t>
      </w:r>
      <w:r>
        <w:rPr>
          <w:rFonts w:ascii="David" w:hAnsi="David" w:hint="cs"/>
          <w:color w:val="000000"/>
          <w:rtl/>
        </w:rPr>
        <w:t>הנסיבות הקשורות לביצוע העבירה.</w:t>
      </w:r>
      <w:r>
        <w:rPr>
          <w:rFonts w:ascii="David" w:hAnsi="David"/>
          <w:color w:val="000000"/>
          <w:rtl/>
        </w:rPr>
        <w:t xml:space="preserve"> </w:t>
      </w:r>
      <w:r>
        <w:rPr>
          <w:rFonts w:ascii="David" w:hAnsi="David"/>
          <w:rtl/>
        </w:rPr>
        <w:t>אכן, הנאשם נושא באחריות פלילית למעשיו,</w:t>
      </w:r>
      <w:r>
        <w:rPr>
          <w:rFonts w:ascii="David" w:hAnsi="David" w:hint="cs"/>
          <w:rtl/>
        </w:rPr>
        <w:t xml:space="preserve"> ולא נטען אחרת,</w:t>
      </w:r>
      <w:r>
        <w:rPr>
          <w:rFonts w:ascii="David" w:hAnsi="David"/>
          <w:rtl/>
        </w:rPr>
        <w:t xml:space="preserve"> אך דעתי היא שיש לראות במצבו הנפשי כנתון רלוונטי לצורך קביעת המתחם (</w:t>
      </w:r>
      <w:hyperlink r:id="rId22" w:history="1">
        <w:r w:rsidR="00053B5D" w:rsidRPr="00053B5D">
          <w:rPr>
            <w:rStyle w:val="Hyperlink"/>
            <w:rFonts w:ascii="David" w:hAnsi="David"/>
            <w:rtl/>
          </w:rPr>
          <w:t>סעיף 40ט(6)+(7)</w:t>
        </w:r>
      </w:hyperlink>
      <w:r>
        <w:rPr>
          <w:rFonts w:ascii="David" w:hAnsi="David"/>
          <w:rtl/>
        </w:rPr>
        <w:t xml:space="preserve"> ל</w:t>
      </w:r>
      <w:hyperlink r:id="rId23" w:history="1">
        <w:r w:rsidR="00686232" w:rsidRPr="00686232">
          <w:rPr>
            <w:rFonts w:ascii="David" w:hAnsi="David"/>
            <w:color w:val="0000FF"/>
            <w:u w:val="single"/>
            <w:rtl/>
          </w:rPr>
          <w:t>חוק העונשין</w:t>
        </w:r>
      </w:hyperlink>
      <w:r>
        <w:rPr>
          <w:rFonts w:ascii="David" w:hAnsi="David"/>
          <w:rtl/>
        </w:rPr>
        <w:t xml:space="preserve">; </w:t>
      </w:r>
      <w:hyperlink r:id="rId24" w:history="1">
        <w:r w:rsidR="00686232" w:rsidRPr="00686232">
          <w:rPr>
            <w:rFonts w:ascii="David" w:hAnsi="David"/>
            <w:color w:val="0000FF"/>
            <w:u w:val="single"/>
            <w:rtl/>
          </w:rPr>
          <w:t>רע"פ 6640/14</w:t>
        </w:r>
      </w:hyperlink>
      <w:r>
        <w:rPr>
          <w:rFonts w:ascii="David" w:hAnsi="David"/>
          <w:rtl/>
        </w:rPr>
        <w:t xml:space="preserve"> </w:t>
      </w:r>
      <w:r>
        <w:rPr>
          <w:rFonts w:ascii="David" w:hAnsi="David"/>
          <w:b/>
          <w:bCs/>
          <w:rtl/>
        </w:rPr>
        <w:t>פלוני נ' מדינת ישראל</w:t>
      </w:r>
      <w:r>
        <w:rPr>
          <w:rFonts w:ascii="David" w:hAnsi="David"/>
          <w:rtl/>
        </w:rPr>
        <w:t xml:space="preserve"> (13.1.2014); </w:t>
      </w:r>
      <w:hyperlink r:id="rId25" w:history="1">
        <w:r w:rsidR="00686232" w:rsidRPr="00686232">
          <w:rPr>
            <w:rFonts w:ascii="David" w:hAnsi="David"/>
            <w:color w:val="0000FF"/>
            <w:u w:val="single"/>
            <w:rtl/>
          </w:rPr>
          <w:t>ע"פ 1727/14</w:t>
        </w:r>
      </w:hyperlink>
      <w:r>
        <w:rPr>
          <w:rFonts w:ascii="David" w:hAnsi="David"/>
          <w:rtl/>
        </w:rPr>
        <w:t xml:space="preserve"> </w:t>
      </w:r>
      <w:r>
        <w:rPr>
          <w:rFonts w:ascii="David" w:hAnsi="David"/>
          <w:b/>
          <w:bCs/>
          <w:rtl/>
        </w:rPr>
        <w:t>מימון נ' מדינת ישראל</w:t>
      </w:r>
      <w:r>
        <w:rPr>
          <w:rFonts w:ascii="David" w:hAnsi="David"/>
          <w:rtl/>
        </w:rPr>
        <w:t xml:space="preserve"> (6.1.2015); </w:t>
      </w:r>
      <w:hyperlink r:id="rId26" w:history="1">
        <w:r w:rsidR="00686232" w:rsidRPr="00686232">
          <w:rPr>
            <w:rFonts w:ascii="David" w:hAnsi="David"/>
            <w:color w:val="0000FF"/>
            <w:u w:val="single"/>
            <w:rtl/>
          </w:rPr>
          <w:t>ע"פ 1865/14</w:t>
        </w:r>
      </w:hyperlink>
      <w:r>
        <w:rPr>
          <w:rFonts w:ascii="David" w:hAnsi="David"/>
          <w:rtl/>
        </w:rPr>
        <w:t xml:space="preserve"> </w:t>
      </w:r>
      <w:r>
        <w:rPr>
          <w:rFonts w:ascii="David" w:hAnsi="David"/>
          <w:b/>
          <w:bCs/>
          <w:rtl/>
        </w:rPr>
        <w:t>יצחק רוזנצוויג נ' מדינת ישראל</w:t>
      </w:r>
      <w:r>
        <w:rPr>
          <w:rFonts w:ascii="David" w:hAnsi="David"/>
          <w:rtl/>
        </w:rPr>
        <w:t xml:space="preserve"> (4.1.2016)).</w:t>
      </w:r>
      <w:r>
        <w:rPr>
          <w:rFonts w:ascii="David" w:hAnsi="David" w:hint="cs"/>
          <w:rtl/>
        </w:rPr>
        <w:t xml:space="preserve"> </w:t>
      </w:r>
    </w:p>
    <w:p w14:paraId="25C1220A" w14:textId="77777777" w:rsidR="00576FE3" w:rsidRDefault="00576FE3" w:rsidP="00576FE3">
      <w:pPr>
        <w:pStyle w:val="a9"/>
        <w:ind w:left="0"/>
        <w:jc w:val="both"/>
        <w:rPr>
          <w:rFonts w:ascii="David" w:hAnsi="David"/>
        </w:rPr>
      </w:pPr>
    </w:p>
    <w:p w14:paraId="7D43B052" w14:textId="77777777" w:rsidR="00576FE3" w:rsidRDefault="00576FE3" w:rsidP="00576FE3">
      <w:pPr>
        <w:pStyle w:val="a9"/>
        <w:numPr>
          <w:ilvl w:val="0"/>
          <w:numId w:val="1"/>
        </w:numPr>
        <w:spacing w:line="360" w:lineRule="auto"/>
        <w:jc w:val="both"/>
        <w:rPr>
          <w:rFonts w:ascii="David" w:hAnsi="David"/>
        </w:rPr>
      </w:pPr>
      <w:r w:rsidRPr="00DC6DFF">
        <w:rPr>
          <w:b/>
          <w:bCs/>
          <w:rtl/>
        </w:rPr>
        <w:t>מדיניות הענישה הנוהגת-</w:t>
      </w:r>
      <w:r>
        <w:rPr>
          <w:rtl/>
        </w:rPr>
        <w:t xml:space="preserve"> מעיון בפסיקה במקרים דומים ניתן למצוא קשת רחבה של עונשים, </w:t>
      </w:r>
      <w:r w:rsidRPr="00DC6DFF">
        <w:rPr>
          <w:rFonts w:ascii="David" w:hAnsi="David"/>
          <w:rtl/>
        </w:rPr>
        <w:t>והכל תלוי בנסיבות העבירה ובנסיבותיו של הנאשם. אפרט להלן מספר דוגמאות לעונשים שהוטלו בנושאים השונים הנכללים בגדרי העבירות בהן הורשע הנאשם (</w:t>
      </w:r>
      <w:r w:rsidRPr="00DC6DFF">
        <w:rPr>
          <w:rFonts w:ascii="David" w:hAnsi="David" w:hint="cs"/>
          <w:rtl/>
        </w:rPr>
        <w:t>איומים</w:t>
      </w:r>
      <w:r w:rsidRPr="00DC6DFF">
        <w:rPr>
          <w:rFonts w:ascii="David" w:hAnsi="David"/>
          <w:rtl/>
        </w:rPr>
        <w:t xml:space="preserve">; </w:t>
      </w:r>
      <w:r w:rsidRPr="00DC6DFF">
        <w:rPr>
          <w:rFonts w:ascii="David" w:hAnsi="David" w:hint="cs"/>
          <w:rtl/>
        </w:rPr>
        <w:t>החזקת סכין</w:t>
      </w:r>
      <w:r w:rsidRPr="00DC6DFF">
        <w:rPr>
          <w:rFonts w:ascii="David" w:hAnsi="David"/>
          <w:rtl/>
        </w:rPr>
        <w:t>; ו</w:t>
      </w:r>
      <w:r w:rsidRPr="00DC6DFF">
        <w:rPr>
          <w:rFonts w:ascii="David" w:hAnsi="David" w:hint="cs"/>
          <w:rtl/>
        </w:rPr>
        <w:t>החזקת סם שלא לשימוש עצמי</w:t>
      </w:r>
      <w:r w:rsidRPr="00DC6DFF">
        <w:rPr>
          <w:rFonts w:ascii="David" w:hAnsi="David"/>
          <w:rtl/>
        </w:rPr>
        <w:t>). כך למשל ראו:</w:t>
      </w:r>
      <w:r w:rsidRPr="00DC6DFF">
        <w:rPr>
          <w:rFonts w:ascii="David" w:hAnsi="David" w:hint="cs"/>
          <w:rtl/>
        </w:rPr>
        <w:t xml:space="preserve"> </w:t>
      </w:r>
      <w:hyperlink r:id="rId27" w:history="1">
        <w:r w:rsidR="00686232" w:rsidRPr="00686232">
          <w:rPr>
            <w:color w:val="0000FF"/>
            <w:u w:val="single"/>
            <w:rtl/>
          </w:rPr>
          <w:t>רע"פ 3210/19</w:t>
        </w:r>
      </w:hyperlink>
      <w:r>
        <w:rPr>
          <w:rtl/>
        </w:rPr>
        <w:t xml:space="preserve"> </w:t>
      </w:r>
      <w:r w:rsidRPr="00DC6DFF">
        <w:rPr>
          <w:b/>
          <w:bCs/>
          <w:rtl/>
        </w:rPr>
        <w:t>פלוני נ' מדינת ישראל</w:t>
      </w:r>
      <w:r>
        <w:rPr>
          <w:rtl/>
        </w:rPr>
        <w:t xml:space="preserve"> (12.5.2019), בו נדחתה בקשת רשות ערעור של נאשם שהורשע בשלוש עבירות איומים כלפי אמו, הפרת הוראה חוקית והפרת צו בית משפט ונידון ל-45 ימי מאסר לריצוי בדרך של עבודות שירות, חלף מאסר בפועל שהוטל עליו בבית משפט השלום;</w:t>
      </w:r>
      <w:r w:rsidRPr="00B80357">
        <w:rPr>
          <w:rtl/>
        </w:rPr>
        <w:t xml:space="preserve"> </w:t>
      </w:r>
      <w:hyperlink r:id="rId28" w:history="1">
        <w:r w:rsidR="00686232" w:rsidRPr="00686232">
          <w:rPr>
            <w:color w:val="0000FF"/>
            <w:u w:val="single"/>
            <w:rtl/>
          </w:rPr>
          <w:t>רע"פ 322/15</w:t>
        </w:r>
      </w:hyperlink>
      <w:r>
        <w:rPr>
          <w:rFonts w:hint="cs"/>
          <w:rtl/>
        </w:rPr>
        <w:t xml:space="preserve"> </w:t>
      </w:r>
      <w:r w:rsidRPr="00B80357">
        <w:rPr>
          <w:b/>
          <w:bCs/>
          <w:rtl/>
        </w:rPr>
        <w:t>חן ג'אנח נ' מדינת ישראל</w:t>
      </w:r>
      <w:r>
        <w:rPr>
          <w:rFonts w:hint="cs"/>
          <w:rtl/>
        </w:rPr>
        <w:t xml:space="preserve"> (22.1.2015), בו נידון עניינו של נאשם שהורשע בשני כתבי אישום בעבירות החזקת סכין והחזקת סמים שלא לשימוש עצמי ונידון ל-12 חודשי מאסר בפועל, והפעלת מאסר מותנה, כך שסה"כ הוטלו עליו 18 חודשי מאסר בפועל ועונשים נלווים. לחובתו היה עבר פלילי מכביד והוא ריצה בעברו מאסרים בפועל. ערעורו נדחה וכך גם בקשת רשות ערעור שהגיש; </w:t>
      </w:r>
      <w:hyperlink r:id="rId29" w:history="1">
        <w:r w:rsidR="00686232" w:rsidRPr="00686232">
          <w:rPr>
            <w:rFonts w:ascii="David" w:hAnsi="David"/>
            <w:color w:val="0000FF"/>
            <w:u w:val="single"/>
            <w:rtl/>
          </w:rPr>
          <w:t>ע"פ 42817-06-17</w:t>
        </w:r>
      </w:hyperlink>
      <w:r w:rsidRPr="00DC6DFF">
        <w:rPr>
          <w:rFonts w:ascii="David" w:hAnsi="David"/>
          <w:rtl/>
        </w:rPr>
        <w:t xml:space="preserve"> </w:t>
      </w:r>
      <w:r w:rsidRPr="00823088">
        <w:rPr>
          <w:rFonts w:ascii="David" w:hAnsi="David"/>
          <w:b/>
          <w:bCs/>
          <w:rtl/>
        </w:rPr>
        <w:t>קדמאני נ' מדינת ישראל</w:t>
      </w:r>
      <w:r w:rsidRPr="00DC6DFF">
        <w:rPr>
          <w:rFonts w:ascii="David" w:hAnsi="David" w:hint="cs"/>
          <w:rtl/>
        </w:rPr>
        <w:t xml:space="preserve"> (25.9.2017), בו נידון עניינו של נאשם שהורשע בעבירות היזק לרכוש ואיומים כלפי אמו ואחותו. הנאשם איים כי ישרוף את בני הבית</w:t>
      </w:r>
      <w:r>
        <w:rPr>
          <w:rFonts w:ascii="David" w:hAnsi="David" w:hint="cs"/>
          <w:rtl/>
        </w:rPr>
        <w:t xml:space="preserve"> תוך שהוא מתעסק במצית</w:t>
      </w:r>
      <w:r w:rsidRPr="00DC6DFF">
        <w:rPr>
          <w:rFonts w:ascii="David" w:hAnsi="David" w:hint="cs"/>
          <w:rtl/>
        </w:rPr>
        <w:t xml:space="preserve">, בהמשך איים על </w:t>
      </w:r>
      <w:r>
        <w:rPr>
          <w:rFonts w:ascii="David" w:hAnsi="David" w:hint="cs"/>
          <w:rtl/>
        </w:rPr>
        <w:t>אמו</w:t>
      </w:r>
      <w:r w:rsidRPr="00DC6DFF">
        <w:rPr>
          <w:rFonts w:ascii="David" w:hAnsi="David" w:hint="cs"/>
          <w:rtl/>
        </w:rPr>
        <w:t xml:space="preserve"> כשהוא אוחז בסכין ושבר מספר צלחות במטבח. בית משפט השלום גזר עליו 3 שנות מאסר, ערעורו התקבל ועונשו הוקל ל-20 חודשי מאסר בפועל. </w:t>
      </w:r>
      <w:r>
        <w:rPr>
          <w:rFonts w:ascii="David" w:hAnsi="David" w:hint="cs"/>
          <w:rtl/>
        </w:rPr>
        <w:t xml:space="preserve">ביחס למתחם העונש </w:t>
      </w:r>
      <w:r w:rsidRPr="00DC6DFF">
        <w:rPr>
          <w:rFonts w:ascii="David" w:hAnsi="David" w:hint="cs"/>
          <w:rtl/>
        </w:rPr>
        <w:t xml:space="preserve">נקבע כי </w:t>
      </w:r>
      <w:r>
        <w:rPr>
          <w:rFonts w:ascii="David" w:hAnsi="David" w:hint="cs"/>
          <w:rtl/>
        </w:rPr>
        <w:t>"</w:t>
      </w:r>
      <w:r w:rsidRPr="00823088">
        <w:rPr>
          <w:rFonts w:ascii="Miriam" w:hAnsi="Miriam" w:cs="Miriam"/>
          <w:rtl/>
        </w:rPr>
        <w:t>הרף הנמוך של המתחם אינו יכול להיות שנה וחצי מאסר אלא מאסר בעבודות שירות, או מאסר בפועל של חודשים ספורים, והחלק העליון של המתחם הוא 24 חודשי מאסר בפועל</w:t>
      </w:r>
      <w:r>
        <w:rPr>
          <w:rFonts w:ascii="David" w:hAnsi="David" w:hint="cs"/>
          <w:rtl/>
        </w:rPr>
        <w:t xml:space="preserve">"; </w:t>
      </w:r>
      <w:hyperlink r:id="rId30" w:history="1">
        <w:r w:rsidR="00686232" w:rsidRPr="00686232">
          <w:rPr>
            <w:rFonts w:ascii="David" w:hAnsi="David"/>
            <w:color w:val="0000FF"/>
            <w:u w:val="single"/>
            <w:rtl/>
          </w:rPr>
          <w:t>עפ"ג 59103-08-21</w:t>
        </w:r>
      </w:hyperlink>
      <w:r w:rsidRPr="00517000">
        <w:rPr>
          <w:rFonts w:ascii="David" w:hAnsi="David"/>
          <w:rtl/>
        </w:rPr>
        <w:t xml:space="preserve"> </w:t>
      </w:r>
      <w:r w:rsidRPr="00F93A7F">
        <w:rPr>
          <w:rFonts w:ascii="David" w:hAnsi="David"/>
          <w:b/>
          <w:bCs/>
          <w:rtl/>
        </w:rPr>
        <w:t>מדינת ישראל נ' מחאג'נה</w:t>
      </w:r>
      <w:r>
        <w:rPr>
          <w:rFonts w:ascii="David" w:hAnsi="David" w:hint="cs"/>
          <w:rtl/>
        </w:rPr>
        <w:t xml:space="preserve"> (2.9.2021), בו התקבל ערעור המדינה והוחמר עונשו של נאשם שהורשע באיומים על אחותו ואביו, כשהוא אוחז בידו בסכין, ונגזרו עליו 5 חודשי מאסר בפועל, חלף 3 חודשי מאסר שגזר בית משפט השלום. אף ביחס למתחם הענישה קבעה ערכאת הערעור כי "</w:t>
      </w:r>
      <w:r w:rsidRPr="00F93A7F">
        <w:rPr>
          <w:rFonts w:ascii="Miriam" w:hAnsi="Miriam" w:cs="Miriam"/>
          <w:rtl/>
        </w:rPr>
        <w:t>לא היה מקום לקבוע מתחם שהרף התחתון שלו הוא מאסר על תנאי. נתוני האירוע חייבו לטעמי קביעת מתחם שהרף התחתון שלו – בנתונים אלה – מספר חודשי מאסר</w:t>
      </w:r>
      <w:r>
        <w:rPr>
          <w:rFonts w:ascii="David" w:hAnsi="David" w:hint="cs"/>
          <w:rtl/>
        </w:rPr>
        <w:t xml:space="preserve">"; </w:t>
      </w:r>
      <w:hyperlink r:id="rId31" w:history="1">
        <w:r w:rsidR="00686232" w:rsidRPr="00686232">
          <w:rPr>
            <w:rFonts w:ascii="David" w:hAnsi="David"/>
            <w:color w:val="0000FF"/>
            <w:u w:val="single"/>
            <w:rtl/>
          </w:rPr>
          <w:t>ת"פ 2925-05-17</w:t>
        </w:r>
      </w:hyperlink>
      <w:r w:rsidRPr="005B1627">
        <w:rPr>
          <w:rFonts w:ascii="David" w:hAnsi="David"/>
          <w:rtl/>
        </w:rPr>
        <w:t xml:space="preserve"> </w:t>
      </w:r>
      <w:r w:rsidRPr="005B1627">
        <w:rPr>
          <w:rFonts w:ascii="David" w:hAnsi="David"/>
          <w:b/>
          <w:bCs/>
          <w:rtl/>
        </w:rPr>
        <w:t>מדינת ישראל נ' עמאשה</w:t>
      </w:r>
      <w:r w:rsidRPr="005B1627">
        <w:rPr>
          <w:rFonts w:ascii="David" w:hAnsi="David"/>
          <w:rtl/>
        </w:rPr>
        <w:t xml:space="preserve"> (19.7.2017), בו נידון נאשם שאיים על אביו ונגזרו עליו חודשיים מאסר לריצוי בדרך של עבודות שירות וענישה נלווית. במקרה זה ניתן משקל לעדות האב המתלונן שביקש להקל עם בנו, וכן לנתונים אישיים ולצורך בטיפול</w:t>
      </w:r>
      <w:r w:rsidRPr="005B1627">
        <w:rPr>
          <w:rFonts w:ascii="David" w:hAnsi="David" w:hint="cs"/>
          <w:rtl/>
        </w:rPr>
        <w:t xml:space="preserve">; </w:t>
      </w:r>
      <w:hyperlink r:id="rId32" w:history="1">
        <w:r w:rsidR="00686232" w:rsidRPr="00686232">
          <w:rPr>
            <w:rFonts w:ascii="David" w:hAnsi="David"/>
            <w:color w:val="0000FF"/>
            <w:u w:val="single"/>
            <w:rtl/>
          </w:rPr>
          <w:t>ת"פ 839-02-18</w:t>
        </w:r>
      </w:hyperlink>
      <w:r w:rsidRPr="005B1627">
        <w:rPr>
          <w:rFonts w:ascii="David" w:hAnsi="David"/>
          <w:rtl/>
        </w:rPr>
        <w:t xml:space="preserve"> </w:t>
      </w:r>
      <w:r w:rsidRPr="005B1627">
        <w:rPr>
          <w:rFonts w:ascii="David" w:hAnsi="David"/>
          <w:b/>
          <w:bCs/>
          <w:rtl/>
        </w:rPr>
        <w:t>מדינת ישראל נ' ברבי</w:t>
      </w:r>
      <w:r w:rsidRPr="005B1627">
        <w:rPr>
          <w:rFonts w:ascii="David" w:hAnsi="David" w:hint="cs"/>
          <w:rtl/>
        </w:rPr>
        <w:t xml:space="preserve"> (17.2.2019), בו נידון עניינו של נאשם שהורשע בעבירות איומים והחזקת סכין, ונידון לחמישה חודשי מאסר בפועל, הפעלת מאסר מותנה ועונשים נלווים</w:t>
      </w:r>
      <w:r>
        <w:rPr>
          <w:rFonts w:ascii="David" w:hAnsi="David" w:hint="cs"/>
          <w:rtl/>
        </w:rPr>
        <w:t xml:space="preserve"> </w:t>
      </w:r>
      <w:r w:rsidRPr="005B1627">
        <w:rPr>
          <w:rFonts w:ascii="David" w:hAnsi="David" w:hint="cs"/>
          <w:rtl/>
        </w:rPr>
        <w:t xml:space="preserve">(כך שסה"כ הוטלו עליו שישה חודשי מאסר בפועל). הנאשם רכב על אופניים חשמליים </w:t>
      </w:r>
      <w:r>
        <w:rPr>
          <w:rFonts w:ascii="David" w:hAnsi="David" w:hint="cs"/>
          <w:rtl/>
        </w:rPr>
        <w:t>כשברשותו</w:t>
      </w:r>
      <w:r w:rsidRPr="005B1627">
        <w:rPr>
          <w:rFonts w:ascii="David" w:hAnsi="David" w:hint="cs"/>
          <w:rtl/>
        </w:rPr>
        <w:t xml:space="preserve"> סכין מתקפלת, פגש במתלונן ברחוב </w:t>
      </w:r>
      <w:r>
        <w:rPr>
          <w:rFonts w:ascii="David" w:hAnsi="David" w:hint="cs"/>
          <w:rtl/>
        </w:rPr>
        <w:t>ו</w:t>
      </w:r>
      <w:r w:rsidRPr="005B1627">
        <w:rPr>
          <w:rFonts w:ascii="David" w:hAnsi="David" w:hint="cs"/>
          <w:rtl/>
        </w:rPr>
        <w:t>איים עליו ברצח ו</w:t>
      </w:r>
      <w:r>
        <w:rPr>
          <w:rFonts w:ascii="David" w:hAnsi="David" w:hint="cs"/>
          <w:rtl/>
        </w:rPr>
        <w:t>זאת על רקע חוב כספי</w:t>
      </w:r>
      <w:r w:rsidRPr="005B1627">
        <w:rPr>
          <w:rFonts w:ascii="David" w:hAnsi="David" w:hint="cs"/>
          <w:rtl/>
        </w:rPr>
        <w:t>. בית משפט השלום קבע מתחם הנע בין מספר חודשי</w:t>
      </w:r>
      <w:r>
        <w:rPr>
          <w:rFonts w:ascii="David" w:hAnsi="David" w:hint="cs"/>
          <w:rtl/>
        </w:rPr>
        <w:t xml:space="preserve"> מאסר בפועל ועד 12 חודשים מאסר; </w:t>
      </w:r>
      <w:hyperlink r:id="rId33" w:history="1">
        <w:r w:rsidR="00686232" w:rsidRPr="00686232">
          <w:rPr>
            <w:rFonts w:ascii="David" w:hAnsi="David"/>
            <w:color w:val="0000FF"/>
            <w:u w:val="single"/>
            <w:rtl/>
          </w:rPr>
          <w:t>ת"פ 20685-11-16</w:t>
        </w:r>
      </w:hyperlink>
      <w:r w:rsidRPr="004845B4">
        <w:rPr>
          <w:rFonts w:ascii="David" w:hAnsi="David"/>
          <w:rtl/>
        </w:rPr>
        <w:t xml:space="preserve"> </w:t>
      </w:r>
      <w:r w:rsidRPr="004845B4">
        <w:rPr>
          <w:rFonts w:ascii="David" w:hAnsi="David"/>
          <w:b/>
          <w:bCs/>
          <w:rtl/>
        </w:rPr>
        <w:t>מדינת ישראל נ' לאופר</w:t>
      </w:r>
      <w:r>
        <w:rPr>
          <w:rFonts w:ascii="David" w:hAnsi="David" w:hint="cs"/>
          <w:rtl/>
        </w:rPr>
        <w:t xml:space="preserve"> (24.6.2018), בו נידון עניינו של נאשם שהחזיק בדירתו מעל ל-250 גרם של קנבוס, ומשקל אלקטרוני והורשע בעבירות החזקת סם שלא לצריכה עצמית והחזקת כלים. הנאשם נידון לשלושה חודשי מאסר בפועל, והפעלת מאסר מותנה כך שסה"כ הוטלו עליו 6 חודשי מאסר בפועל לריצוי בדרך של עבודות שירות; </w:t>
      </w:r>
      <w:hyperlink r:id="rId34" w:history="1">
        <w:r w:rsidR="00686232" w:rsidRPr="00686232">
          <w:rPr>
            <w:rFonts w:ascii="David" w:hAnsi="David"/>
            <w:color w:val="0000FF"/>
            <w:u w:val="single"/>
            <w:rtl/>
          </w:rPr>
          <w:t>ת"פ 1071-04-20</w:t>
        </w:r>
      </w:hyperlink>
      <w:r w:rsidRPr="004169AD">
        <w:rPr>
          <w:rFonts w:ascii="David" w:hAnsi="David"/>
          <w:rtl/>
        </w:rPr>
        <w:t xml:space="preserve"> </w:t>
      </w:r>
      <w:r w:rsidRPr="00140305">
        <w:rPr>
          <w:rFonts w:ascii="David" w:hAnsi="David"/>
          <w:b/>
          <w:bCs/>
          <w:rtl/>
        </w:rPr>
        <w:t>מדינת ישראל נ' שמעוני</w:t>
      </w:r>
      <w:r>
        <w:rPr>
          <w:rFonts w:ascii="David" w:hAnsi="David" w:hint="cs"/>
          <w:rtl/>
        </w:rPr>
        <w:t xml:space="preserve"> (30.5.2021), בו נידון עניינו של נאשם נעדר עבר פלילי שהחזיק ברכבו מעל ל-60 גרם קנבוס והורשע בעבירת החזקת סם שלא לצריכה עצמית. הנאשם נידון למאסר מותנה, צו של"צ ופסילה על תנאי.  </w:t>
      </w:r>
    </w:p>
    <w:p w14:paraId="28D04010" w14:textId="77777777" w:rsidR="00576FE3" w:rsidRPr="004169AD" w:rsidRDefault="00576FE3" w:rsidP="00576FE3">
      <w:pPr>
        <w:pStyle w:val="a9"/>
        <w:ind w:left="0"/>
        <w:jc w:val="both"/>
        <w:rPr>
          <w:rFonts w:ascii="David" w:hAnsi="David"/>
        </w:rPr>
      </w:pPr>
    </w:p>
    <w:p w14:paraId="58366C78" w14:textId="77777777" w:rsidR="00576FE3" w:rsidRPr="00C55FD0" w:rsidRDefault="00576FE3" w:rsidP="00576FE3">
      <w:pPr>
        <w:pStyle w:val="a9"/>
        <w:numPr>
          <w:ilvl w:val="0"/>
          <w:numId w:val="1"/>
        </w:numPr>
        <w:spacing w:line="360" w:lineRule="auto"/>
        <w:jc w:val="both"/>
      </w:pPr>
      <w:r>
        <w:rPr>
          <w:rtl/>
        </w:rPr>
        <w:t xml:space="preserve">לאור כל זאת, אני בדעה כי מתחם הענישה ההולם את מכלול העבירות מושא ענייננו, </w:t>
      </w:r>
      <w:r>
        <w:rPr>
          <w:rFonts w:hint="cs"/>
          <w:rtl/>
        </w:rPr>
        <w:t xml:space="preserve">בנסיבות </w:t>
      </w:r>
      <w:r w:rsidRPr="00C55FD0">
        <w:rPr>
          <w:rFonts w:hint="cs"/>
          <w:rtl/>
        </w:rPr>
        <w:t xml:space="preserve">ביצוען, </w:t>
      </w:r>
      <w:r w:rsidRPr="00C55FD0">
        <w:rPr>
          <w:rtl/>
        </w:rPr>
        <w:t>נע בי</w:t>
      </w:r>
      <w:r w:rsidRPr="00C55FD0">
        <w:rPr>
          <w:rFonts w:hint="cs"/>
          <w:rtl/>
        </w:rPr>
        <w:t xml:space="preserve">ן מספר חודשי מאסר </w:t>
      </w:r>
      <w:r>
        <w:rPr>
          <w:rFonts w:hint="cs"/>
          <w:rtl/>
        </w:rPr>
        <w:t xml:space="preserve">שניתן לשאת בעבודות שירות </w:t>
      </w:r>
      <w:r w:rsidRPr="00C55FD0">
        <w:rPr>
          <w:rFonts w:hint="cs"/>
          <w:rtl/>
        </w:rPr>
        <w:t xml:space="preserve">ועד </w:t>
      </w:r>
      <w:r>
        <w:rPr>
          <w:rFonts w:hint="cs"/>
          <w:rtl/>
        </w:rPr>
        <w:t>18</w:t>
      </w:r>
      <w:r w:rsidRPr="00C55FD0">
        <w:rPr>
          <w:rFonts w:hint="cs"/>
          <w:rtl/>
        </w:rPr>
        <w:t xml:space="preserve"> חודשי מאסר בפועל. </w:t>
      </w:r>
    </w:p>
    <w:p w14:paraId="3AEC1C73" w14:textId="77777777" w:rsidR="00576FE3" w:rsidRDefault="00576FE3" w:rsidP="00576FE3">
      <w:pPr>
        <w:pStyle w:val="a9"/>
        <w:ind w:left="0"/>
        <w:jc w:val="both"/>
        <w:rPr>
          <w:b/>
          <w:bCs/>
          <w:rtl/>
        </w:rPr>
      </w:pPr>
    </w:p>
    <w:p w14:paraId="0F0C2DFD" w14:textId="77777777" w:rsidR="00576FE3" w:rsidRDefault="00576FE3" w:rsidP="00576FE3">
      <w:pPr>
        <w:pStyle w:val="a9"/>
        <w:spacing w:line="360" w:lineRule="auto"/>
        <w:ind w:left="0"/>
        <w:jc w:val="both"/>
        <w:rPr>
          <w:rFonts w:ascii="David" w:hAnsi="David"/>
          <w:b/>
          <w:bCs/>
          <w:u w:val="single"/>
          <w:rtl/>
        </w:rPr>
      </w:pPr>
      <w:r>
        <w:rPr>
          <w:rFonts w:ascii="David" w:hAnsi="David" w:hint="cs"/>
          <w:b/>
          <w:bCs/>
          <w:u w:val="single"/>
          <w:rtl/>
        </w:rPr>
        <w:t>קביעת עונשו של הנאשם</w:t>
      </w:r>
    </w:p>
    <w:p w14:paraId="614CFDF4" w14:textId="77777777" w:rsidR="00576FE3" w:rsidRPr="00EE4A3A" w:rsidRDefault="00576FE3" w:rsidP="00576FE3">
      <w:pPr>
        <w:pStyle w:val="a9"/>
        <w:ind w:left="0"/>
        <w:jc w:val="both"/>
        <w:rPr>
          <w:rFonts w:ascii="David" w:hAnsi="David"/>
          <w:b/>
          <w:bCs/>
          <w:u w:val="single"/>
        </w:rPr>
      </w:pPr>
    </w:p>
    <w:p w14:paraId="61B75893" w14:textId="77777777" w:rsidR="00576FE3" w:rsidRDefault="00576FE3" w:rsidP="00576FE3">
      <w:pPr>
        <w:pStyle w:val="a9"/>
        <w:numPr>
          <w:ilvl w:val="0"/>
          <w:numId w:val="1"/>
        </w:numPr>
        <w:spacing w:line="360" w:lineRule="auto"/>
        <w:jc w:val="both"/>
        <w:rPr>
          <w:rFonts w:ascii="David" w:hAnsi="David"/>
        </w:rPr>
      </w:pPr>
      <w:r>
        <w:rPr>
          <w:rFonts w:ascii="David" w:hAnsi="David" w:hint="cs"/>
          <w:color w:val="000000"/>
          <w:rtl/>
        </w:rPr>
        <w:t xml:space="preserve">כאמור, </w:t>
      </w:r>
      <w:r>
        <w:rPr>
          <w:rFonts w:ascii="David" w:hAnsi="David"/>
          <w:color w:val="000000"/>
          <w:rtl/>
        </w:rPr>
        <w:t>טווח הענישה המוסכם בין הצדדים מצוי בגדרי מתחם הענישה שנקבע ומשכך בכוונתי לכבד את הסדר הטיעון. נותר אפוא לקבוע את עונשו של הנאשם בגדרי הטווח המוסכם. אציין כבר עתה שלא הובאו בפני נתונים כלשהם מהם ניתן להסיק מסקנה בדבר סיכויי שיקום ואף לא התבקש תסקיר. משכך, לא אביא בחשבון שיקולי שיקום ואף ההגנה לא ביקשה לעשות כן</w:t>
      </w:r>
      <w:r>
        <w:rPr>
          <w:rFonts w:ascii="David" w:hAnsi="David"/>
          <w:color w:val="000000"/>
        </w:rPr>
        <w:t>.</w:t>
      </w:r>
    </w:p>
    <w:p w14:paraId="51CDDE8F" w14:textId="77777777" w:rsidR="00576FE3" w:rsidRDefault="00576FE3" w:rsidP="00576FE3">
      <w:pPr>
        <w:pStyle w:val="a9"/>
        <w:ind w:left="0"/>
        <w:jc w:val="both"/>
        <w:rPr>
          <w:rFonts w:ascii="David" w:hAnsi="David"/>
        </w:rPr>
      </w:pPr>
    </w:p>
    <w:p w14:paraId="61E00803" w14:textId="77777777" w:rsidR="00576FE3" w:rsidRPr="00713B1B" w:rsidRDefault="00576FE3" w:rsidP="00576FE3">
      <w:pPr>
        <w:pStyle w:val="a9"/>
        <w:numPr>
          <w:ilvl w:val="0"/>
          <w:numId w:val="1"/>
        </w:numPr>
        <w:spacing w:line="360" w:lineRule="auto"/>
        <w:jc w:val="both"/>
        <w:rPr>
          <w:rFonts w:ascii="David" w:hAnsi="David"/>
        </w:rPr>
      </w:pPr>
      <w:r w:rsidRPr="00013913">
        <w:rPr>
          <w:rFonts w:ascii="David" w:hAnsi="David"/>
          <w:color w:val="000000"/>
          <w:rtl/>
        </w:rPr>
        <w:t>לצורך קביעת עונשו של הנאשם הבאתי בחשבון את גילו הצעיר יחסית</w:t>
      </w:r>
      <w:r>
        <w:rPr>
          <w:rFonts w:ascii="David" w:hAnsi="David" w:hint="cs"/>
          <w:rtl/>
        </w:rPr>
        <w:t xml:space="preserve"> (כבן 25) ואת הודאתו </w:t>
      </w:r>
      <w:r w:rsidRPr="00013913">
        <w:rPr>
          <w:rFonts w:ascii="David" w:hAnsi="David"/>
          <w:color w:val="000000"/>
          <w:rtl/>
        </w:rPr>
        <w:t>בהזדמנות הראשונה</w:t>
      </w:r>
      <w:r>
        <w:rPr>
          <w:rFonts w:ascii="David" w:hAnsi="David" w:hint="cs"/>
          <w:color w:val="000000"/>
          <w:rtl/>
        </w:rPr>
        <w:t xml:space="preserve"> (ימים ספורים לאחר הגשת כתב האישום)</w:t>
      </w:r>
      <w:r w:rsidRPr="00013913">
        <w:rPr>
          <w:rFonts w:ascii="David" w:hAnsi="David" w:hint="cs"/>
          <w:color w:val="000000"/>
          <w:rtl/>
        </w:rPr>
        <w:t xml:space="preserve">, </w:t>
      </w:r>
      <w:r>
        <w:rPr>
          <w:rFonts w:ascii="David" w:hAnsi="David" w:hint="cs"/>
          <w:color w:val="000000"/>
          <w:rtl/>
        </w:rPr>
        <w:t>שהביאה לא רק לחיסכון</w:t>
      </w:r>
      <w:r w:rsidRPr="00013913">
        <w:rPr>
          <w:rFonts w:ascii="David" w:hAnsi="David" w:hint="cs"/>
          <w:color w:val="000000"/>
          <w:rtl/>
        </w:rPr>
        <w:t xml:space="preserve"> </w:t>
      </w:r>
      <w:r>
        <w:rPr>
          <w:rFonts w:ascii="David" w:hAnsi="David" w:hint="cs"/>
          <w:color w:val="000000"/>
          <w:rtl/>
        </w:rPr>
        <w:t>בזמן שיפוטי אלא אף חסכה את</w:t>
      </w:r>
      <w:r w:rsidRPr="00013913">
        <w:rPr>
          <w:rFonts w:ascii="David" w:hAnsi="David" w:hint="cs"/>
          <w:color w:val="000000"/>
          <w:rtl/>
        </w:rPr>
        <w:t xml:space="preserve"> עדות המתלוננים. כן ראיתי בהודאה זו כביטוי של חרטה וקבלת אחריות</w:t>
      </w:r>
      <w:r>
        <w:rPr>
          <w:rFonts w:ascii="David" w:hAnsi="David" w:hint="cs"/>
          <w:color w:val="000000"/>
          <w:rtl/>
        </w:rPr>
        <w:t xml:space="preserve"> ואפנה בעניין זה לדברים שנשא הנאשם בשלב הטיעונים לעונש שביטאו רצון ברור בשינוי</w:t>
      </w:r>
      <w:r w:rsidRPr="00013913">
        <w:rPr>
          <w:rFonts w:ascii="David" w:hAnsi="David" w:hint="cs"/>
          <w:color w:val="000000"/>
          <w:rtl/>
        </w:rPr>
        <w:t>. הבאתי עוד</w:t>
      </w:r>
      <w:r>
        <w:rPr>
          <w:rFonts w:ascii="David" w:hAnsi="David" w:hint="cs"/>
          <w:color w:val="000000"/>
          <w:rtl/>
        </w:rPr>
        <w:t xml:space="preserve"> בחשבון את מצבו הנפשי והגם שלא הוגשו מסמכים בעניין זה, ראיתי להביא בחשבון במניין השיקולים עובדה זו (</w:t>
      </w:r>
      <w:hyperlink r:id="rId35" w:history="1">
        <w:r w:rsidR="00053B5D" w:rsidRPr="00053B5D">
          <w:rPr>
            <w:rStyle w:val="Hyperlink"/>
            <w:rFonts w:ascii="David" w:hAnsi="David" w:hint="eastAsia"/>
            <w:rtl/>
          </w:rPr>
          <w:t>סעיף</w:t>
        </w:r>
        <w:r w:rsidR="00053B5D" w:rsidRPr="00053B5D">
          <w:rPr>
            <w:rStyle w:val="Hyperlink"/>
            <w:rFonts w:ascii="David" w:hAnsi="David"/>
            <w:rtl/>
          </w:rPr>
          <w:t xml:space="preserve"> 40יא(8)</w:t>
        </w:r>
      </w:hyperlink>
      <w:r>
        <w:rPr>
          <w:rFonts w:ascii="David" w:hAnsi="David" w:hint="cs"/>
          <w:color w:val="000000"/>
          <w:rtl/>
        </w:rPr>
        <w:t xml:space="preserve"> ל</w:t>
      </w:r>
      <w:hyperlink r:id="rId36" w:history="1">
        <w:r w:rsidR="00686232" w:rsidRPr="00686232">
          <w:rPr>
            <w:rFonts w:ascii="David" w:hAnsi="David"/>
            <w:color w:val="0000FF"/>
            <w:u w:val="single"/>
            <w:rtl/>
          </w:rPr>
          <w:t>חוק העונשין</w:t>
        </w:r>
      </w:hyperlink>
      <w:r>
        <w:rPr>
          <w:rFonts w:ascii="David" w:hAnsi="David" w:hint="cs"/>
          <w:color w:val="000000"/>
          <w:rtl/>
        </w:rPr>
        <w:t xml:space="preserve">) ואפנה לכך שבהליך קודם (בשנת 2019) הופסקו ההליכים והוצא צו אשפוז. </w:t>
      </w:r>
      <w:r>
        <w:rPr>
          <w:rtl/>
        </w:rPr>
        <w:t xml:space="preserve">נתתי </w:t>
      </w:r>
      <w:r w:rsidRPr="00013913">
        <w:rPr>
          <w:rFonts w:ascii="David" w:hAnsi="David"/>
          <w:color w:val="000000"/>
          <w:rtl/>
        </w:rPr>
        <w:t>דעתי גם לפגיעה שתגרם לנאשם (ו</w:t>
      </w:r>
      <w:r>
        <w:rPr>
          <w:rFonts w:ascii="David" w:hAnsi="David" w:hint="cs"/>
          <w:color w:val="000000"/>
          <w:rtl/>
        </w:rPr>
        <w:t>דומה ש</w:t>
      </w:r>
      <w:r w:rsidRPr="00013913">
        <w:rPr>
          <w:rFonts w:ascii="David" w:hAnsi="David"/>
          <w:color w:val="000000"/>
          <w:rtl/>
        </w:rPr>
        <w:t>אף לבני משפחתו) בשל תקופת המאסר שתוטל עליו.</w:t>
      </w:r>
      <w:r w:rsidRPr="00013913">
        <w:rPr>
          <w:rFonts w:ascii="David" w:hAnsi="David" w:hint="cs"/>
          <w:rtl/>
        </w:rPr>
        <w:t xml:space="preserve"> </w:t>
      </w:r>
      <w:r>
        <w:rPr>
          <w:rFonts w:hint="cs"/>
          <w:rtl/>
        </w:rPr>
        <w:t xml:space="preserve">מנגד, לא ניתן להתעלם מעברו הפלילי המכביד מאוד, חרף הגיל הצעיר, הכולל מספר הרשעות בעבירות דומות של החזקת סכין וכן מכך שנשא בעבר מספר מאסרים בפועל. לנתון זה משקל ממשי בקביעת העונש. </w:t>
      </w:r>
      <w:r w:rsidRPr="00713B1B">
        <w:rPr>
          <w:rFonts w:ascii="David" w:hAnsi="David"/>
          <w:rtl/>
        </w:rPr>
        <w:t xml:space="preserve"> </w:t>
      </w:r>
    </w:p>
    <w:p w14:paraId="6AA042CA" w14:textId="77777777" w:rsidR="00576FE3" w:rsidRPr="0030707F" w:rsidRDefault="00576FE3" w:rsidP="00576FE3">
      <w:pPr>
        <w:pStyle w:val="a9"/>
        <w:rPr>
          <w:rFonts w:ascii="David" w:hAnsi="David"/>
          <w:rtl/>
        </w:rPr>
      </w:pPr>
    </w:p>
    <w:p w14:paraId="212F2836" w14:textId="77777777" w:rsidR="00576FE3" w:rsidRPr="003B719C" w:rsidRDefault="00576FE3" w:rsidP="00576FE3">
      <w:pPr>
        <w:pStyle w:val="a9"/>
        <w:numPr>
          <w:ilvl w:val="0"/>
          <w:numId w:val="1"/>
        </w:numPr>
        <w:spacing w:line="360" w:lineRule="auto"/>
        <w:jc w:val="both"/>
        <w:rPr>
          <w:rFonts w:ascii="David" w:hAnsi="David"/>
        </w:rPr>
      </w:pPr>
      <w:r>
        <w:rPr>
          <w:rtl/>
        </w:rPr>
        <w:t xml:space="preserve">טרם סיום אציין </w:t>
      </w:r>
      <w:r>
        <w:rPr>
          <w:rFonts w:hint="cs"/>
          <w:rtl/>
        </w:rPr>
        <w:t xml:space="preserve">שלאור העובדה שהנאשם סובל מהתמכרות לסמים, </w:t>
      </w:r>
      <w:r>
        <w:rPr>
          <w:rtl/>
        </w:rPr>
        <w:t xml:space="preserve">נכון יעשה אם ינצל את תקופת מאסרו לצורך השתלבות בהליך טיפולי בו יתמיד גם לאחר שחרורו מהמאסר. </w:t>
      </w:r>
      <w:r>
        <w:rPr>
          <w:rFonts w:hint="cs"/>
          <w:rtl/>
        </w:rPr>
        <w:t xml:space="preserve">הנאשם הצהיר על רצונו לשמור על ניקיון מסמים ולשקם את חייו. יש לברך על כך ולקוות שיפעל לשם כך ואף יתמיד בדרך זו. </w:t>
      </w:r>
    </w:p>
    <w:p w14:paraId="29265784" w14:textId="77777777" w:rsidR="00576FE3" w:rsidRPr="003B719C" w:rsidRDefault="00576FE3" w:rsidP="00576FE3">
      <w:pPr>
        <w:pStyle w:val="a9"/>
        <w:rPr>
          <w:rFonts w:ascii="David" w:hAnsi="David"/>
          <w:rtl/>
        </w:rPr>
      </w:pPr>
    </w:p>
    <w:p w14:paraId="3EF829C3" w14:textId="77777777" w:rsidR="00576FE3" w:rsidRDefault="00576FE3" w:rsidP="00576FE3">
      <w:pPr>
        <w:pStyle w:val="a9"/>
        <w:numPr>
          <w:ilvl w:val="0"/>
          <w:numId w:val="1"/>
        </w:numPr>
        <w:spacing w:line="360" w:lineRule="auto"/>
        <w:jc w:val="both"/>
      </w:pPr>
      <w:r>
        <w:rPr>
          <w:rtl/>
        </w:rPr>
        <w:t xml:space="preserve">סיכומו של דבר, לאחר שבחנתי את מכלול השיקולים, הן לקולה והן לחומרה, אני גוזר על הנאשם את העונשים הבאים: </w:t>
      </w:r>
    </w:p>
    <w:p w14:paraId="5166EA44" w14:textId="77777777" w:rsidR="00576FE3" w:rsidRDefault="00576FE3" w:rsidP="00576FE3">
      <w:pPr>
        <w:pStyle w:val="a9"/>
        <w:ind w:left="0"/>
        <w:jc w:val="both"/>
      </w:pPr>
    </w:p>
    <w:p w14:paraId="74361707" w14:textId="77777777" w:rsidR="00576FE3" w:rsidRDefault="00576FE3" w:rsidP="00576FE3">
      <w:pPr>
        <w:pStyle w:val="a9"/>
        <w:numPr>
          <w:ilvl w:val="0"/>
          <w:numId w:val="2"/>
        </w:numPr>
        <w:spacing w:line="360" w:lineRule="auto"/>
        <w:jc w:val="both"/>
        <w:rPr>
          <w:rFonts w:ascii="David" w:hAnsi="David"/>
        </w:rPr>
      </w:pPr>
      <w:r>
        <w:rPr>
          <w:rFonts w:ascii="David" w:hAnsi="David" w:hint="cs"/>
          <w:b/>
          <w:bCs/>
          <w:rtl/>
        </w:rPr>
        <w:t>8</w:t>
      </w:r>
      <w:r w:rsidRPr="00013913">
        <w:rPr>
          <w:rFonts w:ascii="David" w:hAnsi="David" w:hint="cs"/>
          <w:b/>
          <w:bCs/>
          <w:rtl/>
        </w:rPr>
        <w:t xml:space="preserve"> חודשי מאסר בפועל</w:t>
      </w:r>
      <w:r>
        <w:rPr>
          <w:rFonts w:ascii="David" w:hAnsi="David" w:hint="cs"/>
          <w:rtl/>
        </w:rPr>
        <w:t xml:space="preserve">, החל מיום מעצרו </w:t>
      </w:r>
      <w:r>
        <w:rPr>
          <w:rFonts w:ascii="David" w:hAnsi="David"/>
          <w:rtl/>
        </w:rPr>
        <w:t>–</w:t>
      </w:r>
      <w:r>
        <w:rPr>
          <w:rFonts w:ascii="David" w:hAnsi="David" w:hint="cs"/>
          <w:rtl/>
        </w:rPr>
        <w:t xml:space="preserve"> 19.3.22. </w:t>
      </w:r>
    </w:p>
    <w:p w14:paraId="5A1E7010" w14:textId="77777777" w:rsidR="00576FE3" w:rsidRDefault="00686232" w:rsidP="00576FE3">
      <w:pPr>
        <w:pStyle w:val="a9"/>
        <w:numPr>
          <w:ilvl w:val="0"/>
          <w:numId w:val="2"/>
        </w:numPr>
        <w:spacing w:line="360" w:lineRule="auto"/>
        <w:jc w:val="both"/>
        <w:rPr>
          <w:rFonts w:ascii="David" w:hAnsi="David"/>
          <w:rtl/>
        </w:rPr>
      </w:pPr>
      <w:r w:rsidRPr="00686232">
        <w:rPr>
          <w:color w:val="FFFFFF"/>
          <w:sz w:val="2"/>
          <w:szCs w:val="2"/>
          <w:rtl/>
        </w:rPr>
        <w:t>5129371</w:t>
      </w:r>
      <w:r w:rsidR="00576FE3">
        <w:rPr>
          <w:rtl/>
        </w:rPr>
        <w:t xml:space="preserve">מאסר על תנאי למשך 4 חודשים והתנאי הוא שהנאשם לא יעבור במשך </w:t>
      </w:r>
      <w:r w:rsidR="00576FE3">
        <w:rPr>
          <w:rFonts w:hint="cs"/>
          <w:rtl/>
        </w:rPr>
        <w:t xml:space="preserve">שלוש שנים מיום שחרורו אחת או יותר מעבירות בהן הורשע. </w:t>
      </w:r>
    </w:p>
    <w:p w14:paraId="5CBDEDDA" w14:textId="77777777" w:rsidR="00576FE3" w:rsidRPr="0087146D" w:rsidRDefault="00686232" w:rsidP="00576FE3">
      <w:pPr>
        <w:spacing w:before="120" w:after="120" w:line="360" w:lineRule="auto"/>
        <w:ind w:firstLine="360"/>
        <w:jc w:val="both"/>
        <w:rPr>
          <w:b/>
          <w:bCs/>
          <w:u w:val="single"/>
          <w:rtl/>
        </w:rPr>
      </w:pPr>
      <w:r w:rsidRPr="00686232">
        <w:rPr>
          <w:b/>
          <w:bCs/>
          <w:color w:val="FFFFFF"/>
          <w:sz w:val="2"/>
          <w:szCs w:val="2"/>
          <w:u w:val="single"/>
          <w:rtl/>
        </w:rPr>
        <w:t>54678313</w:t>
      </w:r>
      <w:r w:rsidR="00576FE3">
        <w:rPr>
          <w:b/>
          <w:bCs/>
          <w:u w:val="single"/>
          <w:rtl/>
        </w:rPr>
        <w:t>הודעה זכות ערעור לבית המשפט המחוזי בתוך 45 יום.</w:t>
      </w:r>
    </w:p>
    <w:p w14:paraId="7D5AAE71" w14:textId="77777777" w:rsidR="00576FE3" w:rsidRPr="00A13E4B" w:rsidRDefault="00576FE3" w:rsidP="00576FE3">
      <w:pPr>
        <w:spacing w:line="360" w:lineRule="auto"/>
        <w:jc w:val="both"/>
        <w:rPr>
          <w:rFonts w:ascii="David" w:hAnsi="David"/>
          <w:rtl/>
        </w:rPr>
      </w:pPr>
    </w:p>
    <w:p w14:paraId="1AE3149F" w14:textId="77777777" w:rsidR="00576FE3" w:rsidRPr="00A13E4B" w:rsidRDefault="00686232" w:rsidP="00576FE3">
      <w:pPr>
        <w:rPr>
          <w:rFonts w:ascii="David" w:hAnsi="David"/>
          <w:rtl/>
        </w:rPr>
      </w:pPr>
      <w:bookmarkStart w:id="7" w:name="Nitan"/>
      <w:r>
        <w:rPr>
          <w:rFonts w:ascii="David" w:hAnsi="David"/>
          <w:rtl/>
        </w:rPr>
        <w:t xml:space="preserve">ניתן היום,  ט' ניסן תשפ"ב, 10 אפריל 2022, במעמד הצדדים. </w:t>
      </w:r>
      <w:bookmarkEnd w:id="7"/>
    </w:p>
    <w:p w14:paraId="149ADD13" w14:textId="77777777" w:rsidR="00576FE3" w:rsidRPr="00A13E4B" w:rsidRDefault="00576FE3" w:rsidP="00686232">
      <w:pPr>
        <w:jc w:val="center"/>
      </w:pPr>
      <w:r w:rsidRPr="00A13E4B">
        <w:rPr>
          <w:rFonts w:ascii="David" w:hAnsi="David"/>
          <w:rtl/>
        </w:rPr>
        <w:t xml:space="preserve">   </w:t>
      </w:r>
      <w:r w:rsidRPr="00A13E4B">
        <w:rPr>
          <w:rFonts w:ascii="David" w:hAnsi="David"/>
          <w:rtl/>
        </w:rPr>
        <w:tab/>
      </w:r>
      <w:r w:rsidRPr="00A13E4B">
        <w:rPr>
          <w:rFonts w:ascii="David" w:hAnsi="David"/>
          <w:rtl/>
        </w:rPr>
        <w:tab/>
      </w:r>
      <w:r w:rsidRPr="00A13E4B">
        <w:rPr>
          <w:rFonts w:ascii="David" w:hAnsi="David"/>
          <w:rtl/>
        </w:rPr>
        <w:tab/>
      </w:r>
      <w:r w:rsidRPr="00A13E4B">
        <w:rPr>
          <w:rFonts w:ascii="David" w:hAnsi="David"/>
          <w:rtl/>
        </w:rPr>
        <w:tab/>
      </w:r>
      <w:r w:rsidRPr="00A13E4B">
        <w:rPr>
          <w:rFonts w:ascii="David" w:hAnsi="David"/>
          <w:rtl/>
        </w:rPr>
        <w:tab/>
      </w:r>
    </w:p>
    <w:p w14:paraId="141FD60E" w14:textId="77777777" w:rsidR="00576FE3" w:rsidRPr="00A13E4B" w:rsidRDefault="00576FE3" w:rsidP="00576FE3">
      <w:pPr>
        <w:jc w:val="center"/>
        <w:rPr>
          <w:rFonts w:ascii="David" w:hAnsi="David"/>
          <w:rtl/>
        </w:rPr>
      </w:pPr>
    </w:p>
    <w:p w14:paraId="24639AC0" w14:textId="77777777" w:rsidR="00684CCD" w:rsidRPr="00686232" w:rsidRDefault="00684CCD" w:rsidP="00686232">
      <w:pPr>
        <w:keepNext/>
        <w:rPr>
          <w:rFonts w:ascii="David" w:hAnsi="David"/>
          <w:color w:val="000000"/>
          <w:sz w:val="22"/>
          <w:szCs w:val="22"/>
          <w:rtl/>
        </w:rPr>
      </w:pPr>
    </w:p>
    <w:p w14:paraId="1C346C0D" w14:textId="77777777" w:rsidR="00686232" w:rsidRPr="00686232" w:rsidRDefault="00686232" w:rsidP="00686232">
      <w:pPr>
        <w:keepNext/>
        <w:rPr>
          <w:rFonts w:ascii="David" w:hAnsi="David"/>
          <w:color w:val="000000"/>
          <w:sz w:val="22"/>
          <w:szCs w:val="22"/>
          <w:rtl/>
        </w:rPr>
      </w:pPr>
      <w:r w:rsidRPr="00686232">
        <w:rPr>
          <w:rFonts w:ascii="David" w:hAnsi="David"/>
          <w:color w:val="000000"/>
          <w:sz w:val="22"/>
          <w:szCs w:val="22"/>
          <w:rtl/>
        </w:rPr>
        <w:t>יוסי טורס 54678313</w:t>
      </w:r>
    </w:p>
    <w:p w14:paraId="22220052" w14:textId="77777777" w:rsidR="00686232" w:rsidRDefault="00686232" w:rsidP="00686232">
      <w:r w:rsidRPr="00686232">
        <w:rPr>
          <w:color w:val="000000"/>
          <w:rtl/>
        </w:rPr>
        <w:t>נוסח מסמך זה כפוף לשינויי ניסוח ועריכה</w:t>
      </w:r>
    </w:p>
    <w:p w14:paraId="0D731C37" w14:textId="77777777" w:rsidR="00686232" w:rsidRDefault="00686232" w:rsidP="00686232">
      <w:pPr>
        <w:rPr>
          <w:rtl/>
        </w:rPr>
      </w:pPr>
    </w:p>
    <w:p w14:paraId="140E15F7" w14:textId="77777777" w:rsidR="00686232" w:rsidRDefault="00686232" w:rsidP="00686232">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7B6D701B" w14:textId="77777777" w:rsidR="00686232" w:rsidRPr="00686232" w:rsidRDefault="00686232" w:rsidP="00686232">
      <w:pPr>
        <w:jc w:val="center"/>
        <w:rPr>
          <w:color w:val="0000FF"/>
          <w:u w:val="single"/>
        </w:rPr>
      </w:pPr>
    </w:p>
    <w:sectPr w:rsidR="00686232" w:rsidRPr="00686232" w:rsidSect="00686232">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33DDF0" w14:textId="77777777" w:rsidR="00710051" w:rsidRDefault="00710051" w:rsidP="00F42E58">
      <w:r>
        <w:separator/>
      </w:r>
    </w:p>
  </w:endnote>
  <w:endnote w:type="continuationSeparator" w:id="0">
    <w:p w14:paraId="3FCC5F9F" w14:textId="77777777" w:rsidR="00710051" w:rsidRDefault="00710051" w:rsidP="00F42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6FBA32" w14:textId="77777777" w:rsidR="00686232" w:rsidRDefault="00686232" w:rsidP="0068623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F46E31C" w14:textId="77777777" w:rsidR="004D3DDF" w:rsidRPr="00686232" w:rsidRDefault="00686232" w:rsidP="0068623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B5F6B7" w14:textId="77777777" w:rsidR="00686232" w:rsidRDefault="00686232" w:rsidP="0068623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B2C4B">
      <w:rPr>
        <w:rFonts w:ascii="FrankRuehl" w:hAnsi="FrankRuehl" w:cs="FrankRuehl"/>
        <w:noProof/>
        <w:rtl/>
      </w:rPr>
      <w:t>1</w:t>
    </w:r>
    <w:r>
      <w:rPr>
        <w:rFonts w:ascii="FrankRuehl" w:hAnsi="FrankRuehl" w:cs="FrankRuehl"/>
        <w:rtl/>
      </w:rPr>
      <w:fldChar w:fldCharType="end"/>
    </w:r>
  </w:p>
  <w:p w14:paraId="54C6C2F7" w14:textId="77777777" w:rsidR="004D3DDF" w:rsidRPr="00686232" w:rsidRDefault="00686232" w:rsidP="0068623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AF0A4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16E2AF" w14:textId="77777777" w:rsidR="00710051" w:rsidRDefault="00710051" w:rsidP="00F42E58">
      <w:r>
        <w:separator/>
      </w:r>
    </w:p>
  </w:footnote>
  <w:footnote w:type="continuationSeparator" w:id="0">
    <w:p w14:paraId="2CE96D92" w14:textId="77777777" w:rsidR="00710051" w:rsidRDefault="00710051" w:rsidP="00F42E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6DD93D" w14:textId="77777777" w:rsidR="00686232" w:rsidRPr="00686232" w:rsidRDefault="00686232" w:rsidP="0068623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60760-03-22</w:t>
    </w:r>
    <w:r>
      <w:rPr>
        <w:rFonts w:ascii="David" w:hAnsi="David"/>
        <w:color w:val="000000"/>
        <w:sz w:val="22"/>
        <w:szCs w:val="22"/>
        <w:rtl/>
      </w:rPr>
      <w:tab/>
      <w:t xml:space="preserve"> מדינת ישראל נ' בר אמסלם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CB8EF" w14:textId="77777777" w:rsidR="00686232" w:rsidRPr="00686232" w:rsidRDefault="00686232" w:rsidP="0068623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60760-03-22</w:t>
    </w:r>
    <w:r>
      <w:rPr>
        <w:rFonts w:ascii="David" w:hAnsi="David"/>
        <w:color w:val="000000"/>
        <w:sz w:val="22"/>
        <w:szCs w:val="22"/>
        <w:rtl/>
      </w:rPr>
      <w:tab/>
      <w:t xml:space="preserve"> מדינת ישראל נ' בר אמסלם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4C7297"/>
    <w:multiLevelType w:val="hybridMultilevel"/>
    <w:tmpl w:val="22EE5626"/>
    <w:lvl w:ilvl="0" w:tplc="3C46CF60">
      <w:start w:val="1"/>
      <w:numFmt w:val="decimal"/>
      <w:lvlText w:val="%1."/>
      <w:lvlJc w:val="left"/>
      <w:pPr>
        <w:tabs>
          <w:tab w:val="num" w:pos="567"/>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D121CC"/>
    <w:multiLevelType w:val="hybridMultilevel"/>
    <w:tmpl w:val="D2161AAE"/>
    <w:lvl w:ilvl="0" w:tplc="02FCEA64">
      <w:start w:val="1"/>
      <w:numFmt w:val="hebrew1"/>
      <w:lvlText w:val="%1."/>
      <w:lvlJc w:val="center"/>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9077487">
    <w:abstractNumId w:val="0"/>
  </w:num>
  <w:num w:numId="2" w16cid:durableId="337792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76FE3"/>
    <w:rsid w:val="00053B5D"/>
    <w:rsid w:val="001B5A3B"/>
    <w:rsid w:val="00416C82"/>
    <w:rsid w:val="004D3DDF"/>
    <w:rsid w:val="00576FE3"/>
    <w:rsid w:val="005D51CF"/>
    <w:rsid w:val="00682E5F"/>
    <w:rsid w:val="00684CCD"/>
    <w:rsid w:val="00686232"/>
    <w:rsid w:val="00710051"/>
    <w:rsid w:val="008C5E59"/>
    <w:rsid w:val="009D6905"/>
    <w:rsid w:val="00AB2C4B"/>
    <w:rsid w:val="00B61478"/>
    <w:rsid w:val="00C763BF"/>
    <w:rsid w:val="00F42E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70E1186"/>
  <w15:chartTrackingRefBased/>
  <w15:docId w15:val="{AB1D4853-401A-4750-B9D6-089A2528B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76FE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76FE3"/>
    <w:pPr>
      <w:tabs>
        <w:tab w:val="center" w:pos="4153"/>
        <w:tab w:val="right" w:pos="8306"/>
      </w:tabs>
    </w:pPr>
  </w:style>
  <w:style w:type="character" w:customStyle="1" w:styleId="a4">
    <w:name w:val="כותרת עליונה תו"/>
    <w:link w:val="a3"/>
    <w:rsid w:val="00576FE3"/>
    <w:rPr>
      <w:rFonts w:ascii="Times New Roman" w:eastAsia="Times New Roman" w:hAnsi="Times New Roman" w:cs="David"/>
      <w:sz w:val="24"/>
      <w:szCs w:val="24"/>
    </w:rPr>
  </w:style>
  <w:style w:type="paragraph" w:styleId="a5">
    <w:name w:val="footer"/>
    <w:basedOn w:val="a"/>
    <w:link w:val="a6"/>
    <w:rsid w:val="00576FE3"/>
    <w:pPr>
      <w:tabs>
        <w:tab w:val="center" w:pos="4153"/>
        <w:tab w:val="right" w:pos="8306"/>
      </w:tabs>
    </w:pPr>
  </w:style>
  <w:style w:type="character" w:customStyle="1" w:styleId="a6">
    <w:name w:val="כותרת תחתונה תו"/>
    <w:link w:val="a5"/>
    <w:rsid w:val="00576FE3"/>
    <w:rPr>
      <w:rFonts w:ascii="Times New Roman" w:eastAsia="Times New Roman" w:hAnsi="Times New Roman" w:cs="David"/>
      <w:sz w:val="24"/>
      <w:szCs w:val="24"/>
    </w:rPr>
  </w:style>
  <w:style w:type="table" w:styleId="a7">
    <w:name w:val="Table Grid"/>
    <w:basedOn w:val="a1"/>
    <w:rsid w:val="00576FE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76FE3"/>
  </w:style>
  <w:style w:type="paragraph" w:styleId="a9">
    <w:name w:val="List Paragraph"/>
    <w:basedOn w:val="a"/>
    <w:qFormat/>
    <w:rsid w:val="00576FE3"/>
    <w:pPr>
      <w:ind w:left="720"/>
      <w:contextualSpacing/>
    </w:pPr>
  </w:style>
  <w:style w:type="character" w:styleId="Hyperlink">
    <w:name w:val="Hyperlink"/>
    <w:rsid w:val="006862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law/70301/186.a" TargetMode="External"/><Relationship Id="rId26" Type="http://schemas.openxmlformats.org/officeDocument/2006/relationships/hyperlink" Target="http://www.nevo.co.il/case/13045219" TargetMode="External"/><Relationship Id="rId39" Type="http://schemas.openxmlformats.org/officeDocument/2006/relationships/header" Target="header2.xml"/><Relationship Id="rId21" Type="http://schemas.openxmlformats.org/officeDocument/2006/relationships/hyperlink" Target="http://www.nevo.co.il/case/26991436" TargetMode="External"/><Relationship Id="rId34" Type="http://schemas.openxmlformats.org/officeDocument/2006/relationships/hyperlink" Target="http://www.nevo.co.il/case/26575874" TargetMode="External"/><Relationship Id="rId42"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92" TargetMode="External"/><Relationship Id="rId20" Type="http://schemas.openxmlformats.org/officeDocument/2006/relationships/hyperlink" Target="http://www.nevo.co.il/case/26978020" TargetMode="External"/><Relationship Id="rId29" Type="http://schemas.openxmlformats.org/officeDocument/2006/relationships/hyperlink" Target="http://www.nevo.co.il/case/22748594"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92" TargetMode="External"/><Relationship Id="rId24" Type="http://schemas.openxmlformats.org/officeDocument/2006/relationships/hyperlink" Target="http://www.nevo.co.il/case/18080495" TargetMode="External"/><Relationship Id="rId32" Type="http://schemas.openxmlformats.org/officeDocument/2006/relationships/hyperlink" Target="http://www.nevo.co.il/case/23598796"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19999565" TargetMode="External"/><Relationship Id="rId36" Type="http://schemas.openxmlformats.org/officeDocument/2006/relationships/hyperlink" Target="http://www.nevo.co.il/law/70301" TargetMode="External"/><Relationship Id="rId10" Type="http://schemas.openxmlformats.org/officeDocument/2006/relationships/hyperlink" Target="http://www.nevo.co.il/law/70301/186.a" TargetMode="External"/><Relationship Id="rId19" Type="http://schemas.openxmlformats.org/officeDocument/2006/relationships/hyperlink" Target="http://www.nevo.co.il/law/4216/7.a.;7.c" TargetMode="External"/><Relationship Id="rId31" Type="http://schemas.openxmlformats.org/officeDocument/2006/relationships/hyperlink" Target="http://www.nevo.co.il/case/22582471" TargetMode="External"/><Relationship Id="rId4" Type="http://schemas.openxmlformats.org/officeDocument/2006/relationships/webSettings" Target="webSettings.xml"/><Relationship Id="rId9" Type="http://schemas.openxmlformats.org/officeDocument/2006/relationships/hyperlink" Target="http://www.nevo.co.il/law/70301/40i.6." TargetMode="External"/><Relationship Id="rId14" Type="http://schemas.openxmlformats.org/officeDocument/2006/relationships/hyperlink" Target="http://www.nevo.co.il/law/4216/7.a." TargetMode="External"/><Relationship Id="rId22" Type="http://schemas.openxmlformats.org/officeDocument/2006/relationships/hyperlink" Target="http://www.nevo.co.il/law/70301/40i.6.;40.i.7" TargetMode="External"/><Relationship Id="rId27" Type="http://schemas.openxmlformats.org/officeDocument/2006/relationships/hyperlink" Target="http://www.nevo.co.il/case/25685399" TargetMode="External"/><Relationship Id="rId30" Type="http://schemas.openxmlformats.org/officeDocument/2006/relationships/hyperlink" Target="http://www.nevo.co.il/case/27896138" TargetMode="External"/><Relationship Id="rId35" Type="http://schemas.openxmlformats.org/officeDocument/2006/relationships/hyperlink" Target="http://www.nevo.co.il/law/70301/40ja.8" TargetMode="External"/><Relationship Id="rId43" Type="http://schemas.openxmlformats.org/officeDocument/2006/relationships/theme" Target="theme/theme1.xml"/><Relationship Id="rId8" Type="http://schemas.openxmlformats.org/officeDocument/2006/relationships/hyperlink" Target="http://www.nevo.co.il/law/70301/40.i.7" TargetMode="External"/><Relationship Id="rId3" Type="http://schemas.openxmlformats.org/officeDocument/2006/relationships/settings" Target="settings.xml"/><Relationship Id="rId12" Type="http://schemas.openxmlformats.org/officeDocument/2006/relationships/hyperlink" Target="http://www.nevo.co.il/law/70301/40ja.8"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17016454" TargetMode="External"/><Relationship Id="rId33" Type="http://schemas.openxmlformats.org/officeDocument/2006/relationships/hyperlink" Target="http://www.nevo.co.il/case/21592697"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1968</Words>
  <Characters>9845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11790</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7995492</vt:i4>
      </vt:variant>
      <vt:variant>
        <vt:i4>87</vt:i4>
      </vt:variant>
      <vt:variant>
        <vt:i4>0</vt:i4>
      </vt:variant>
      <vt:variant>
        <vt:i4>5</vt:i4>
      </vt:variant>
      <vt:variant>
        <vt:lpwstr>http://www.nevo.co.il/law/70301</vt:lpwstr>
      </vt:variant>
      <vt:variant>
        <vt:lpwstr/>
      </vt:variant>
      <vt:variant>
        <vt:i4>3932197</vt:i4>
      </vt:variant>
      <vt:variant>
        <vt:i4>84</vt:i4>
      </vt:variant>
      <vt:variant>
        <vt:i4>0</vt:i4>
      </vt:variant>
      <vt:variant>
        <vt:i4>5</vt:i4>
      </vt:variant>
      <vt:variant>
        <vt:lpwstr>http://www.nevo.co.il/law/70301/40ja.8</vt:lpwstr>
      </vt:variant>
      <vt:variant>
        <vt:lpwstr/>
      </vt:variant>
      <vt:variant>
        <vt:i4>3473533</vt:i4>
      </vt:variant>
      <vt:variant>
        <vt:i4>81</vt:i4>
      </vt:variant>
      <vt:variant>
        <vt:i4>0</vt:i4>
      </vt:variant>
      <vt:variant>
        <vt:i4>5</vt:i4>
      </vt:variant>
      <vt:variant>
        <vt:lpwstr>http://www.nevo.co.il/case/26575874</vt:lpwstr>
      </vt:variant>
      <vt:variant>
        <vt:lpwstr/>
      </vt:variant>
      <vt:variant>
        <vt:i4>3932282</vt:i4>
      </vt:variant>
      <vt:variant>
        <vt:i4>78</vt:i4>
      </vt:variant>
      <vt:variant>
        <vt:i4>0</vt:i4>
      </vt:variant>
      <vt:variant>
        <vt:i4>5</vt:i4>
      </vt:variant>
      <vt:variant>
        <vt:lpwstr>http://www.nevo.co.il/case/21592697</vt:lpwstr>
      </vt:variant>
      <vt:variant>
        <vt:lpwstr/>
      </vt:variant>
      <vt:variant>
        <vt:i4>3539065</vt:i4>
      </vt:variant>
      <vt:variant>
        <vt:i4>75</vt:i4>
      </vt:variant>
      <vt:variant>
        <vt:i4>0</vt:i4>
      </vt:variant>
      <vt:variant>
        <vt:i4>5</vt:i4>
      </vt:variant>
      <vt:variant>
        <vt:lpwstr>http://www.nevo.co.il/case/23598796</vt:lpwstr>
      </vt:variant>
      <vt:variant>
        <vt:lpwstr/>
      </vt:variant>
      <vt:variant>
        <vt:i4>3276922</vt:i4>
      </vt:variant>
      <vt:variant>
        <vt:i4>72</vt:i4>
      </vt:variant>
      <vt:variant>
        <vt:i4>0</vt:i4>
      </vt:variant>
      <vt:variant>
        <vt:i4>5</vt:i4>
      </vt:variant>
      <vt:variant>
        <vt:lpwstr>http://www.nevo.co.il/case/22582471</vt:lpwstr>
      </vt:variant>
      <vt:variant>
        <vt:lpwstr/>
      </vt:variant>
      <vt:variant>
        <vt:i4>4128891</vt:i4>
      </vt:variant>
      <vt:variant>
        <vt:i4>69</vt:i4>
      </vt:variant>
      <vt:variant>
        <vt:i4>0</vt:i4>
      </vt:variant>
      <vt:variant>
        <vt:i4>5</vt:i4>
      </vt:variant>
      <vt:variant>
        <vt:lpwstr>http://www.nevo.co.il/case/27896138</vt:lpwstr>
      </vt:variant>
      <vt:variant>
        <vt:lpwstr/>
      </vt:variant>
      <vt:variant>
        <vt:i4>3407991</vt:i4>
      </vt:variant>
      <vt:variant>
        <vt:i4>66</vt:i4>
      </vt:variant>
      <vt:variant>
        <vt:i4>0</vt:i4>
      </vt:variant>
      <vt:variant>
        <vt:i4>5</vt:i4>
      </vt:variant>
      <vt:variant>
        <vt:lpwstr>http://www.nevo.co.il/case/22748594</vt:lpwstr>
      </vt:variant>
      <vt:variant>
        <vt:lpwstr/>
      </vt:variant>
      <vt:variant>
        <vt:i4>3604593</vt:i4>
      </vt:variant>
      <vt:variant>
        <vt:i4>63</vt:i4>
      </vt:variant>
      <vt:variant>
        <vt:i4>0</vt:i4>
      </vt:variant>
      <vt:variant>
        <vt:i4>5</vt:i4>
      </vt:variant>
      <vt:variant>
        <vt:lpwstr>http://www.nevo.co.il/case/19999565</vt:lpwstr>
      </vt:variant>
      <vt:variant>
        <vt:lpwstr/>
      </vt:variant>
      <vt:variant>
        <vt:i4>3670138</vt:i4>
      </vt:variant>
      <vt:variant>
        <vt:i4>60</vt:i4>
      </vt:variant>
      <vt:variant>
        <vt:i4>0</vt:i4>
      </vt:variant>
      <vt:variant>
        <vt:i4>5</vt:i4>
      </vt:variant>
      <vt:variant>
        <vt:lpwstr>http://www.nevo.co.il/case/25685399</vt:lpwstr>
      </vt:variant>
      <vt:variant>
        <vt:lpwstr/>
      </vt:variant>
      <vt:variant>
        <vt:i4>3473521</vt:i4>
      </vt:variant>
      <vt:variant>
        <vt:i4>57</vt:i4>
      </vt:variant>
      <vt:variant>
        <vt:i4>0</vt:i4>
      </vt:variant>
      <vt:variant>
        <vt:i4>5</vt:i4>
      </vt:variant>
      <vt:variant>
        <vt:lpwstr>http://www.nevo.co.il/case/13045219</vt:lpwstr>
      </vt:variant>
      <vt:variant>
        <vt:lpwstr/>
      </vt:variant>
      <vt:variant>
        <vt:i4>3276918</vt:i4>
      </vt:variant>
      <vt:variant>
        <vt:i4>54</vt:i4>
      </vt:variant>
      <vt:variant>
        <vt:i4>0</vt:i4>
      </vt:variant>
      <vt:variant>
        <vt:i4>5</vt:i4>
      </vt:variant>
      <vt:variant>
        <vt:lpwstr>http://www.nevo.co.il/case/17016454</vt:lpwstr>
      </vt:variant>
      <vt:variant>
        <vt:lpwstr/>
      </vt:variant>
      <vt:variant>
        <vt:i4>3670128</vt:i4>
      </vt:variant>
      <vt:variant>
        <vt:i4>51</vt:i4>
      </vt:variant>
      <vt:variant>
        <vt:i4>0</vt:i4>
      </vt:variant>
      <vt:variant>
        <vt:i4>5</vt:i4>
      </vt:variant>
      <vt:variant>
        <vt:lpwstr>http://www.nevo.co.il/case/18080495</vt:lpwstr>
      </vt:variant>
      <vt:variant>
        <vt:lpwstr/>
      </vt:variant>
      <vt:variant>
        <vt:i4>7995492</vt:i4>
      </vt:variant>
      <vt:variant>
        <vt:i4>48</vt:i4>
      </vt:variant>
      <vt:variant>
        <vt:i4>0</vt:i4>
      </vt:variant>
      <vt:variant>
        <vt:i4>5</vt:i4>
      </vt:variant>
      <vt:variant>
        <vt:lpwstr>http://www.nevo.co.il/law/70301</vt:lpwstr>
      </vt:variant>
      <vt:variant>
        <vt:lpwstr/>
      </vt:variant>
      <vt:variant>
        <vt:i4>5308508</vt:i4>
      </vt:variant>
      <vt:variant>
        <vt:i4>45</vt:i4>
      </vt:variant>
      <vt:variant>
        <vt:i4>0</vt:i4>
      </vt:variant>
      <vt:variant>
        <vt:i4>5</vt:i4>
      </vt:variant>
      <vt:variant>
        <vt:lpwstr>http://www.nevo.co.il/law/70301/40i.6.;40.i.7</vt:lpwstr>
      </vt:variant>
      <vt:variant>
        <vt:lpwstr/>
      </vt:variant>
      <vt:variant>
        <vt:i4>3735679</vt:i4>
      </vt:variant>
      <vt:variant>
        <vt:i4>42</vt:i4>
      </vt:variant>
      <vt:variant>
        <vt:i4>0</vt:i4>
      </vt:variant>
      <vt:variant>
        <vt:i4>5</vt:i4>
      </vt:variant>
      <vt:variant>
        <vt:lpwstr>http://www.nevo.co.il/case/26991436</vt:lpwstr>
      </vt:variant>
      <vt:variant>
        <vt:lpwstr/>
      </vt:variant>
      <vt:variant>
        <vt:i4>3211381</vt:i4>
      </vt:variant>
      <vt:variant>
        <vt:i4>39</vt:i4>
      </vt:variant>
      <vt:variant>
        <vt:i4>0</vt:i4>
      </vt:variant>
      <vt:variant>
        <vt:i4>5</vt:i4>
      </vt:variant>
      <vt:variant>
        <vt:lpwstr>http://www.nevo.co.il/case/26978020</vt:lpwstr>
      </vt:variant>
      <vt:variant>
        <vt:lpwstr/>
      </vt:variant>
      <vt:variant>
        <vt:i4>3997821</vt:i4>
      </vt:variant>
      <vt:variant>
        <vt:i4>36</vt:i4>
      </vt:variant>
      <vt:variant>
        <vt:i4>0</vt:i4>
      </vt:variant>
      <vt:variant>
        <vt:i4>5</vt:i4>
      </vt:variant>
      <vt:variant>
        <vt:lpwstr>http://www.nevo.co.il/law/4216/7.a.;7.c</vt:lpwstr>
      </vt:variant>
      <vt:variant>
        <vt:lpwstr/>
      </vt:variant>
      <vt:variant>
        <vt:i4>4390994</vt:i4>
      </vt:variant>
      <vt:variant>
        <vt:i4>33</vt:i4>
      </vt:variant>
      <vt:variant>
        <vt:i4>0</vt:i4>
      </vt:variant>
      <vt:variant>
        <vt:i4>5</vt:i4>
      </vt:variant>
      <vt:variant>
        <vt:lpwstr>http://www.nevo.co.il/law/70301/186.a</vt:lpwstr>
      </vt:variant>
      <vt:variant>
        <vt:lpwstr/>
      </vt:variant>
      <vt:variant>
        <vt:i4>7995492</vt:i4>
      </vt:variant>
      <vt:variant>
        <vt:i4>30</vt:i4>
      </vt:variant>
      <vt:variant>
        <vt:i4>0</vt:i4>
      </vt:variant>
      <vt:variant>
        <vt:i4>5</vt:i4>
      </vt:variant>
      <vt:variant>
        <vt:lpwstr>http://www.nevo.co.il/law/70301</vt:lpwstr>
      </vt:variant>
      <vt:variant>
        <vt:lpwstr/>
      </vt:variant>
      <vt:variant>
        <vt:i4>7077988</vt:i4>
      </vt:variant>
      <vt:variant>
        <vt:i4>27</vt:i4>
      </vt:variant>
      <vt:variant>
        <vt:i4>0</vt:i4>
      </vt:variant>
      <vt:variant>
        <vt:i4>5</vt:i4>
      </vt:variant>
      <vt:variant>
        <vt:lpwstr>http://www.nevo.co.il/law/70301/192</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8257637</vt:i4>
      </vt:variant>
      <vt:variant>
        <vt:i4>18</vt:i4>
      </vt:variant>
      <vt:variant>
        <vt:i4>0</vt:i4>
      </vt:variant>
      <vt:variant>
        <vt:i4>5</vt:i4>
      </vt:variant>
      <vt:variant>
        <vt:lpwstr>http://www.nevo.co.il/law/4216</vt:lpwstr>
      </vt:variant>
      <vt:variant>
        <vt:lpwstr/>
      </vt:variant>
      <vt:variant>
        <vt:i4>3932197</vt:i4>
      </vt:variant>
      <vt:variant>
        <vt:i4>15</vt:i4>
      </vt:variant>
      <vt:variant>
        <vt:i4>0</vt:i4>
      </vt:variant>
      <vt:variant>
        <vt:i4>5</vt:i4>
      </vt:variant>
      <vt:variant>
        <vt:lpwstr>http://www.nevo.co.il/law/70301/40ja.8</vt:lpwstr>
      </vt:variant>
      <vt:variant>
        <vt:lpwstr/>
      </vt:variant>
      <vt:variant>
        <vt:i4>7077988</vt:i4>
      </vt:variant>
      <vt:variant>
        <vt:i4>12</vt:i4>
      </vt:variant>
      <vt:variant>
        <vt:i4>0</vt:i4>
      </vt:variant>
      <vt:variant>
        <vt:i4>5</vt:i4>
      </vt:variant>
      <vt:variant>
        <vt:lpwstr>http://www.nevo.co.il/law/70301/192</vt:lpwstr>
      </vt:variant>
      <vt:variant>
        <vt:lpwstr/>
      </vt:variant>
      <vt:variant>
        <vt:i4>4390994</vt:i4>
      </vt:variant>
      <vt:variant>
        <vt:i4>9</vt:i4>
      </vt:variant>
      <vt:variant>
        <vt:i4>0</vt:i4>
      </vt:variant>
      <vt:variant>
        <vt:i4>5</vt:i4>
      </vt:variant>
      <vt:variant>
        <vt:lpwstr>http://www.nevo.co.il/law/70301/186.a</vt:lpwstr>
      </vt:variant>
      <vt:variant>
        <vt:lpwstr/>
      </vt:variant>
      <vt:variant>
        <vt:i4>6619198</vt:i4>
      </vt:variant>
      <vt:variant>
        <vt:i4>6</vt:i4>
      </vt:variant>
      <vt:variant>
        <vt:i4>0</vt:i4>
      </vt:variant>
      <vt:variant>
        <vt:i4>5</vt:i4>
      </vt:variant>
      <vt:variant>
        <vt:lpwstr>http://www.nevo.co.il/law/70301/40i.6.</vt:lpwstr>
      </vt:variant>
      <vt:variant>
        <vt:lpwstr/>
      </vt:variant>
      <vt:variant>
        <vt:i4>3866721</vt:i4>
      </vt:variant>
      <vt:variant>
        <vt:i4>3</vt:i4>
      </vt:variant>
      <vt:variant>
        <vt:i4>0</vt:i4>
      </vt:variant>
      <vt:variant>
        <vt:i4>5</vt:i4>
      </vt:variant>
      <vt:variant>
        <vt:lpwstr>http://www.nevo.co.il/law/70301/40.i.7</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2025-04-23T01:24:00Z</dcterms:created>
  <dcterms:modified xsi:type="dcterms:W3CDTF">2025-04-23T01:24:00Z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60760</vt:lpwstr>
  </property>
  <property fmtid="{D5CDD505-2E9C-101B-9397-08002B2CF9AE}" pid="6" name="NEWPARTB">
    <vt:lpwstr>03</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בר אמסלם</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20220410</vt:lpwstr>
  </property>
  <property fmtid="{D5CDD505-2E9C-101B-9397-08002B2CF9AE}" pid="13" name="TYPE_N_DATE">
    <vt:lpwstr>38020220410</vt:lpwstr>
  </property>
  <property fmtid="{D5CDD505-2E9C-101B-9397-08002B2CF9AE}" pid="14" name="WORDNUMPAGES">
    <vt:lpwstr>5</vt:lpwstr>
  </property>
  <property fmtid="{D5CDD505-2E9C-101B-9397-08002B2CF9AE}" pid="15" name="TYPE_ABS_DATE">
    <vt:lpwstr>380020220410</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26978020;26991436;18080495;17016454;13045219;25685399;19999565;22748594;27896138;22582471;23598796;21592697;26575874</vt:lpwstr>
  </property>
  <property fmtid="{D5CDD505-2E9C-101B-9397-08002B2CF9AE}" pid="36" name="LAWLISTTMP1">
    <vt:lpwstr>70301/192;186.a;040i.6;040.i.7;40ja.8</vt:lpwstr>
  </property>
  <property fmtid="{D5CDD505-2E9C-101B-9397-08002B2CF9AE}" pid="37" name="LAWLISTTMP2">
    <vt:lpwstr>4216/007.a;007.c</vt:lpwstr>
  </property>
</Properties>
</file>