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CB8AB" w14:textId="77777777" w:rsidR="003C0B95" w:rsidRPr="003C0B95" w:rsidRDefault="003C0B95" w:rsidP="003C0B95">
      <w:pPr>
        <w:pStyle w:val="a3"/>
        <w:rPr>
          <w:rtl/>
        </w:rPr>
      </w:pPr>
      <w:bookmarkStart w:id="0" w:name="LastJudge"/>
    </w:p>
    <w:tbl>
      <w:tblPr>
        <w:bidiVisual/>
        <w:tblW w:w="0" w:type="auto"/>
        <w:jc w:val="center"/>
        <w:tblLook w:val="0000" w:firstRow="0" w:lastRow="0" w:firstColumn="0" w:lastColumn="0" w:noHBand="0" w:noVBand="0"/>
      </w:tblPr>
      <w:tblGrid>
        <w:gridCol w:w="5054"/>
        <w:gridCol w:w="3667"/>
      </w:tblGrid>
      <w:tr w:rsidR="00205D7E" w:rsidRPr="003C0B95" w14:paraId="4DFC83AB" w14:textId="77777777" w:rsidTr="00892006">
        <w:trPr>
          <w:trHeight w:hRule="exact" w:val="284"/>
          <w:jc w:val="center"/>
        </w:trPr>
        <w:tc>
          <w:tcPr>
            <w:tcW w:w="8721" w:type="dxa"/>
            <w:gridSpan w:val="2"/>
          </w:tcPr>
          <w:p w14:paraId="0D854D8B" w14:textId="77777777" w:rsidR="00205D7E" w:rsidRPr="003C0B95" w:rsidRDefault="00205D7E" w:rsidP="009C0D6A">
            <w:pPr>
              <w:pStyle w:val="a3"/>
              <w:jc w:val="center"/>
              <w:rPr>
                <w:rFonts w:ascii="Tahoma" w:hAnsi="Tahoma" w:cs="Tahoma"/>
                <w:color w:val="000080"/>
                <w:rtl/>
              </w:rPr>
            </w:pPr>
            <w:r w:rsidRPr="003C0B95">
              <w:rPr>
                <w:rFonts w:ascii="Tahoma" w:hAnsi="Tahoma" w:cs="Tahoma"/>
                <w:b/>
                <w:bCs/>
                <w:color w:val="000080"/>
                <w:rtl/>
              </w:rPr>
              <w:t>בית משפט השלום באשקלון</w:t>
            </w:r>
          </w:p>
        </w:tc>
      </w:tr>
      <w:tr w:rsidR="00205D7E" w:rsidRPr="003C0B95" w14:paraId="10D48FD7" w14:textId="77777777" w:rsidTr="00892006">
        <w:trPr>
          <w:trHeight w:val="337"/>
          <w:jc w:val="center"/>
        </w:trPr>
        <w:tc>
          <w:tcPr>
            <w:tcW w:w="5054" w:type="dxa"/>
            <w:vAlign w:val="bottom"/>
          </w:tcPr>
          <w:p w14:paraId="6B541D79" w14:textId="77777777" w:rsidR="00205D7E" w:rsidRPr="003C0B95" w:rsidRDefault="00205D7E" w:rsidP="009C0D6A">
            <w:pPr>
              <w:rPr>
                <w:rFonts w:ascii="David" w:hAnsi="David"/>
                <w:b/>
                <w:bCs/>
                <w:sz w:val="28"/>
                <w:szCs w:val="28"/>
                <w:rtl/>
              </w:rPr>
            </w:pPr>
            <w:r w:rsidRPr="003C0B95">
              <w:rPr>
                <w:rFonts w:ascii="David" w:hAnsi="David"/>
                <w:b/>
                <w:bCs/>
                <w:sz w:val="28"/>
                <w:szCs w:val="28"/>
                <w:rtl/>
              </w:rPr>
              <w:t>ת"פ 893-03-22 מדינת ישראל נ' בנאיש</w:t>
            </w:r>
          </w:p>
        </w:tc>
        <w:tc>
          <w:tcPr>
            <w:tcW w:w="3667" w:type="dxa"/>
          </w:tcPr>
          <w:p w14:paraId="14FB8972" w14:textId="77777777" w:rsidR="00205D7E" w:rsidRPr="003C0B95" w:rsidRDefault="00205D7E" w:rsidP="009C0D6A">
            <w:pPr>
              <w:pStyle w:val="a3"/>
              <w:jc w:val="right"/>
              <w:rPr>
                <w:rFonts w:cs="FrankRuehl"/>
                <w:sz w:val="28"/>
                <w:szCs w:val="28"/>
                <w:rtl/>
              </w:rPr>
            </w:pPr>
          </w:p>
        </w:tc>
      </w:tr>
    </w:tbl>
    <w:p w14:paraId="459EF223" w14:textId="77777777" w:rsidR="00205D7E" w:rsidRPr="003C0B95" w:rsidRDefault="00205D7E" w:rsidP="00205D7E">
      <w:pPr>
        <w:pStyle w:val="a3"/>
        <w:rPr>
          <w:rtl/>
        </w:rPr>
      </w:pPr>
      <w:r w:rsidRPr="003C0B95">
        <w:rPr>
          <w:rFonts w:hint="cs"/>
          <w:rtl/>
        </w:rPr>
        <w:t xml:space="preserve"> </w:t>
      </w:r>
    </w:p>
    <w:p w14:paraId="7DBC0A0B" w14:textId="77777777" w:rsidR="00205D7E" w:rsidRPr="003C0B95" w:rsidRDefault="00205D7E" w:rsidP="00205D7E">
      <w:pPr>
        <w:widowControl w:val="0"/>
        <w:rPr>
          <w:sz w:val="26"/>
          <w:szCs w:val="26"/>
          <w:rtl/>
        </w:rPr>
      </w:pPr>
    </w:p>
    <w:p w14:paraId="31DA4654" w14:textId="77777777" w:rsidR="00205D7E" w:rsidRPr="003C0B95" w:rsidRDefault="00205D7E" w:rsidP="00205D7E">
      <w:pPr>
        <w:widowControl w:val="0"/>
        <w:rPr>
          <w:sz w:val="26"/>
          <w:szCs w:val="26"/>
          <w:rtl/>
        </w:rPr>
      </w:pPr>
    </w:p>
    <w:tbl>
      <w:tblPr>
        <w:bidiVisual/>
        <w:tblW w:w="8366" w:type="dxa"/>
        <w:tblInd w:w="302" w:type="dxa"/>
        <w:tblLook w:val="01E0" w:firstRow="1" w:lastRow="1" w:firstColumn="1" w:lastColumn="1" w:noHBand="0" w:noVBand="0"/>
      </w:tblPr>
      <w:tblGrid>
        <w:gridCol w:w="1566"/>
        <w:gridCol w:w="6800"/>
      </w:tblGrid>
      <w:tr w:rsidR="00205D7E" w:rsidRPr="003C0B95" w14:paraId="47FA7B4F" w14:textId="77777777" w:rsidTr="00205D7E">
        <w:tc>
          <w:tcPr>
            <w:tcW w:w="8366" w:type="dxa"/>
            <w:gridSpan w:val="2"/>
            <w:shd w:val="clear" w:color="auto" w:fill="auto"/>
          </w:tcPr>
          <w:p w14:paraId="1DC8C196" w14:textId="77777777" w:rsidR="00205D7E" w:rsidRPr="003C0B95" w:rsidRDefault="00205D7E" w:rsidP="00205D7E">
            <w:pPr>
              <w:widowControl w:val="0"/>
              <w:rPr>
                <w:rFonts w:ascii="David" w:hAnsi="David"/>
                <w:b/>
                <w:bCs/>
                <w:sz w:val="28"/>
                <w:szCs w:val="28"/>
              </w:rPr>
            </w:pPr>
            <w:r w:rsidRPr="003C0B95">
              <w:rPr>
                <w:rFonts w:ascii="David" w:hAnsi="David"/>
                <w:b/>
                <w:bCs/>
                <w:sz w:val="26"/>
                <w:szCs w:val="26"/>
                <w:rtl/>
              </w:rPr>
              <w:t>לפני כב' השופטת זהר דולב להמן</w:t>
            </w:r>
          </w:p>
          <w:p w14:paraId="39B74C64" w14:textId="77777777" w:rsidR="00205D7E" w:rsidRPr="003C0B95" w:rsidRDefault="00205D7E" w:rsidP="00205D7E">
            <w:pPr>
              <w:widowControl w:val="0"/>
              <w:ind w:left="26"/>
              <w:rPr>
                <w:rFonts w:cs="Times New Roman"/>
                <w:b/>
                <w:bCs/>
                <w:sz w:val="28"/>
                <w:szCs w:val="28"/>
              </w:rPr>
            </w:pPr>
          </w:p>
        </w:tc>
      </w:tr>
      <w:tr w:rsidR="00205D7E" w:rsidRPr="003C0B95" w14:paraId="334453B1" w14:textId="77777777" w:rsidTr="00205D7E">
        <w:tc>
          <w:tcPr>
            <w:tcW w:w="1566" w:type="dxa"/>
            <w:shd w:val="clear" w:color="auto" w:fill="auto"/>
          </w:tcPr>
          <w:p w14:paraId="6F595D83" w14:textId="77777777" w:rsidR="00205D7E" w:rsidRPr="003C0B95" w:rsidRDefault="00205D7E" w:rsidP="00205D7E">
            <w:pPr>
              <w:widowControl w:val="0"/>
              <w:rPr>
                <w:b/>
                <w:bCs/>
                <w:sz w:val="28"/>
                <w:szCs w:val="28"/>
              </w:rPr>
            </w:pPr>
            <w:bookmarkStart w:id="1" w:name="FirstAppellant"/>
            <w:bookmarkStart w:id="2" w:name="FirstLawyer"/>
            <w:r w:rsidRPr="003C0B95">
              <w:rPr>
                <w:b/>
                <w:bCs/>
                <w:sz w:val="28"/>
                <w:szCs w:val="28"/>
                <w:rtl/>
              </w:rPr>
              <w:t xml:space="preserve"> </w:t>
            </w:r>
            <w:r w:rsidRPr="003C0B95">
              <w:rPr>
                <w:b/>
                <w:bCs/>
                <w:sz w:val="26"/>
                <w:szCs w:val="26"/>
                <w:rtl/>
              </w:rPr>
              <w:t>המאשימה</w:t>
            </w:r>
          </w:p>
        </w:tc>
        <w:tc>
          <w:tcPr>
            <w:tcW w:w="6800" w:type="dxa"/>
            <w:shd w:val="clear" w:color="auto" w:fill="auto"/>
          </w:tcPr>
          <w:p w14:paraId="5265664C" w14:textId="77777777" w:rsidR="00205D7E" w:rsidRPr="003C0B95" w:rsidRDefault="00205D7E" w:rsidP="00205D7E">
            <w:pPr>
              <w:widowControl w:val="0"/>
              <w:rPr>
                <w:rFonts w:ascii="David" w:hAnsi="David"/>
                <w:sz w:val="28"/>
                <w:szCs w:val="28"/>
              </w:rPr>
            </w:pPr>
            <w:r w:rsidRPr="003C0B95">
              <w:rPr>
                <w:rFonts w:ascii="David" w:hAnsi="David"/>
                <w:b/>
                <w:bCs/>
                <w:sz w:val="28"/>
                <w:szCs w:val="28"/>
                <w:rtl/>
              </w:rPr>
              <w:t xml:space="preserve">  </w:t>
            </w:r>
            <w:r w:rsidRPr="003C0B95">
              <w:rPr>
                <w:rFonts w:ascii="David" w:hAnsi="David"/>
                <w:b/>
                <w:bCs/>
                <w:sz w:val="26"/>
                <w:szCs w:val="26"/>
                <w:rtl/>
              </w:rPr>
              <w:t xml:space="preserve">מדינת ישראל </w:t>
            </w:r>
          </w:p>
          <w:p w14:paraId="17124741" w14:textId="77777777" w:rsidR="00205D7E" w:rsidRPr="003C0B95" w:rsidRDefault="00205D7E" w:rsidP="00205D7E">
            <w:pPr>
              <w:widowControl w:val="0"/>
              <w:ind w:left="26"/>
              <w:rPr>
                <w:b/>
                <w:bCs/>
                <w:sz w:val="28"/>
                <w:szCs w:val="28"/>
                <w:rtl/>
              </w:rPr>
            </w:pPr>
            <w:r w:rsidRPr="003C0B95">
              <w:rPr>
                <w:rFonts w:ascii="David" w:hAnsi="David"/>
                <w:rtl/>
              </w:rPr>
              <w:t xml:space="preserve">  ע"י ב"כ עוה"ד רעות בונה–ז'ורנו ועו"ד שמעון אברג'יל</w:t>
            </w:r>
          </w:p>
        </w:tc>
      </w:tr>
      <w:bookmarkEnd w:id="1"/>
      <w:bookmarkEnd w:id="2"/>
      <w:tr w:rsidR="00205D7E" w:rsidRPr="003C0B95" w14:paraId="4D7F9FC9" w14:textId="77777777" w:rsidTr="00205D7E">
        <w:tc>
          <w:tcPr>
            <w:tcW w:w="8366" w:type="dxa"/>
            <w:gridSpan w:val="2"/>
            <w:shd w:val="clear" w:color="auto" w:fill="auto"/>
          </w:tcPr>
          <w:p w14:paraId="5F4B874A" w14:textId="77777777" w:rsidR="00205D7E" w:rsidRPr="003C0B95" w:rsidRDefault="00205D7E" w:rsidP="00205D7E">
            <w:pPr>
              <w:widowControl w:val="0"/>
              <w:jc w:val="center"/>
              <w:rPr>
                <w:rFonts w:ascii="Arial" w:hAnsi="Arial"/>
                <w:b/>
                <w:bCs/>
                <w:sz w:val="28"/>
                <w:szCs w:val="28"/>
                <w:rtl/>
              </w:rPr>
            </w:pPr>
          </w:p>
          <w:p w14:paraId="6F92017D" w14:textId="77777777" w:rsidR="00205D7E" w:rsidRPr="003C0B95" w:rsidRDefault="00205D7E" w:rsidP="00205D7E">
            <w:pPr>
              <w:widowControl w:val="0"/>
              <w:jc w:val="center"/>
              <w:rPr>
                <w:rFonts w:ascii="Arial" w:hAnsi="Arial"/>
                <w:b/>
                <w:bCs/>
                <w:sz w:val="28"/>
                <w:szCs w:val="28"/>
                <w:rtl/>
              </w:rPr>
            </w:pPr>
            <w:r w:rsidRPr="003C0B95">
              <w:rPr>
                <w:rFonts w:ascii="Arial" w:hAnsi="Arial"/>
                <w:b/>
                <w:bCs/>
                <w:sz w:val="28"/>
                <w:szCs w:val="28"/>
                <w:rtl/>
              </w:rPr>
              <w:t>נ ג ד</w:t>
            </w:r>
          </w:p>
          <w:p w14:paraId="4F500FEC" w14:textId="77777777" w:rsidR="00205D7E" w:rsidRPr="003C0B95" w:rsidRDefault="00205D7E" w:rsidP="00205D7E">
            <w:pPr>
              <w:widowControl w:val="0"/>
              <w:jc w:val="center"/>
              <w:rPr>
                <w:rFonts w:ascii="Arial" w:hAnsi="Arial"/>
                <w:b/>
                <w:bCs/>
                <w:sz w:val="28"/>
                <w:szCs w:val="28"/>
                <w:rtl/>
              </w:rPr>
            </w:pPr>
          </w:p>
        </w:tc>
      </w:tr>
      <w:tr w:rsidR="00205D7E" w:rsidRPr="003C0B95" w14:paraId="67353091" w14:textId="77777777" w:rsidTr="00205D7E">
        <w:trPr>
          <w:trHeight w:val="84"/>
        </w:trPr>
        <w:tc>
          <w:tcPr>
            <w:tcW w:w="1566" w:type="dxa"/>
            <w:shd w:val="clear" w:color="auto" w:fill="auto"/>
          </w:tcPr>
          <w:p w14:paraId="3421ADB3" w14:textId="77777777" w:rsidR="00205D7E" w:rsidRPr="003C0B95" w:rsidRDefault="00205D7E" w:rsidP="00205D7E">
            <w:pPr>
              <w:widowControl w:val="0"/>
              <w:rPr>
                <w:b/>
                <w:bCs/>
                <w:sz w:val="28"/>
                <w:szCs w:val="28"/>
                <w:rtl/>
              </w:rPr>
            </w:pPr>
            <w:r w:rsidRPr="003C0B95">
              <w:rPr>
                <w:b/>
                <w:bCs/>
                <w:sz w:val="28"/>
                <w:szCs w:val="28"/>
                <w:rtl/>
              </w:rPr>
              <w:t xml:space="preserve"> </w:t>
            </w:r>
            <w:r w:rsidRPr="003C0B95">
              <w:rPr>
                <w:b/>
                <w:bCs/>
                <w:sz w:val="26"/>
                <w:szCs w:val="26"/>
                <w:rtl/>
              </w:rPr>
              <w:t>הנאשם</w:t>
            </w:r>
          </w:p>
        </w:tc>
        <w:tc>
          <w:tcPr>
            <w:tcW w:w="6800" w:type="dxa"/>
            <w:shd w:val="clear" w:color="auto" w:fill="auto"/>
          </w:tcPr>
          <w:p w14:paraId="0B11710A" w14:textId="77777777" w:rsidR="00205D7E" w:rsidRPr="003C0B95" w:rsidRDefault="00205D7E" w:rsidP="00205D7E">
            <w:pPr>
              <w:widowControl w:val="0"/>
              <w:rPr>
                <w:rFonts w:cs="Times New Roman"/>
                <w:szCs w:val="26"/>
                <w:rtl/>
              </w:rPr>
            </w:pPr>
            <w:r w:rsidRPr="003C0B95">
              <w:rPr>
                <w:b/>
                <w:bCs/>
                <w:sz w:val="28"/>
                <w:szCs w:val="28"/>
                <w:rtl/>
              </w:rPr>
              <w:t xml:space="preserve">  </w:t>
            </w:r>
            <w:r w:rsidRPr="003C0B95">
              <w:rPr>
                <w:rFonts w:ascii="David" w:hAnsi="David"/>
                <w:b/>
                <w:bCs/>
                <w:sz w:val="26"/>
                <w:szCs w:val="26"/>
                <w:rtl/>
              </w:rPr>
              <w:t>רמי בנאיש</w:t>
            </w:r>
            <w:r w:rsidRPr="003C0B95">
              <w:rPr>
                <w:b/>
                <w:bCs/>
                <w:sz w:val="28"/>
                <w:szCs w:val="28"/>
                <w:rtl/>
              </w:rPr>
              <w:t xml:space="preserve"> </w:t>
            </w:r>
          </w:p>
          <w:p w14:paraId="372A4B46" w14:textId="77777777" w:rsidR="00205D7E" w:rsidRPr="003C0B95" w:rsidRDefault="00205D7E" w:rsidP="00205D7E">
            <w:pPr>
              <w:widowControl w:val="0"/>
              <w:rPr>
                <w:rtl/>
              </w:rPr>
            </w:pPr>
            <w:r w:rsidRPr="003C0B95">
              <w:rPr>
                <w:rtl/>
              </w:rPr>
              <w:t xml:space="preserve">   ע"י ב"כ עוה"ד רועי אטיאס</w:t>
            </w:r>
          </w:p>
          <w:p w14:paraId="6C969092" w14:textId="77777777" w:rsidR="00205D7E" w:rsidRPr="003C0B95" w:rsidRDefault="00205D7E" w:rsidP="00205D7E">
            <w:pPr>
              <w:widowControl w:val="0"/>
              <w:rPr>
                <w:b/>
                <w:bCs/>
                <w:sz w:val="28"/>
                <w:szCs w:val="28"/>
              </w:rPr>
            </w:pPr>
          </w:p>
        </w:tc>
      </w:tr>
    </w:tbl>
    <w:p w14:paraId="7E950A81" w14:textId="77777777" w:rsidR="00205D7E" w:rsidRPr="003C0B95" w:rsidRDefault="00205D7E" w:rsidP="00205D7E">
      <w:pPr>
        <w:widowControl w:val="0"/>
        <w:rPr>
          <w:sz w:val="26"/>
          <w:szCs w:val="26"/>
          <w:rtl/>
        </w:rPr>
      </w:pPr>
    </w:p>
    <w:p w14:paraId="36C10348" w14:textId="77777777" w:rsidR="003C0B95" w:rsidRPr="003C0B95" w:rsidRDefault="003C0B95" w:rsidP="003C0B95">
      <w:pPr>
        <w:widowControl w:val="0"/>
        <w:spacing w:before="120" w:after="120" w:line="240" w:lineRule="exact"/>
        <w:ind w:left="283" w:hanging="283"/>
        <w:jc w:val="both"/>
        <w:rPr>
          <w:rFonts w:ascii="FrankRuehl" w:hAnsi="FrankRuehl" w:cs="FrankRuehl"/>
          <w:rtl/>
        </w:rPr>
      </w:pPr>
    </w:p>
    <w:p w14:paraId="25A7A3EB" w14:textId="77777777" w:rsidR="003C0B95" w:rsidRPr="003C0B95" w:rsidRDefault="003C0B95" w:rsidP="003C0B95">
      <w:pPr>
        <w:widowControl w:val="0"/>
        <w:spacing w:line="360" w:lineRule="auto"/>
        <w:rPr>
          <w:rFonts w:ascii="David" w:hAnsi="David"/>
          <w:sz w:val="26"/>
          <w:szCs w:val="26"/>
          <w:rtl/>
        </w:rPr>
      </w:pPr>
    </w:p>
    <w:p w14:paraId="2B484224" w14:textId="77777777" w:rsidR="00892006" w:rsidRPr="00892006" w:rsidRDefault="00892006" w:rsidP="00892006">
      <w:pPr>
        <w:widowControl w:val="0"/>
        <w:spacing w:before="120" w:after="120" w:line="240" w:lineRule="exact"/>
        <w:ind w:left="283" w:hanging="283"/>
        <w:jc w:val="both"/>
        <w:rPr>
          <w:rFonts w:ascii="FrankRuehl" w:hAnsi="FrankRuehl" w:cs="FrankRuehl"/>
          <w:rtl/>
        </w:rPr>
      </w:pPr>
      <w:bookmarkStart w:id="3" w:name="LawTable"/>
      <w:bookmarkEnd w:id="3"/>
    </w:p>
    <w:p w14:paraId="0E1E3BC5" w14:textId="77777777" w:rsidR="00892006" w:rsidRPr="00892006" w:rsidRDefault="00892006" w:rsidP="00892006">
      <w:pPr>
        <w:widowControl w:val="0"/>
        <w:spacing w:before="120" w:after="120" w:line="240" w:lineRule="exact"/>
        <w:ind w:left="283" w:hanging="283"/>
        <w:jc w:val="both"/>
        <w:rPr>
          <w:rFonts w:ascii="FrankRuehl" w:hAnsi="FrankRuehl" w:cs="FrankRuehl"/>
          <w:rtl/>
        </w:rPr>
      </w:pPr>
      <w:r w:rsidRPr="00892006">
        <w:rPr>
          <w:rFonts w:ascii="FrankRuehl" w:hAnsi="FrankRuehl" w:cs="FrankRuehl"/>
          <w:rtl/>
        </w:rPr>
        <w:t xml:space="preserve">חקיקה שאוזכרה: </w:t>
      </w:r>
    </w:p>
    <w:p w14:paraId="38E79C21" w14:textId="77777777" w:rsidR="00892006" w:rsidRPr="00892006" w:rsidRDefault="00892006" w:rsidP="00892006">
      <w:pPr>
        <w:widowControl w:val="0"/>
        <w:spacing w:before="120" w:after="120" w:line="240" w:lineRule="exact"/>
        <w:ind w:left="283" w:hanging="283"/>
        <w:jc w:val="both"/>
        <w:rPr>
          <w:rFonts w:ascii="FrankRuehl" w:hAnsi="FrankRuehl" w:cs="FrankRuehl"/>
          <w:color w:val="0000FF"/>
          <w:rtl/>
        </w:rPr>
      </w:pPr>
      <w:hyperlink r:id="rId7" w:history="1">
        <w:r w:rsidRPr="00892006">
          <w:rPr>
            <w:rStyle w:val="Hyperlink"/>
            <w:rFonts w:ascii="FrankRuehl" w:hAnsi="FrankRuehl" w:cs="FrankRuehl"/>
            <w:u w:val="none"/>
            <w:rtl/>
          </w:rPr>
          <w:t>פקודת הסמים המסוכנים [נוסח חדש], תשל"ג-1973</w:t>
        </w:r>
      </w:hyperlink>
      <w:r w:rsidRPr="00892006">
        <w:rPr>
          <w:rFonts w:ascii="FrankRuehl" w:hAnsi="FrankRuehl" w:cs="FrankRuehl"/>
          <w:color w:val="0000FF"/>
          <w:rtl/>
        </w:rPr>
        <w:t xml:space="preserve">: סע'  </w:t>
      </w:r>
      <w:hyperlink r:id="rId8" w:history="1">
        <w:r w:rsidRPr="00892006">
          <w:rPr>
            <w:rStyle w:val="Hyperlink"/>
            <w:rFonts w:ascii="FrankRuehl" w:hAnsi="FrankRuehl" w:cs="FrankRuehl"/>
            <w:u w:val="none"/>
          </w:rPr>
          <w:t>13</w:t>
        </w:r>
      </w:hyperlink>
      <w:r w:rsidRPr="00892006">
        <w:rPr>
          <w:rFonts w:ascii="FrankRuehl" w:hAnsi="FrankRuehl" w:cs="FrankRuehl"/>
          <w:color w:val="0000FF"/>
          <w:rtl/>
        </w:rPr>
        <w:t xml:space="preserve">, </w:t>
      </w:r>
      <w:hyperlink r:id="rId9" w:history="1">
        <w:r w:rsidRPr="00892006">
          <w:rPr>
            <w:rStyle w:val="Hyperlink"/>
            <w:rFonts w:ascii="FrankRuehl" w:hAnsi="FrankRuehl" w:cs="FrankRuehl"/>
            <w:u w:val="none"/>
          </w:rPr>
          <w:t>19</w:t>
        </w:r>
        <w:r w:rsidRPr="00892006">
          <w:rPr>
            <w:rStyle w:val="Hyperlink"/>
            <w:rFonts w:ascii="FrankRuehl" w:hAnsi="FrankRuehl" w:cs="FrankRuehl"/>
            <w:u w:val="none"/>
            <w:rtl/>
          </w:rPr>
          <w:t>א</w:t>
        </w:r>
      </w:hyperlink>
      <w:r w:rsidRPr="00892006">
        <w:rPr>
          <w:rFonts w:ascii="FrankRuehl" w:hAnsi="FrankRuehl" w:cs="FrankRuehl"/>
          <w:color w:val="0000FF"/>
          <w:rtl/>
        </w:rPr>
        <w:t xml:space="preserve">, </w:t>
      </w:r>
      <w:hyperlink r:id="rId10" w:history="1">
        <w:r w:rsidRPr="00892006">
          <w:rPr>
            <w:rStyle w:val="Hyperlink"/>
            <w:rFonts w:ascii="FrankRuehl" w:hAnsi="FrankRuehl" w:cs="FrankRuehl"/>
            <w:u w:val="none"/>
          </w:rPr>
          <w:t>32</w:t>
        </w:r>
      </w:hyperlink>
      <w:r w:rsidRPr="00892006">
        <w:rPr>
          <w:rFonts w:ascii="FrankRuehl" w:hAnsi="FrankRuehl" w:cs="FrankRuehl"/>
          <w:color w:val="0000FF"/>
          <w:rtl/>
        </w:rPr>
        <w:t xml:space="preserve">, </w:t>
      </w:r>
      <w:hyperlink r:id="rId11" w:history="1">
        <w:r w:rsidRPr="00892006">
          <w:rPr>
            <w:rStyle w:val="Hyperlink"/>
            <w:rFonts w:ascii="FrankRuehl" w:hAnsi="FrankRuehl" w:cs="FrankRuehl"/>
            <w:u w:val="none"/>
          </w:rPr>
          <w:t>37</w:t>
        </w:r>
        <w:r w:rsidRPr="00892006">
          <w:rPr>
            <w:rStyle w:val="Hyperlink"/>
            <w:rFonts w:ascii="FrankRuehl" w:hAnsi="FrankRuehl" w:cs="FrankRuehl"/>
            <w:u w:val="none"/>
            <w:rtl/>
          </w:rPr>
          <w:t>א</w:t>
        </w:r>
      </w:hyperlink>
    </w:p>
    <w:p w14:paraId="285D743C" w14:textId="77777777" w:rsidR="00892006" w:rsidRPr="00892006" w:rsidRDefault="00892006" w:rsidP="00892006">
      <w:pPr>
        <w:widowControl w:val="0"/>
        <w:spacing w:before="120" w:after="120" w:line="240" w:lineRule="exact"/>
        <w:ind w:left="283" w:hanging="283"/>
        <w:jc w:val="both"/>
        <w:rPr>
          <w:rFonts w:ascii="FrankRuehl" w:hAnsi="FrankRuehl" w:cs="FrankRuehl"/>
          <w:color w:val="0000FF"/>
          <w:rtl/>
        </w:rPr>
      </w:pPr>
      <w:hyperlink r:id="rId12" w:history="1">
        <w:r w:rsidRPr="00892006">
          <w:rPr>
            <w:rStyle w:val="Hyperlink"/>
            <w:rFonts w:ascii="FrankRuehl" w:hAnsi="FrankRuehl" w:cs="FrankRuehl"/>
            <w:u w:val="none"/>
            <w:rtl/>
          </w:rPr>
          <w:t>חוק העונשין, תשל"ז-1977</w:t>
        </w:r>
      </w:hyperlink>
      <w:r w:rsidRPr="00892006">
        <w:rPr>
          <w:rFonts w:ascii="FrankRuehl" w:hAnsi="FrankRuehl" w:cs="FrankRuehl"/>
          <w:color w:val="0000FF"/>
          <w:rtl/>
        </w:rPr>
        <w:t xml:space="preserve">: סע'  </w:t>
      </w:r>
      <w:hyperlink r:id="rId13" w:history="1">
        <w:r w:rsidRPr="00892006">
          <w:rPr>
            <w:rStyle w:val="Hyperlink"/>
            <w:rFonts w:ascii="FrankRuehl" w:hAnsi="FrankRuehl" w:cs="FrankRuehl"/>
            <w:u w:val="none"/>
          </w:rPr>
          <w:t>31</w:t>
        </w:r>
      </w:hyperlink>
      <w:r w:rsidRPr="00892006">
        <w:rPr>
          <w:rFonts w:ascii="FrankRuehl" w:hAnsi="FrankRuehl" w:cs="FrankRuehl"/>
          <w:color w:val="0000FF"/>
          <w:rtl/>
        </w:rPr>
        <w:t xml:space="preserve">, </w:t>
      </w:r>
      <w:hyperlink r:id="rId14" w:history="1">
        <w:r w:rsidRPr="00892006">
          <w:rPr>
            <w:rStyle w:val="Hyperlink"/>
            <w:rFonts w:ascii="FrankRuehl" w:hAnsi="FrankRuehl" w:cs="FrankRuehl"/>
            <w:u w:val="none"/>
          </w:rPr>
          <w:t>32</w:t>
        </w:r>
      </w:hyperlink>
      <w:r w:rsidRPr="00892006">
        <w:rPr>
          <w:rFonts w:ascii="FrankRuehl" w:hAnsi="FrankRuehl" w:cs="FrankRuehl"/>
          <w:color w:val="0000FF"/>
          <w:rtl/>
        </w:rPr>
        <w:t xml:space="preserve">, </w:t>
      </w:r>
      <w:hyperlink r:id="rId15" w:history="1">
        <w:r w:rsidRPr="00892006">
          <w:rPr>
            <w:rStyle w:val="Hyperlink"/>
            <w:rFonts w:ascii="FrankRuehl" w:hAnsi="FrankRuehl" w:cs="FrankRuehl"/>
            <w:u w:val="none"/>
          </w:rPr>
          <w:t>40</w:t>
        </w:r>
        <w:r w:rsidRPr="00892006">
          <w:rPr>
            <w:rStyle w:val="Hyperlink"/>
            <w:rFonts w:ascii="FrankRuehl" w:hAnsi="FrankRuehl" w:cs="FrankRuehl"/>
            <w:u w:val="none"/>
            <w:rtl/>
          </w:rPr>
          <w:t>ג</w:t>
        </w:r>
      </w:hyperlink>
      <w:r w:rsidRPr="00892006">
        <w:rPr>
          <w:rFonts w:ascii="FrankRuehl" w:hAnsi="FrankRuehl" w:cs="FrankRuehl"/>
          <w:color w:val="0000FF"/>
          <w:rtl/>
        </w:rPr>
        <w:t xml:space="preserve">(א), </w:t>
      </w:r>
      <w:hyperlink r:id="rId16" w:history="1">
        <w:r w:rsidRPr="00892006">
          <w:rPr>
            <w:rStyle w:val="Hyperlink"/>
            <w:rFonts w:ascii="FrankRuehl" w:hAnsi="FrankRuehl" w:cs="FrankRuehl"/>
            <w:u w:val="none"/>
          </w:rPr>
          <w:t>40</w:t>
        </w:r>
        <w:r w:rsidRPr="00892006">
          <w:rPr>
            <w:rStyle w:val="Hyperlink"/>
            <w:rFonts w:ascii="FrankRuehl" w:hAnsi="FrankRuehl" w:cs="FrankRuehl"/>
            <w:u w:val="none"/>
            <w:rtl/>
          </w:rPr>
          <w:t>ד</w:t>
        </w:r>
      </w:hyperlink>
      <w:r w:rsidRPr="00892006">
        <w:rPr>
          <w:rFonts w:ascii="FrankRuehl" w:hAnsi="FrankRuehl" w:cs="FrankRuehl"/>
          <w:color w:val="0000FF"/>
          <w:rtl/>
        </w:rPr>
        <w:t xml:space="preserve">, </w:t>
      </w:r>
      <w:hyperlink r:id="rId17" w:history="1">
        <w:r w:rsidRPr="00892006">
          <w:rPr>
            <w:rStyle w:val="Hyperlink"/>
            <w:rFonts w:ascii="FrankRuehl" w:hAnsi="FrankRuehl" w:cs="FrankRuehl"/>
            <w:u w:val="none"/>
          </w:rPr>
          <w:t>40</w:t>
        </w:r>
        <w:r w:rsidRPr="00892006">
          <w:rPr>
            <w:rStyle w:val="Hyperlink"/>
            <w:rFonts w:ascii="FrankRuehl" w:hAnsi="FrankRuehl" w:cs="FrankRuehl"/>
            <w:u w:val="none"/>
            <w:rtl/>
          </w:rPr>
          <w:t>ו</w:t>
        </w:r>
      </w:hyperlink>
      <w:r w:rsidRPr="00892006">
        <w:rPr>
          <w:rFonts w:ascii="FrankRuehl" w:hAnsi="FrankRuehl" w:cs="FrankRuehl"/>
          <w:color w:val="0000FF"/>
          <w:rtl/>
        </w:rPr>
        <w:t xml:space="preserve">, </w:t>
      </w:r>
      <w:hyperlink r:id="rId18" w:history="1">
        <w:r w:rsidRPr="00892006">
          <w:rPr>
            <w:rStyle w:val="Hyperlink"/>
            <w:rFonts w:ascii="FrankRuehl" w:hAnsi="FrankRuehl" w:cs="FrankRuehl"/>
            <w:u w:val="none"/>
          </w:rPr>
          <w:t>40</w:t>
        </w:r>
        <w:r w:rsidRPr="00892006">
          <w:rPr>
            <w:rStyle w:val="Hyperlink"/>
            <w:rFonts w:ascii="FrankRuehl" w:hAnsi="FrankRuehl" w:cs="FrankRuehl"/>
            <w:u w:val="none"/>
            <w:rtl/>
          </w:rPr>
          <w:t>ז</w:t>
        </w:r>
      </w:hyperlink>
      <w:r w:rsidRPr="00892006">
        <w:rPr>
          <w:rFonts w:ascii="FrankRuehl" w:hAnsi="FrankRuehl" w:cs="FrankRuehl"/>
          <w:color w:val="0000FF"/>
          <w:rtl/>
        </w:rPr>
        <w:t xml:space="preserve">, </w:t>
      </w:r>
      <w:hyperlink r:id="rId19" w:history="1">
        <w:r w:rsidRPr="00892006">
          <w:rPr>
            <w:rStyle w:val="Hyperlink"/>
            <w:rFonts w:ascii="FrankRuehl" w:hAnsi="FrankRuehl" w:cs="FrankRuehl"/>
            <w:u w:val="none"/>
          </w:rPr>
          <w:t>40</w:t>
        </w:r>
        <w:r w:rsidRPr="00892006">
          <w:rPr>
            <w:rStyle w:val="Hyperlink"/>
            <w:rFonts w:ascii="FrankRuehl" w:hAnsi="FrankRuehl" w:cs="FrankRuehl"/>
            <w:u w:val="none"/>
            <w:rtl/>
          </w:rPr>
          <w:t>ח</w:t>
        </w:r>
        <w:r w:rsidRPr="00892006">
          <w:rPr>
            <w:rStyle w:val="Hyperlink"/>
            <w:rFonts w:ascii="FrankRuehl" w:hAnsi="FrankRuehl" w:cs="FrankRuehl"/>
            <w:u w:val="none"/>
          </w:rPr>
          <w:t>'</w:t>
        </w:r>
      </w:hyperlink>
      <w:r w:rsidRPr="00892006">
        <w:rPr>
          <w:rFonts w:ascii="FrankRuehl" w:hAnsi="FrankRuehl" w:cs="FrankRuehl"/>
          <w:color w:val="0000FF"/>
          <w:rtl/>
        </w:rPr>
        <w:t xml:space="preserve">, </w:t>
      </w:r>
      <w:hyperlink r:id="rId20" w:history="1">
        <w:r w:rsidRPr="00892006">
          <w:rPr>
            <w:rStyle w:val="Hyperlink"/>
            <w:rFonts w:ascii="FrankRuehl" w:hAnsi="FrankRuehl" w:cs="FrankRuehl"/>
            <w:u w:val="none"/>
          </w:rPr>
          <w:t>56</w:t>
        </w:r>
      </w:hyperlink>
      <w:r w:rsidRPr="00892006">
        <w:rPr>
          <w:rFonts w:ascii="FrankRuehl" w:hAnsi="FrankRuehl" w:cs="FrankRuehl"/>
          <w:color w:val="0000FF"/>
          <w:rtl/>
        </w:rPr>
        <w:t xml:space="preserve">(א), </w:t>
      </w:r>
      <w:hyperlink r:id="rId21" w:history="1">
        <w:r w:rsidRPr="00892006">
          <w:rPr>
            <w:rStyle w:val="Hyperlink"/>
            <w:rFonts w:ascii="FrankRuehl" w:hAnsi="FrankRuehl" w:cs="FrankRuehl"/>
            <w:u w:val="none"/>
          </w:rPr>
          <w:t>40</w:t>
        </w:r>
        <w:r w:rsidRPr="00892006">
          <w:rPr>
            <w:rStyle w:val="Hyperlink"/>
            <w:rFonts w:ascii="FrankRuehl" w:hAnsi="FrankRuehl" w:cs="FrankRuehl"/>
            <w:u w:val="none"/>
            <w:rtl/>
          </w:rPr>
          <w:t>יא</w:t>
        </w:r>
      </w:hyperlink>
      <w:r w:rsidRPr="00892006">
        <w:rPr>
          <w:rFonts w:ascii="FrankRuehl" w:hAnsi="FrankRuehl" w:cs="FrankRuehl"/>
          <w:color w:val="0000FF"/>
          <w:rtl/>
        </w:rPr>
        <w:t xml:space="preserve">, </w:t>
      </w:r>
      <w:hyperlink r:id="rId22" w:history="1">
        <w:r w:rsidRPr="00892006">
          <w:rPr>
            <w:rStyle w:val="Hyperlink"/>
            <w:rFonts w:ascii="FrankRuehl" w:hAnsi="FrankRuehl" w:cs="FrankRuehl"/>
            <w:u w:val="none"/>
          </w:rPr>
          <w:t>40</w:t>
        </w:r>
        <w:r w:rsidRPr="00892006">
          <w:rPr>
            <w:rStyle w:val="Hyperlink"/>
            <w:rFonts w:ascii="FrankRuehl" w:hAnsi="FrankRuehl" w:cs="FrankRuehl"/>
            <w:u w:val="none"/>
            <w:rtl/>
          </w:rPr>
          <w:t>יט</w:t>
        </w:r>
      </w:hyperlink>
    </w:p>
    <w:p w14:paraId="2440D7E6" w14:textId="77777777" w:rsidR="00205D7E" w:rsidRPr="00892006" w:rsidRDefault="00205D7E" w:rsidP="00892006">
      <w:pPr>
        <w:widowControl w:val="0"/>
        <w:spacing w:line="360" w:lineRule="auto"/>
        <w:rPr>
          <w:rFonts w:ascii="David" w:hAnsi="David"/>
          <w:sz w:val="26"/>
          <w:szCs w:val="26"/>
          <w:rtl/>
        </w:rPr>
      </w:pPr>
      <w:bookmarkStart w:id="4" w:name="LawTable_End"/>
      <w:bookmarkEnd w:id="4"/>
    </w:p>
    <w:tbl>
      <w:tblPr>
        <w:bidiVisual/>
        <w:tblW w:w="8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5"/>
      </w:tblGrid>
      <w:tr w:rsidR="00205D7E" w14:paraId="36310D11" w14:textId="77777777" w:rsidTr="00205D7E">
        <w:trPr>
          <w:trHeight w:val="624"/>
          <w:jc w:val="center"/>
        </w:trPr>
        <w:tc>
          <w:tcPr>
            <w:tcW w:w="8225" w:type="dxa"/>
            <w:tcBorders>
              <w:top w:val="nil"/>
              <w:left w:val="nil"/>
              <w:bottom w:val="nil"/>
              <w:right w:val="nil"/>
            </w:tcBorders>
            <w:shd w:val="clear" w:color="auto" w:fill="auto"/>
          </w:tcPr>
          <w:p w14:paraId="66A74B93" w14:textId="77777777" w:rsidR="003C0B95" w:rsidRPr="003C0B95" w:rsidRDefault="003C0B95" w:rsidP="003C0B95">
            <w:pPr>
              <w:widowControl w:val="0"/>
              <w:jc w:val="center"/>
              <w:rPr>
                <w:rFonts w:ascii="David" w:hAnsi="David"/>
                <w:b/>
                <w:bCs/>
                <w:sz w:val="32"/>
                <w:szCs w:val="32"/>
                <w:u w:val="single"/>
                <w:rtl/>
              </w:rPr>
            </w:pPr>
            <w:bookmarkStart w:id="5" w:name="PsakDin" w:colFirst="0" w:colLast="0"/>
            <w:bookmarkEnd w:id="0"/>
            <w:r w:rsidRPr="003C0B95">
              <w:rPr>
                <w:rFonts w:ascii="David" w:hAnsi="David"/>
                <w:b/>
                <w:bCs/>
                <w:sz w:val="32"/>
                <w:szCs w:val="32"/>
                <w:u w:val="single"/>
                <w:rtl/>
              </w:rPr>
              <w:t>גזר דין</w:t>
            </w:r>
          </w:p>
          <w:p w14:paraId="3B0B2902" w14:textId="77777777" w:rsidR="00205D7E" w:rsidRPr="003C0B95" w:rsidRDefault="00205D7E" w:rsidP="003C0B95">
            <w:pPr>
              <w:widowControl w:val="0"/>
              <w:jc w:val="center"/>
              <w:rPr>
                <w:rFonts w:ascii="David" w:hAnsi="David"/>
                <w:bCs/>
                <w:sz w:val="32"/>
                <w:szCs w:val="32"/>
                <w:u w:val="single"/>
              </w:rPr>
            </w:pPr>
          </w:p>
        </w:tc>
      </w:tr>
    </w:tbl>
    <w:bookmarkEnd w:id="5"/>
    <w:p w14:paraId="12CF08C4" w14:textId="77777777" w:rsidR="00205D7E" w:rsidRDefault="00205D7E" w:rsidP="00205D7E">
      <w:pPr>
        <w:widowControl w:val="0"/>
        <w:spacing w:line="360" w:lineRule="auto"/>
        <w:rPr>
          <w:rFonts w:ascii="David" w:hAnsi="David"/>
          <w:b/>
          <w:bCs/>
          <w:sz w:val="26"/>
          <w:szCs w:val="26"/>
        </w:rPr>
      </w:pPr>
      <w:r>
        <w:rPr>
          <w:rFonts w:ascii="David" w:hAnsi="David"/>
          <w:b/>
          <w:bCs/>
          <w:sz w:val="26"/>
          <w:szCs w:val="26"/>
          <w:rtl/>
        </w:rPr>
        <w:t>כתב האישום, הכרעת הדין והשתלשלות העניינים בתיק</w:t>
      </w:r>
    </w:p>
    <w:p w14:paraId="2B8FF489" w14:textId="77777777" w:rsidR="00205D7E" w:rsidRDefault="00205D7E" w:rsidP="00205D7E">
      <w:pPr>
        <w:pStyle w:val="a9"/>
        <w:widowControl w:val="0"/>
        <w:numPr>
          <w:ilvl w:val="0"/>
          <w:numId w:val="1"/>
        </w:numPr>
        <w:snapToGrid w:val="0"/>
        <w:spacing w:line="360" w:lineRule="auto"/>
        <w:ind w:left="397" w:hanging="397"/>
        <w:jc w:val="both"/>
        <w:rPr>
          <w:rFonts w:ascii="David" w:hAnsi="David" w:cs="David"/>
        </w:rPr>
      </w:pPr>
      <w:bookmarkStart w:id="6" w:name="ABSTRACT_START"/>
      <w:bookmarkEnd w:id="6"/>
      <w:r>
        <w:rPr>
          <w:rFonts w:ascii="David" w:hAnsi="David" w:cs="David"/>
          <w:rtl/>
        </w:rPr>
        <w:t xml:space="preserve">הנאשם הורשע על-פי הודאתו בעובדות כתב אישום מתוקן (להלן: </w:t>
      </w:r>
      <w:r>
        <w:rPr>
          <w:rFonts w:ascii="David" w:hAnsi="David" w:cs="David"/>
          <w:b/>
          <w:bCs/>
          <w:rtl/>
        </w:rPr>
        <w:t>כתב האישום</w:t>
      </w:r>
      <w:r>
        <w:rPr>
          <w:rFonts w:ascii="David" w:hAnsi="David" w:cs="David"/>
          <w:rtl/>
        </w:rPr>
        <w:t>), ב-</w:t>
      </w:r>
      <w:r>
        <w:rPr>
          <w:rFonts w:ascii="David" w:hAnsi="David" w:cs="David"/>
          <w:b/>
          <w:bCs/>
          <w:rtl/>
        </w:rPr>
        <w:t>סחר ב-7 גרם קוקאין</w:t>
      </w:r>
      <w:r>
        <w:rPr>
          <w:rFonts w:ascii="David" w:hAnsi="David" w:cs="David"/>
          <w:rtl/>
        </w:rPr>
        <w:t xml:space="preserve">, בהתאם </w:t>
      </w:r>
      <w:hyperlink r:id="rId23" w:history="1">
        <w:r w:rsidR="00892006" w:rsidRPr="00892006">
          <w:rPr>
            <w:rStyle w:val="Hyperlink"/>
            <w:rFonts w:ascii="David" w:hAnsi="David" w:cs="David"/>
            <w:color w:val="0000FF"/>
            <w:rtl/>
          </w:rPr>
          <w:t>לסעיפים 13</w:t>
        </w:r>
      </w:hyperlink>
      <w:r>
        <w:rPr>
          <w:rFonts w:ascii="David" w:hAnsi="David" w:cs="David"/>
          <w:rtl/>
        </w:rPr>
        <w:t xml:space="preserve"> ו-</w:t>
      </w:r>
      <w:hyperlink r:id="rId24" w:history="1">
        <w:r w:rsidR="00892006" w:rsidRPr="00892006">
          <w:rPr>
            <w:rStyle w:val="Hyperlink"/>
            <w:rFonts w:ascii="David" w:hAnsi="David" w:cs="David"/>
            <w:color w:val="0000FF"/>
            <w:rtl/>
          </w:rPr>
          <w:t>19א</w:t>
        </w:r>
      </w:hyperlink>
      <w:r>
        <w:rPr>
          <w:rFonts w:ascii="David" w:hAnsi="David" w:cs="David"/>
          <w:rtl/>
        </w:rPr>
        <w:t xml:space="preserve"> ל-</w:t>
      </w:r>
      <w:hyperlink r:id="rId25" w:history="1">
        <w:r w:rsidR="003C0B95" w:rsidRPr="003C0B95">
          <w:rPr>
            <w:rFonts w:ascii="Miriam" w:hAnsi="Miriam" w:cs="Miriam"/>
            <w:b/>
            <w:bCs/>
            <w:color w:val="0000FF"/>
            <w:sz w:val="22"/>
            <w:szCs w:val="22"/>
            <w:u w:val="single"/>
            <w:rtl/>
          </w:rPr>
          <w:t>פקודת הסמים המסוכנים</w:t>
        </w:r>
      </w:hyperlink>
      <w:r>
        <w:rPr>
          <w:rFonts w:ascii="Miriam" w:hAnsi="Miriam" w:cs="Miriam"/>
          <w:b/>
          <w:bCs/>
          <w:sz w:val="22"/>
          <w:szCs w:val="22"/>
          <w:rtl/>
        </w:rPr>
        <w:t xml:space="preserve"> [נוסח חדש]</w:t>
      </w:r>
      <w:r>
        <w:rPr>
          <w:rFonts w:ascii="David" w:hAnsi="David" w:cs="David"/>
          <w:rtl/>
        </w:rPr>
        <w:t xml:space="preserve">, התשל"ג-1973 (להלן: </w:t>
      </w:r>
      <w:r>
        <w:rPr>
          <w:rFonts w:ascii="Miriam" w:hAnsi="Miriam" w:cs="Miriam"/>
          <w:b/>
          <w:bCs/>
          <w:sz w:val="22"/>
          <w:szCs w:val="22"/>
          <w:rtl/>
        </w:rPr>
        <w:t>פקודת הסמים</w:t>
      </w:r>
      <w:r>
        <w:rPr>
          <w:rFonts w:ascii="David" w:hAnsi="David" w:cs="David"/>
          <w:rtl/>
        </w:rPr>
        <w:t>) ו-</w:t>
      </w:r>
      <w:r>
        <w:rPr>
          <w:rFonts w:ascii="David" w:hAnsi="David" w:cs="David"/>
          <w:b/>
          <w:bCs/>
          <w:rtl/>
        </w:rPr>
        <w:t>סיוע לסחר ב-10 גרם קוקאין</w:t>
      </w:r>
      <w:r>
        <w:rPr>
          <w:rFonts w:ascii="David" w:hAnsi="David" w:cs="David"/>
          <w:rtl/>
        </w:rPr>
        <w:t xml:space="preserve">, בהתאם לסעיפים </w:t>
      </w:r>
      <w:hyperlink r:id="rId26" w:history="1">
        <w:r w:rsidR="00892006" w:rsidRPr="00892006">
          <w:rPr>
            <w:rStyle w:val="Hyperlink"/>
            <w:rFonts w:ascii="David" w:hAnsi="David" w:cs="David"/>
            <w:color w:val="0000FF"/>
            <w:rtl/>
          </w:rPr>
          <w:t>13 ו-19א</w:t>
        </w:r>
      </w:hyperlink>
      <w:r>
        <w:rPr>
          <w:rFonts w:ascii="David" w:hAnsi="David" w:cs="David"/>
          <w:rtl/>
        </w:rPr>
        <w:t xml:space="preserve"> ל-</w:t>
      </w:r>
      <w:r>
        <w:rPr>
          <w:rFonts w:ascii="Miriam" w:hAnsi="Miriam" w:cs="Miriam"/>
          <w:b/>
          <w:bCs/>
          <w:sz w:val="22"/>
          <w:szCs w:val="22"/>
          <w:rtl/>
        </w:rPr>
        <w:t xml:space="preserve">פקודת הסמים </w:t>
      </w:r>
      <w:hyperlink r:id="rId27" w:history="1">
        <w:r w:rsidR="00892006" w:rsidRPr="00892006">
          <w:rPr>
            <w:rStyle w:val="Hyperlink"/>
            <w:rFonts w:ascii="David" w:hAnsi="David" w:cs="David"/>
            <w:color w:val="0000FF"/>
            <w:rtl/>
          </w:rPr>
          <w:t>וסעיף 31</w:t>
        </w:r>
      </w:hyperlink>
      <w:r>
        <w:rPr>
          <w:rFonts w:ascii="David" w:hAnsi="David" w:cs="David"/>
          <w:rtl/>
        </w:rPr>
        <w:t xml:space="preserve"> ל-</w:t>
      </w:r>
      <w:hyperlink r:id="rId28" w:history="1">
        <w:r w:rsidR="003C0B95" w:rsidRPr="003C0B95">
          <w:rPr>
            <w:rFonts w:ascii="Miriam" w:hAnsi="Miriam" w:cs="Miriam"/>
            <w:b/>
            <w:bCs/>
            <w:color w:val="0000FF"/>
            <w:sz w:val="22"/>
            <w:szCs w:val="22"/>
            <w:u w:val="single"/>
            <w:rtl/>
          </w:rPr>
          <w:t>חוק העונשין</w:t>
        </w:r>
      </w:hyperlink>
      <w:r>
        <w:rPr>
          <w:rFonts w:ascii="David" w:hAnsi="David" w:cs="David"/>
          <w:rtl/>
        </w:rPr>
        <w:t xml:space="preserve">, התשל"ז-1977 (להלן: </w:t>
      </w:r>
      <w:r>
        <w:rPr>
          <w:rFonts w:ascii="Miriam" w:hAnsi="Miriam" w:cs="Miriam"/>
          <w:b/>
          <w:bCs/>
          <w:sz w:val="22"/>
          <w:szCs w:val="22"/>
          <w:rtl/>
        </w:rPr>
        <w:t>חוק העונשין</w:t>
      </w:r>
      <w:r>
        <w:rPr>
          <w:rFonts w:ascii="David" w:hAnsi="David" w:cs="David"/>
          <w:rtl/>
        </w:rPr>
        <w:t>).</w:t>
      </w:r>
      <w:bookmarkStart w:id="7" w:name="ABSTRACT_END"/>
      <w:bookmarkEnd w:id="7"/>
    </w:p>
    <w:p w14:paraId="4CA5017D" w14:textId="77777777" w:rsidR="00205D7E" w:rsidRDefault="00205D7E" w:rsidP="00205D7E">
      <w:pPr>
        <w:pStyle w:val="a9"/>
        <w:widowControl w:val="0"/>
        <w:snapToGrid w:val="0"/>
        <w:spacing w:line="360" w:lineRule="auto"/>
        <w:ind w:left="397"/>
        <w:jc w:val="both"/>
        <w:rPr>
          <w:rFonts w:ascii="David" w:hAnsi="David" w:cs="David"/>
          <w:rtl/>
        </w:rPr>
      </w:pPr>
      <w:r>
        <w:rPr>
          <w:rFonts w:ascii="David" w:hAnsi="David" w:cs="David"/>
          <w:rtl/>
        </w:rPr>
        <w:t xml:space="preserve">לפי עובדות האישום הראשון בכתב האישום, ב-28.6.21, לאחר שהנאשם וסוכן משטרתי סמוי (שהופעל בחודשים מרץ 2021 עד פברואר 2022 במסגרת פעילות למיגור תופעת הסחר בסמים – להלן: </w:t>
      </w:r>
      <w:r>
        <w:rPr>
          <w:rFonts w:ascii="David" w:hAnsi="David" w:cs="David"/>
          <w:b/>
          <w:bCs/>
          <w:rtl/>
        </w:rPr>
        <w:t>הסוכן</w:t>
      </w:r>
      <w:r>
        <w:rPr>
          <w:rFonts w:ascii="David" w:hAnsi="David" w:cs="David"/>
          <w:rtl/>
        </w:rPr>
        <w:t xml:space="preserve">) שוחחו ביניהם, הגיעו השניים סמוך לדירה של משה וועקנין (להלן: </w:t>
      </w:r>
      <w:r>
        <w:rPr>
          <w:rFonts w:ascii="David" w:hAnsi="David" w:cs="David"/>
          <w:b/>
          <w:bCs/>
          <w:rtl/>
        </w:rPr>
        <w:t>וועקנין</w:t>
      </w:r>
      <w:r>
        <w:rPr>
          <w:rFonts w:ascii="David" w:hAnsi="David" w:cs="David"/>
          <w:rtl/>
        </w:rPr>
        <w:t xml:space="preserve">), מכר של השניים, שגר ברחוב צדקת יוסף 2/66 באשדוד (להלן: </w:t>
      </w:r>
      <w:r>
        <w:rPr>
          <w:rFonts w:ascii="David" w:hAnsi="David" w:cs="David"/>
          <w:b/>
          <w:bCs/>
          <w:rtl/>
        </w:rPr>
        <w:t>הדירה</w:t>
      </w:r>
      <w:r>
        <w:rPr>
          <w:rFonts w:ascii="David" w:hAnsi="David" w:cs="David"/>
          <w:rtl/>
        </w:rPr>
        <w:t>). לאחר שנפגשו, עלו השניים לדירה, בה הוציא הנאשם 7 גרם קוקאין ב-2 גושים, אותם עטף וועקנין בניילון נצמד ומסר לסוכן, אשר שילם תמורתם 3,000 ₪. לפי עובדות האישום השני בכתב האישום, ב-12.7.21, לאחר שהנאשם והסוכן שוחחו, נפגשו השניים בדירה, שם שקל הנאשם גוש של 10 גרם קוקאין אותו בישל, וועקנין עטף אותו בניילון נצמד ומסר אותו לסוכן, תמורת 7,000 ₪.</w:t>
      </w:r>
    </w:p>
    <w:p w14:paraId="7136EA74" w14:textId="77777777" w:rsidR="00205D7E" w:rsidRDefault="00205D7E" w:rsidP="00205D7E">
      <w:pPr>
        <w:widowControl w:val="0"/>
        <w:spacing w:line="360" w:lineRule="auto"/>
        <w:rPr>
          <w:rFonts w:ascii="David" w:hAnsi="David"/>
          <w:b/>
          <w:bCs/>
          <w:sz w:val="26"/>
          <w:szCs w:val="26"/>
          <w:rtl/>
        </w:rPr>
      </w:pPr>
    </w:p>
    <w:p w14:paraId="62CD605F" w14:textId="77777777" w:rsidR="00205D7E" w:rsidRDefault="00205D7E" w:rsidP="00205D7E">
      <w:pPr>
        <w:widowControl w:val="0"/>
        <w:spacing w:line="360" w:lineRule="auto"/>
        <w:rPr>
          <w:rFonts w:ascii="David" w:hAnsi="David"/>
          <w:b/>
          <w:bCs/>
          <w:sz w:val="26"/>
          <w:szCs w:val="26"/>
        </w:rPr>
      </w:pPr>
      <w:r>
        <w:rPr>
          <w:rFonts w:ascii="David" w:hAnsi="David"/>
          <w:b/>
          <w:bCs/>
          <w:sz w:val="26"/>
          <w:szCs w:val="26"/>
          <w:rtl/>
        </w:rPr>
        <w:t>קביעת מתחמי העונש ההולמים</w:t>
      </w:r>
    </w:p>
    <w:p w14:paraId="7BF6FCA4" w14:textId="77777777" w:rsidR="00205D7E" w:rsidRDefault="00205D7E" w:rsidP="00205D7E">
      <w:pPr>
        <w:pStyle w:val="a9"/>
        <w:widowControl w:val="0"/>
        <w:numPr>
          <w:ilvl w:val="0"/>
          <w:numId w:val="1"/>
        </w:numPr>
        <w:snapToGrid w:val="0"/>
        <w:spacing w:line="360" w:lineRule="auto"/>
        <w:ind w:left="397" w:hanging="397"/>
        <w:jc w:val="both"/>
        <w:rPr>
          <w:rFonts w:ascii="David" w:hAnsi="David" w:cs="David"/>
        </w:rPr>
      </w:pPr>
      <w:r>
        <w:rPr>
          <w:rFonts w:cs="David"/>
          <w:sz w:val="20"/>
          <w:rtl/>
          <w:lang w:eastAsia="he-IL"/>
        </w:rPr>
        <w:t>הנאשם הורשע ב-2 עבירות. בהתאם להוראות תיקון 113 ל-</w:t>
      </w:r>
      <w:hyperlink r:id="rId29" w:history="1">
        <w:r w:rsidR="003C0B95" w:rsidRPr="003C0B95">
          <w:rPr>
            <w:rFonts w:ascii="Miriam" w:hAnsi="Miriam" w:cs="Miriam"/>
            <w:b/>
            <w:bCs/>
            <w:color w:val="0000FF"/>
            <w:sz w:val="16"/>
            <w:szCs w:val="22"/>
            <w:u w:val="single"/>
            <w:rtl/>
            <w:lang w:eastAsia="he-IL"/>
          </w:rPr>
          <w:t>חוק העונשין</w:t>
        </w:r>
      </w:hyperlink>
      <w:r>
        <w:rPr>
          <w:rFonts w:hint="cs"/>
          <w:sz w:val="22"/>
          <w:szCs w:val="22"/>
          <w:rtl/>
        </w:rPr>
        <w:t xml:space="preserve"> </w:t>
      </w:r>
      <w:r>
        <w:rPr>
          <w:rFonts w:ascii="David" w:hAnsi="David" w:cs="David"/>
          <w:rtl/>
        </w:rPr>
        <w:t>ול"</w:t>
      </w:r>
      <w:r>
        <w:rPr>
          <w:rFonts w:ascii="David" w:hAnsi="David" w:cs="David"/>
          <w:b/>
          <w:bCs/>
          <w:rtl/>
        </w:rPr>
        <w:t xml:space="preserve">מבחן הקשר </w:t>
      </w:r>
      <w:r>
        <w:rPr>
          <w:rFonts w:ascii="David" w:hAnsi="David" w:cs="David"/>
          <w:b/>
          <w:bCs/>
          <w:rtl/>
        </w:rPr>
        <w:lastRenderedPageBreak/>
        <w:t>ההדוק</w:t>
      </w:r>
      <w:r>
        <w:rPr>
          <w:rFonts w:ascii="David" w:hAnsi="David" w:cs="David"/>
          <w:rtl/>
        </w:rPr>
        <w:t>"</w:t>
      </w:r>
      <w:r>
        <w:rPr>
          <w:rFonts w:ascii="David" w:hAnsi="David" w:cs="David"/>
          <w:color w:val="000000"/>
          <w:rtl/>
        </w:rPr>
        <w:t xml:space="preserve"> שנקבע ב-</w:t>
      </w:r>
      <w:hyperlink r:id="rId30" w:history="1">
        <w:r w:rsidR="003C0B95" w:rsidRPr="003C0B95">
          <w:rPr>
            <w:rFonts w:ascii="David" w:hAnsi="David" w:cs="David"/>
            <w:color w:val="0000FF"/>
            <w:u w:val="single"/>
            <w:rtl/>
          </w:rPr>
          <w:t>ע"פ 4910/13</w:t>
        </w:r>
      </w:hyperlink>
      <w:r>
        <w:rPr>
          <w:rFonts w:ascii="David" w:hAnsi="David" w:cs="David"/>
          <w:rtl/>
          <w:lang w:eastAsia="he-IL"/>
        </w:rPr>
        <w:t xml:space="preserve"> </w:t>
      </w:r>
      <w:r>
        <w:rPr>
          <w:rFonts w:ascii="Miriam" w:hAnsi="Miriam" w:cs="Miriam"/>
          <w:b/>
          <w:bCs/>
          <w:sz w:val="22"/>
          <w:szCs w:val="22"/>
          <w:rtl/>
          <w:lang w:eastAsia="he-IL"/>
        </w:rPr>
        <w:t>ג'אבר נ' מדינת ישראל</w:t>
      </w:r>
      <w:r>
        <w:rPr>
          <w:rFonts w:ascii="David" w:hAnsi="David" w:cs="David"/>
          <w:sz w:val="22"/>
          <w:szCs w:val="22"/>
          <w:rtl/>
        </w:rPr>
        <w:t xml:space="preserve"> </w:t>
      </w:r>
      <w:r>
        <w:rPr>
          <w:rFonts w:ascii="David" w:hAnsi="David" w:cs="David"/>
          <w:rtl/>
        </w:rPr>
        <w:t>(29.10.14)</w:t>
      </w:r>
      <w:r>
        <w:rPr>
          <w:rFonts w:ascii="David" w:hAnsi="David" w:cs="David"/>
          <w:szCs w:val="28"/>
          <w:rtl/>
          <w:lang w:eastAsia="he-IL"/>
        </w:rPr>
        <w:t xml:space="preserve"> </w:t>
      </w:r>
      <w:r>
        <w:rPr>
          <w:rFonts w:cs="David"/>
          <w:sz w:val="20"/>
          <w:rtl/>
          <w:lang w:eastAsia="he-IL"/>
        </w:rPr>
        <w:t>אני קובעת כי לא מדובר ב"</w:t>
      </w:r>
      <w:r>
        <w:rPr>
          <w:rFonts w:cs="David"/>
          <w:b/>
          <w:bCs/>
          <w:sz w:val="20"/>
          <w:rtl/>
          <w:lang w:eastAsia="he-IL"/>
        </w:rPr>
        <w:t>תכנית עבריינית אחת</w:t>
      </w:r>
      <w:r>
        <w:rPr>
          <w:rFonts w:cs="David"/>
          <w:sz w:val="20"/>
          <w:rtl/>
          <w:lang w:eastAsia="he-IL"/>
        </w:rPr>
        <w:t xml:space="preserve">", אלא ב-2 אירועים, הנפרדים האחד מהשני במספר נתונים, ובכלל זה המועדים, </w:t>
      </w:r>
      <w:r>
        <w:rPr>
          <w:rFonts w:ascii="David" w:hAnsi="David" w:cs="David"/>
          <w:sz w:val="20"/>
          <w:rtl/>
          <w:lang w:eastAsia="he-IL"/>
        </w:rPr>
        <w:t xml:space="preserve">כמויות הסם, התמורה וחלקו של הנאשם בכל אחת מהעבירות. </w:t>
      </w:r>
      <w:r>
        <w:rPr>
          <w:rFonts w:cs="David"/>
          <w:sz w:val="20"/>
          <w:rtl/>
          <w:lang w:eastAsia="he-IL"/>
        </w:rPr>
        <w:t>משכך יש לקבוע 2 מתחמים שונים [ראו והשוו סעיף 9 להחלטת כב' הש' ג'ובראן ב</w:t>
      </w:r>
      <w:hyperlink r:id="rId31" w:history="1">
        <w:r w:rsidR="003C0B95" w:rsidRPr="003C0B95">
          <w:rPr>
            <w:rFonts w:cs="David"/>
            <w:color w:val="0000FF"/>
            <w:sz w:val="20"/>
            <w:u w:val="single"/>
            <w:rtl/>
            <w:lang w:eastAsia="he-IL"/>
          </w:rPr>
          <w:t>רע"פ 4687/15</w:t>
        </w:r>
      </w:hyperlink>
      <w:r>
        <w:rPr>
          <w:rFonts w:cs="David"/>
          <w:sz w:val="20"/>
          <w:rtl/>
          <w:lang w:eastAsia="he-IL"/>
        </w:rPr>
        <w:t xml:space="preserve"> </w:t>
      </w:r>
      <w:r>
        <w:rPr>
          <w:rFonts w:ascii="Miriam" w:hAnsi="Miriam" w:cs="Miriam"/>
          <w:b/>
          <w:bCs/>
          <w:sz w:val="22"/>
          <w:szCs w:val="22"/>
          <w:rtl/>
        </w:rPr>
        <w:t>פלג נ' מדינת ישראל</w:t>
      </w:r>
      <w:r>
        <w:rPr>
          <w:rFonts w:cs="David"/>
          <w:sz w:val="20"/>
          <w:rtl/>
          <w:lang w:eastAsia="he-IL"/>
        </w:rPr>
        <w:t xml:space="preserve"> (13.8.15), אליו הפנתה ב"כ המאשימה]. עם זאת, בהינתן קיומה של חפיפה מסוימת במהות הערכים החברתיים שנפגעו, מידת הפגיעה בהם, מדיניות הענישה ונסיבות ביצוע העבירות, מצאתי כי יש לאחד סקירתם. לכך גם יש להוסיף כי קיים חוט מקשר בין העבירות, ובפרט </w:t>
      </w:r>
      <w:r>
        <w:rPr>
          <w:rFonts w:ascii="David" w:hAnsi="David" w:cs="David"/>
          <w:sz w:val="20"/>
          <w:rtl/>
          <w:lang w:eastAsia="he-IL"/>
        </w:rPr>
        <w:t xml:space="preserve">במקום ביצוען, זהות המבצע הנוסף והסוכן. </w:t>
      </w:r>
    </w:p>
    <w:p w14:paraId="4D472181" w14:textId="77777777" w:rsidR="00205D7E" w:rsidRDefault="00205D7E" w:rsidP="00205D7E">
      <w:pPr>
        <w:pStyle w:val="a9"/>
        <w:widowControl w:val="0"/>
        <w:spacing w:line="360" w:lineRule="auto"/>
        <w:ind w:left="397"/>
        <w:jc w:val="both"/>
        <w:rPr>
          <w:rFonts w:ascii="David" w:hAnsi="David" w:cs="David"/>
          <w:lang w:eastAsia="he-IL"/>
        </w:rPr>
      </w:pPr>
      <w:r>
        <w:rPr>
          <w:rFonts w:ascii="David" w:hAnsi="David" w:cs="David"/>
          <w:rtl/>
          <w:lang w:eastAsia="he-IL"/>
        </w:rPr>
        <w:t>הדרך לקביעת עונשו של המסייע נקבעה בפסקה כ"א לפסק דינו של כב' הש' רובינשטיין (כתוארו אז) ב-</w:t>
      </w:r>
      <w:hyperlink r:id="rId32" w:history="1">
        <w:r w:rsidR="003C0B95" w:rsidRPr="003C0B95">
          <w:rPr>
            <w:rFonts w:ascii="David" w:hAnsi="David" w:cs="David"/>
            <w:color w:val="0000FF"/>
            <w:u w:val="single"/>
            <w:rtl/>
            <w:lang w:eastAsia="he-IL"/>
          </w:rPr>
          <w:t>ע"פ 4592/15</w:t>
        </w:r>
      </w:hyperlink>
      <w:r>
        <w:rPr>
          <w:rFonts w:ascii="David" w:hAnsi="David" w:cs="David"/>
          <w:rtl/>
          <w:lang w:eastAsia="he-IL"/>
        </w:rPr>
        <w:t xml:space="preserve"> </w:t>
      </w:r>
      <w:r>
        <w:rPr>
          <w:rFonts w:ascii="Miriam" w:hAnsi="Miriam" w:cs="Miriam"/>
          <w:bCs/>
          <w:sz w:val="22"/>
          <w:szCs w:val="22"/>
          <w:rtl/>
          <w:lang w:eastAsia="he-IL"/>
        </w:rPr>
        <w:t>פדידה ואח' נ' מדינת ישראל</w:t>
      </w:r>
      <w:r>
        <w:rPr>
          <w:rFonts w:ascii="David" w:hAnsi="David" w:cs="David"/>
          <w:bCs/>
          <w:sz w:val="22"/>
          <w:szCs w:val="22"/>
          <w:rtl/>
          <w:lang w:eastAsia="he-IL"/>
        </w:rPr>
        <w:t xml:space="preserve"> </w:t>
      </w:r>
      <w:r>
        <w:rPr>
          <w:rFonts w:ascii="David" w:hAnsi="David" w:cs="David"/>
          <w:rtl/>
          <w:lang w:eastAsia="he-IL"/>
        </w:rPr>
        <w:t xml:space="preserve">(‏8.2.16) והאסמכתאות שם (להלן: </w:t>
      </w:r>
      <w:r>
        <w:rPr>
          <w:rFonts w:ascii="Miriam" w:hAnsi="Miriam" w:cs="Miriam"/>
          <w:bCs/>
          <w:sz w:val="22"/>
          <w:szCs w:val="22"/>
          <w:rtl/>
          <w:lang w:eastAsia="he-IL"/>
        </w:rPr>
        <w:t>פס"ד פדידה</w:t>
      </w:r>
      <w:r>
        <w:rPr>
          <w:rFonts w:ascii="David" w:hAnsi="David" w:cs="David"/>
          <w:rtl/>
          <w:lang w:eastAsia="he-IL"/>
        </w:rPr>
        <w:t xml:space="preserve">), אליו הפנתה ב"כ המאשימה – </w:t>
      </w:r>
    </w:p>
    <w:p w14:paraId="3CDD2A81" w14:textId="77777777" w:rsidR="00205D7E" w:rsidRDefault="00205D7E" w:rsidP="00205D7E">
      <w:pPr>
        <w:widowControl w:val="0"/>
        <w:ind w:left="1588" w:right="794"/>
        <w:jc w:val="both"/>
        <w:rPr>
          <w:sz w:val="20"/>
          <w:rtl/>
        </w:rPr>
      </w:pPr>
      <w:r>
        <w:rPr>
          <w:b/>
          <w:sz w:val="20"/>
          <w:rtl/>
        </w:rPr>
        <w:t>"</w:t>
      </w:r>
      <w:r>
        <w:rPr>
          <w:bCs/>
          <w:sz w:val="20"/>
          <w:rtl/>
        </w:rPr>
        <w:t>ככלל, הדרך לקביעת גזר דינם של מבצע עבירה ומסייע לביצועה, היא - ראשית - קביעת מתחם לעונשו של המבצע העיקרי ומתוך כך גזירת עונשו נוכח נסיבות המקרה ונסיבותיו האישיות; ושנית, גזירת דינו של המסייע לביצוע העבירה בהתאמה למתחם שנקבע בעבור מבצע העבירה העיקרי. בגזירת עונשו של המסייע יבחן בית המשפט האם קיימת בנסיבות המקרה הצדקה לסטיה מן הכלל הקבוע בסעיף 32 ל</w:t>
      </w:r>
      <w:hyperlink r:id="rId33" w:history="1">
        <w:r w:rsidR="003C0B95" w:rsidRPr="003C0B95">
          <w:rPr>
            <w:bCs/>
            <w:color w:val="0000FF"/>
            <w:sz w:val="20"/>
            <w:u w:val="single"/>
            <w:rtl/>
          </w:rPr>
          <w:t>חוק העונשין</w:t>
        </w:r>
      </w:hyperlink>
      <w:r>
        <w:rPr>
          <w:bCs/>
          <w:sz w:val="20"/>
          <w:rtl/>
        </w:rPr>
        <w:t xml:space="preserve"> אשר לפיו: המסייע לעבור עבירה, עונשו - מחצית העונש שנקבע בחיקוק בשל ביצועה העיקרי. במקרה של סטיה כזאת, העונש שיושת עליו יהא גבוה ממחצית עונשו של המבצע העיקרי</w:t>
      </w:r>
      <w:r>
        <w:rPr>
          <w:b/>
          <w:sz w:val="20"/>
          <w:rtl/>
        </w:rPr>
        <w:t>".</w:t>
      </w:r>
    </w:p>
    <w:p w14:paraId="0BB46C23" w14:textId="77777777" w:rsidR="00205D7E" w:rsidRDefault="00205D7E" w:rsidP="00205D7E">
      <w:pPr>
        <w:pStyle w:val="a9"/>
        <w:widowControl w:val="0"/>
        <w:spacing w:line="360" w:lineRule="auto"/>
        <w:ind w:left="397"/>
        <w:jc w:val="both"/>
        <w:rPr>
          <w:rFonts w:ascii="David" w:hAnsi="David" w:cs="David"/>
          <w:rtl/>
        </w:rPr>
      </w:pPr>
    </w:p>
    <w:p w14:paraId="23A522F4" w14:textId="77777777" w:rsidR="00205D7E" w:rsidRDefault="00205D7E" w:rsidP="00205D7E">
      <w:pPr>
        <w:pStyle w:val="a9"/>
        <w:widowControl w:val="0"/>
        <w:spacing w:line="360" w:lineRule="auto"/>
        <w:ind w:left="397"/>
        <w:jc w:val="both"/>
        <w:rPr>
          <w:rFonts w:ascii="David" w:hAnsi="David" w:cs="David"/>
        </w:rPr>
      </w:pPr>
      <w:r>
        <w:rPr>
          <w:rFonts w:ascii="David" w:hAnsi="David" w:cs="David"/>
          <w:rtl/>
        </w:rPr>
        <w:t xml:space="preserve">הגם </w:t>
      </w:r>
      <w:hyperlink r:id="rId34" w:history="1">
        <w:r w:rsidR="00892006" w:rsidRPr="00892006">
          <w:rPr>
            <w:rStyle w:val="Hyperlink"/>
            <w:rFonts w:ascii="David" w:hAnsi="David" w:cs="David"/>
            <w:color w:val="0000FF"/>
            <w:rtl/>
          </w:rPr>
          <w:t>שבסעיף 32</w:t>
        </w:r>
      </w:hyperlink>
      <w:r>
        <w:rPr>
          <w:rFonts w:ascii="David" w:hAnsi="David" w:cs="David"/>
          <w:rtl/>
        </w:rPr>
        <w:t xml:space="preserve"> ל-</w:t>
      </w:r>
      <w:hyperlink r:id="rId35" w:history="1">
        <w:r w:rsidR="003C0B95" w:rsidRPr="003C0B95">
          <w:rPr>
            <w:rFonts w:ascii="Miriam" w:hAnsi="Miriam" w:cs="Miriam"/>
            <w:bCs/>
            <w:color w:val="0000FF"/>
            <w:sz w:val="22"/>
            <w:szCs w:val="22"/>
            <w:u w:val="single"/>
            <w:rtl/>
            <w:lang w:eastAsia="he-IL"/>
          </w:rPr>
          <w:t>חוק העונשין</w:t>
        </w:r>
      </w:hyperlink>
      <w:r>
        <w:rPr>
          <w:rFonts w:ascii="David" w:hAnsi="David" w:cs="David"/>
          <w:sz w:val="22"/>
          <w:szCs w:val="22"/>
          <w:rtl/>
        </w:rPr>
        <w:t xml:space="preserve"> </w:t>
      </w:r>
      <w:r>
        <w:rPr>
          <w:rFonts w:ascii="David" w:hAnsi="David" w:cs="David"/>
          <w:rtl/>
        </w:rPr>
        <w:t>נקבע כי עונשו של המסייע יהיה מחצית מעונשו של המבצע העיקרי – אין מדובר בנוסחה מתמטית וניתן לסטות מהכלל אם לקולה, אם לחומרה, הכל תלוי מידת התרומה של המסייע לביצוע העבירה [ראו פסקה כ"א לעיל וכן פסקה ל"ה להלן]:</w:t>
      </w:r>
    </w:p>
    <w:p w14:paraId="113AB2E0" w14:textId="77777777" w:rsidR="00205D7E" w:rsidRDefault="00205D7E" w:rsidP="00205D7E">
      <w:pPr>
        <w:widowControl w:val="0"/>
        <w:ind w:left="1588" w:right="794"/>
        <w:jc w:val="both"/>
        <w:rPr>
          <w:b/>
          <w:sz w:val="20"/>
          <w:rtl/>
        </w:rPr>
      </w:pPr>
    </w:p>
    <w:p w14:paraId="13ECF2C0" w14:textId="77777777" w:rsidR="00205D7E" w:rsidRDefault="00205D7E" w:rsidP="00205D7E">
      <w:pPr>
        <w:widowControl w:val="0"/>
        <w:ind w:left="1588" w:right="794"/>
        <w:jc w:val="both"/>
        <w:rPr>
          <w:sz w:val="20"/>
          <w:rtl/>
        </w:rPr>
      </w:pPr>
      <w:r>
        <w:rPr>
          <w:b/>
          <w:sz w:val="20"/>
          <w:rtl/>
        </w:rPr>
        <w:t>"...</w:t>
      </w:r>
      <w:r>
        <w:rPr>
          <w:bCs/>
          <w:sz w:val="20"/>
          <w:rtl/>
        </w:rPr>
        <w:t>הוראת סעיף 32 ל</w:t>
      </w:r>
      <w:hyperlink r:id="rId36" w:history="1">
        <w:r w:rsidR="003C0B95" w:rsidRPr="003C0B95">
          <w:rPr>
            <w:bCs/>
            <w:color w:val="0000FF"/>
            <w:sz w:val="20"/>
            <w:u w:val="single"/>
            <w:rtl/>
          </w:rPr>
          <w:t>חוק העונשין</w:t>
        </w:r>
      </w:hyperlink>
      <w:r>
        <w:rPr>
          <w:bCs/>
          <w:sz w:val="20"/>
          <w:rtl/>
        </w:rPr>
        <w:t>, המתוה את היחס הראוי בין מבצע עבירה למסייע - יחס של מחצית העונש. אכן, זו נקודת המוצא לבחינת גזר דינו של מסייע לביצוע עבירה. עם זאת</w:t>
      </w:r>
      <w:r>
        <w:rPr>
          <w:b/>
          <w:sz w:val="20"/>
          <w:rtl/>
        </w:rPr>
        <w:t>,...,</w:t>
      </w:r>
      <w:r>
        <w:rPr>
          <w:bCs/>
          <w:sz w:val="20"/>
          <w:rtl/>
        </w:rPr>
        <w:t xml:space="preserve"> אין מדובר בגזירה אוטומטית של מחצית מן העונש שנגזר על המבצע העיקרי, וניתן לסטות מהנחיה זו בנסיבות מסוימת בהן תרומת המסייע לביצועה של העבירה בעלת משקל משמעותי</w:t>
      </w:r>
      <w:r>
        <w:rPr>
          <w:b/>
          <w:sz w:val="20"/>
          <w:rtl/>
        </w:rPr>
        <w:t>...".</w:t>
      </w:r>
    </w:p>
    <w:p w14:paraId="04296C25" w14:textId="77777777" w:rsidR="00205D7E" w:rsidRDefault="00205D7E" w:rsidP="00205D7E">
      <w:pPr>
        <w:pStyle w:val="a9"/>
        <w:widowControl w:val="0"/>
        <w:snapToGrid w:val="0"/>
        <w:spacing w:line="360" w:lineRule="auto"/>
        <w:ind w:left="397"/>
        <w:jc w:val="both"/>
        <w:rPr>
          <w:rFonts w:ascii="David" w:hAnsi="David" w:cs="David"/>
          <w:rtl/>
        </w:rPr>
      </w:pPr>
    </w:p>
    <w:p w14:paraId="44268A5A" w14:textId="77777777" w:rsidR="00205D7E" w:rsidRDefault="00205D7E" w:rsidP="00205D7E">
      <w:pPr>
        <w:pStyle w:val="a9"/>
        <w:widowControl w:val="0"/>
        <w:numPr>
          <w:ilvl w:val="0"/>
          <w:numId w:val="1"/>
        </w:numPr>
        <w:snapToGrid w:val="0"/>
        <w:spacing w:line="360" w:lineRule="auto"/>
        <w:ind w:left="397" w:hanging="397"/>
        <w:jc w:val="both"/>
        <w:rPr>
          <w:rFonts w:ascii="David" w:hAnsi="David" w:cs="David"/>
        </w:rPr>
      </w:pPr>
      <w:r>
        <w:rPr>
          <w:rFonts w:cs="David"/>
          <w:rtl/>
        </w:rPr>
        <w:t xml:space="preserve">משכך, אתייחס במאוחד לאמות המידה ואבני הבוחן בהן התחשבתי בקביעת מתחמי העונש ההולמים, בהתאם </w:t>
      </w:r>
      <w:hyperlink r:id="rId37" w:history="1">
        <w:r w:rsidR="00892006" w:rsidRPr="00892006">
          <w:rPr>
            <w:rStyle w:val="Hyperlink"/>
            <w:rFonts w:cs="David"/>
            <w:color w:val="0000FF"/>
            <w:rtl/>
          </w:rPr>
          <w:t>לסעיף 40ג(א)</w:t>
        </w:r>
      </w:hyperlink>
      <w:r>
        <w:rPr>
          <w:rFonts w:cs="David"/>
          <w:rtl/>
        </w:rPr>
        <w:t xml:space="preserve"> ל</w:t>
      </w:r>
      <w:r>
        <w:rPr>
          <w:rFonts w:ascii="David" w:hAnsi="David" w:cs="David"/>
          <w:rtl/>
        </w:rPr>
        <w:t>-</w:t>
      </w:r>
      <w:hyperlink r:id="rId38" w:history="1">
        <w:r w:rsidR="003C0B95" w:rsidRPr="003C0B95">
          <w:rPr>
            <w:rFonts w:ascii="Miriam" w:hAnsi="Miriam" w:cs="Miriam"/>
            <w:b/>
            <w:bCs/>
            <w:color w:val="0000FF"/>
            <w:sz w:val="16"/>
            <w:szCs w:val="22"/>
            <w:u w:val="single"/>
            <w:rtl/>
          </w:rPr>
          <w:t>חוק העונשין</w:t>
        </w:r>
      </w:hyperlink>
      <w:r>
        <w:rPr>
          <w:rFonts w:cs="David"/>
          <w:rtl/>
        </w:rPr>
        <w:t>, כדלהלן</w:t>
      </w:r>
      <w:r>
        <w:rPr>
          <w:rFonts w:cs="David"/>
          <w:sz w:val="20"/>
          <w:rtl/>
          <w:lang w:eastAsia="he-IL"/>
        </w:rPr>
        <w:t>:</w:t>
      </w:r>
    </w:p>
    <w:p w14:paraId="15968068" w14:textId="77777777" w:rsidR="00205D7E" w:rsidRDefault="00205D7E" w:rsidP="00205D7E">
      <w:pPr>
        <w:pStyle w:val="a9"/>
        <w:widowControl w:val="0"/>
        <w:snapToGrid w:val="0"/>
        <w:ind w:left="357"/>
        <w:jc w:val="both"/>
        <w:rPr>
          <w:rFonts w:ascii="David" w:hAnsi="David" w:cs="David"/>
        </w:rPr>
      </w:pPr>
    </w:p>
    <w:p w14:paraId="49C8C3DD" w14:textId="77777777" w:rsidR="00205D7E" w:rsidRDefault="00205D7E" w:rsidP="00205D7E">
      <w:pPr>
        <w:pStyle w:val="a9"/>
        <w:widowControl w:val="0"/>
        <w:numPr>
          <w:ilvl w:val="1"/>
          <w:numId w:val="1"/>
        </w:numPr>
        <w:snapToGrid w:val="0"/>
        <w:spacing w:line="360" w:lineRule="auto"/>
        <w:ind w:left="794" w:hanging="397"/>
        <w:jc w:val="both"/>
        <w:rPr>
          <w:rFonts w:ascii="David" w:hAnsi="David" w:cs="David"/>
        </w:rPr>
      </w:pPr>
      <w:r>
        <w:rPr>
          <w:rFonts w:ascii="David" w:hAnsi="David" w:cs="David"/>
          <w:rtl/>
        </w:rPr>
        <w:t xml:space="preserve">מקובלת עליי עמדת ב"כ המאשימה כי </w:t>
      </w:r>
      <w:r>
        <w:rPr>
          <w:rFonts w:ascii="David" w:hAnsi="David" w:cs="David"/>
          <w:b/>
          <w:bCs/>
          <w:rtl/>
        </w:rPr>
        <w:t>הערכים החברתיים שנפגעו מביצוע העבירות</w:t>
      </w:r>
      <w:r>
        <w:rPr>
          <w:rFonts w:ascii="David" w:hAnsi="David" w:cs="David"/>
          <w:rtl/>
        </w:rPr>
        <w:t xml:space="preserve"> כוללים הגנה מפני הנזקים הישירים והעקיפים שנגרמים כתוצאה מעבריינות הנלווית לשימוש בסמים, הגנה על הביטחון האישי ובריאות הציבור נוכח הפצת הסמים והיות נגע הסמים אחד ממחוללי הפשיעה העיקריים. </w:t>
      </w:r>
    </w:p>
    <w:p w14:paraId="360EC3F6" w14:textId="77777777" w:rsidR="00205D7E" w:rsidRDefault="00205D7E" w:rsidP="00205D7E">
      <w:pPr>
        <w:pStyle w:val="a9"/>
        <w:widowControl w:val="0"/>
        <w:snapToGrid w:val="0"/>
        <w:spacing w:line="360" w:lineRule="auto"/>
        <w:ind w:left="714"/>
        <w:jc w:val="both"/>
        <w:rPr>
          <w:rFonts w:ascii="David" w:hAnsi="David" w:cs="David"/>
        </w:rPr>
      </w:pPr>
    </w:p>
    <w:p w14:paraId="6F808390" w14:textId="77777777" w:rsidR="00205D7E" w:rsidRDefault="00205D7E" w:rsidP="00205D7E">
      <w:pPr>
        <w:pStyle w:val="a9"/>
        <w:widowControl w:val="0"/>
        <w:numPr>
          <w:ilvl w:val="1"/>
          <w:numId w:val="1"/>
        </w:numPr>
        <w:snapToGrid w:val="0"/>
        <w:spacing w:line="360" w:lineRule="auto"/>
        <w:ind w:left="794" w:hanging="397"/>
        <w:jc w:val="both"/>
        <w:rPr>
          <w:rFonts w:ascii="David" w:hAnsi="David" w:cs="David"/>
        </w:rPr>
      </w:pPr>
      <w:r>
        <w:rPr>
          <w:rFonts w:ascii="David" w:hAnsi="David" w:cs="David"/>
          <w:b/>
          <w:bCs/>
          <w:rtl/>
        </w:rPr>
        <w:t>מידת הפגיעה בערכים החברתיים משמעותית</w:t>
      </w:r>
      <w:r>
        <w:rPr>
          <w:rFonts w:ascii="David" w:hAnsi="David" w:cs="David"/>
          <w:rtl/>
        </w:rPr>
        <w:t xml:space="preserve">. מקובלת עליי טענת ב"כ המאשימה כי הפסיקה עמדה לא אחת על החומרה שבעבירות הסמים ועל הצורך לשרש את נגע הסמים. בית המשפט העליון עמד לא אחת על הצורך בהטלת ענישה ממשית שתרתיע עבריינים בכח מביצוע עבירות הסמים [ראו  </w:t>
      </w:r>
      <w:hyperlink r:id="rId39" w:history="1">
        <w:r w:rsidR="003C0B95" w:rsidRPr="003C0B95">
          <w:rPr>
            <w:rFonts w:ascii="David" w:hAnsi="David" w:cs="David"/>
            <w:color w:val="0000FF"/>
            <w:u w:val="single"/>
            <w:rtl/>
          </w:rPr>
          <w:t>ע"פ 4387/20</w:t>
        </w:r>
      </w:hyperlink>
      <w:r>
        <w:rPr>
          <w:rFonts w:ascii="David" w:hAnsi="David" w:cs="David"/>
          <w:rtl/>
        </w:rPr>
        <w:t xml:space="preserve"> </w:t>
      </w:r>
      <w:r>
        <w:rPr>
          <w:rFonts w:ascii="Miriam" w:hAnsi="Miriam" w:cs="Miriam"/>
          <w:b/>
          <w:bCs/>
          <w:sz w:val="22"/>
          <w:szCs w:val="22"/>
          <w:rtl/>
        </w:rPr>
        <w:t>מדינת ישראל נ' טל דרור ואח'</w:t>
      </w:r>
      <w:r>
        <w:rPr>
          <w:rFonts w:ascii="David" w:hAnsi="David" w:cs="David"/>
          <w:b/>
          <w:bCs/>
          <w:rtl/>
        </w:rPr>
        <w:t xml:space="preserve"> </w:t>
      </w:r>
      <w:r>
        <w:rPr>
          <w:rFonts w:ascii="David" w:hAnsi="David" w:cs="David"/>
          <w:rtl/>
        </w:rPr>
        <w:t xml:space="preserve">(8.2.21), אליו </w:t>
      </w:r>
      <w:r>
        <w:rPr>
          <w:rFonts w:ascii="David" w:hAnsi="David" w:cs="David"/>
          <w:rtl/>
        </w:rPr>
        <w:lastRenderedPageBreak/>
        <w:t>הפנתה ב"כ המאשימה] ואין לי אלא להביא קביעת כב' השופט ג'ובראן ב-</w:t>
      </w:r>
      <w:hyperlink r:id="rId40" w:history="1">
        <w:r w:rsidR="003C0B95" w:rsidRPr="003C0B95">
          <w:rPr>
            <w:rFonts w:ascii="David" w:hAnsi="David" w:cs="David"/>
            <w:color w:val="0000FF"/>
            <w:u w:val="single"/>
            <w:rtl/>
          </w:rPr>
          <w:t>ע"פ 9482/09</w:t>
        </w:r>
      </w:hyperlink>
      <w:r>
        <w:rPr>
          <w:rFonts w:ascii="David" w:hAnsi="David" w:cs="David"/>
          <w:rtl/>
        </w:rPr>
        <w:t xml:space="preserve"> </w:t>
      </w:r>
      <w:r>
        <w:rPr>
          <w:rFonts w:ascii="Miriam" w:hAnsi="Miriam" w:cs="Miriam"/>
          <w:b/>
          <w:bCs/>
          <w:sz w:val="22"/>
          <w:szCs w:val="22"/>
          <w:rtl/>
        </w:rPr>
        <w:t>ביטון נ' מדינת ישראל</w:t>
      </w:r>
      <w:r>
        <w:rPr>
          <w:rFonts w:ascii="David" w:hAnsi="David" w:cs="David"/>
          <w:rtl/>
        </w:rPr>
        <w:t xml:space="preserve"> (24.7.11), שגם אליה הפנתה ב"כ המאשימה בטיעוניה (</w:t>
      </w:r>
      <w:r>
        <w:rPr>
          <w:rFonts w:ascii="David" w:hAnsi="David" w:cs="David"/>
          <w:b/>
          <w:bCs/>
          <w:rtl/>
        </w:rPr>
        <w:t>טל/1</w:t>
      </w:r>
      <w:r>
        <w:rPr>
          <w:rFonts w:ascii="David" w:hAnsi="David" w:cs="David"/>
          <w:rtl/>
        </w:rPr>
        <w:t xml:space="preserve">) – </w:t>
      </w:r>
    </w:p>
    <w:p w14:paraId="30442B4B" w14:textId="77777777" w:rsidR="00205D7E" w:rsidRDefault="00205D7E" w:rsidP="00205D7E">
      <w:pPr>
        <w:pStyle w:val="a9"/>
        <w:widowControl w:val="0"/>
        <w:snapToGrid w:val="0"/>
        <w:ind w:left="1588" w:right="794"/>
        <w:jc w:val="both"/>
        <w:rPr>
          <w:rFonts w:ascii="David" w:hAnsi="David" w:cs="David"/>
        </w:rPr>
      </w:pPr>
    </w:p>
    <w:p w14:paraId="423D9903" w14:textId="77777777" w:rsidR="00205D7E" w:rsidRDefault="00205D7E" w:rsidP="00205D7E">
      <w:pPr>
        <w:pStyle w:val="a9"/>
        <w:widowControl w:val="0"/>
        <w:snapToGrid w:val="0"/>
        <w:ind w:left="1588" w:right="794"/>
        <w:jc w:val="both"/>
        <w:rPr>
          <w:rFonts w:ascii="David" w:hAnsi="David" w:cs="David"/>
          <w:b/>
          <w:bCs/>
          <w:rtl/>
        </w:rPr>
      </w:pPr>
      <w:r>
        <w:rPr>
          <w:rFonts w:ascii="David" w:hAnsi="David" w:cs="David"/>
          <w:rtl/>
        </w:rPr>
        <w:t>"</w:t>
      </w:r>
      <w:r>
        <w:rPr>
          <w:rFonts w:ascii="David" w:hAnsi="David" w:cs="David"/>
          <w:b/>
          <w:bCs/>
          <w:rtl/>
        </w:rPr>
        <w:t>נגע הסמים הפוגע קשות בחברתנו מחייב מלחמת חורמה והעונשים שייגזרו ע"י בתי המשפט בשל עבירות סמים צריכים להשתלב במאבק הכולל להדברת הנגע. על כן, יש ליתן משקל ממשי לשיקול ההרתעתי אל מול השיקולים האישיים, אשר משקלם יהיה נמוך יותר במקרים כגון אלה</w:t>
      </w:r>
      <w:r>
        <w:rPr>
          <w:rFonts w:ascii="David" w:hAnsi="David" w:cs="David"/>
          <w:rtl/>
        </w:rPr>
        <w:t>".</w:t>
      </w:r>
    </w:p>
    <w:p w14:paraId="5023EDD8" w14:textId="77777777" w:rsidR="00205D7E" w:rsidRDefault="00205D7E" w:rsidP="00205D7E">
      <w:pPr>
        <w:pStyle w:val="a9"/>
        <w:widowControl w:val="0"/>
        <w:snapToGrid w:val="0"/>
        <w:spacing w:line="360" w:lineRule="auto"/>
        <w:ind w:left="714"/>
        <w:jc w:val="both"/>
        <w:rPr>
          <w:rFonts w:ascii="David" w:hAnsi="David" w:cs="David"/>
          <w:rtl/>
        </w:rPr>
      </w:pPr>
    </w:p>
    <w:p w14:paraId="0D684493" w14:textId="77777777" w:rsidR="00205D7E" w:rsidRDefault="00205D7E" w:rsidP="00205D7E">
      <w:pPr>
        <w:pStyle w:val="a9"/>
        <w:widowControl w:val="0"/>
        <w:numPr>
          <w:ilvl w:val="1"/>
          <w:numId w:val="1"/>
        </w:numPr>
        <w:snapToGrid w:val="0"/>
        <w:spacing w:line="360" w:lineRule="auto"/>
        <w:ind w:left="794" w:hanging="397"/>
        <w:jc w:val="both"/>
        <w:rPr>
          <w:rFonts w:ascii="David" w:hAnsi="David" w:cs="David"/>
          <w:rtl/>
        </w:rPr>
      </w:pPr>
      <w:r>
        <w:rPr>
          <w:rFonts w:ascii="David" w:hAnsi="David" w:cs="David"/>
          <w:b/>
          <w:bCs/>
          <w:rtl/>
        </w:rPr>
        <w:t>מדיניות הענישה הנהוגה</w:t>
      </w:r>
      <w:r>
        <w:rPr>
          <w:rFonts w:ascii="David" w:hAnsi="David" w:cs="David"/>
          <w:rtl/>
        </w:rPr>
        <w:t xml:space="preserve"> – </w:t>
      </w:r>
      <w:r>
        <w:rPr>
          <w:rFonts w:ascii="David" w:hAnsi="David" w:cs="David"/>
          <w:sz w:val="20"/>
          <w:rtl/>
          <w:lang w:eastAsia="he-IL"/>
        </w:rPr>
        <w:t>עיון בפסיקה מלמד כי קיים מנעד גדול של ענישה בעבירות סחר בסמים. סוג העונש ומשכו תלויים בסוגי הסמים, כמותם, מספר העסקאות שבוצעו ונסיבות הסחר. במהלך הטיעונים לעונש ב"כ הצדדים הפנו לפסיקה התומכת בעמדתם ועליה הוספתי פסיקה. כל מקרה לנסיבותיו וברי כי יש לאבחן המקרים השונים לנסיבות שלפניי – אולם קיימים פסקי דין מהם ניתן לגזור אמת-מידה עונשית הולמת, כמפורט להלן:</w:t>
      </w:r>
    </w:p>
    <w:p w14:paraId="741B6B5B" w14:textId="77777777" w:rsidR="00205D7E" w:rsidRDefault="00205D7E" w:rsidP="00205D7E">
      <w:pPr>
        <w:pStyle w:val="a9"/>
        <w:widowControl w:val="0"/>
        <w:snapToGrid w:val="0"/>
        <w:ind w:left="1191"/>
        <w:jc w:val="both"/>
        <w:rPr>
          <w:rFonts w:ascii="David" w:hAnsi="David" w:cs="David"/>
        </w:rPr>
      </w:pPr>
    </w:p>
    <w:p w14:paraId="5AF2657D" w14:textId="77777777" w:rsidR="00205D7E" w:rsidRDefault="003C0B95" w:rsidP="00205D7E">
      <w:pPr>
        <w:pStyle w:val="a9"/>
        <w:widowControl w:val="0"/>
        <w:numPr>
          <w:ilvl w:val="2"/>
          <w:numId w:val="4"/>
        </w:numPr>
        <w:snapToGrid w:val="0"/>
        <w:spacing w:line="360" w:lineRule="auto"/>
        <w:ind w:left="1191" w:hanging="397"/>
        <w:jc w:val="both"/>
        <w:rPr>
          <w:rFonts w:ascii="David" w:hAnsi="David" w:cs="David"/>
        </w:rPr>
      </w:pPr>
      <w:hyperlink r:id="rId41" w:history="1">
        <w:r w:rsidRPr="003C0B95">
          <w:rPr>
            <w:rFonts w:ascii="David" w:hAnsi="David" w:cs="David"/>
            <w:color w:val="0000FF"/>
            <w:u w:val="single"/>
            <w:rtl/>
          </w:rPr>
          <w:t>רע"פ 126/15</w:t>
        </w:r>
      </w:hyperlink>
      <w:r w:rsidR="00205D7E">
        <w:rPr>
          <w:rFonts w:ascii="David" w:hAnsi="David" w:cs="David"/>
          <w:rtl/>
        </w:rPr>
        <w:t xml:space="preserve"> </w:t>
      </w:r>
      <w:r w:rsidR="00205D7E">
        <w:rPr>
          <w:rFonts w:ascii="Miriam" w:hAnsi="Miriam" w:cs="Miriam"/>
          <w:b/>
          <w:bCs/>
          <w:sz w:val="22"/>
          <w:szCs w:val="22"/>
          <w:rtl/>
        </w:rPr>
        <w:t>חביף נ' מדינת ישראל</w:t>
      </w:r>
      <w:r w:rsidR="00205D7E">
        <w:rPr>
          <w:rFonts w:ascii="David" w:hAnsi="David" w:cs="David"/>
          <w:rtl/>
        </w:rPr>
        <w:t xml:space="preserve"> (13.1.15), אליו הפנה ב"כ המאשימה – נדחו ערעור ובקשת רשות ערעור על גזר דין במסגרתו נקבע מתחם 8–18 חודשי מאסר לכל עבירת סחר בפחות מ-1 גרם ולתיווך בכ-2.5 גרם קוקאין. כמו כן נקבע מתחם 6–12 לכל אירוע החזקת סם. הושתו 20 חודשי מאסר בפועל, אשר כללו הפעלת 4 חודשי מאסר מותנה במצטבר וכן מאסרים מותנים, קנס התחייבות ופסילה מותנית, זאת תוך התחשבות בנסיבותיו האישיות, ההליך הטיפולי בו היה מצוי, המלצת שירות המבחן, ההודאה והחרטה, שהובילו לכך שעונשו הועמד בחלקם הנמוך של המתחמים, תוך חפיפה בין העונשים, חרף עברו הפלילי הכבד. בדחותו הבקשה, קבע כב' השופט ג'ובראן כי על אף התקדמותו השיקומית היה מקום להשית מאסר בפועל בהינתן עברו הפלילי המכביד מגיל צעיר ובכך שמדובר במספר אירועים חוזרים ולא באירוע אחד. </w:t>
      </w:r>
    </w:p>
    <w:p w14:paraId="202C47C0" w14:textId="77777777" w:rsidR="00205D7E" w:rsidRDefault="00205D7E" w:rsidP="00205D7E">
      <w:pPr>
        <w:pStyle w:val="a9"/>
        <w:widowControl w:val="0"/>
        <w:snapToGrid w:val="0"/>
        <w:ind w:left="1191"/>
        <w:jc w:val="both"/>
        <w:rPr>
          <w:rFonts w:ascii="David" w:hAnsi="David" w:cs="David"/>
        </w:rPr>
      </w:pPr>
    </w:p>
    <w:p w14:paraId="5DC95455" w14:textId="77777777" w:rsidR="00205D7E" w:rsidRDefault="003C0B95" w:rsidP="00205D7E">
      <w:pPr>
        <w:pStyle w:val="a9"/>
        <w:widowControl w:val="0"/>
        <w:numPr>
          <w:ilvl w:val="2"/>
          <w:numId w:val="4"/>
        </w:numPr>
        <w:snapToGrid w:val="0"/>
        <w:spacing w:line="360" w:lineRule="auto"/>
        <w:ind w:left="1191" w:hanging="397"/>
        <w:jc w:val="both"/>
        <w:rPr>
          <w:rFonts w:ascii="David" w:hAnsi="David" w:cs="David"/>
        </w:rPr>
      </w:pPr>
      <w:hyperlink r:id="rId42" w:history="1">
        <w:r w:rsidRPr="003C0B95">
          <w:rPr>
            <w:rFonts w:ascii="David" w:hAnsi="David" w:cs="David"/>
            <w:color w:val="0000FF"/>
            <w:u w:val="single"/>
            <w:rtl/>
          </w:rPr>
          <w:t>רע"פ 747/14</w:t>
        </w:r>
      </w:hyperlink>
      <w:r w:rsidR="00205D7E">
        <w:rPr>
          <w:rFonts w:ascii="David" w:hAnsi="David" w:cs="David"/>
          <w:rtl/>
        </w:rPr>
        <w:t xml:space="preserve"> </w:t>
      </w:r>
      <w:r w:rsidR="00205D7E">
        <w:rPr>
          <w:rFonts w:ascii="Miriam" w:hAnsi="Miriam" w:cs="Miriam"/>
          <w:b/>
          <w:bCs/>
          <w:sz w:val="22"/>
          <w:szCs w:val="22"/>
          <w:rtl/>
        </w:rPr>
        <w:t>לוי נ' מדינת ישראל</w:t>
      </w:r>
      <w:r w:rsidR="00205D7E">
        <w:rPr>
          <w:rFonts w:ascii="David" w:hAnsi="David" w:cs="David"/>
          <w:rtl/>
        </w:rPr>
        <w:t xml:space="preserve"> (11.2.14), אליו הפנתה ב"כ המאשימה – </w:t>
      </w:r>
      <w:r w:rsidR="00205D7E">
        <w:rPr>
          <w:rFonts w:cs="David"/>
          <w:noProof/>
          <w:rtl/>
        </w:rPr>
        <w:t xml:space="preserve">נדחו ערעור ובקשת רשות ערעור של מי שהורשע, לאחר ניהול הוכחות, בהחזקת כ-5 גרם הרואין מחולק ל-6 מנות ו-0.095 גרם קוקאין, שלא לצריכה עצמית, מוטמנים בתחתוניו </w:t>
      </w:r>
      <w:bookmarkStart w:id="8" w:name="_Hlk168736509"/>
      <w:r w:rsidR="00205D7E">
        <w:rPr>
          <w:rFonts w:cs="David"/>
          <w:noProof/>
          <w:rtl/>
        </w:rPr>
        <w:t xml:space="preserve">וצירף תיק בו הורשע על פי הודאתו בהחזקת כחצי גרם הרואין לצריכה עצמית. </w:t>
      </w:r>
      <w:bookmarkStart w:id="9" w:name="_Hlk168758933"/>
      <w:r w:rsidR="00205D7E">
        <w:rPr>
          <w:rFonts w:cs="David"/>
          <w:noProof/>
          <w:rtl/>
        </w:rPr>
        <w:t xml:space="preserve">בית המשפט לא ייחס משקל מכביד להרשעה בתיק שצורף ודחה בקשתו לקבל תסקיר משלים. </w:t>
      </w:r>
      <w:bookmarkEnd w:id="8"/>
      <w:r w:rsidR="00205D7E">
        <w:rPr>
          <w:rFonts w:cs="David"/>
          <w:noProof/>
          <w:rtl/>
        </w:rPr>
        <w:t>נקבע מתחם 8–18 חודשי מאסר. בהתחשב, בין היתר, בשיקול שיקום, העונש נקבע ברף התחתון והושתו 8 חודשי מאסר בפועל, בניכוי ימי מעצרו, הגם ששירות המבחן המליץ בתסקירו, שהיה חיובי בעיקרו, להשית מאסר מותנה וצו מבחן. הושתו גם מאסרים מותנים, אך רשיונו לא נפסל, מחשש שהפסילה תקשה על שיקומו לאחר שחרורו</w:t>
      </w:r>
      <w:bookmarkEnd w:id="9"/>
      <w:r w:rsidR="00205D7E">
        <w:rPr>
          <w:rFonts w:ascii="David" w:hAnsi="David" w:cs="David"/>
          <w:rtl/>
        </w:rPr>
        <w:t>.</w:t>
      </w:r>
    </w:p>
    <w:p w14:paraId="0FB53AF1" w14:textId="77777777" w:rsidR="00205D7E" w:rsidRDefault="00205D7E" w:rsidP="00205D7E">
      <w:pPr>
        <w:pStyle w:val="a9"/>
        <w:widowControl w:val="0"/>
        <w:snapToGrid w:val="0"/>
        <w:ind w:left="1191"/>
        <w:jc w:val="both"/>
        <w:rPr>
          <w:rFonts w:ascii="David" w:hAnsi="David" w:cs="David"/>
        </w:rPr>
      </w:pPr>
    </w:p>
    <w:p w14:paraId="36A2DEE8" w14:textId="77777777" w:rsidR="00205D7E" w:rsidRDefault="003C0B95" w:rsidP="00205D7E">
      <w:pPr>
        <w:pStyle w:val="a9"/>
        <w:widowControl w:val="0"/>
        <w:numPr>
          <w:ilvl w:val="2"/>
          <w:numId w:val="4"/>
        </w:numPr>
        <w:snapToGrid w:val="0"/>
        <w:spacing w:line="360" w:lineRule="auto"/>
        <w:ind w:left="1191" w:hanging="397"/>
        <w:jc w:val="both"/>
        <w:rPr>
          <w:rFonts w:ascii="David" w:hAnsi="David" w:cs="David"/>
        </w:rPr>
      </w:pPr>
      <w:hyperlink r:id="rId43" w:history="1">
        <w:r w:rsidRPr="003C0B95">
          <w:rPr>
            <w:rFonts w:ascii="David" w:hAnsi="David" w:cs="David"/>
            <w:color w:val="0000FF"/>
            <w:u w:val="single"/>
            <w:rtl/>
          </w:rPr>
          <w:t>ת"פ (מחוזי-מרכז) 10348-06-20</w:t>
        </w:r>
      </w:hyperlink>
      <w:r w:rsidR="00205D7E">
        <w:rPr>
          <w:rFonts w:ascii="David" w:hAnsi="David" w:cs="David"/>
          <w:rtl/>
        </w:rPr>
        <w:t xml:space="preserve"> </w:t>
      </w:r>
      <w:r w:rsidR="00205D7E">
        <w:rPr>
          <w:rFonts w:ascii="Miriam" w:hAnsi="Miriam" w:cs="Miriam"/>
          <w:b/>
          <w:bCs/>
          <w:sz w:val="22"/>
          <w:szCs w:val="22"/>
          <w:rtl/>
        </w:rPr>
        <w:t>מדינת ישראל נ' נעים ואח'</w:t>
      </w:r>
      <w:r w:rsidR="00205D7E">
        <w:rPr>
          <w:rFonts w:ascii="David" w:hAnsi="David" w:cs="David"/>
          <w:rtl/>
        </w:rPr>
        <w:t xml:space="preserve"> (14.2.24) – ב"כ הנאשם הפנה לגזר הדין בעניינו של נאשם 1, שלגביו הוצג הסדר טיעון, במסגרתו תעתור המאשימה ל-9 חודשי מאסר בעבודות שירות והנאשם הופנה לשירות המבחן לעריכת תסקיר בעניינו. כב' השופטת גרינברג קבעה "</w:t>
      </w:r>
      <w:r w:rsidR="00205D7E">
        <w:rPr>
          <w:rFonts w:ascii="David" w:hAnsi="David" w:cs="David"/>
          <w:b/>
          <w:bCs/>
          <w:rtl/>
        </w:rPr>
        <w:t>אומר בצורה ברורה וחד משמעית כי רמת הענישה שהגיעו אליה הצדדים במסגרת תיק זה גם בהינתן הקשיים הראייתיים בתיק והעונשים שנגזרו על האחרים בפרשה, היא ברף נמוך עד קיצוני לקולא</w:t>
      </w:r>
      <w:r w:rsidR="00205D7E">
        <w:rPr>
          <w:rFonts w:ascii="David" w:hAnsi="David" w:cs="David"/>
          <w:rtl/>
        </w:rPr>
        <w:t xml:space="preserve">", אך חרף זאת אימצה את הסדר הטיעון ועל נאשם 1 הושתו 9 חודשי מאסר לריצוי בעבודות שירות, מאסר מותנה, 25,000 ₪ קנס ו-13,200 ₪ חילוט. בגזר הדין לא פורטו עבירות הסחר בסמים בהן הורשע נאשם 1, אך לטענת ב"כ הנאשם מדובר ב-3 עבירות סחר בקוקאין במשקל של קרוב לחצי ק"ג בכל עסקה. </w:t>
      </w:r>
    </w:p>
    <w:p w14:paraId="214E3C54" w14:textId="77777777" w:rsidR="00205D7E" w:rsidRDefault="00205D7E" w:rsidP="00205D7E">
      <w:pPr>
        <w:pStyle w:val="a9"/>
        <w:widowControl w:val="0"/>
        <w:snapToGrid w:val="0"/>
        <w:ind w:left="1191"/>
        <w:jc w:val="both"/>
        <w:rPr>
          <w:rFonts w:ascii="David" w:hAnsi="David" w:cs="David"/>
        </w:rPr>
      </w:pPr>
    </w:p>
    <w:p w14:paraId="516D3862" w14:textId="77777777" w:rsidR="00205D7E" w:rsidRDefault="003C0B95" w:rsidP="00205D7E">
      <w:pPr>
        <w:pStyle w:val="a9"/>
        <w:widowControl w:val="0"/>
        <w:numPr>
          <w:ilvl w:val="2"/>
          <w:numId w:val="4"/>
        </w:numPr>
        <w:snapToGrid w:val="0"/>
        <w:spacing w:line="360" w:lineRule="auto"/>
        <w:ind w:left="1191" w:hanging="397"/>
        <w:jc w:val="both"/>
        <w:rPr>
          <w:rFonts w:ascii="David" w:hAnsi="David" w:cs="David"/>
        </w:rPr>
      </w:pPr>
      <w:hyperlink r:id="rId44" w:history="1">
        <w:r w:rsidRPr="003C0B95">
          <w:rPr>
            <w:rFonts w:ascii="David" w:hAnsi="David" w:cs="David"/>
            <w:color w:val="0000FF"/>
            <w:u w:val="single"/>
            <w:rtl/>
          </w:rPr>
          <w:t>עפ"ג (מחוזי-ב"ש) 30178-01-17</w:t>
        </w:r>
      </w:hyperlink>
      <w:r w:rsidR="00205D7E">
        <w:rPr>
          <w:rFonts w:ascii="David" w:hAnsi="David" w:cs="David"/>
          <w:rtl/>
        </w:rPr>
        <w:t xml:space="preserve"> </w:t>
      </w:r>
      <w:r w:rsidR="00205D7E">
        <w:rPr>
          <w:rFonts w:ascii="Miriam" w:hAnsi="Miriam" w:cs="Miriam"/>
          <w:b/>
          <w:bCs/>
          <w:sz w:val="22"/>
          <w:szCs w:val="22"/>
          <w:rtl/>
        </w:rPr>
        <w:t>עוקבי נ' מדינת ישראל</w:t>
      </w:r>
      <w:r w:rsidR="00205D7E">
        <w:rPr>
          <w:rFonts w:ascii="David" w:hAnsi="David" w:cs="David"/>
          <w:b/>
          <w:bCs/>
          <w:sz w:val="22"/>
          <w:szCs w:val="22"/>
          <w:rtl/>
        </w:rPr>
        <w:t xml:space="preserve"> </w:t>
      </w:r>
      <w:r w:rsidR="00205D7E">
        <w:rPr>
          <w:rFonts w:ascii="David" w:hAnsi="David" w:cs="David"/>
          <w:rtl/>
        </w:rPr>
        <w:t>(2.3.17) – התקבל חלקית ערעור על גזר הדין במסגרתו נקבע מתחם 6–15 בגין סחר ב-0.16 גרם קוקאין ו-0.79 גרם הרואין לסוכן משטרתי, תמורת 300 ₪. על צעיר, נעדר עבר פלילי, שהחל טיפול משמעותי בשירות המבחן – הושתו 6 חודשי מאסר בעבודות שירות, מאסרים מותנים, 10,000 ₪ קנס, צו מבחן, 10 חודשי פסילה בפועל, פסילה מותנית וחילוט הכסף שנתפס. בית המשפט המחוזי הפחית הקנס ל-6,000 ₪.</w:t>
      </w:r>
    </w:p>
    <w:p w14:paraId="6618E795" w14:textId="77777777" w:rsidR="00205D7E" w:rsidRDefault="00205D7E" w:rsidP="00205D7E">
      <w:pPr>
        <w:pStyle w:val="a9"/>
        <w:rPr>
          <w:rFonts w:ascii="David" w:hAnsi="David" w:cs="David"/>
        </w:rPr>
      </w:pPr>
    </w:p>
    <w:p w14:paraId="6479331E" w14:textId="77777777" w:rsidR="00205D7E" w:rsidRDefault="003C0B95" w:rsidP="00205D7E">
      <w:pPr>
        <w:pStyle w:val="a9"/>
        <w:widowControl w:val="0"/>
        <w:numPr>
          <w:ilvl w:val="2"/>
          <w:numId w:val="4"/>
        </w:numPr>
        <w:snapToGrid w:val="0"/>
        <w:spacing w:line="360" w:lineRule="auto"/>
        <w:ind w:left="1191" w:hanging="397"/>
        <w:jc w:val="both"/>
        <w:rPr>
          <w:rFonts w:ascii="David" w:hAnsi="David" w:cs="David"/>
          <w:rtl/>
        </w:rPr>
      </w:pPr>
      <w:hyperlink r:id="rId45" w:history="1">
        <w:r w:rsidRPr="003C0B95">
          <w:rPr>
            <w:rFonts w:ascii="David" w:hAnsi="David" w:cs="David"/>
            <w:color w:val="0000FF"/>
            <w:u w:val="single"/>
            <w:rtl/>
          </w:rPr>
          <w:t>עפ"ג (מחוזי-ב"ש) 25920-12-13</w:t>
        </w:r>
      </w:hyperlink>
      <w:r w:rsidR="00205D7E">
        <w:rPr>
          <w:rFonts w:ascii="David" w:hAnsi="David" w:cs="David"/>
          <w:rtl/>
        </w:rPr>
        <w:t xml:space="preserve"> </w:t>
      </w:r>
      <w:r w:rsidR="00205D7E">
        <w:rPr>
          <w:rFonts w:ascii="Miriam" w:hAnsi="Miriam" w:cs="Miriam"/>
          <w:b/>
          <w:bCs/>
          <w:sz w:val="22"/>
          <w:szCs w:val="22"/>
          <w:rtl/>
        </w:rPr>
        <w:t>אל צאנע נ' מדינת ישראל</w:t>
      </w:r>
      <w:r w:rsidR="00205D7E">
        <w:rPr>
          <w:rFonts w:ascii="David" w:hAnsi="David" w:cs="David"/>
          <w:rtl/>
        </w:rPr>
        <w:t xml:space="preserve"> (19.3.14), אליו הפנה ב"כ המאשימה – נדחה ערעור על גזר דין במסגרתו נקבע מתחם 12–36 בגין סחר בכ-10 גרם קוקאין ומתחם 6–20 בגין החזקת כ-8 גרם קוקאין שלא לצריכה עצמית. על מי שבעת ריצוי עבודות שירות פנה לסוכן משטרתי סמוי והציע לו סמים תמורת 450 ₪ - 500 ₪ הושתו 28 חודשי מאסר בפועל, מאסרים מותנים, 4,000 ₪ קנס ו-4 חודשי פסילה, חרף גילו, היותו אב ל-5 ילדים ותוך מתן משקל מועט לעברו הפלילי.</w:t>
      </w:r>
    </w:p>
    <w:p w14:paraId="18AAE6A2" w14:textId="77777777" w:rsidR="00205D7E" w:rsidRDefault="00205D7E" w:rsidP="00205D7E">
      <w:pPr>
        <w:pStyle w:val="a9"/>
        <w:widowControl w:val="0"/>
        <w:snapToGrid w:val="0"/>
        <w:ind w:left="1191"/>
        <w:jc w:val="both"/>
        <w:rPr>
          <w:rFonts w:ascii="David" w:hAnsi="David" w:cs="David"/>
        </w:rPr>
      </w:pPr>
    </w:p>
    <w:p w14:paraId="6F5E9B6E" w14:textId="77777777" w:rsidR="00205D7E" w:rsidRDefault="003C0B95" w:rsidP="00205D7E">
      <w:pPr>
        <w:pStyle w:val="a9"/>
        <w:widowControl w:val="0"/>
        <w:numPr>
          <w:ilvl w:val="2"/>
          <w:numId w:val="4"/>
        </w:numPr>
        <w:snapToGrid w:val="0"/>
        <w:spacing w:line="360" w:lineRule="auto"/>
        <w:ind w:left="1191" w:hanging="397"/>
        <w:jc w:val="both"/>
        <w:rPr>
          <w:rFonts w:ascii="David" w:hAnsi="David" w:cs="David"/>
        </w:rPr>
      </w:pPr>
      <w:hyperlink r:id="rId46" w:history="1">
        <w:r w:rsidRPr="003C0B95">
          <w:rPr>
            <w:rFonts w:ascii="David" w:hAnsi="David" w:cs="David"/>
            <w:color w:val="0000FF"/>
            <w:u w:val="single"/>
            <w:rtl/>
          </w:rPr>
          <w:t>ת"פ (שלום-אשק') 865-03-22</w:t>
        </w:r>
      </w:hyperlink>
      <w:r w:rsidR="00205D7E">
        <w:rPr>
          <w:rFonts w:ascii="David" w:hAnsi="David" w:cs="David"/>
          <w:rtl/>
        </w:rPr>
        <w:t xml:space="preserve"> </w:t>
      </w:r>
      <w:r w:rsidR="00205D7E">
        <w:rPr>
          <w:rFonts w:ascii="Miriam" w:hAnsi="Miriam" w:cs="Miriam"/>
          <w:b/>
          <w:bCs/>
          <w:sz w:val="22"/>
          <w:szCs w:val="22"/>
          <w:rtl/>
        </w:rPr>
        <w:t>מדינת ישראל נ' וועקנין</w:t>
      </w:r>
      <w:r w:rsidR="00205D7E">
        <w:rPr>
          <w:rFonts w:ascii="David" w:hAnsi="David" w:cs="David"/>
          <w:rtl/>
        </w:rPr>
        <w:t xml:space="preserve"> (28.11.22) – ב"כ המאשימה הפנה לגזר הדין בעניין וועקנין, שותפו של הנאשם, אשר בגין הרשעתו בסחר בסמים וסיוע לסחר בסמים, קבעה סגנית הנשיא, כב' השופטת חלפון-נזריאן כי ההסדר אליו הגיעו הצדדים הוא סביר וכי יש לכבדו ומשכך הושתו 23 חודשי מאסר בפועל בניכוי ימי מעצרו, מאסרים מותנים ו-5,000 ₪ התחייבות.</w:t>
      </w:r>
    </w:p>
    <w:p w14:paraId="1B7DCF36" w14:textId="77777777" w:rsidR="00205D7E" w:rsidRDefault="00205D7E" w:rsidP="00205D7E">
      <w:pPr>
        <w:pStyle w:val="a9"/>
        <w:widowControl w:val="0"/>
        <w:rPr>
          <w:rFonts w:ascii="David" w:hAnsi="David" w:cs="David"/>
        </w:rPr>
      </w:pPr>
    </w:p>
    <w:p w14:paraId="44831505" w14:textId="77777777" w:rsidR="00205D7E" w:rsidRDefault="003C0B95" w:rsidP="00205D7E">
      <w:pPr>
        <w:pStyle w:val="a9"/>
        <w:widowControl w:val="0"/>
        <w:numPr>
          <w:ilvl w:val="2"/>
          <w:numId w:val="4"/>
        </w:numPr>
        <w:snapToGrid w:val="0"/>
        <w:spacing w:line="360" w:lineRule="auto"/>
        <w:ind w:left="1191" w:hanging="397"/>
        <w:jc w:val="both"/>
        <w:rPr>
          <w:rFonts w:ascii="David" w:hAnsi="David" w:cs="David"/>
        </w:rPr>
      </w:pPr>
      <w:hyperlink r:id="rId47" w:history="1">
        <w:r w:rsidRPr="003C0B95">
          <w:rPr>
            <w:rFonts w:ascii="David" w:hAnsi="David" w:cs="David"/>
            <w:color w:val="0000FF"/>
            <w:u w:val="single"/>
            <w:rtl/>
          </w:rPr>
          <w:t>ת"פ (שלום-ב"ש) 5781-05-14</w:t>
        </w:r>
      </w:hyperlink>
      <w:r w:rsidR="00205D7E">
        <w:rPr>
          <w:rFonts w:ascii="David" w:hAnsi="David" w:cs="David"/>
          <w:rtl/>
        </w:rPr>
        <w:t xml:space="preserve"> </w:t>
      </w:r>
      <w:r w:rsidR="00205D7E">
        <w:rPr>
          <w:rFonts w:ascii="Miriam" w:hAnsi="Miriam" w:cs="Miriam"/>
          <w:b/>
          <w:bCs/>
          <w:sz w:val="22"/>
          <w:szCs w:val="22"/>
          <w:rtl/>
        </w:rPr>
        <w:t>מדינת ישראל נ' ביטון</w:t>
      </w:r>
      <w:r w:rsidR="00205D7E">
        <w:rPr>
          <w:rFonts w:ascii="David" w:hAnsi="David" w:cs="David"/>
          <w:rtl/>
        </w:rPr>
        <w:t xml:space="preserve"> (26.1.15), אליו הפנתה ב"כ המאשימה – בגין כל עבירת סחר בכ-4 ו-4.5 גרם קוקאין נקבע מתחם 12–24 ובגין סיוע לסחר בכ-2 גרם קוקאין נקבע מתחם 8–16. נקבע כי הסיוע היה ברף הגבוה, שכן הנאשם שם הוא מי ששוחח עם הסוכן, קבע עמו פרטי העסקה ומקום המפגש, העביר את הכסף מהסוכן לאחר ולהיפך. על מי שסחר בסמים בהם לא השתמש, אלא לצורך פתרון קושי כלכלי, אשר שירות המבחן לא בא בהמלצה בעניינו ונקבע "</w:t>
      </w:r>
      <w:r w:rsidR="00205D7E">
        <w:rPr>
          <w:rFonts w:ascii="David" w:hAnsi="David" w:cs="David"/>
          <w:b/>
          <w:bCs/>
          <w:rtl/>
        </w:rPr>
        <w:t>כי אין בפנינו הליך שיקום 'קלאסי'</w:t>
      </w:r>
      <w:r w:rsidR="00205D7E">
        <w:rPr>
          <w:rFonts w:ascii="David" w:hAnsi="David" w:cs="David"/>
          <w:rtl/>
        </w:rPr>
        <w:t xml:space="preserve">", כשלחובתו עבר פלילי, הכולל מאסרים מותנים, תוך התחשבות בנסיבותיו המורכבות – הושתו 25 חודשי מאסר, הופעלו 12 ו-3 חודשי מאסר מותנה במצטבר ובחופף, כך שסך הכול הושתו 33 חודשי מאסר בפועל, מאסרים מותנים ו-5,000 ₪ קנס. </w:t>
      </w:r>
    </w:p>
    <w:p w14:paraId="73CA48D0" w14:textId="77777777" w:rsidR="00205D7E" w:rsidRDefault="00205D7E" w:rsidP="00205D7E">
      <w:pPr>
        <w:pStyle w:val="a9"/>
        <w:widowControl w:val="0"/>
        <w:snapToGrid w:val="0"/>
        <w:spacing w:line="360" w:lineRule="auto"/>
        <w:ind w:left="900"/>
        <w:jc w:val="both"/>
        <w:rPr>
          <w:rFonts w:ascii="David" w:hAnsi="David" w:cs="David"/>
          <w:rtl/>
        </w:rPr>
      </w:pPr>
    </w:p>
    <w:p w14:paraId="32585843" w14:textId="77777777" w:rsidR="00205D7E" w:rsidRDefault="00205D7E" w:rsidP="00205D7E">
      <w:pPr>
        <w:pStyle w:val="a9"/>
        <w:widowControl w:val="0"/>
        <w:numPr>
          <w:ilvl w:val="1"/>
          <w:numId w:val="1"/>
        </w:numPr>
        <w:snapToGrid w:val="0"/>
        <w:spacing w:line="360" w:lineRule="auto"/>
        <w:ind w:left="794" w:hanging="397"/>
        <w:jc w:val="both"/>
        <w:rPr>
          <w:rFonts w:ascii="David" w:hAnsi="David" w:cs="David"/>
        </w:rPr>
      </w:pPr>
      <w:r>
        <w:rPr>
          <w:rFonts w:ascii="David" w:hAnsi="David" w:cs="David"/>
          <w:rtl/>
        </w:rPr>
        <w:t>בפסיקה עוברת כחוט השני חשיבות</w:t>
      </w:r>
      <w:r>
        <w:rPr>
          <w:rFonts w:ascii="David" w:hAnsi="David" w:cs="David"/>
          <w:b/>
          <w:bCs/>
          <w:rtl/>
        </w:rPr>
        <w:t xml:space="preserve"> נסיבות הקשורות בביצוע העבירות</w:t>
      </w:r>
      <w:r>
        <w:rPr>
          <w:rFonts w:ascii="David" w:hAnsi="David" w:cs="David"/>
          <w:rtl/>
        </w:rPr>
        <w:t xml:space="preserve">, בהתאם </w:t>
      </w:r>
      <w:hyperlink r:id="rId48" w:history="1">
        <w:r w:rsidR="00892006" w:rsidRPr="00892006">
          <w:rPr>
            <w:rStyle w:val="Hyperlink"/>
            <w:rFonts w:ascii="David" w:hAnsi="David" w:cs="David"/>
            <w:color w:val="0000FF"/>
            <w:rtl/>
          </w:rPr>
          <w:t>לסעיף 40יט</w:t>
        </w:r>
      </w:hyperlink>
      <w:r>
        <w:rPr>
          <w:rFonts w:ascii="David" w:hAnsi="David" w:cs="David"/>
          <w:rtl/>
        </w:rPr>
        <w:t xml:space="preserve"> ל-</w:t>
      </w:r>
      <w:hyperlink r:id="rId49" w:history="1">
        <w:r w:rsidR="003C0B95" w:rsidRPr="003C0B95">
          <w:rPr>
            <w:rFonts w:ascii="Miriam" w:hAnsi="Miriam" w:cs="Miriam"/>
            <w:b/>
            <w:bCs/>
            <w:color w:val="0000FF"/>
            <w:sz w:val="22"/>
            <w:szCs w:val="22"/>
            <w:u w:val="single"/>
            <w:rtl/>
          </w:rPr>
          <w:t>חוק העונשין</w:t>
        </w:r>
      </w:hyperlink>
      <w:r>
        <w:rPr>
          <w:rFonts w:ascii="David" w:hAnsi="David" w:cs="David"/>
          <w:rtl/>
        </w:rPr>
        <w:t xml:space="preserve">, שכן אין דין עסקה בודדת כדין עיסוק בסחר בסמים ויש לתת את הדעת גם לאופן ביצוע הסחר, תוך שימוש ברכב וביצוע עבירות נוספות, סוגי הסמים, כמותם כמו גם לחלקו של הנאשם. משכך התחשבתי בנסיבות הבאות – </w:t>
      </w:r>
    </w:p>
    <w:p w14:paraId="023ED032" w14:textId="77777777" w:rsidR="00205D7E" w:rsidRDefault="00205D7E" w:rsidP="00205D7E">
      <w:pPr>
        <w:pStyle w:val="a9"/>
        <w:widowControl w:val="0"/>
        <w:snapToGrid w:val="0"/>
        <w:ind w:left="794"/>
        <w:jc w:val="both"/>
        <w:rPr>
          <w:rFonts w:ascii="David" w:hAnsi="David" w:cs="David"/>
        </w:rPr>
      </w:pPr>
    </w:p>
    <w:p w14:paraId="3EC5B713" w14:textId="77777777" w:rsidR="00205D7E" w:rsidRDefault="00205D7E" w:rsidP="00205D7E">
      <w:pPr>
        <w:pStyle w:val="a9"/>
        <w:widowControl w:val="0"/>
        <w:numPr>
          <w:ilvl w:val="0"/>
          <w:numId w:val="2"/>
        </w:numPr>
        <w:spacing w:line="360" w:lineRule="auto"/>
        <w:ind w:left="1191" w:hanging="397"/>
        <w:jc w:val="both"/>
        <w:rPr>
          <w:rFonts w:ascii="David" w:hAnsi="David" w:cs="David"/>
        </w:rPr>
      </w:pPr>
      <w:r>
        <w:rPr>
          <w:rFonts w:ascii="David" w:hAnsi="David" w:cs="David"/>
          <w:rtl/>
        </w:rPr>
        <w:t>תיאום 2 עסקאות הסחר נעשה מול הנאשם, דבר המלמד על</w:t>
      </w:r>
      <w:r>
        <w:rPr>
          <w:rFonts w:ascii="David" w:hAnsi="David" w:cs="David"/>
          <w:b/>
          <w:bCs/>
          <w:rtl/>
        </w:rPr>
        <w:t xml:space="preserve"> התכנון</w:t>
      </w:r>
      <w:r>
        <w:rPr>
          <w:rFonts w:ascii="David" w:hAnsi="David" w:cs="David"/>
          <w:rtl/>
        </w:rPr>
        <w:t xml:space="preserve"> שקדם לביצוע העבירות ועל </w:t>
      </w:r>
      <w:r>
        <w:rPr>
          <w:rFonts w:ascii="David" w:hAnsi="David" w:cs="David"/>
          <w:b/>
          <w:bCs/>
          <w:rtl/>
        </w:rPr>
        <w:t>זמינות</w:t>
      </w:r>
      <w:r>
        <w:rPr>
          <w:rFonts w:ascii="David" w:hAnsi="David" w:cs="David"/>
          <w:rtl/>
        </w:rPr>
        <w:t xml:space="preserve"> הסם עבור הנאשם, כנטען על ידי המאשימה. מקובלת עלי גם טענת ב"כ המאשימה כי מריבוי העבירות, שבוצעו </w:t>
      </w:r>
      <w:r>
        <w:rPr>
          <w:rFonts w:ascii="David" w:hAnsi="David" w:cs="David"/>
          <w:b/>
          <w:bCs/>
          <w:rtl/>
        </w:rPr>
        <w:t>בפער של כשבועיים</w:t>
      </w:r>
      <w:r>
        <w:rPr>
          <w:rFonts w:ascii="David" w:hAnsi="David" w:cs="David"/>
          <w:rtl/>
        </w:rPr>
        <w:t xml:space="preserve">, עולה כי לא מדובר במעידה חד-פעמית ועל כך שהנאשם נטוע עמוק בעולם הסמים. </w:t>
      </w:r>
    </w:p>
    <w:p w14:paraId="420D347D" w14:textId="77777777" w:rsidR="00205D7E" w:rsidRDefault="00205D7E" w:rsidP="00205D7E">
      <w:pPr>
        <w:pStyle w:val="a9"/>
        <w:widowControl w:val="0"/>
        <w:ind w:left="794"/>
        <w:jc w:val="both"/>
        <w:rPr>
          <w:rFonts w:ascii="David" w:hAnsi="David" w:cs="David"/>
        </w:rPr>
      </w:pPr>
    </w:p>
    <w:p w14:paraId="0FA36F10" w14:textId="77777777" w:rsidR="00205D7E" w:rsidRDefault="00205D7E" w:rsidP="00205D7E">
      <w:pPr>
        <w:pStyle w:val="a9"/>
        <w:widowControl w:val="0"/>
        <w:numPr>
          <w:ilvl w:val="0"/>
          <w:numId w:val="2"/>
        </w:numPr>
        <w:spacing w:line="360" w:lineRule="auto"/>
        <w:ind w:left="1191" w:hanging="397"/>
        <w:jc w:val="both"/>
        <w:rPr>
          <w:rFonts w:ascii="David" w:hAnsi="David" w:cs="David"/>
        </w:rPr>
      </w:pPr>
      <w:r>
        <w:rPr>
          <w:rFonts w:ascii="David" w:hAnsi="David" w:cs="David"/>
          <w:rtl/>
        </w:rPr>
        <w:t>קוקאין הוא אחד הסמים המסוכנים והקטלניים שב-</w:t>
      </w:r>
      <w:r>
        <w:rPr>
          <w:rFonts w:ascii="Miriam" w:hAnsi="Miriam" w:cs="Miriam"/>
          <w:b/>
          <w:bCs/>
          <w:sz w:val="22"/>
          <w:szCs w:val="22"/>
          <w:rtl/>
        </w:rPr>
        <w:t>פקודת הסמים</w:t>
      </w:r>
      <w:r>
        <w:rPr>
          <w:rFonts w:ascii="David" w:hAnsi="David" w:cs="David"/>
          <w:rtl/>
        </w:rPr>
        <w:t>. נפסק לא אחת, כי "</w:t>
      </w:r>
      <w:r>
        <w:rPr>
          <w:rFonts w:ascii="David" w:hAnsi="David" w:cs="David"/>
          <w:b/>
          <w:bCs/>
          <w:rtl/>
        </w:rPr>
        <w:t>הקוקאין הוא מן הנפוצים שבסמים ה'קשים', שסכנותיהם ונזקיהם ידועים</w:t>
      </w:r>
      <w:r>
        <w:rPr>
          <w:rFonts w:ascii="David" w:hAnsi="David" w:cs="David"/>
          <w:rtl/>
        </w:rPr>
        <w:t>" [סעיף 10 לפסק דינו של של כב' הש' סולברג ב-</w:t>
      </w:r>
      <w:hyperlink r:id="rId50" w:history="1">
        <w:r w:rsidR="003C0B95" w:rsidRPr="003C0B95">
          <w:rPr>
            <w:rFonts w:ascii="David" w:hAnsi="David" w:cs="David"/>
            <w:color w:val="0000FF"/>
            <w:u w:val="single"/>
            <w:rtl/>
          </w:rPr>
          <w:t>ע"פ 4522/18</w:t>
        </w:r>
      </w:hyperlink>
      <w:r>
        <w:rPr>
          <w:rFonts w:ascii="David" w:hAnsi="David" w:cs="David"/>
          <w:rtl/>
        </w:rPr>
        <w:t xml:space="preserve"> </w:t>
      </w:r>
      <w:r>
        <w:rPr>
          <w:rFonts w:ascii="Miriam" w:hAnsi="Miriam" w:cs="Miriam"/>
          <w:b/>
          <w:bCs/>
          <w:sz w:val="22"/>
          <w:szCs w:val="22"/>
          <w:rtl/>
        </w:rPr>
        <w:t>אסאבן נ' מדינת ישראל</w:t>
      </w:r>
      <w:r>
        <w:rPr>
          <w:rFonts w:ascii="David" w:hAnsi="David" w:cs="David"/>
          <w:b/>
          <w:bCs/>
          <w:sz w:val="22"/>
          <w:szCs w:val="22"/>
          <w:rtl/>
        </w:rPr>
        <w:t xml:space="preserve"> </w:t>
      </w:r>
      <w:r>
        <w:rPr>
          <w:rFonts w:ascii="David" w:hAnsi="David" w:cs="David"/>
          <w:rtl/>
        </w:rPr>
        <w:t>(‏11.11.18) והאסמכתאות שם]. המשנה לנשיאה, כב' הש' רובינשטיין אף קבע "</w:t>
      </w:r>
      <w:r>
        <w:rPr>
          <w:rFonts w:ascii="David" w:hAnsi="David" w:cs="David"/>
          <w:b/>
          <w:bCs/>
          <w:rtl/>
        </w:rPr>
        <w:t>קוקאין, סם המוות סדרתי שכוחו עמו לגרום רע</w:t>
      </w:r>
      <w:r>
        <w:rPr>
          <w:rFonts w:ascii="David" w:hAnsi="David" w:cs="David"/>
          <w:rtl/>
        </w:rPr>
        <w:t>" [פסקה ג' ב-</w:t>
      </w:r>
      <w:hyperlink r:id="rId51" w:history="1">
        <w:r w:rsidR="003C0B95" w:rsidRPr="003C0B95">
          <w:rPr>
            <w:rFonts w:ascii="David" w:hAnsi="David" w:cs="David"/>
            <w:color w:val="0000FF"/>
            <w:u w:val="single"/>
            <w:rtl/>
          </w:rPr>
          <w:t>ע"פ 7952/15</w:t>
        </w:r>
      </w:hyperlink>
      <w:r>
        <w:rPr>
          <w:rFonts w:ascii="David" w:hAnsi="David" w:cs="David"/>
          <w:rtl/>
        </w:rPr>
        <w:t xml:space="preserve"> </w:t>
      </w:r>
      <w:r>
        <w:rPr>
          <w:rFonts w:ascii="Miriam" w:hAnsi="Miriam" w:cs="Miriam"/>
          <w:b/>
          <w:bCs/>
          <w:sz w:val="22"/>
          <w:szCs w:val="22"/>
          <w:rtl/>
        </w:rPr>
        <w:t>מדינת ישראל נ' שץ</w:t>
      </w:r>
      <w:r>
        <w:rPr>
          <w:rFonts w:ascii="David" w:hAnsi="David" w:cs="David"/>
          <w:b/>
          <w:bCs/>
          <w:sz w:val="22"/>
          <w:szCs w:val="22"/>
          <w:rtl/>
        </w:rPr>
        <w:t xml:space="preserve"> </w:t>
      </w:r>
      <w:r>
        <w:rPr>
          <w:rFonts w:ascii="David" w:hAnsi="David" w:cs="David"/>
          <w:rtl/>
        </w:rPr>
        <w:t>(15.2.16)]. הנאשם סחר מלמעלה מפי 23 באירוע הראשון ולמעלה מפי 33 באירוע השני של כמות הסם הקבועה ב-</w:t>
      </w:r>
      <w:r>
        <w:rPr>
          <w:rFonts w:ascii="Miriam" w:hAnsi="Miriam" w:cs="Miriam"/>
          <w:b/>
          <w:bCs/>
          <w:sz w:val="22"/>
          <w:szCs w:val="22"/>
          <w:rtl/>
        </w:rPr>
        <w:t xml:space="preserve">פקודת הסמים </w:t>
      </w:r>
      <w:r>
        <w:rPr>
          <w:rFonts w:ascii="David" w:hAnsi="David" w:cs="David"/>
          <w:rtl/>
        </w:rPr>
        <w:t>כחזקה לשימוש עצמי. הגם ש</w:t>
      </w:r>
      <w:r>
        <w:rPr>
          <w:rFonts w:ascii="David" w:hAnsi="David" w:cs="David"/>
          <w:b/>
          <w:bCs/>
          <w:rtl/>
        </w:rPr>
        <w:t xml:space="preserve">בפועל הנזק שנגרם מביצוע העבירות לא רב </w:t>
      </w:r>
      <w:r>
        <w:rPr>
          <w:rFonts w:ascii="David" w:hAnsi="David" w:cs="David"/>
          <w:rtl/>
        </w:rPr>
        <w:t xml:space="preserve">משום שהמכירה היתה לסוכן – כמות מנות הסם שניתן היה להפיק מכמויות הקוקאין בהן סחר הנאשם בכל אחד מהאירועים מלמדת </w:t>
      </w:r>
      <w:r>
        <w:rPr>
          <w:rFonts w:ascii="David" w:hAnsi="David" w:cs="David"/>
          <w:b/>
          <w:bCs/>
          <w:rtl/>
        </w:rPr>
        <w:t>היקף הנזק הרב שהיה צפוי להיגרם מביצוע העבירות</w:t>
      </w:r>
      <w:r>
        <w:rPr>
          <w:rFonts w:ascii="David" w:hAnsi="David" w:cs="David"/>
          <w:rtl/>
        </w:rPr>
        <w:t xml:space="preserve">, כנטען על ידי ב"כ המאשימה. </w:t>
      </w:r>
    </w:p>
    <w:p w14:paraId="0BE86F83" w14:textId="77777777" w:rsidR="00205D7E" w:rsidRDefault="00205D7E" w:rsidP="00205D7E">
      <w:pPr>
        <w:pStyle w:val="a9"/>
        <w:rPr>
          <w:rFonts w:ascii="David" w:hAnsi="David" w:cs="David"/>
        </w:rPr>
      </w:pPr>
    </w:p>
    <w:p w14:paraId="6F0ABEFE" w14:textId="77777777" w:rsidR="00205D7E" w:rsidRDefault="00205D7E" w:rsidP="00205D7E">
      <w:pPr>
        <w:pStyle w:val="a9"/>
        <w:widowControl w:val="0"/>
        <w:numPr>
          <w:ilvl w:val="0"/>
          <w:numId w:val="2"/>
        </w:numPr>
        <w:spacing w:line="360" w:lineRule="auto"/>
        <w:ind w:left="1191" w:hanging="397"/>
        <w:jc w:val="both"/>
        <w:rPr>
          <w:rFonts w:ascii="David" w:hAnsi="David" w:cs="David"/>
          <w:rtl/>
        </w:rPr>
      </w:pPr>
      <w:r>
        <w:rPr>
          <w:rFonts w:ascii="David" w:hAnsi="David" w:cs="David"/>
          <w:b/>
          <w:bCs/>
          <w:rtl/>
        </w:rPr>
        <w:t>חלקו היחסי של הנאשם</w:t>
      </w:r>
      <w:r>
        <w:rPr>
          <w:rFonts w:ascii="David" w:hAnsi="David" w:cs="David"/>
          <w:rtl/>
        </w:rPr>
        <w:t xml:space="preserve"> בביצוע העבירות שונה בכל אחד מהאירועים. באירוע הראשון הנאשם הוא המבצע העיקרי וחלקו רב משל וועקנין. באירוע השני הנאשם הורשע כמסייע ומשכך חלקו היחסי פחות. </w:t>
      </w:r>
      <w:r>
        <w:rPr>
          <w:rFonts w:ascii="David" w:hAnsi="David" w:cs="David"/>
          <w:b/>
          <w:rtl/>
        </w:rPr>
        <w:t>אמנם "</w:t>
      </w:r>
      <w:r>
        <w:rPr>
          <w:rFonts w:ascii="David" w:hAnsi="David" w:cs="David"/>
          <w:bCs/>
          <w:rtl/>
        </w:rPr>
        <w:t>ככלל, המסייע הוא שותף עקיף ומשני למבצע העבירה</w:t>
      </w:r>
      <w:r>
        <w:rPr>
          <w:rFonts w:ascii="David" w:hAnsi="David" w:cs="David"/>
          <w:b/>
          <w:rtl/>
        </w:rPr>
        <w:t xml:space="preserve">;... </w:t>
      </w:r>
      <w:r>
        <w:rPr>
          <w:rFonts w:ascii="David" w:hAnsi="David" w:cs="David"/>
          <w:bCs/>
          <w:rtl/>
        </w:rPr>
        <w:t>ותרומתו מתבטאת ב'יצירת התנאים' לביצוע העבירה על ידי העבריין העיקרי. תרומתו היא בגדר 'אמצעי עזר' (פיזי או נפשי) של שותף עקיף ומשני</w:t>
      </w:r>
      <w:r>
        <w:rPr>
          <w:rFonts w:ascii="David" w:hAnsi="David" w:cs="David"/>
          <w:b/>
          <w:rtl/>
        </w:rPr>
        <w:t xml:space="preserve"> (...)" – אולם "</w:t>
      </w:r>
      <w:r>
        <w:rPr>
          <w:rFonts w:ascii="David" w:hAnsi="David" w:cs="David"/>
          <w:bCs/>
          <w:rtl/>
        </w:rPr>
        <w:t>גם סיוע עשוי להיות, מטבע המציאות, בדרגות שונות של חומרה, אשר גם אם אינן מוציאות את העבריין מהגדרת מסייע, יכולות בהחלט להשפיע על הענישה, וכך גם צו השכל הישר</w:t>
      </w:r>
      <w:r>
        <w:rPr>
          <w:rFonts w:ascii="David" w:hAnsi="David" w:cs="David"/>
          <w:b/>
          <w:rtl/>
        </w:rPr>
        <w:t xml:space="preserve">" [ראו </w:t>
      </w:r>
      <w:r>
        <w:rPr>
          <w:rFonts w:ascii="David" w:hAnsi="David" w:cs="David"/>
          <w:rtl/>
        </w:rPr>
        <w:t>פסקה ל"ב לפסק דינו של כב' הש' רובינשטיין (כתוארו אז) ב-</w:t>
      </w:r>
      <w:r>
        <w:rPr>
          <w:rFonts w:ascii="Miriam" w:hAnsi="Miriam" w:cs="Miriam"/>
          <w:bCs/>
          <w:sz w:val="22"/>
          <w:szCs w:val="22"/>
          <w:rtl/>
          <w:lang w:eastAsia="he-IL"/>
        </w:rPr>
        <w:t>פס"ד פדידה</w:t>
      </w:r>
      <w:r>
        <w:rPr>
          <w:rFonts w:ascii="David" w:hAnsi="David" w:cs="David"/>
          <w:b/>
          <w:rtl/>
        </w:rPr>
        <w:t>].</w:t>
      </w:r>
      <w:r>
        <w:rPr>
          <w:rFonts w:ascii="David" w:hAnsi="David" w:cs="David"/>
          <w:rtl/>
        </w:rPr>
        <w:t xml:space="preserve"> בעניינו, חלקו של הנאשם באירוע השני לא מבוטל. הנאשם הוא מי ששוחח עם הסוכן ושקל את גוש הקוקאין אותו בישל.</w:t>
      </w:r>
    </w:p>
    <w:p w14:paraId="0A4DFE47" w14:textId="77777777" w:rsidR="00205D7E" w:rsidRDefault="00205D7E" w:rsidP="00205D7E">
      <w:pPr>
        <w:pStyle w:val="a9"/>
        <w:widowControl w:val="0"/>
        <w:ind w:left="794"/>
        <w:jc w:val="both"/>
        <w:rPr>
          <w:rFonts w:ascii="David" w:hAnsi="David" w:cs="David"/>
        </w:rPr>
      </w:pPr>
    </w:p>
    <w:p w14:paraId="6D20A1C3" w14:textId="77777777" w:rsidR="00205D7E" w:rsidRDefault="00205D7E" w:rsidP="00205D7E">
      <w:pPr>
        <w:pStyle w:val="a9"/>
        <w:widowControl w:val="0"/>
        <w:numPr>
          <w:ilvl w:val="0"/>
          <w:numId w:val="2"/>
        </w:numPr>
        <w:spacing w:line="360" w:lineRule="auto"/>
        <w:ind w:left="1191" w:hanging="397"/>
        <w:jc w:val="both"/>
        <w:rPr>
          <w:rFonts w:ascii="David" w:hAnsi="David" w:cs="David"/>
        </w:rPr>
      </w:pPr>
      <w:r>
        <w:rPr>
          <w:rFonts w:ascii="David" w:hAnsi="David" w:cs="David"/>
          <w:b/>
          <w:bCs/>
          <w:rtl/>
        </w:rPr>
        <w:t>הסיבות שהביאו את הנאשם לבצע את העבירה</w:t>
      </w:r>
      <w:r>
        <w:rPr>
          <w:rFonts w:ascii="David" w:hAnsi="David" w:cs="David"/>
          <w:rtl/>
        </w:rPr>
        <w:t xml:space="preserve"> – כאשר מדובר בסחר ב-7 גרם קוקאין וסיוע לסחר ב-10 גרם קוקאין, ברי שהסיבה העיקרית לביצוע העבירות היא בצע כסף, כטענת ב"כ המאשימה. </w:t>
      </w:r>
    </w:p>
    <w:p w14:paraId="17EAA9FB" w14:textId="77777777" w:rsidR="00205D7E" w:rsidRDefault="00205D7E" w:rsidP="00205D7E">
      <w:pPr>
        <w:pStyle w:val="a9"/>
        <w:widowControl w:val="0"/>
        <w:spacing w:line="360" w:lineRule="auto"/>
        <w:ind w:left="794"/>
        <w:jc w:val="both"/>
        <w:rPr>
          <w:rFonts w:ascii="David" w:hAnsi="David" w:cs="David"/>
        </w:rPr>
      </w:pPr>
    </w:p>
    <w:p w14:paraId="2087CAA4" w14:textId="77777777" w:rsidR="00205D7E" w:rsidRDefault="00205D7E" w:rsidP="00205D7E">
      <w:pPr>
        <w:widowControl w:val="0"/>
        <w:spacing w:line="360" w:lineRule="auto"/>
        <w:rPr>
          <w:rFonts w:ascii="David" w:hAnsi="David"/>
          <w:bCs/>
          <w:sz w:val="26"/>
          <w:szCs w:val="26"/>
        </w:rPr>
      </w:pPr>
      <w:r>
        <w:rPr>
          <w:rFonts w:ascii="David" w:hAnsi="David"/>
          <w:bCs/>
          <w:sz w:val="26"/>
          <w:szCs w:val="26"/>
          <w:rtl/>
        </w:rPr>
        <w:t>מתחמי העונש ההולמים</w:t>
      </w:r>
    </w:p>
    <w:p w14:paraId="1475C1DC" w14:textId="77777777" w:rsidR="00205D7E" w:rsidRDefault="00205D7E" w:rsidP="00205D7E">
      <w:pPr>
        <w:pStyle w:val="a9"/>
        <w:widowControl w:val="0"/>
        <w:numPr>
          <w:ilvl w:val="0"/>
          <w:numId w:val="1"/>
        </w:numPr>
        <w:snapToGrid w:val="0"/>
        <w:spacing w:line="360" w:lineRule="auto"/>
        <w:ind w:left="357" w:hanging="357"/>
        <w:jc w:val="both"/>
        <w:rPr>
          <w:rFonts w:ascii="David" w:hAnsi="David" w:cs="David"/>
          <w:b/>
          <w:rtl/>
        </w:rPr>
      </w:pPr>
      <w:r>
        <w:rPr>
          <w:rFonts w:ascii="David" w:hAnsi="David" w:cs="David"/>
          <w:rtl/>
        </w:rPr>
        <w:t xml:space="preserve">הנאשם הורשע ב-2 עבירות המהוות 2 אירועים, ומשכך אני קובעת מתחם עונש הולם </w:t>
      </w:r>
      <w:r>
        <w:rPr>
          <w:rFonts w:ascii="David" w:hAnsi="David" w:cs="David"/>
          <w:b/>
          <w:rtl/>
        </w:rPr>
        <w:t xml:space="preserve">לכל אחד מאירועים, </w:t>
      </w:r>
      <w:r>
        <w:rPr>
          <w:rFonts w:ascii="David" w:hAnsi="David" w:cs="David"/>
          <w:rtl/>
        </w:rPr>
        <w:t xml:space="preserve">תוך התחשבות בכמויות הסמים, עלותם וחלקו של הנאשם בכל אירוע, </w:t>
      </w:r>
      <w:r>
        <w:rPr>
          <w:rFonts w:ascii="David" w:hAnsi="David" w:cs="David"/>
          <w:b/>
          <w:bCs/>
          <w:rtl/>
        </w:rPr>
        <w:t>כמתחם 12–30 חודשי מאסר, לצד ענישה נלווית, הכוללת מאסרים מותנים, עיצומים כלכליים ופסילה</w:t>
      </w:r>
      <w:r>
        <w:rPr>
          <w:rFonts w:ascii="David" w:hAnsi="David" w:cs="David"/>
          <w:rtl/>
        </w:rPr>
        <w:t xml:space="preserve">. </w:t>
      </w:r>
    </w:p>
    <w:p w14:paraId="049AC4F4" w14:textId="77777777" w:rsidR="00205D7E" w:rsidRDefault="00205D7E" w:rsidP="00205D7E">
      <w:pPr>
        <w:pStyle w:val="a9"/>
        <w:widowControl w:val="0"/>
        <w:snapToGrid w:val="0"/>
        <w:spacing w:line="360" w:lineRule="auto"/>
        <w:ind w:left="357"/>
        <w:jc w:val="both"/>
        <w:rPr>
          <w:rFonts w:ascii="David" w:hAnsi="David" w:cs="David"/>
          <w:b/>
        </w:rPr>
      </w:pPr>
    </w:p>
    <w:p w14:paraId="408288AD" w14:textId="77777777" w:rsidR="00205D7E" w:rsidRDefault="00205D7E" w:rsidP="00205D7E">
      <w:pPr>
        <w:pStyle w:val="a9"/>
        <w:widowControl w:val="0"/>
        <w:numPr>
          <w:ilvl w:val="0"/>
          <w:numId w:val="1"/>
        </w:numPr>
        <w:snapToGrid w:val="0"/>
        <w:spacing w:line="360" w:lineRule="auto"/>
        <w:ind w:left="357" w:hanging="357"/>
        <w:jc w:val="both"/>
        <w:rPr>
          <w:rFonts w:ascii="David" w:hAnsi="David" w:cs="David"/>
          <w:b/>
          <w:rtl/>
        </w:rPr>
      </w:pPr>
      <w:r>
        <w:rPr>
          <w:rFonts w:ascii="David" w:hAnsi="David" w:cs="David"/>
          <w:rtl/>
        </w:rPr>
        <w:t xml:space="preserve">עבירות הסמים הן עבירות קלות לביצוע אך קשות לתפיסה, אשר מבוצעות למטרת בצע כסף ואשר פגיעתן הרעה בציבור מטילה נטל כלכלי כבד על החברה כולה – ככאלו יש להשית בגינן עיצומים כלכליים שישפיעו על הכדאיות שבביצוען, כטענת ב"כ המאשימה. בהתאם </w:t>
      </w:r>
      <w:hyperlink r:id="rId52" w:history="1">
        <w:r w:rsidR="00892006" w:rsidRPr="00892006">
          <w:rPr>
            <w:rStyle w:val="Hyperlink"/>
            <w:rFonts w:ascii="David" w:hAnsi="David" w:cs="David"/>
            <w:color w:val="0000FF"/>
            <w:rtl/>
          </w:rPr>
          <w:t>לסעיף 32</w:t>
        </w:r>
      </w:hyperlink>
      <w:r>
        <w:rPr>
          <w:rFonts w:ascii="David" w:hAnsi="David" w:cs="David"/>
          <w:rtl/>
        </w:rPr>
        <w:t xml:space="preserve"> ל-</w:t>
      </w:r>
      <w:r>
        <w:rPr>
          <w:rFonts w:ascii="Miriam" w:hAnsi="Miriam" w:cs="Miriam"/>
          <w:b/>
          <w:bCs/>
          <w:sz w:val="22"/>
          <w:szCs w:val="22"/>
          <w:rtl/>
        </w:rPr>
        <w:t>פקודת הסמים</w:t>
      </w:r>
      <w:r>
        <w:rPr>
          <w:rFonts w:ascii="David" w:hAnsi="David" w:cs="David"/>
          <w:rtl/>
        </w:rPr>
        <w:t xml:space="preserve">, ניתן להשית קנס בסכום שהוא פי 5 משווי הסם בו נעברה העבירה או שווי טובת ההנאה. בעניינו, באישום הראשון סחר הנאשם ב-7 גרם קוקאין תמורת 3,000 ₪ ובאישום השני סייע לסחר ב-10 גרם קוקאין תמורת 7,000 ₪. כך, סכום הקנס המצטבר שניתן להשית על הנאשם עומד על 32,500 ₪ (בחישוב מחצית הסכום באירוע השני). לצד זאת, בהתאם </w:t>
      </w:r>
      <w:hyperlink r:id="rId53" w:history="1">
        <w:r w:rsidR="00892006" w:rsidRPr="00892006">
          <w:rPr>
            <w:rStyle w:val="Hyperlink"/>
            <w:rFonts w:ascii="David" w:hAnsi="David" w:cs="David"/>
            <w:color w:val="0000FF"/>
            <w:rtl/>
          </w:rPr>
          <w:t>לסעיף 40ח'</w:t>
        </w:r>
      </w:hyperlink>
      <w:r>
        <w:rPr>
          <w:rFonts w:ascii="David" w:hAnsi="David" w:cs="David"/>
          <w:rtl/>
        </w:rPr>
        <w:t xml:space="preserve"> ל-</w:t>
      </w:r>
      <w:hyperlink r:id="rId54" w:history="1">
        <w:r w:rsidR="003C0B95" w:rsidRPr="003C0B95">
          <w:rPr>
            <w:rFonts w:ascii="Miriam" w:hAnsi="Miriam" w:cs="Miriam"/>
            <w:b/>
            <w:bCs/>
            <w:color w:val="0000FF"/>
            <w:sz w:val="22"/>
            <w:szCs w:val="22"/>
            <w:u w:val="single"/>
            <w:rtl/>
          </w:rPr>
          <w:t>חוק העונשין</w:t>
        </w:r>
      </w:hyperlink>
      <w:r>
        <w:rPr>
          <w:rFonts w:ascii="David" w:hAnsi="David" w:cs="David"/>
          <w:rtl/>
        </w:rPr>
        <w:t xml:space="preserve">, בקביעת מתחם הקנס ההולם שומה על בית המשפט לבחון היכולת הכלכלית של הנאשם, כחלק מהשיקולים לקביעת מתחם הקנס, שכן לא הרי פלוני כאלמוני. מטעם ההגנה לא הוגשו אסמכתאות המעידות על מצב כלכלי קשה, אך חרף זאת נתתי דעתי למצב הכלכלי המורכב של הנאשם במסגרת קביעת </w:t>
      </w:r>
      <w:r>
        <w:rPr>
          <w:rFonts w:ascii="David" w:hAnsi="David" w:cs="David"/>
          <w:b/>
          <w:bCs/>
          <w:rtl/>
        </w:rPr>
        <w:t>מתחם הקנס, שיעמוד על 2,500 ₪-10,000 ₪</w:t>
      </w:r>
      <w:r>
        <w:rPr>
          <w:rFonts w:ascii="David" w:hAnsi="David" w:cs="David"/>
          <w:rtl/>
        </w:rPr>
        <w:t xml:space="preserve"> בכל אירוע. </w:t>
      </w:r>
    </w:p>
    <w:p w14:paraId="6AC22BFD" w14:textId="77777777" w:rsidR="00205D7E" w:rsidRDefault="00205D7E" w:rsidP="00205D7E">
      <w:pPr>
        <w:pStyle w:val="a9"/>
        <w:widowControl w:val="0"/>
        <w:spacing w:line="360" w:lineRule="auto"/>
        <w:rPr>
          <w:rFonts w:ascii="David" w:hAnsi="David" w:cs="David"/>
          <w:b/>
        </w:rPr>
      </w:pPr>
    </w:p>
    <w:p w14:paraId="361E6C44" w14:textId="77777777" w:rsidR="00205D7E" w:rsidRDefault="00205D7E" w:rsidP="00205D7E">
      <w:pPr>
        <w:pStyle w:val="a9"/>
        <w:widowControl w:val="0"/>
        <w:numPr>
          <w:ilvl w:val="0"/>
          <w:numId w:val="1"/>
        </w:numPr>
        <w:snapToGrid w:val="0"/>
        <w:spacing w:line="360" w:lineRule="auto"/>
        <w:ind w:left="357" w:hanging="357"/>
        <w:jc w:val="both"/>
        <w:rPr>
          <w:rFonts w:ascii="David" w:hAnsi="David" w:cs="David"/>
          <w:b/>
          <w:rtl/>
        </w:rPr>
      </w:pPr>
      <w:r>
        <w:rPr>
          <w:rFonts w:ascii="David" w:hAnsi="David" w:cs="David"/>
          <w:rtl/>
          <w:lang w:eastAsia="he-IL"/>
        </w:rPr>
        <w:t xml:space="preserve">כפי שנקבע בפסיקה ובהתאם להוראות </w:t>
      </w:r>
      <w:hyperlink r:id="rId55" w:history="1">
        <w:r w:rsidR="00892006" w:rsidRPr="00892006">
          <w:rPr>
            <w:rStyle w:val="Hyperlink"/>
            <w:rFonts w:ascii="David" w:hAnsi="David" w:cs="David"/>
            <w:color w:val="0000FF"/>
            <w:rtl/>
            <w:lang w:eastAsia="he-IL"/>
          </w:rPr>
          <w:t>סעיף 37א</w:t>
        </w:r>
      </w:hyperlink>
      <w:r>
        <w:rPr>
          <w:rFonts w:ascii="David" w:hAnsi="David" w:cs="David"/>
          <w:rtl/>
          <w:lang w:eastAsia="he-IL"/>
        </w:rPr>
        <w:t xml:space="preserve"> ל-</w:t>
      </w:r>
      <w:r>
        <w:rPr>
          <w:rFonts w:ascii="Miriam" w:hAnsi="Miriam" w:cs="Miriam"/>
          <w:b/>
          <w:bCs/>
          <w:sz w:val="22"/>
          <w:szCs w:val="22"/>
          <w:rtl/>
          <w:lang w:eastAsia="he-IL"/>
        </w:rPr>
        <w:t>פקודת הסמים</w:t>
      </w:r>
      <w:r>
        <w:rPr>
          <w:rFonts w:ascii="David" w:hAnsi="David" w:cs="David"/>
          <w:rtl/>
          <w:lang w:eastAsia="he-IL"/>
        </w:rPr>
        <w:t>, בעבירות הקשורות בסם מסוכן יש חשיבות לפסילה</w:t>
      </w:r>
      <w:r>
        <w:rPr>
          <w:rFonts w:ascii="David" w:hAnsi="David" w:cs="David"/>
          <w:b/>
          <w:rtl/>
        </w:rPr>
        <w:t xml:space="preserve">. מתחם פסילה נע מפסילה מותנית עד שנת פסילה בפועל לכל אירוע. </w:t>
      </w:r>
    </w:p>
    <w:p w14:paraId="482C40FF" w14:textId="77777777" w:rsidR="00205D7E" w:rsidRDefault="00205D7E" w:rsidP="00205D7E">
      <w:pPr>
        <w:widowControl w:val="0"/>
        <w:spacing w:line="360" w:lineRule="auto"/>
        <w:rPr>
          <w:rFonts w:ascii="David" w:hAnsi="David"/>
          <w:bCs/>
          <w:sz w:val="26"/>
          <w:szCs w:val="26"/>
        </w:rPr>
      </w:pPr>
    </w:p>
    <w:p w14:paraId="64C65DBC" w14:textId="77777777" w:rsidR="00205D7E" w:rsidRDefault="00205D7E" w:rsidP="00205D7E">
      <w:pPr>
        <w:widowControl w:val="0"/>
        <w:spacing w:line="360" w:lineRule="auto"/>
        <w:rPr>
          <w:rFonts w:ascii="David" w:hAnsi="David"/>
          <w:bCs/>
          <w:sz w:val="26"/>
          <w:szCs w:val="26"/>
          <w:rtl/>
        </w:rPr>
      </w:pPr>
      <w:r>
        <w:rPr>
          <w:rFonts w:ascii="David" w:hAnsi="David"/>
          <w:bCs/>
          <w:sz w:val="26"/>
          <w:szCs w:val="26"/>
          <w:rtl/>
        </w:rPr>
        <w:t>גזירת העונש המתאים לנאשם, חריגה משיקולי שיקום והארכת מאסר מותנה</w:t>
      </w:r>
    </w:p>
    <w:p w14:paraId="2906F31A" w14:textId="77777777" w:rsidR="00205D7E" w:rsidRDefault="00205D7E" w:rsidP="00205D7E">
      <w:pPr>
        <w:pStyle w:val="a9"/>
        <w:widowControl w:val="0"/>
        <w:numPr>
          <w:ilvl w:val="0"/>
          <w:numId w:val="1"/>
        </w:numPr>
        <w:snapToGrid w:val="0"/>
        <w:spacing w:line="360" w:lineRule="auto"/>
        <w:ind w:left="397" w:hanging="397"/>
        <w:jc w:val="both"/>
        <w:rPr>
          <w:rFonts w:ascii="David" w:hAnsi="David" w:cs="David"/>
        </w:rPr>
      </w:pPr>
      <w:r>
        <w:rPr>
          <w:rFonts w:ascii="David" w:hAnsi="David" w:cs="David"/>
          <w:b/>
          <w:rtl/>
        </w:rPr>
        <w:t xml:space="preserve">הבחינה אם יש מקום לחרוג ממתחמי העונש בשל שיקולי שיקום, בהתאם </w:t>
      </w:r>
      <w:hyperlink r:id="rId56" w:history="1">
        <w:r w:rsidR="00892006" w:rsidRPr="00892006">
          <w:rPr>
            <w:rStyle w:val="Hyperlink"/>
            <w:rFonts w:ascii="David" w:hAnsi="David" w:cs="David"/>
            <w:b/>
            <w:color w:val="0000FF"/>
            <w:rtl/>
          </w:rPr>
          <w:t>לסעיף 40ד</w:t>
        </w:r>
      </w:hyperlink>
      <w:r>
        <w:rPr>
          <w:rFonts w:ascii="David" w:hAnsi="David" w:cs="David"/>
          <w:b/>
          <w:rtl/>
        </w:rPr>
        <w:t xml:space="preserve"> ל-</w:t>
      </w:r>
      <w:hyperlink r:id="rId57" w:history="1">
        <w:r w:rsidR="003C0B95" w:rsidRPr="003C0B95">
          <w:rPr>
            <w:rFonts w:ascii="Miriam" w:hAnsi="Miriam" w:cs="Miriam"/>
            <w:b/>
            <w:bCs/>
            <w:color w:val="0000FF"/>
            <w:sz w:val="22"/>
            <w:szCs w:val="22"/>
            <w:u w:val="single"/>
            <w:rtl/>
          </w:rPr>
          <w:t>חוק העונשין</w:t>
        </w:r>
      </w:hyperlink>
      <w:r>
        <w:rPr>
          <w:rFonts w:ascii="David" w:hAnsi="David" w:cs="David"/>
          <w:b/>
          <w:rtl/>
        </w:rPr>
        <w:t>, לפיו משבית המשפט "</w:t>
      </w:r>
      <w:r>
        <w:rPr>
          <w:rFonts w:ascii="David" w:hAnsi="David" w:cs="David"/>
          <w:bCs/>
          <w:rtl/>
        </w:rPr>
        <w:t>מצא כי הנאשם השתקם או כי יש סיכוי של ממש שישתקם, רשאי הוא לחרוג ממתחם העונש ההולם</w:t>
      </w:r>
      <w:r>
        <w:rPr>
          <w:rFonts w:ascii="David" w:hAnsi="David" w:cs="David"/>
          <w:b/>
          <w:rtl/>
        </w:rPr>
        <w:t xml:space="preserve">" </w:t>
      </w:r>
      <w:r>
        <w:rPr>
          <w:rFonts w:ascii="David" w:hAnsi="David" w:cs="David"/>
          <w:rtl/>
        </w:rPr>
        <w:t xml:space="preserve">והבחינה אם הנאשם עומד בתנאי </w:t>
      </w:r>
      <w:hyperlink r:id="rId58" w:history="1">
        <w:r w:rsidR="00892006" w:rsidRPr="00892006">
          <w:rPr>
            <w:rStyle w:val="Hyperlink"/>
            <w:rFonts w:ascii="David" w:hAnsi="David" w:cs="David"/>
            <w:color w:val="0000FF"/>
            <w:rtl/>
          </w:rPr>
          <w:t>סעיף 56(א)</w:t>
        </w:r>
      </w:hyperlink>
      <w:r>
        <w:rPr>
          <w:rFonts w:ascii="David" w:hAnsi="David" w:cs="David"/>
          <w:rtl/>
        </w:rPr>
        <w:t xml:space="preserve"> </w:t>
      </w:r>
      <w:r>
        <w:rPr>
          <w:rFonts w:ascii="David" w:hAnsi="David" w:cs="David"/>
          <w:b/>
          <w:rtl/>
        </w:rPr>
        <w:t>ל-</w:t>
      </w:r>
      <w:r>
        <w:rPr>
          <w:rFonts w:ascii="Miriam" w:hAnsi="Miriam" w:cs="Miriam"/>
          <w:b/>
          <w:bCs/>
          <w:sz w:val="22"/>
          <w:szCs w:val="22"/>
          <w:rtl/>
        </w:rPr>
        <w:t>חוק העונשין</w:t>
      </w:r>
      <w:r>
        <w:rPr>
          <w:rFonts w:ascii="David" w:hAnsi="David" w:cs="David"/>
          <w:b/>
          <w:rtl/>
        </w:rPr>
        <w:t>,</w:t>
      </w:r>
      <w:r>
        <w:rPr>
          <w:rFonts w:ascii="David" w:hAnsi="David" w:cs="David"/>
          <w:rtl/>
        </w:rPr>
        <w:t xml:space="preserve"> המאפשר הארכת מאסר מותנה "</w:t>
      </w:r>
      <w:r>
        <w:rPr>
          <w:rFonts w:ascii="David" w:hAnsi="David" w:cs="David"/>
          <w:b/>
          <w:bCs/>
          <w:rtl/>
        </w:rPr>
        <w:t>אם שוכנע בית המשפט שבנסיבות העניין לא יהיה צודק להפעיל את המאסר על תנאי</w:t>
      </w:r>
      <w:r>
        <w:rPr>
          <w:rFonts w:ascii="David" w:hAnsi="David" w:cs="David"/>
          <w:rtl/>
        </w:rPr>
        <w:t>" ו-"</w:t>
      </w:r>
      <w:r>
        <w:rPr>
          <w:rFonts w:ascii="David" w:hAnsi="David" w:cs="David"/>
          <w:b/>
          <w:bCs/>
          <w:rtl/>
        </w:rPr>
        <w:t>מטעמים שיירשמו</w:t>
      </w:r>
      <w:r>
        <w:rPr>
          <w:rFonts w:ascii="David" w:hAnsi="David" w:cs="David"/>
          <w:rtl/>
        </w:rPr>
        <w:t>"</w:t>
      </w:r>
      <w:r>
        <w:rPr>
          <w:rFonts w:ascii="David" w:hAnsi="David" w:cs="David"/>
          <w:b/>
          <w:rtl/>
        </w:rPr>
        <w:t xml:space="preserve"> כרוכות במידה רבה זו בזו ובנסיבות שאינן קשורות בביצוע העבירות, כאמור </w:t>
      </w:r>
      <w:hyperlink r:id="rId59" w:history="1">
        <w:r w:rsidR="00892006" w:rsidRPr="00892006">
          <w:rPr>
            <w:rStyle w:val="Hyperlink"/>
            <w:rFonts w:ascii="David" w:hAnsi="David" w:cs="David"/>
            <w:b/>
            <w:color w:val="0000FF"/>
            <w:rtl/>
          </w:rPr>
          <w:t>בסעיף 40יא</w:t>
        </w:r>
      </w:hyperlink>
      <w:r>
        <w:rPr>
          <w:rFonts w:ascii="David" w:hAnsi="David" w:cs="David"/>
          <w:b/>
          <w:rtl/>
        </w:rPr>
        <w:t xml:space="preserve"> ל-</w:t>
      </w:r>
      <w:r>
        <w:rPr>
          <w:rFonts w:ascii="Miriam" w:hAnsi="Miriam" w:cs="Miriam"/>
          <w:b/>
          <w:bCs/>
          <w:sz w:val="22"/>
          <w:szCs w:val="22"/>
          <w:rtl/>
        </w:rPr>
        <w:t>חוק העונשין</w:t>
      </w:r>
      <w:r>
        <w:rPr>
          <w:rFonts w:ascii="David" w:hAnsi="David" w:cs="David"/>
          <w:b/>
          <w:rtl/>
        </w:rPr>
        <w:t>. אשר על כן, ראיתי לנכון לאחד את הדיון בנושאים אלו, תוך התייחסות להמלצות</w:t>
      </w:r>
      <w:r>
        <w:rPr>
          <w:rFonts w:ascii="David" w:hAnsi="David" w:cs="David"/>
          <w:rtl/>
        </w:rPr>
        <w:t xml:space="preserve"> שירות המבחן (בתסקירים מתאריכים 30.8.23, 13.12.23, 3.4.24, 1.7.24 ו-15.12.24), טיעוני הצדדים ודברי הנאשם – כמפורט להלן:</w:t>
      </w:r>
    </w:p>
    <w:p w14:paraId="0AA90550" w14:textId="77777777" w:rsidR="00205D7E" w:rsidRDefault="00205D7E" w:rsidP="00205D7E">
      <w:pPr>
        <w:pStyle w:val="a9"/>
        <w:widowControl w:val="0"/>
        <w:snapToGrid w:val="0"/>
        <w:ind w:left="357"/>
        <w:jc w:val="both"/>
        <w:rPr>
          <w:rFonts w:ascii="David" w:hAnsi="David" w:cs="David"/>
          <w:rtl/>
        </w:rPr>
      </w:pPr>
    </w:p>
    <w:p w14:paraId="113D91E0" w14:textId="77777777" w:rsidR="00205D7E" w:rsidRDefault="00205D7E" w:rsidP="00205D7E">
      <w:pPr>
        <w:pStyle w:val="a9"/>
        <w:widowControl w:val="0"/>
        <w:numPr>
          <w:ilvl w:val="0"/>
          <w:numId w:val="3"/>
        </w:numPr>
        <w:spacing w:line="360" w:lineRule="auto"/>
        <w:ind w:left="794" w:hanging="397"/>
        <w:jc w:val="both"/>
        <w:rPr>
          <w:rFonts w:ascii="David" w:hAnsi="David" w:cs="David"/>
          <w:rtl/>
        </w:rPr>
      </w:pPr>
      <w:r>
        <w:rPr>
          <w:rFonts w:ascii="David" w:hAnsi="David" w:cs="David"/>
          <w:b/>
          <w:bCs/>
          <w:rtl/>
        </w:rPr>
        <w:t>הפגיעה של העונש בנאשם ובמשפחתו</w:t>
      </w:r>
      <w:r>
        <w:rPr>
          <w:rFonts w:ascii="David" w:hAnsi="David" w:cs="David"/>
          <w:rtl/>
        </w:rPr>
        <w:t xml:space="preserve"> – הנאשם כבן 56, נשוי ואב ל-3 ילדים בגילאי 13–23, מתגורר עם משפחתו באשדוד. הנאשם נישא בשנת 1999, אשתו כבת 47, לא עובדת. בנם הצעיר סובל מריבוי מחלות (אלרגיה מסכנת חיים, אוטופיק דרמוטיטיז וסכרת נעורים). הנאשם תיאר דאגה רבה למצבו הבריאותי הלא מאוזן, בשל סירובו לקבל טיפול תרופתי, להקפיד על תזונה ולהגיע לטיפול, כאקט של התנגדות למחלה, עייפות ורצון לסיים את הסבל הפיזי. שירות המבחן התרשם כי למרות שרוב חייו לא נכח בחיי ילדיו בשל מאסריו הרבים והממושכים, חש הנאשם שייך למסגרת המשפחתית, אהוב ורצוי. הנאשם נמצא בקשר קרוב ומשמעותי עם בתו הבכורה, שהתחתנה בזמן ריצוי מאסרו האחרון וחש גאווה מבנו האמצעי שמשרת בצבא בגבעתי ובזמנו הפנוי עובד לכלכלת הבית. שירות המבחן התרשם מתחושות אכזבה וכעס עצמי על שנעדר מחיי ילדיו ולא היווה עבורם דמות אבהית משמעותית.</w:t>
      </w:r>
    </w:p>
    <w:p w14:paraId="0212009E" w14:textId="77777777" w:rsidR="00205D7E" w:rsidRDefault="00205D7E" w:rsidP="00205D7E">
      <w:pPr>
        <w:pStyle w:val="a9"/>
        <w:widowControl w:val="0"/>
        <w:spacing w:line="360" w:lineRule="auto"/>
        <w:ind w:left="794"/>
        <w:jc w:val="both"/>
        <w:rPr>
          <w:rFonts w:ascii="David" w:hAnsi="David" w:cs="David"/>
        </w:rPr>
      </w:pPr>
      <w:r>
        <w:rPr>
          <w:rFonts w:ascii="David" w:hAnsi="David" w:cs="David"/>
          <w:u w:val="single"/>
          <w:rtl/>
        </w:rPr>
        <w:t>מהתסקיר מ-13.12.23</w:t>
      </w:r>
      <w:r>
        <w:rPr>
          <w:rFonts w:ascii="David" w:hAnsi="David" w:cs="David"/>
          <w:rtl/>
        </w:rPr>
        <w:t xml:space="preserve"> עלה כי הנאשם</w:t>
      </w:r>
      <w:r>
        <w:rPr>
          <w:rFonts w:ascii="David" w:hAnsi="David" w:cs="David"/>
          <w:b/>
          <w:bCs/>
          <w:rtl/>
        </w:rPr>
        <w:t xml:space="preserve"> </w:t>
      </w:r>
      <w:r>
        <w:rPr>
          <w:rFonts w:ascii="David" w:hAnsi="David" w:cs="David"/>
          <w:rtl/>
        </w:rPr>
        <w:t>עסוק וטרוד במצב בנו הקטן ובדאגה רבה לעתידו. להתרשמות שירות המבחן הטיפול בו, הרווי מתח, דאגות, אכזבות וייאוש, גוזל מהנאשם כוחות נפשיים ומשפיע על יכולתו לעשות סדרי עדיפויות בכל הקשור לשיקומו, תוך ויתור עצמי לטובת הילד, הזקוק להשגחה בשל ריבוי מחלותיו. אשת הנאשם סובלת מחרדות ומתקשה לתפקד באופן מלא ומיטיב. שירות המבחן ציין חשיבות רבה בהשתלבות הנאשם במעגל תעסוקתי וקיום שגרה חיונית להתפתחותו האישית והחברתית.</w:t>
      </w:r>
    </w:p>
    <w:p w14:paraId="07AE5065" w14:textId="77777777" w:rsidR="00205D7E" w:rsidRDefault="00205D7E" w:rsidP="00205D7E">
      <w:pPr>
        <w:pStyle w:val="a9"/>
        <w:widowControl w:val="0"/>
        <w:spacing w:line="360" w:lineRule="auto"/>
        <w:ind w:left="794"/>
        <w:jc w:val="both"/>
        <w:rPr>
          <w:rFonts w:ascii="David" w:hAnsi="David" w:cs="David"/>
        </w:rPr>
      </w:pPr>
      <w:r>
        <w:rPr>
          <w:rFonts w:ascii="David" w:hAnsi="David" w:cs="David"/>
          <w:u w:val="single"/>
          <w:rtl/>
        </w:rPr>
        <w:t>בתסקיר מ-3.4.24</w:t>
      </w:r>
      <w:r>
        <w:rPr>
          <w:rFonts w:ascii="David" w:hAnsi="David" w:cs="David"/>
          <w:rtl/>
        </w:rPr>
        <w:t xml:space="preserve"> עלה שהנאשם מעורב מאוד בכל המתרחש עם בני משפחתו, שותף מלא במשק הבית ומחויב לתשלומים. </w:t>
      </w:r>
    </w:p>
    <w:p w14:paraId="454EDF80" w14:textId="77777777" w:rsidR="00205D7E" w:rsidRDefault="00205D7E" w:rsidP="00205D7E">
      <w:pPr>
        <w:pStyle w:val="a9"/>
        <w:widowControl w:val="0"/>
        <w:spacing w:line="360" w:lineRule="auto"/>
        <w:ind w:left="794"/>
        <w:jc w:val="both"/>
        <w:rPr>
          <w:rFonts w:ascii="David" w:hAnsi="David" w:cs="David"/>
          <w:rtl/>
        </w:rPr>
      </w:pPr>
      <w:r>
        <w:rPr>
          <w:rFonts w:ascii="David" w:hAnsi="David" w:cs="David"/>
          <w:u w:val="single"/>
          <w:rtl/>
        </w:rPr>
        <w:t>בתסקיר מ-1.7.24</w:t>
      </w:r>
      <w:r>
        <w:rPr>
          <w:rFonts w:ascii="David" w:hAnsi="David" w:cs="David"/>
          <w:rtl/>
        </w:rPr>
        <w:t xml:space="preserve"> עלה כי מזה כ-3 חודשים הנאשם עובד כסדרן בחברת שליחויות, הביע שביעות רצון מתפקידו ומכך שלראשונה בחייו עובד בצורה מסודרת ועם תלושי שכר. </w:t>
      </w:r>
    </w:p>
    <w:p w14:paraId="7DE113CB" w14:textId="77777777" w:rsidR="00205D7E" w:rsidRDefault="00205D7E" w:rsidP="00205D7E">
      <w:pPr>
        <w:pStyle w:val="a9"/>
        <w:widowControl w:val="0"/>
        <w:spacing w:line="360" w:lineRule="auto"/>
        <w:ind w:left="794"/>
        <w:jc w:val="both"/>
        <w:rPr>
          <w:rFonts w:ascii="David" w:hAnsi="David" w:cs="David"/>
          <w:rtl/>
        </w:rPr>
      </w:pPr>
      <w:r>
        <w:rPr>
          <w:rFonts w:ascii="David" w:hAnsi="David" w:cs="David"/>
          <w:u w:val="single"/>
          <w:rtl/>
        </w:rPr>
        <w:t>בתסקיר מ-15.12.24</w:t>
      </w:r>
      <w:r>
        <w:rPr>
          <w:rFonts w:ascii="David" w:hAnsi="David" w:cs="David"/>
          <w:rtl/>
        </w:rPr>
        <w:t xml:space="preserve"> עלה כי הנאשם מתמיד בעבודתו בצורה מסודרת, מפרנס את משפחתו ולומד להתנהל עם המשכורת החודשית. השינוי בא לידי ביטוי גם בדברי הנאשם לעונש – </w:t>
      </w:r>
    </w:p>
    <w:p w14:paraId="3EC14FA7" w14:textId="77777777" w:rsidR="00205D7E" w:rsidRDefault="00205D7E" w:rsidP="00205D7E">
      <w:pPr>
        <w:widowControl w:val="0"/>
        <w:ind w:left="1588" w:right="794"/>
        <w:jc w:val="both"/>
        <w:rPr>
          <w:rFonts w:ascii="David" w:eastAsia="David" w:hAnsi="David"/>
          <w:rtl/>
        </w:rPr>
      </w:pPr>
    </w:p>
    <w:p w14:paraId="19198BB8" w14:textId="77777777" w:rsidR="00205D7E" w:rsidRDefault="00205D7E" w:rsidP="00205D7E">
      <w:pPr>
        <w:widowControl w:val="0"/>
        <w:ind w:left="1588" w:right="794"/>
        <w:jc w:val="both"/>
        <w:rPr>
          <w:rFonts w:ascii="David" w:eastAsia="David" w:hAnsi="David"/>
          <w:rtl/>
        </w:rPr>
      </w:pPr>
      <w:r>
        <w:rPr>
          <w:rFonts w:ascii="David" w:eastAsia="David" w:hAnsi="David"/>
          <w:rtl/>
        </w:rPr>
        <w:t xml:space="preserve">"... </w:t>
      </w:r>
      <w:r>
        <w:rPr>
          <w:rFonts w:ascii="David" w:eastAsia="David" w:hAnsi="David"/>
          <w:b/>
          <w:bCs/>
          <w:rtl/>
        </w:rPr>
        <w:t>אני מתחייב להכל בחיים. אני בחיים שלי לא עבדתי, אני עובד בשליחויות, כל פעם נוסע לעיר אחרת, אני ועוד שני בחורים, אני אחראי עליהם אבל לפי דעתי עובד יותר מהם, כל פעם עובד בעיר אחרת. אין לי לאן להתקדם בחיים, אני רוצה לשכוח את זה, אין לי לאן ללכת, הגיל שלי גם. אני אבוד, אין לי מה לחזור לפה יותר. לא דבר פשוט</w:t>
      </w:r>
      <w:r>
        <w:rPr>
          <w:rFonts w:ascii="David" w:eastAsia="David" w:hAnsi="David"/>
          <w:rtl/>
        </w:rPr>
        <w:t xml:space="preserve">". </w:t>
      </w:r>
    </w:p>
    <w:p w14:paraId="0411C15A" w14:textId="77777777" w:rsidR="00205D7E" w:rsidRDefault="00205D7E" w:rsidP="00205D7E">
      <w:pPr>
        <w:pStyle w:val="a9"/>
        <w:widowControl w:val="0"/>
        <w:spacing w:line="360" w:lineRule="auto"/>
        <w:ind w:left="717"/>
        <w:rPr>
          <w:rFonts w:ascii="David" w:hAnsi="David" w:cs="David"/>
        </w:rPr>
      </w:pPr>
    </w:p>
    <w:p w14:paraId="38335351" w14:textId="77777777" w:rsidR="00205D7E" w:rsidRDefault="00205D7E" w:rsidP="00205D7E">
      <w:pPr>
        <w:pStyle w:val="a9"/>
        <w:widowControl w:val="0"/>
        <w:numPr>
          <w:ilvl w:val="0"/>
          <w:numId w:val="3"/>
        </w:numPr>
        <w:spacing w:line="360" w:lineRule="auto"/>
        <w:ind w:left="794" w:hanging="397"/>
        <w:jc w:val="both"/>
        <w:rPr>
          <w:rFonts w:ascii="David" w:hAnsi="David" w:cs="David"/>
          <w:rtl/>
        </w:rPr>
      </w:pPr>
      <w:r>
        <w:rPr>
          <w:rFonts w:ascii="David" w:hAnsi="David" w:cs="David"/>
          <w:b/>
          <w:bCs/>
          <w:rtl/>
        </w:rPr>
        <w:t>נסיבות חיים קשות של הנאשם שהייתה להן השפעה על ביצוע מעשה העבירות</w:t>
      </w:r>
      <w:r>
        <w:rPr>
          <w:rFonts w:ascii="David" w:hAnsi="David" w:cs="David"/>
          <w:rtl/>
        </w:rPr>
        <w:t xml:space="preserve"> – הנאשם נולד וגדל בעיר אשדוד, הוא ה-5 מבין 7 ילדי הוריו. במהלך מעצרו בתיק הנוכחי נפטר אביו על רקע בעיות בריאותיות. אמו בשנות ה-80 לחייה ומתגוררת באשדוד. הוריו לא העניקו לו חום ואהבה, התקשו בהצבת גבולות בתקופת התבגרותו. אחיו מתגוררים באשדוד, מתפקדים ובעלי משפחות. אחד מאחיו בעל עבר פלילי בתחום הסמים, אך מזה כ-16 שנים מנהל אורח חיים תקין ונורמטיבי, לאחר שעבר טיפול גמילה בשנת 2009. אחותו הצעירה בעלת מוגבלות נפשית מתגוררת בהוסטל מיוחד. הנאשם תיאר את הקשר עם אחיו כמרוחק ורופף, לא רואה בהם מקור תמיכה וסיוע. שירות המבחן התרשם כי גדילתו בסביבה משפחתית קרה ומנוכרת השפיעה על הלכידות בין האחים והקשרים ביניהם.</w:t>
      </w:r>
    </w:p>
    <w:p w14:paraId="2410180E" w14:textId="77777777" w:rsidR="00205D7E" w:rsidRDefault="00205D7E" w:rsidP="00205D7E">
      <w:pPr>
        <w:pStyle w:val="a9"/>
        <w:widowControl w:val="0"/>
        <w:spacing w:line="360" w:lineRule="auto"/>
        <w:ind w:left="794"/>
        <w:jc w:val="both"/>
        <w:rPr>
          <w:rFonts w:ascii="David" w:hAnsi="David" w:cs="David"/>
        </w:rPr>
      </w:pPr>
      <w:r>
        <w:rPr>
          <w:rFonts w:ascii="David" w:hAnsi="David" w:cs="David"/>
          <w:rtl/>
        </w:rPr>
        <w:t>הנאשם החל מעורבותו בפלילים עוד בשנת 1983 כשהיה כבן 14. החל שימוש בסמים בהיותו כבן 15 ועשה שימוש אינטנסיבי בחשיש והרואין לאורך השנים, כמו גם סחר בסמים.</w:t>
      </w:r>
    </w:p>
    <w:p w14:paraId="18778B75" w14:textId="77777777" w:rsidR="00205D7E" w:rsidRDefault="00205D7E" w:rsidP="00205D7E">
      <w:pPr>
        <w:pStyle w:val="a9"/>
        <w:widowControl w:val="0"/>
        <w:spacing w:line="360" w:lineRule="auto"/>
        <w:ind w:left="794"/>
        <w:jc w:val="both"/>
        <w:rPr>
          <w:rFonts w:ascii="David" w:hAnsi="David" w:cs="David"/>
          <w:rtl/>
        </w:rPr>
      </w:pPr>
      <w:r>
        <w:rPr>
          <w:rFonts w:ascii="David" w:hAnsi="David" w:cs="David"/>
          <w:rtl/>
        </w:rPr>
        <w:t xml:space="preserve">במהלך השנים הופנה הנאשם לשירות המבחן מס' פעמים עוד משנת 1988. במהלך כ-4 עשורים נעשו ניסיונות רבים לשלב את הנאשם בטיפול בתחום הסמים, אך ללא הצלחה, בין היתר בשל שלילת נזקקות טיפולית וספק ביחס ליכולת המערכת לסייע לו. </w:t>
      </w:r>
    </w:p>
    <w:p w14:paraId="3D2DCE16" w14:textId="77777777" w:rsidR="00205D7E" w:rsidRDefault="00205D7E" w:rsidP="00205D7E">
      <w:pPr>
        <w:pStyle w:val="a9"/>
        <w:widowControl w:val="0"/>
        <w:spacing w:line="360" w:lineRule="auto"/>
        <w:ind w:left="794"/>
        <w:jc w:val="both"/>
        <w:rPr>
          <w:rFonts w:ascii="David" w:hAnsi="David" w:cs="David"/>
          <w:rtl/>
        </w:rPr>
      </w:pPr>
      <w:r>
        <w:rPr>
          <w:rFonts w:ascii="David" w:hAnsi="David" w:cs="David"/>
          <w:rtl/>
        </w:rPr>
        <w:t>הנאשם סיים 11 שנות לימוד, התגייס לשירות צבאי אך נפלט לאחר תקופה קצרה בשל שימוש בסמים וקשיי הסתגלות למערכת הצבאית. במשך שנים ניהל אורח חיים התמכרותי ושולי, ריצה עונשי מאסר בפועל והתקשה ליצור יציבות תעסוקתית. בשנים 2009–2012 היה בבעלותו מינימרקט ולמעט תקופה זו לא עבד והיה חסר מסגרת תעסוקתית בתקופות שבין המאסרים. רוב חייו התנהל הנאשם על פי כללי התנהגות של עוברי חוק, אימץ נורמות ותרבות עבריינית, הכוללת קודים לקשרים חברתיים, יחסי כוחות ויחסי רווח והפסד.</w:t>
      </w:r>
    </w:p>
    <w:p w14:paraId="2147FFE1" w14:textId="77777777" w:rsidR="00205D7E" w:rsidRDefault="00205D7E" w:rsidP="00205D7E">
      <w:pPr>
        <w:pStyle w:val="a9"/>
        <w:widowControl w:val="0"/>
        <w:spacing w:line="360" w:lineRule="auto"/>
        <w:ind w:left="794"/>
        <w:jc w:val="both"/>
        <w:rPr>
          <w:rFonts w:ascii="David" w:hAnsi="David" w:cs="David"/>
          <w:rtl/>
        </w:rPr>
      </w:pPr>
      <w:r>
        <w:rPr>
          <w:rFonts w:ascii="David" w:hAnsi="David" w:cs="David"/>
          <w:rtl/>
        </w:rPr>
        <w:t xml:space="preserve">במהלך מאסרו בשנת 2004, אובחן כסובל מדיכאון וחרדה ונטל טיפול תרופתי פסיכיאטרי. </w:t>
      </w:r>
    </w:p>
    <w:p w14:paraId="62302511" w14:textId="77777777" w:rsidR="00205D7E" w:rsidRDefault="00205D7E" w:rsidP="00205D7E">
      <w:pPr>
        <w:pStyle w:val="a9"/>
        <w:widowControl w:val="0"/>
        <w:spacing w:line="360" w:lineRule="auto"/>
        <w:ind w:left="794"/>
        <w:jc w:val="both"/>
        <w:rPr>
          <w:rFonts w:ascii="David" w:hAnsi="David" w:cs="David"/>
          <w:rtl/>
        </w:rPr>
      </w:pPr>
      <w:r>
        <w:rPr>
          <w:rFonts w:ascii="David" w:hAnsi="David" w:cs="David"/>
          <w:rtl/>
        </w:rPr>
        <w:t>בעקבות טיפול גמילה שעבר בקהילה ובמסגרת טיפולית אמבולטורית, לא נוטל טיפול תרופתי, שהיה ממשפחת בינזודיאפיניים, וחרף זאת מרגיש טוב ויש הטבה במצב החרדות.</w:t>
      </w:r>
    </w:p>
    <w:p w14:paraId="6C0ADE35" w14:textId="77777777" w:rsidR="00205D7E" w:rsidRDefault="00205D7E" w:rsidP="00205D7E">
      <w:pPr>
        <w:pStyle w:val="a9"/>
        <w:widowControl w:val="0"/>
        <w:spacing w:line="360" w:lineRule="auto"/>
        <w:ind w:left="794"/>
        <w:jc w:val="both"/>
        <w:rPr>
          <w:rFonts w:ascii="David" w:hAnsi="David" w:cs="David"/>
          <w:rtl/>
        </w:rPr>
      </w:pPr>
      <w:r>
        <w:rPr>
          <w:rFonts w:ascii="David" w:hAnsi="David" w:cs="David"/>
          <w:rtl/>
        </w:rPr>
        <w:t>בנושא השפעת נסיבות חייו הקשות על ביצוע העבירות אמר הנאשם את הדברים הבאים מדם ליבו –</w:t>
      </w:r>
    </w:p>
    <w:p w14:paraId="77FB79B5" w14:textId="77777777" w:rsidR="00205D7E" w:rsidRDefault="00205D7E" w:rsidP="00205D7E">
      <w:pPr>
        <w:widowControl w:val="0"/>
        <w:ind w:left="1588" w:right="794"/>
        <w:jc w:val="both"/>
        <w:rPr>
          <w:rFonts w:ascii="David" w:eastAsia="David" w:hAnsi="David"/>
          <w:b/>
          <w:bCs/>
          <w:rtl/>
        </w:rPr>
      </w:pPr>
      <w:r>
        <w:rPr>
          <w:rFonts w:ascii="David" w:hAnsi="David"/>
          <w:rtl/>
        </w:rPr>
        <w:t>"</w:t>
      </w:r>
      <w:r>
        <w:rPr>
          <w:rFonts w:ascii="David" w:eastAsia="David" w:hAnsi="David"/>
          <w:b/>
          <w:bCs/>
          <w:rtl/>
        </w:rPr>
        <w:t>קודם כל זה פעם ראשונה שאני מנהל תיקים מבחוץ, בחיים שלי לא ניהלתי תיקים בחוץ, כשיצאתי לדרך הזאת אני לא רציתי בהתחלה</w:t>
      </w:r>
      <w:r>
        <w:rPr>
          <w:rFonts w:ascii="David" w:eastAsia="David" w:hAnsi="David"/>
          <w:rtl/>
        </w:rPr>
        <w:t xml:space="preserve">,... </w:t>
      </w:r>
      <w:r>
        <w:rPr>
          <w:rFonts w:ascii="David" w:eastAsia="David" w:hAnsi="David"/>
          <w:b/>
          <w:bCs/>
          <w:rtl/>
        </w:rPr>
        <w:t>כי הייתי בטוח שאני לא אסיים את זה, גם שם קיבלתי 3 תעודות, שם הייתי בדרגה הכי גבוהה, רץ מטבח</w:t>
      </w:r>
      <w:r>
        <w:rPr>
          <w:rFonts w:ascii="David" w:eastAsia="David" w:hAnsi="David"/>
          <w:rtl/>
        </w:rPr>
        <w:t xml:space="preserve">... </w:t>
      </w:r>
      <w:r>
        <w:rPr>
          <w:rFonts w:ascii="David" w:eastAsia="David" w:hAnsi="David"/>
          <w:b/>
          <w:bCs/>
          <w:rtl/>
        </w:rPr>
        <w:t>באמת שעשיתי תהליך לא פשוט, קשה ושווה כל דבר בחיים. אף פעם לא הייתי בחיים שלי כ"כ הרבה זמן בבית. אני מעל שנה בבית, זה פעם ראשונה באמת שאני בחיים שלי ככה בבית עם הילדים, אני אפילו לא מכיר את הילדים מחוץ למאסר. כן עשיתי בעיות בחיים שלי, כל החיים שלי זה סמים. אבא שלי נפטר במאסר. היום נולד לי נכד, לא הייתי מחובר לחיים. אני אפילו לא בכיתי על אבא שלי כי אפילו לא פגשתי אותו בחיים, לא יצא בינינו, לא היה בינינו כלום, לא היה הכרות עם ההורים</w:t>
      </w:r>
      <w:r>
        <w:rPr>
          <w:rFonts w:ascii="David" w:eastAsia="David" w:hAnsi="David"/>
          <w:rtl/>
        </w:rPr>
        <w:t xml:space="preserve">". </w:t>
      </w:r>
    </w:p>
    <w:p w14:paraId="057908AC" w14:textId="77777777" w:rsidR="00205D7E" w:rsidRDefault="00205D7E" w:rsidP="00205D7E">
      <w:pPr>
        <w:pStyle w:val="a9"/>
        <w:widowControl w:val="0"/>
        <w:spacing w:line="360" w:lineRule="auto"/>
        <w:ind w:left="794"/>
        <w:jc w:val="both"/>
        <w:rPr>
          <w:rFonts w:ascii="David" w:hAnsi="David" w:cs="David"/>
          <w:rtl/>
        </w:rPr>
      </w:pPr>
    </w:p>
    <w:p w14:paraId="0F4E61F7" w14:textId="77777777" w:rsidR="00205D7E" w:rsidRDefault="00205D7E" w:rsidP="00205D7E">
      <w:pPr>
        <w:pStyle w:val="a9"/>
        <w:widowControl w:val="0"/>
        <w:spacing w:line="360" w:lineRule="auto"/>
        <w:ind w:left="794"/>
        <w:jc w:val="both"/>
        <w:rPr>
          <w:rFonts w:ascii="David" w:hAnsi="David" w:cs="David"/>
          <w:rtl/>
        </w:rPr>
      </w:pPr>
      <w:r>
        <w:rPr>
          <w:rFonts w:ascii="David" w:hAnsi="David" w:cs="David"/>
          <w:rtl/>
        </w:rPr>
        <w:t xml:space="preserve">על דברים דומים חזר גם בדיון מיום 2.1.25: </w:t>
      </w:r>
    </w:p>
    <w:p w14:paraId="4D10EC0A" w14:textId="77777777" w:rsidR="00205D7E" w:rsidRDefault="00205D7E" w:rsidP="00205D7E">
      <w:pPr>
        <w:widowControl w:val="0"/>
        <w:ind w:left="1588" w:right="794"/>
        <w:jc w:val="both"/>
        <w:rPr>
          <w:rFonts w:ascii="David" w:eastAsia="David" w:hAnsi="David"/>
        </w:rPr>
      </w:pPr>
    </w:p>
    <w:p w14:paraId="1D3C1506" w14:textId="77777777" w:rsidR="00205D7E" w:rsidRDefault="00205D7E" w:rsidP="00205D7E">
      <w:pPr>
        <w:widowControl w:val="0"/>
        <w:ind w:left="1588" w:right="794"/>
        <w:jc w:val="both"/>
        <w:rPr>
          <w:rFonts w:ascii="David" w:eastAsia="David" w:hAnsi="David"/>
          <w:b/>
          <w:bCs/>
          <w:rtl/>
        </w:rPr>
      </w:pPr>
      <w:r>
        <w:rPr>
          <w:rFonts w:ascii="David" w:eastAsia="David" w:hAnsi="David"/>
          <w:rtl/>
        </w:rPr>
        <w:t>"...</w:t>
      </w:r>
      <w:r>
        <w:rPr>
          <w:rFonts w:ascii="David" w:eastAsia="David" w:hAnsi="David"/>
          <w:b/>
          <w:bCs/>
          <w:rtl/>
        </w:rPr>
        <w:t>אני כבר עייף אני בן 55, הילדה שלי עומדת ללדת. אני מעל 30 שנה בבית סוהר. ממתי שאני ילד. אף פעם לא החזקתי תקופה כזו, נראה לי שברתי את השיא אני לא מתבייש להגיד. לא הייתי רגיל להיות בחוץ אף פעם בית סוהר היה הבית הראשון שלי</w:t>
      </w:r>
      <w:r>
        <w:rPr>
          <w:rFonts w:ascii="David" w:eastAsia="David" w:hAnsi="David"/>
          <w:rtl/>
        </w:rPr>
        <w:t>".</w:t>
      </w:r>
    </w:p>
    <w:p w14:paraId="24FF5568" w14:textId="77777777" w:rsidR="00205D7E" w:rsidRDefault="00205D7E" w:rsidP="00205D7E">
      <w:pPr>
        <w:widowControl w:val="0"/>
        <w:spacing w:line="360" w:lineRule="auto"/>
        <w:ind w:left="1588" w:right="794"/>
        <w:jc w:val="both"/>
        <w:rPr>
          <w:rFonts w:ascii="David" w:hAnsi="David"/>
          <w:rtl/>
        </w:rPr>
      </w:pPr>
    </w:p>
    <w:p w14:paraId="727C4288" w14:textId="77777777" w:rsidR="00205D7E" w:rsidRDefault="00205D7E" w:rsidP="00205D7E">
      <w:pPr>
        <w:pStyle w:val="a9"/>
        <w:widowControl w:val="0"/>
        <w:numPr>
          <w:ilvl w:val="0"/>
          <w:numId w:val="3"/>
        </w:numPr>
        <w:spacing w:line="360" w:lineRule="auto"/>
        <w:ind w:left="794" w:hanging="397"/>
        <w:jc w:val="both"/>
        <w:rPr>
          <w:rFonts w:ascii="David" w:hAnsi="David" w:cs="David"/>
          <w:rtl/>
        </w:rPr>
      </w:pPr>
      <w:r>
        <w:rPr>
          <w:rFonts w:ascii="David" w:hAnsi="David" w:cs="David"/>
          <w:b/>
          <w:bCs/>
          <w:rtl/>
        </w:rPr>
        <w:t>נטילת האחריות</w:t>
      </w:r>
      <w:r>
        <w:rPr>
          <w:rFonts w:ascii="David" w:hAnsi="David" w:cs="David"/>
          <w:rtl/>
        </w:rPr>
        <w:t xml:space="preserve"> </w:t>
      </w:r>
      <w:r>
        <w:rPr>
          <w:rFonts w:ascii="David" w:hAnsi="David" w:cs="David"/>
          <w:b/>
          <w:bCs/>
          <w:rtl/>
        </w:rPr>
        <w:t>של הנאשם על מעשיו</w:t>
      </w:r>
      <w:r>
        <w:rPr>
          <w:rFonts w:ascii="David" w:hAnsi="David" w:cs="David"/>
          <w:rtl/>
        </w:rPr>
        <w:t xml:space="preserve"> – ביום 28.2.23 הודה הנאשם בביצוע העבירות, הודאה שיש בה משום חרטה, נטילת אחריות וחיסכון בזמן שיפוטי יקר. כבר בתסקיר מיום 30.8.23 עלה כי הנאשם לקח אחריות על ביצוע העבירות, ביטא תסכול, בושה ואכזבה עצמית מהתנהגותו ועייפות מאורח חיים שולי והתמכרותי. דברים דומים עלו גם בתסקירים מיום 13.12.23, 3.4.24, 1.7.24 ו-15.12.24. בדיון מיום 22.9.24 אמר הנאשם את הדברים הבאים, אשר מפאת חשיבותם אביאם במלואם</w:t>
      </w:r>
      <w:r>
        <w:rPr>
          <w:rFonts w:ascii="David" w:hAnsi="David" w:cs="David"/>
        </w:rPr>
        <w:t>:</w:t>
      </w:r>
    </w:p>
    <w:p w14:paraId="24114DC0" w14:textId="77777777" w:rsidR="00205D7E" w:rsidRDefault="00205D7E" w:rsidP="00205D7E">
      <w:pPr>
        <w:widowControl w:val="0"/>
        <w:ind w:left="1588" w:right="794"/>
        <w:jc w:val="both"/>
        <w:rPr>
          <w:rFonts w:ascii="David" w:eastAsia="David" w:hAnsi="David"/>
          <w:rtl/>
        </w:rPr>
      </w:pPr>
    </w:p>
    <w:p w14:paraId="46E0796B" w14:textId="77777777" w:rsidR="00205D7E" w:rsidRDefault="00205D7E" w:rsidP="00205D7E">
      <w:pPr>
        <w:widowControl w:val="0"/>
        <w:ind w:left="1588" w:right="794"/>
        <w:jc w:val="both"/>
        <w:rPr>
          <w:rFonts w:ascii="David" w:eastAsia="David" w:hAnsi="David"/>
          <w:rtl/>
        </w:rPr>
      </w:pPr>
      <w:r>
        <w:rPr>
          <w:rFonts w:ascii="David" w:eastAsia="David" w:hAnsi="David"/>
          <w:rtl/>
        </w:rPr>
        <w:t>"</w:t>
      </w:r>
      <w:r>
        <w:rPr>
          <w:rFonts w:ascii="David" w:eastAsia="David" w:hAnsi="David"/>
          <w:b/>
          <w:bCs/>
          <w:rtl/>
        </w:rPr>
        <w:t>היום אני מבין שכל מה שעשיתי בחיים בא ממני ואני מבקש מבית המשפט לתת לי הזדמנות בחיים כי אף פעם לא נתנו לי. מה שבית המשפט יחליט לטוב או לרע זה כבר שיקול של בית המשפט</w:t>
      </w:r>
      <w:r>
        <w:rPr>
          <w:rFonts w:ascii="David" w:eastAsia="David" w:hAnsi="David"/>
          <w:rtl/>
        </w:rPr>
        <w:t>.</w:t>
      </w:r>
    </w:p>
    <w:p w14:paraId="2C9EE054" w14:textId="77777777" w:rsidR="00205D7E" w:rsidRDefault="00205D7E" w:rsidP="00205D7E">
      <w:pPr>
        <w:widowControl w:val="0"/>
        <w:ind w:left="1588" w:right="794"/>
        <w:jc w:val="both"/>
        <w:rPr>
          <w:rFonts w:ascii="David" w:eastAsia="David" w:hAnsi="David"/>
        </w:rPr>
      </w:pPr>
      <w:r>
        <w:rPr>
          <w:rFonts w:ascii="David" w:eastAsia="David" w:hAnsi="David"/>
          <w:rtl/>
        </w:rPr>
        <w:t xml:space="preserve">... </w:t>
      </w:r>
      <w:r>
        <w:rPr>
          <w:rFonts w:ascii="David" w:eastAsia="David" w:hAnsi="David"/>
          <w:b/>
          <w:bCs/>
          <w:rtl/>
        </w:rPr>
        <w:t>אני יודע מה זה הדברים האלה, כמה זה לקחת עלי אחריות, אני מספיק בוגר, אין לי מקום לעשות טעויות בחיים שלי. אני כבר מספיק בוגר</w:t>
      </w:r>
      <w:r>
        <w:rPr>
          <w:rFonts w:ascii="David" w:eastAsia="David" w:hAnsi="David"/>
          <w:rtl/>
        </w:rPr>
        <w:t xml:space="preserve">". </w:t>
      </w:r>
    </w:p>
    <w:p w14:paraId="6610C3EA" w14:textId="77777777" w:rsidR="00205D7E" w:rsidRDefault="00205D7E" w:rsidP="00205D7E">
      <w:pPr>
        <w:pStyle w:val="a9"/>
        <w:widowControl w:val="0"/>
        <w:spacing w:line="360" w:lineRule="auto"/>
        <w:rPr>
          <w:rFonts w:ascii="David" w:hAnsi="David" w:cs="David"/>
          <w:rtl/>
        </w:rPr>
      </w:pPr>
    </w:p>
    <w:p w14:paraId="2C38DA33" w14:textId="77777777" w:rsidR="00205D7E" w:rsidRDefault="00205D7E" w:rsidP="00205D7E">
      <w:pPr>
        <w:pStyle w:val="a9"/>
        <w:widowControl w:val="0"/>
        <w:numPr>
          <w:ilvl w:val="0"/>
          <w:numId w:val="3"/>
        </w:numPr>
        <w:spacing w:line="360" w:lineRule="auto"/>
        <w:jc w:val="both"/>
        <w:rPr>
          <w:rFonts w:ascii="David" w:hAnsi="David" w:cs="David"/>
        </w:rPr>
      </w:pPr>
      <w:r>
        <w:rPr>
          <w:rFonts w:ascii="David" w:hAnsi="David" w:cs="David"/>
          <w:b/>
          <w:bCs/>
          <w:rtl/>
        </w:rPr>
        <w:t>מאמצי הנאשם לחזור למוטב ושיתוף הפעולה של הנאשם עם ההליך הטיפולי</w:t>
      </w:r>
      <w:r>
        <w:rPr>
          <w:rFonts w:ascii="David" w:hAnsi="David" w:cs="David"/>
          <w:rtl/>
        </w:rPr>
        <w:t xml:space="preserve"> – עוד </w:t>
      </w:r>
      <w:r>
        <w:rPr>
          <w:rFonts w:ascii="David" w:hAnsi="David" w:cs="David"/>
          <w:u w:val="single"/>
          <w:rtl/>
        </w:rPr>
        <w:t>בתסקיר הראשון, מיום 30.8.23</w:t>
      </w:r>
      <w:r>
        <w:rPr>
          <w:rFonts w:ascii="David" w:hAnsi="David" w:cs="David"/>
          <w:rtl/>
        </w:rPr>
        <w:t xml:space="preserve"> ציין שירות המבחן כי בעקבות הטיפול – אותו עבר הנאשם לראשונה בחייו – גברה מודעותו לדפוסיו העבריינים, שאימץ מגיל צעיר ואשר הנחו בחירותיו והתנהלותו לאורך השנים. באחד ממאסריו, בשנת 2004, הפסיק הנאשם את השימוש בסמים לאור מצבו הנפשי המעורער והתקפי חרדה שחווה אותה תקופה – אולם לאחר שחרורו בשנת 2008 שב לצרוך סמים מסוג קוקאין, הרואין וקריסטל באופן יום יומי. הנאשם לא השתלב בתכניות טיפול בתחום הסמים במסגרת מאסריו ושלל פנייה לגורמי טיפול מוסדיים בעבר. לאחר מעצרו בגין ביצוע העבירות בתיק שבכותרת, שוחרר הנאשם לטיפול במסגרת קהילה טיפולית "</w:t>
      </w:r>
      <w:r>
        <w:rPr>
          <w:rFonts w:ascii="David" w:hAnsi="David" w:cs="David"/>
          <w:b/>
          <w:bCs/>
          <w:rtl/>
        </w:rPr>
        <w:t>הר טוב – בית אביבה</w:t>
      </w:r>
      <w:r>
        <w:rPr>
          <w:rFonts w:ascii="David" w:hAnsi="David" w:cs="David"/>
          <w:rtl/>
        </w:rPr>
        <w:t xml:space="preserve">" מיום 22.6.22 וניתן צו פיקוח למשך חצי שנה, שהוארך בדצמבר 2022 ב-6 חודשים נוספים. ב-6.3.23 סיים את הטיפול בקהילה בטרם עת (כ-60 יום לפני תום הטיפול), לאחר שחלה הדרדרות במצבו כשחזר מביקור בית, התקשה להיענות לסמכות והתנהג בניגוד לנורמות המקובלות בקהילה. הנאשם לא רצה לעזוב את הקהילה, חש תסכול ואכזבה עצמית לצד תחושות קשות של ויתור עליו על ידי צוות הטיפול. שולב בטיפול במסגרת התחנה לטיפול בנפגעי סמים באשדוד (להלן: </w:t>
      </w:r>
      <w:r>
        <w:rPr>
          <w:rFonts w:ascii="David" w:hAnsi="David" w:cs="David"/>
          <w:b/>
          <w:bCs/>
          <w:rtl/>
        </w:rPr>
        <w:t>התחנה</w:t>
      </w:r>
      <w:r>
        <w:rPr>
          <w:rFonts w:ascii="David" w:hAnsi="David" w:cs="David"/>
          <w:rtl/>
        </w:rPr>
        <w:t xml:space="preserve">). גורמי הטיפול בתחנה דיווחו כי הנאשם שולב באפריל 2023 בקבוצת משתלבים ובסוף אותו חודש החל טיפול, במסגרתו הגיע 4 פעמים בשבוע בשעות 08:30–14:30 לטיפול קבוצתי, שיחות פרטניות ובדיקות לאיתור שרידי סם. הנאשם שיתף פעולה באופן עקבי, שיתף מעולמו, הגביר מודעות, התמסר לטיפול וכל הבדיקות נמצאו נקיות משרידי סם, למעט תרופה באישור רפואי. שירות המבחן המליץ על דחייה בת 3 חודשים לצורך המשך שילובו בהליך הטיפולי. </w:t>
      </w:r>
    </w:p>
    <w:p w14:paraId="1C17A97A" w14:textId="77777777" w:rsidR="00205D7E" w:rsidRDefault="00205D7E" w:rsidP="00205D7E">
      <w:pPr>
        <w:pStyle w:val="a9"/>
        <w:widowControl w:val="0"/>
        <w:spacing w:line="360" w:lineRule="auto"/>
        <w:jc w:val="both"/>
        <w:rPr>
          <w:rFonts w:ascii="David" w:hAnsi="David" w:cs="David"/>
          <w:rtl/>
        </w:rPr>
      </w:pPr>
      <w:r>
        <w:rPr>
          <w:rFonts w:ascii="David" w:hAnsi="David" w:cs="David"/>
          <w:u w:val="single"/>
          <w:rtl/>
        </w:rPr>
        <w:t>בתסקיר מיום 13.12.23</w:t>
      </w:r>
      <w:r>
        <w:rPr>
          <w:rFonts w:ascii="David" w:hAnsi="David" w:cs="David"/>
          <w:rtl/>
        </w:rPr>
        <w:t xml:space="preserve"> עלה כי הנאשם המשיך להיות בקשר טיפולי בתחנה. גורמי הטיפול דיווחו שהנאשם התמיד, הגיע בצורה רציפה, יום יומית, השתתף באופן פעיל בקבוצות ומסר בדיקות נקיות משרידי סם – אולם עם פרוץ המלחמה הנאשם נכנס למצב רגשי ירוד וניכר כי המוטיבציה לשיקום דעכה, כאשר מצב הרוח הלאומי פגש את מצב הרוח האישי, בעת שהמצב הרגשי המשפחתי הדרדר אף הוא. הנאשם התקשה לשתף את הצוות המטפל ואת החברים בקבוצות והגיע לתחנה באופן לא סדיר. בעקבות זאת הופעל מהלך טיפולי של "</w:t>
      </w:r>
      <w:r>
        <w:rPr>
          <w:rFonts w:ascii="David" w:hAnsi="David" w:cs="David"/>
          <w:b/>
          <w:bCs/>
          <w:rtl/>
        </w:rPr>
        <w:t>חשבון נפש</w:t>
      </w:r>
      <w:r>
        <w:rPr>
          <w:rFonts w:ascii="David" w:hAnsi="David" w:cs="David"/>
          <w:rtl/>
        </w:rPr>
        <w:t>", שבעקבותיו חזר הנאשם לשתף פעולה כמו בתקופה שקדמה למלחמה, שיתף במצוקות, הצליח להוריד חלק מהמגננות וניכר שינוי חיובי ברמת האחריות והתבוננות העצמית. כיום משתף רבות בקשיים מול הבן הצעיר וניכר שנושא אשמה רבה. בהתאם להמלצת שירות המבחן הדיון נדחה לצורך המשך ההליך הטיפולי ב-3 חודשים נוספים.</w:t>
      </w:r>
    </w:p>
    <w:p w14:paraId="52CD63B8" w14:textId="77777777" w:rsidR="00205D7E" w:rsidRDefault="00205D7E" w:rsidP="00205D7E">
      <w:pPr>
        <w:pStyle w:val="a9"/>
        <w:widowControl w:val="0"/>
        <w:spacing w:line="360" w:lineRule="auto"/>
        <w:jc w:val="both"/>
        <w:rPr>
          <w:rFonts w:ascii="David" w:hAnsi="David" w:cs="David"/>
          <w:rtl/>
        </w:rPr>
      </w:pPr>
      <w:r>
        <w:rPr>
          <w:rFonts w:ascii="David" w:hAnsi="David" w:cs="David"/>
          <w:u w:val="single"/>
          <w:rtl/>
        </w:rPr>
        <w:t>בתסקיר מיום 3.4.24</w:t>
      </w:r>
      <w:r>
        <w:rPr>
          <w:rFonts w:ascii="David" w:hAnsi="David" w:cs="David"/>
          <w:rtl/>
        </w:rPr>
        <w:t xml:space="preserve"> עלה שהנאשם המשיך בקשר עם גורמי הטיפול בתחנה, שמר על ניקיון מחומרים משני תודעה, רוב תקופת הטיפול התמיד בהגעתו, שיתף פעולה עם הצוות והוגדר "</w:t>
      </w:r>
      <w:r>
        <w:rPr>
          <w:rFonts w:ascii="David" w:hAnsi="David" w:cs="David"/>
          <w:b/>
          <w:bCs/>
          <w:rtl/>
        </w:rPr>
        <w:t>כחבר קבוצה מאוד משמעותי ודומיננטי</w:t>
      </w:r>
      <w:r>
        <w:rPr>
          <w:rFonts w:ascii="David" w:hAnsi="David" w:cs="David"/>
          <w:rtl/>
        </w:rPr>
        <w:t xml:space="preserve">". הגם שהנאשם הביע התנגדויות לשינויים בקבוצה ובמיקומו בה כמבוגר האחראי ודובר הקבוצה – הצליח הנאשם בעידוד הצוות לשנות את גישתו, כאשר במשך תקופת הטיפול גם צמצם קשר עם גורמי סיכון, למד ואפשר שיח פנימי. ב-28.3.24 סיים שהותו במרכז היום בהצלחה וסוכם על המשך טיפול פרטני. הנאשם מסר כי מייחס חשיבות רבה להליך הטיפולי שעבר, סיומו בהצלחה, חש סיפוק שלא הכיר בעבר, דבר שמעודד ומגביר מוטיבציה להמשיך בהליך טיפולי ולהעמיק בו לשם שיקום חייו והשתלבותו – לראשונה בחייו – בחברה נורמטיבית. שירות המבחן המליץ על המשך טיפול במסגרת ייעודית בתחנה, ליווי על ידי הצוות הרב מקצועי ומשכך הומלץ להעמידו בצו מבחן והומלץ על מאסר שירוצה בעבודות שירות (בהתעלם מקיומו של מאסר מותנה שלא מאפשר זאת). </w:t>
      </w:r>
    </w:p>
    <w:p w14:paraId="2C775EBD" w14:textId="77777777" w:rsidR="00205D7E" w:rsidRDefault="00205D7E" w:rsidP="00205D7E">
      <w:pPr>
        <w:pStyle w:val="a9"/>
        <w:widowControl w:val="0"/>
        <w:spacing w:line="360" w:lineRule="auto"/>
        <w:jc w:val="both"/>
        <w:rPr>
          <w:rFonts w:ascii="David" w:hAnsi="David" w:cs="David"/>
          <w:rtl/>
        </w:rPr>
      </w:pPr>
      <w:r>
        <w:rPr>
          <w:rFonts w:ascii="David" w:hAnsi="David" w:cs="David"/>
          <w:u w:val="single"/>
          <w:rtl/>
        </w:rPr>
        <w:t>בתסקיר מיום 1.7.24</w:t>
      </w:r>
      <w:r>
        <w:rPr>
          <w:rFonts w:ascii="David" w:hAnsi="David" w:cs="David"/>
          <w:rtl/>
        </w:rPr>
        <w:t xml:space="preserve"> עלה כי על אף שהנאשם סיים בהצלחה את הטיפול במרכז היום, הוא ממשיך להגיע לתחנה באופן סדיר לפגישות שבועיות, משתתף באופן פעיל ואף נכנס לומר שלום למטפלים ולמטופלים, מעוניין לעזור לאחרים והדבר משקף שינוי מאוד משמעותי שעבר, במסגרתו למד לבטוח באחרים, לרבות במוסדות המדינה. בחודש וחצי שקדמו לכתיבת התסקיר חווה הנאשם רגרסיה קלה בשל החשש מחזרתו לבית הכלא, יכולתו לפתוח דף חדש, להתמיד בהתרחקות מאזורי סכנה והיכולת של החברה לתת לו הזדמנות שנייה. לצד זאת שירות המבחן התרשם מכך שהנאשם חווה הצלחה וסיפוק שלא הכיר בעבר, דבר שמעודד ומגביר מוטיבציה להמשיך בהליך הטיפולי, לשם השגת שיקום חייו והשתלבות בחברה נורמטיבית לראשונה בחייו כאמור לעיל. הנאשם חש מחובר לצוות הטיפולי, סומך עליו, מבקש לשמור עמם על קשר גם בתום ההליך הטיפולי לשם שמירה וחיזוק הישגיו. להתרשמות גורמי הטיפול, הנאשם זקוק עדיין למסגרת טיפולית, שתחזק הביטחון העצמי שלו, תיצור עוגנים חיוביים ונורמטיביים ליכולת להתמיד בשינוי, ולצורך הנגשת התנהלותו מחוץ לכותלי הכלא, ויסות רגשי, הפעלת שיקול דעת, בחינת רווחים והפסדים והתמודדות יעילה במצבים בהם חש שעברו רודף אחריו. שירות המבחן ציין כי בהינתן ההליך הטיפולי הארוך שעבר הנאשם, אשר מקבל סיוע במיצוי זכויות, טיפול בנושא החובות והשתלב בתעסוקה – שילובו בבית המשפט הקהילתי בשלב זה עלול ליצור עומס אובייקטיבי וסובייקטיבי ולהוות מוקד סיכון לרגרסיה במצבו. להתרשמות שירות המבחן התכנית של בית המשפט הקהילתי לא מתאימה לנאשם, גם בהינתן השלב המתקדם בו נמצא מבחינה טיפולית. שירות המבחן חזר על המלצתו לתת עדיפות לאלטרנטיבה השיקומית.</w:t>
      </w:r>
    </w:p>
    <w:p w14:paraId="7A7A4AC7" w14:textId="77777777" w:rsidR="00205D7E" w:rsidRDefault="00205D7E" w:rsidP="00205D7E">
      <w:pPr>
        <w:pStyle w:val="a9"/>
        <w:widowControl w:val="0"/>
        <w:spacing w:line="360" w:lineRule="auto"/>
        <w:jc w:val="both"/>
        <w:rPr>
          <w:rFonts w:ascii="David" w:hAnsi="David" w:cs="David"/>
          <w:rtl/>
        </w:rPr>
      </w:pPr>
      <w:r>
        <w:rPr>
          <w:rFonts w:ascii="David" w:hAnsi="David" w:cs="David"/>
          <w:u w:val="single"/>
          <w:rtl/>
        </w:rPr>
        <w:t>גם בתסקיר מיום 15.12.24</w:t>
      </w:r>
      <w:r>
        <w:rPr>
          <w:rFonts w:ascii="David" w:hAnsi="David" w:cs="David"/>
          <w:rtl/>
        </w:rPr>
        <w:t xml:space="preserve"> ציין שירות המבחן את התקדמותו המרשימה של הנאשם בהליך הטיפולי, את הישגיו, את הנזקקות בהמשך הקשר הטיפולי ושב והמליץ להעמידו בצו מבחן לשנה, לצד צו של"ץ בהיקף נרחב של 300 שעות, בהתאם לתכנית שנבנתה לו. בנוסף שירות המבחן המליץ על הארכת המאסר המותנה.</w:t>
      </w:r>
    </w:p>
    <w:p w14:paraId="4093B77E" w14:textId="77777777" w:rsidR="00205D7E" w:rsidRDefault="00205D7E" w:rsidP="00205D7E">
      <w:pPr>
        <w:widowControl w:val="0"/>
        <w:spacing w:line="360" w:lineRule="auto"/>
        <w:ind w:left="720"/>
        <w:jc w:val="both"/>
        <w:rPr>
          <w:rFonts w:ascii="David" w:hAnsi="David"/>
          <w:rtl/>
        </w:rPr>
      </w:pPr>
      <w:r>
        <w:rPr>
          <w:rFonts w:ascii="David" w:hAnsi="David"/>
          <w:u w:val="single"/>
          <w:rtl/>
        </w:rPr>
        <w:t>בנושא זה סיפר הנאשם</w:t>
      </w:r>
      <w:r>
        <w:rPr>
          <w:rFonts w:ascii="David" w:hAnsi="David"/>
          <w:rtl/>
        </w:rPr>
        <w:t xml:space="preserve"> בדיון מיום 2.1.25: </w:t>
      </w:r>
      <w:r>
        <w:rPr>
          <w:rFonts w:ascii="David" w:eastAsia="David" w:hAnsi="David"/>
          <w:rtl/>
        </w:rPr>
        <w:t>"...</w:t>
      </w:r>
      <w:r>
        <w:rPr>
          <w:rFonts w:ascii="David" w:eastAsia="David" w:hAnsi="David"/>
          <w:b/>
          <w:bCs/>
          <w:rtl/>
        </w:rPr>
        <w:t>השתחררתי מבית סוהר לפני 3 שנים והלכתי לקהילה מרכז יום. אין לי שום עבירה ב-3 שנים. לא דפקו לי בדלת 3 שנים</w:t>
      </w:r>
      <w:r>
        <w:rPr>
          <w:rFonts w:ascii="David" w:eastAsia="David" w:hAnsi="David"/>
          <w:rtl/>
        </w:rPr>
        <w:t>..."</w:t>
      </w:r>
      <w:r>
        <w:rPr>
          <w:rFonts w:ascii="David" w:eastAsia="David" w:hAnsi="David"/>
          <w:b/>
          <w:bCs/>
          <w:rtl/>
        </w:rPr>
        <w:t xml:space="preserve"> </w:t>
      </w:r>
    </w:p>
    <w:p w14:paraId="7DF338B5" w14:textId="77777777" w:rsidR="00205D7E" w:rsidRDefault="00205D7E" w:rsidP="00205D7E">
      <w:pPr>
        <w:pStyle w:val="a9"/>
        <w:widowControl w:val="0"/>
        <w:rPr>
          <w:rFonts w:ascii="David" w:hAnsi="David" w:cs="David"/>
          <w:rtl/>
        </w:rPr>
      </w:pPr>
    </w:p>
    <w:p w14:paraId="76D37315" w14:textId="77777777" w:rsidR="00205D7E" w:rsidRDefault="00205D7E" w:rsidP="00205D7E">
      <w:pPr>
        <w:pStyle w:val="a9"/>
        <w:widowControl w:val="0"/>
        <w:numPr>
          <w:ilvl w:val="0"/>
          <w:numId w:val="3"/>
        </w:numPr>
        <w:snapToGrid w:val="0"/>
        <w:spacing w:line="360" w:lineRule="auto"/>
        <w:ind w:left="794" w:hanging="397"/>
        <w:jc w:val="both"/>
        <w:rPr>
          <w:rFonts w:ascii="David" w:hAnsi="David" w:cs="David"/>
          <w:rtl/>
        </w:rPr>
      </w:pPr>
      <w:r>
        <w:rPr>
          <w:rFonts w:ascii="David" w:hAnsi="David" w:cs="David"/>
          <w:b/>
          <w:bCs/>
          <w:rtl/>
        </w:rPr>
        <w:t>חלוף הזמן</w:t>
      </w:r>
      <w:r>
        <w:rPr>
          <w:rFonts w:ascii="David" w:hAnsi="David" w:cs="David"/>
          <w:rtl/>
        </w:rPr>
        <w:t xml:space="preserve"> – מביצוע העבירות חלפו כ-4 שנים, במהלכן לא נפתחו לנאשם תיקים נוספים. כתב האישום הוגש ב-1.3.22 – בחלוף כ-9 חודשים מביצוע העבירות. 8 חודשים מאוחר יותר, בדיון המהותי הראשון, ב-28.2.23, הוצג הסדר טיעון, במסגרתו הוגש כתב אישום מתוקן והנאשם הופנה לשירות המבחן, ללא הסכמה עונשית. הטיעונים לעונש נדחו מעת לעת מטעמים שונים, לרבות המצב הביטחוני, חילופי מותבים, בקשות שירות המבחן ובקשות ב"כ הנאשם. ב-10.9.23 נעתרה כב' הש' בונדה לבקשת ההגנה ובהמלצת שירות המבחן דחתה הדיון ל-7.1.24, מועד שבהמשך נדחה ל-16.5.24. במועד זה התברר כי שירות המבחן לא התייחס למאסר המותנה ומשכך המשך שמיעת הטיעונים לעונש נדחה לבקשת ב"כ הנאשם ל-22.9.24. במועד זה נעתרתי לבקשה נוספת של ההגנה והדיון נדחה לקבלת תסקיר משלים ב-23.12.24 –מועד בו ב"כ הנאשם לא התייצב. השלמת הטיעונים לעונש נשמעה ב-2.1.25 ומועד מתן גזר הדין נדחה ל-18.2.25 ובהמשך לבקשת ב"כ הנאשם ל-20.2.25. </w:t>
      </w:r>
    </w:p>
    <w:p w14:paraId="28F2EC3C" w14:textId="77777777" w:rsidR="00205D7E" w:rsidRDefault="00205D7E" w:rsidP="00205D7E">
      <w:pPr>
        <w:pStyle w:val="a9"/>
        <w:widowControl w:val="0"/>
        <w:rPr>
          <w:rFonts w:ascii="David" w:hAnsi="David" w:cs="David"/>
        </w:rPr>
      </w:pPr>
    </w:p>
    <w:p w14:paraId="0A5D7A2A" w14:textId="77777777" w:rsidR="00205D7E" w:rsidRDefault="00205D7E" w:rsidP="00205D7E">
      <w:pPr>
        <w:pStyle w:val="a9"/>
        <w:widowControl w:val="0"/>
        <w:numPr>
          <w:ilvl w:val="0"/>
          <w:numId w:val="3"/>
        </w:numPr>
        <w:spacing w:line="360" w:lineRule="auto"/>
        <w:ind w:left="794" w:hanging="397"/>
        <w:jc w:val="both"/>
        <w:rPr>
          <w:rFonts w:ascii="David" w:hAnsi="David" w:cs="David"/>
          <w:rtl/>
        </w:rPr>
      </w:pPr>
      <w:r>
        <w:rPr>
          <w:rFonts w:ascii="David" w:hAnsi="David" w:cs="David"/>
          <w:b/>
          <w:bCs/>
          <w:rtl/>
        </w:rPr>
        <w:t xml:space="preserve">הנזקים שנגרמו לנאשם מביצוע העבירות </w:t>
      </w:r>
      <w:r>
        <w:rPr>
          <w:rFonts w:ascii="David" w:hAnsi="David" w:cs="David"/>
          <w:rtl/>
        </w:rPr>
        <w:t>ו</w:t>
      </w:r>
      <w:r>
        <w:rPr>
          <w:rFonts w:ascii="David" w:hAnsi="David" w:cs="David"/>
          <w:b/>
          <w:bCs/>
          <w:rtl/>
        </w:rPr>
        <w:t>מהרשעתו</w:t>
      </w:r>
      <w:r>
        <w:rPr>
          <w:rFonts w:ascii="David" w:hAnsi="David" w:cs="David"/>
          <w:rtl/>
        </w:rPr>
        <w:t xml:space="preserve"> – מיד בסמוך לאחר מעצרו, ביטא הנאשם תסכול ועייפות מכך שלא יודע להתנהל בחברה נורמטיבית ולהתאים עצמו לכללי החברה וחוקיה. בדיון ביום 2.1.25 אמר הנאשם "</w:t>
      </w:r>
      <w:r>
        <w:rPr>
          <w:rFonts w:ascii="David" w:eastAsia="David" w:hAnsi="David" w:cs="David"/>
          <w:b/>
          <w:bCs/>
          <w:rtl/>
        </w:rPr>
        <w:t>אני כבר סבא, זה נכד שני. הנכד הראשון בן שנתיים. הילד שלי משרת בצבא בגבעתי כבר שנתיים. הקטן בן 15 ילד חולה ממש יש לו 3 מחלות לא רוצה לקבל טיפול. מקבל 250 זריקות בחודש. השבוע הוא קיבל מבי"ח טיפול מיוחד לאסטמה בריאות</w:t>
      </w:r>
      <w:r>
        <w:rPr>
          <w:rFonts w:ascii="David" w:eastAsia="David" w:hAnsi="David" w:cs="David"/>
          <w:rtl/>
        </w:rPr>
        <w:t xml:space="preserve">". </w:t>
      </w:r>
    </w:p>
    <w:p w14:paraId="3F2451DC" w14:textId="77777777" w:rsidR="00205D7E" w:rsidRDefault="00205D7E" w:rsidP="00205D7E">
      <w:pPr>
        <w:pStyle w:val="a9"/>
        <w:widowControl w:val="0"/>
        <w:rPr>
          <w:rFonts w:ascii="David" w:hAnsi="David" w:cs="David"/>
        </w:rPr>
      </w:pPr>
    </w:p>
    <w:p w14:paraId="6F652C07" w14:textId="77777777" w:rsidR="00205D7E" w:rsidRDefault="00205D7E" w:rsidP="00205D7E">
      <w:pPr>
        <w:pStyle w:val="a9"/>
        <w:widowControl w:val="0"/>
        <w:numPr>
          <w:ilvl w:val="0"/>
          <w:numId w:val="3"/>
        </w:numPr>
        <w:spacing w:line="360" w:lineRule="auto"/>
        <w:ind w:left="794" w:hanging="397"/>
        <w:jc w:val="both"/>
        <w:rPr>
          <w:rFonts w:ascii="David" w:hAnsi="David" w:cs="David"/>
          <w:rtl/>
        </w:rPr>
      </w:pPr>
      <w:r>
        <w:rPr>
          <w:rFonts w:ascii="David" w:hAnsi="David" w:cs="David"/>
          <w:b/>
          <w:bCs/>
          <w:rtl/>
        </w:rPr>
        <w:t>עבר</w:t>
      </w:r>
      <w:r>
        <w:rPr>
          <w:rFonts w:ascii="David" w:hAnsi="David" w:cs="David"/>
          <w:rtl/>
        </w:rPr>
        <w:t xml:space="preserve"> </w:t>
      </w:r>
      <w:r>
        <w:rPr>
          <w:rFonts w:ascii="David" w:hAnsi="David" w:cs="David"/>
          <w:b/>
          <w:bCs/>
          <w:rtl/>
        </w:rPr>
        <w:t>פלילי</w:t>
      </w:r>
      <w:r>
        <w:rPr>
          <w:rFonts w:ascii="David" w:hAnsi="David" w:cs="David"/>
          <w:rtl/>
        </w:rPr>
        <w:t xml:space="preserve"> – לחובת הנאשם 17 פרטי רישום משנת 1983 (3 מהם התיישנו) בעבירות רכוש, שבל"ר ונהיגה ללא רישיון, אלימות ועבירות סמים רבות ומגוונות. בגין מרבית הרשעותיו ריצה הנאשם מאסרים בפועל לתקופות שונות, המצטברות לכדי כ-2 עשורים. מאסרו הראשון הושת בשנת 1993 (בגין איומים, תקיפת שוטר והחזקת סמים לצריכה עצמית) ומאסרו האחרון הושת ב-7.9.20 בגין סיוע להחזקת סמים שלא לצריכה עצמית. במסגרת תיק אחרון זה הושתו על הנאשם 12 חודשי מאסר מותנה לבל יעבור עבירת סמים מסוג פשע – מאסר מותנה זה מבקש הנאשם להאריך ואילו המאשימה עומדת על הפעלתו. </w:t>
      </w:r>
    </w:p>
    <w:p w14:paraId="1756F0D9" w14:textId="77777777" w:rsidR="00205D7E" w:rsidRDefault="00205D7E" w:rsidP="00205D7E">
      <w:pPr>
        <w:pStyle w:val="a9"/>
        <w:widowControl w:val="0"/>
        <w:spacing w:line="360" w:lineRule="auto"/>
        <w:ind w:left="794"/>
        <w:jc w:val="both"/>
        <w:rPr>
          <w:rFonts w:ascii="David" w:hAnsi="David" w:cs="David"/>
        </w:rPr>
      </w:pPr>
      <w:r>
        <w:rPr>
          <w:rFonts w:ascii="David" w:hAnsi="David" w:cs="David"/>
          <w:rtl/>
        </w:rPr>
        <w:t xml:space="preserve">בנוסף לחובת הנאשם 71 רישומי תעבורה, רובם עבירות קנס, אך חלקם עבירות נהיגה ללא רישיון נהיגה, ללא רישיון רכב, בחוסר זהירות, במהירות ואי ציות לתמרורים. ב-16.5.24 הושתו על הנאשם 6 חודשי פסילה בפועל, 3,000 ₪ התחייבות ו-3 חודשי פסילה מותנית ל-3 שנים בגין נהיגה תחת השפעת סמים, אשר בוצעה ב-21.11.21 – כ-4 חודשים לאחר האירוע השני וכ-4 חודשים לפני הגשת כתב האישום בתיק שבכותרת. </w:t>
      </w:r>
    </w:p>
    <w:p w14:paraId="7D62624F" w14:textId="77777777" w:rsidR="00205D7E" w:rsidRDefault="00205D7E" w:rsidP="00205D7E">
      <w:pPr>
        <w:widowControl w:val="0"/>
        <w:spacing w:line="360" w:lineRule="auto"/>
        <w:rPr>
          <w:rFonts w:ascii="David" w:hAnsi="David"/>
          <w:b/>
          <w:bCs/>
          <w:sz w:val="26"/>
          <w:szCs w:val="26"/>
          <w:rtl/>
        </w:rPr>
      </w:pPr>
    </w:p>
    <w:p w14:paraId="42627AB8" w14:textId="77777777" w:rsidR="00205D7E" w:rsidRDefault="00205D7E" w:rsidP="00205D7E">
      <w:pPr>
        <w:widowControl w:val="0"/>
        <w:spacing w:line="360" w:lineRule="auto"/>
        <w:rPr>
          <w:rFonts w:ascii="David" w:hAnsi="David"/>
          <w:b/>
          <w:bCs/>
          <w:sz w:val="26"/>
          <w:szCs w:val="26"/>
          <w:rtl/>
        </w:rPr>
      </w:pPr>
      <w:r>
        <w:rPr>
          <w:rFonts w:ascii="David" w:hAnsi="David"/>
          <w:b/>
          <w:bCs/>
          <w:sz w:val="26"/>
          <w:szCs w:val="26"/>
          <w:rtl/>
        </w:rPr>
        <w:t>הפעלת מאסר מותנה או הארכתו</w:t>
      </w:r>
    </w:p>
    <w:p w14:paraId="570AAECC" w14:textId="77777777" w:rsidR="00205D7E" w:rsidRDefault="00205D7E" w:rsidP="00205D7E">
      <w:pPr>
        <w:pStyle w:val="a9"/>
        <w:widowControl w:val="0"/>
        <w:numPr>
          <w:ilvl w:val="0"/>
          <w:numId w:val="1"/>
        </w:numPr>
        <w:snapToGrid w:val="0"/>
        <w:spacing w:line="360" w:lineRule="auto"/>
        <w:ind w:left="397" w:hanging="397"/>
        <w:jc w:val="both"/>
        <w:rPr>
          <w:rFonts w:ascii="David" w:hAnsi="David" w:cs="David"/>
          <w:rtl/>
        </w:rPr>
      </w:pPr>
      <w:r>
        <w:rPr>
          <w:rFonts w:ascii="David" w:hAnsi="David" w:cs="David"/>
          <w:rtl/>
        </w:rPr>
        <w:t>ב</w:t>
      </w:r>
      <w:hyperlink r:id="rId60" w:history="1">
        <w:r w:rsidR="003C0B95" w:rsidRPr="003C0B95">
          <w:rPr>
            <w:rFonts w:ascii="David" w:hAnsi="David" w:cs="David"/>
            <w:color w:val="0000FF"/>
            <w:u w:val="single"/>
            <w:rtl/>
          </w:rPr>
          <w:t>ת"פ (מחוזי-ב"ש) 33185-12-19</w:t>
        </w:r>
      </w:hyperlink>
      <w:r>
        <w:rPr>
          <w:rFonts w:ascii="David" w:hAnsi="David" w:cs="David"/>
          <w:rtl/>
        </w:rPr>
        <w:t xml:space="preserve"> </w:t>
      </w:r>
      <w:r>
        <w:rPr>
          <w:rFonts w:ascii="Miriam" w:hAnsi="Miriam" w:cs="Miriam"/>
          <w:b/>
          <w:bCs/>
          <w:sz w:val="22"/>
          <w:szCs w:val="22"/>
          <w:rtl/>
        </w:rPr>
        <w:t>מדינת ישראל נ' בנאיש ואח'</w:t>
      </w:r>
      <w:r>
        <w:rPr>
          <w:rFonts w:ascii="David" w:hAnsi="David" w:cs="David"/>
          <w:sz w:val="22"/>
          <w:szCs w:val="22"/>
          <w:rtl/>
        </w:rPr>
        <w:t xml:space="preserve"> </w:t>
      </w:r>
      <w:r>
        <w:rPr>
          <w:rFonts w:ascii="David" w:hAnsi="David" w:cs="David"/>
          <w:rtl/>
        </w:rPr>
        <w:t xml:space="preserve">(7.9.20) הושתו על הנאשם בגין סיוע להחזקת 285.68 גרם הרואין, שלא לצריכה עצמית 20 חודשי מאסר בפועל ו-12 חודשי מאסר מותנה, שבמשך 3 שנים לא יעבור עבירת סמים מסוג פשע. העבירות שבפניי בוצעו כ-4 חודשים לאחר ששוחרר ממאסרו האחרון בחודש מרץ 2021. מקובלת עלי טענת ב"כ המאשימה כי נתון זה מטה את הכף לעבר הפעלת המאסר המותנה. זאת ועוד, </w:t>
      </w:r>
      <w:bookmarkStart w:id="10" w:name="_Hlk160271315"/>
      <w:r>
        <w:rPr>
          <w:rFonts w:ascii="David" w:hAnsi="David" w:cs="David"/>
          <w:rtl/>
        </w:rPr>
        <w:t xml:space="preserve">בהפעלת מאסרים מותנים יש משמעות בבחינת הצורך בהרתעה אישית ובהרתעת הרבים, בהתאם </w:t>
      </w:r>
      <w:hyperlink r:id="rId61" w:history="1">
        <w:r w:rsidR="00892006" w:rsidRPr="00892006">
          <w:rPr>
            <w:rStyle w:val="Hyperlink"/>
            <w:rFonts w:ascii="David" w:hAnsi="David" w:cs="David"/>
            <w:color w:val="0000FF"/>
            <w:rtl/>
          </w:rPr>
          <w:t>לסעיפים 40ו</w:t>
        </w:r>
      </w:hyperlink>
      <w:r>
        <w:rPr>
          <w:rFonts w:ascii="David" w:hAnsi="David" w:cs="David"/>
          <w:rtl/>
        </w:rPr>
        <w:t xml:space="preserve"> ו-</w:t>
      </w:r>
      <w:hyperlink r:id="rId62" w:history="1">
        <w:r w:rsidR="00892006" w:rsidRPr="00892006">
          <w:rPr>
            <w:rStyle w:val="Hyperlink"/>
            <w:rFonts w:ascii="David" w:hAnsi="David" w:cs="David"/>
            <w:color w:val="0000FF"/>
            <w:rtl/>
          </w:rPr>
          <w:t>40ז</w:t>
        </w:r>
      </w:hyperlink>
      <w:r>
        <w:rPr>
          <w:rFonts w:ascii="David" w:hAnsi="David" w:cs="David"/>
          <w:rtl/>
        </w:rPr>
        <w:t xml:space="preserve"> ל-</w:t>
      </w:r>
      <w:hyperlink r:id="rId63" w:history="1">
        <w:r w:rsidR="003C0B95" w:rsidRPr="003C0B95">
          <w:rPr>
            <w:rFonts w:ascii="Miriam" w:hAnsi="Miriam" w:cs="Miriam"/>
            <w:b/>
            <w:bCs/>
            <w:color w:val="0000FF"/>
            <w:sz w:val="22"/>
            <w:szCs w:val="22"/>
            <w:u w:val="single"/>
            <w:rtl/>
          </w:rPr>
          <w:t>חוק העונשין</w:t>
        </w:r>
      </w:hyperlink>
      <w:r>
        <w:rPr>
          <w:rFonts w:ascii="David" w:hAnsi="David" w:cs="David"/>
          <w:rtl/>
        </w:rPr>
        <w:t xml:space="preserve"> ובהתאם לכלל לפיו מאסר מותנה יופעל שעה שהנאשם עובר בתקופת התנאי את העבירה שנקבעה בגזר הדין בו הושת התנאי ומורשע בה [ראו </w:t>
      </w:r>
      <w:hyperlink r:id="rId64" w:history="1">
        <w:r w:rsidR="003C0B95" w:rsidRPr="003C0B95">
          <w:rPr>
            <w:rFonts w:ascii="David" w:hAnsi="David" w:cs="David"/>
            <w:color w:val="0000FF"/>
            <w:u w:val="single"/>
            <w:rtl/>
          </w:rPr>
          <w:t>ע"פ 49/80</w:t>
        </w:r>
      </w:hyperlink>
      <w:r>
        <w:rPr>
          <w:rFonts w:ascii="David" w:hAnsi="David" w:cs="David"/>
          <w:rtl/>
        </w:rPr>
        <w:t xml:space="preserve"> </w:t>
      </w:r>
      <w:r>
        <w:rPr>
          <w:rFonts w:ascii="Miriam" w:hAnsi="Miriam" w:cs="Miriam"/>
          <w:b/>
          <w:bCs/>
          <w:sz w:val="22"/>
          <w:szCs w:val="22"/>
          <w:rtl/>
        </w:rPr>
        <w:t>מסילתי נ' מדינת ישראל</w:t>
      </w:r>
      <w:r>
        <w:rPr>
          <w:rFonts w:ascii="David" w:hAnsi="David" w:cs="David"/>
          <w:rtl/>
        </w:rPr>
        <w:t xml:space="preserve">, פ"ד לד(3) 808 (1980); ‏‏ע"פ 4517/04 </w:t>
      </w:r>
      <w:r>
        <w:rPr>
          <w:rFonts w:ascii="Miriam" w:hAnsi="Miriam" w:cs="Miriam"/>
          <w:b/>
          <w:bCs/>
          <w:sz w:val="22"/>
          <w:szCs w:val="22"/>
          <w:rtl/>
        </w:rPr>
        <w:t>מסראווה נ' מדינת ישראל</w:t>
      </w:r>
      <w:r>
        <w:rPr>
          <w:rFonts w:ascii="David" w:hAnsi="David" w:cs="David"/>
          <w:rtl/>
        </w:rPr>
        <w:t>, פ"ד נט(6) 119 (2005)]</w:t>
      </w:r>
      <w:bookmarkEnd w:id="10"/>
      <w:r>
        <w:rPr>
          <w:rFonts w:ascii="David" w:hAnsi="David" w:cs="David"/>
          <w:rtl/>
        </w:rPr>
        <w:t>.</w:t>
      </w:r>
    </w:p>
    <w:p w14:paraId="4FE0ACAA" w14:textId="77777777" w:rsidR="00205D7E" w:rsidRDefault="00205D7E" w:rsidP="00205D7E">
      <w:pPr>
        <w:pStyle w:val="a9"/>
        <w:widowControl w:val="0"/>
        <w:snapToGrid w:val="0"/>
        <w:spacing w:line="360" w:lineRule="auto"/>
        <w:ind w:left="397"/>
        <w:jc w:val="both"/>
        <w:rPr>
          <w:rFonts w:ascii="David" w:hAnsi="David" w:cs="David"/>
        </w:rPr>
      </w:pPr>
    </w:p>
    <w:p w14:paraId="794CC674" w14:textId="77777777" w:rsidR="00205D7E" w:rsidRDefault="00205D7E" w:rsidP="00205D7E">
      <w:pPr>
        <w:pStyle w:val="a9"/>
        <w:widowControl w:val="0"/>
        <w:numPr>
          <w:ilvl w:val="0"/>
          <w:numId w:val="1"/>
        </w:numPr>
        <w:snapToGrid w:val="0"/>
        <w:spacing w:line="360" w:lineRule="auto"/>
        <w:ind w:left="397" w:hanging="397"/>
        <w:jc w:val="both"/>
        <w:rPr>
          <w:rFonts w:ascii="David" w:hAnsi="David" w:cs="David"/>
        </w:rPr>
      </w:pPr>
      <w:r>
        <w:rPr>
          <w:rFonts w:ascii="David" w:hAnsi="David" w:cs="David"/>
          <w:rtl/>
        </w:rPr>
        <w:t xml:space="preserve">מאידך גיסא, הימנעות מהפעלת המאסר המותנה וחיזוק ידי הנאשם נוכח ההליך הטיפולי והשינוי המשמעותי שעבר, יש בהם כדי לשרת לא רק את טובתו האישית של הנאשם, אלא גם את האינטרס הציבורי במספר דרכים. כפי שתואר לעיל, הפעלת המאסר המותנה עלולה להסב לנאשם נזק חמור, שכן משמעות הדבר תהיה גדיעת הליך טיפולי מוצלח בעיצומו ופגיעה ביכולת הנאשם להתפרנס. </w:t>
      </w:r>
      <w:r>
        <w:rPr>
          <w:rFonts w:cs="David"/>
          <w:sz w:val="20"/>
          <w:rtl/>
          <w:lang w:eastAsia="he-IL"/>
        </w:rPr>
        <w:t>הנאשם נרתם להליך טיפול אינטנסיבי, התמיד בו, נתרם ממנו והביע נכונות להמשיך בהליך טיפולי, בו כבר החל במסגרת שירות המבחן. מתן אפשרות לנאשם להמשיך בהליך הטיפולי יכולה לקדם לא רק את האינטרס האישי שלו, אלא גם את האינטרסים של בני משפחתו ולמעשה גם את האינטרסים של החברה כולה. עמד על כך כב' הש' סולברג בסעיף 10 לפסק דינו ב-</w:t>
      </w:r>
      <w:hyperlink r:id="rId65" w:history="1">
        <w:r w:rsidR="003C0B95" w:rsidRPr="003C0B95">
          <w:rPr>
            <w:rFonts w:cs="David"/>
            <w:color w:val="0000FF"/>
            <w:sz w:val="20"/>
            <w:u w:val="single"/>
            <w:rtl/>
            <w:lang w:eastAsia="he-IL"/>
          </w:rPr>
          <w:t>ע"פ 7353/18</w:t>
        </w:r>
      </w:hyperlink>
      <w:r>
        <w:rPr>
          <w:rFonts w:cs="David"/>
          <w:sz w:val="20"/>
          <w:rtl/>
          <w:lang w:eastAsia="he-IL"/>
        </w:rPr>
        <w:t xml:space="preserve"> </w:t>
      </w:r>
      <w:r>
        <w:rPr>
          <w:rFonts w:ascii="David" w:hAnsi="David" w:cs="Miriam"/>
          <w:b/>
          <w:bCs/>
          <w:sz w:val="16"/>
          <w:szCs w:val="22"/>
          <w:rtl/>
        </w:rPr>
        <w:t>חדד נ' מדינת ישראל</w:t>
      </w:r>
      <w:r>
        <w:rPr>
          <w:rFonts w:cs="David"/>
          <w:sz w:val="18"/>
          <w:szCs w:val="22"/>
          <w:rtl/>
          <w:lang w:eastAsia="he-IL"/>
        </w:rPr>
        <w:t xml:space="preserve"> </w:t>
      </w:r>
      <w:r>
        <w:rPr>
          <w:rFonts w:cs="David"/>
          <w:sz w:val="20"/>
          <w:rtl/>
          <w:lang w:eastAsia="he-IL"/>
        </w:rPr>
        <w:t xml:space="preserve">(1.5.19) (ההדגשה לא במקור - זד"ל) – </w:t>
      </w:r>
    </w:p>
    <w:p w14:paraId="11664209" w14:textId="77777777" w:rsidR="00205D7E" w:rsidRDefault="00205D7E" w:rsidP="00205D7E">
      <w:pPr>
        <w:ind w:left="1588" w:right="794"/>
        <w:jc w:val="both"/>
      </w:pPr>
    </w:p>
    <w:p w14:paraId="1B000A58" w14:textId="77777777" w:rsidR="00205D7E" w:rsidRDefault="00205D7E" w:rsidP="00205D7E">
      <w:pPr>
        <w:ind w:left="1588" w:right="794"/>
        <w:jc w:val="both"/>
        <w:rPr>
          <w:rtl/>
        </w:rPr>
      </w:pPr>
      <w:r>
        <w:rPr>
          <w:rtl/>
        </w:rPr>
        <w:t>"</w:t>
      </w:r>
      <w:r>
        <w:rPr>
          <w:b/>
          <w:bCs/>
          <w:rtl/>
        </w:rPr>
        <w:t xml:space="preserve">מצב דברים שבו עבריין נרתם כולו לשיקום, עושה כל שלאל ידו כדי לחזור למוטב, ומצוי בעיצומה של חזרה לדרך הישר - עשוי להצדיק הקלה בעונשו, או למצער התאמתו, כך שהעונש שבו ישא לא יפגום במאמצי השיקום, ובתוצאותיהם המוכחות. </w:t>
      </w:r>
      <w:r>
        <w:rPr>
          <w:b/>
          <w:bCs/>
          <w:u w:val="single"/>
          <w:rtl/>
        </w:rPr>
        <w:t>בכך יקודם אינטרס הציבור, בשובם של בני החברה שסטו מן הדרך לתפקוד חיובי ומיטיב</w:t>
      </w:r>
      <w:r>
        <w:rPr>
          <w:b/>
          <w:bCs/>
          <w:rtl/>
        </w:rPr>
        <w:t>. אכן, לא בכל המקרים יפה הבכורה להלימה ולהרתעה; לעתים ראוי לשיקולי השיקום לתפוס את הבכורה</w:t>
      </w:r>
      <w:r>
        <w:rPr>
          <w:rtl/>
        </w:rPr>
        <w:t>"</w:t>
      </w:r>
    </w:p>
    <w:p w14:paraId="6B9998D9" w14:textId="77777777" w:rsidR="00205D7E" w:rsidRDefault="00205D7E" w:rsidP="00205D7E">
      <w:pPr>
        <w:widowControl w:val="0"/>
        <w:spacing w:line="360" w:lineRule="auto"/>
        <w:rPr>
          <w:rFonts w:ascii="David" w:hAnsi="David"/>
          <w:b/>
          <w:bCs/>
          <w:sz w:val="26"/>
          <w:szCs w:val="26"/>
        </w:rPr>
      </w:pPr>
    </w:p>
    <w:p w14:paraId="7E89B696" w14:textId="77777777" w:rsidR="00205D7E" w:rsidRDefault="00205D7E" w:rsidP="00205D7E">
      <w:pPr>
        <w:pStyle w:val="a9"/>
        <w:widowControl w:val="0"/>
        <w:numPr>
          <w:ilvl w:val="0"/>
          <w:numId w:val="1"/>
        </w:numPr>
        <w:snapToGrid w:val="0"/>
        <w:spacing w:before="120" w:line="360" w:lineRule="auto"/>
        <w:ind w:left="397" w:hanging="397"/>
        <w:jc w:val="both"/>
        <w:rPr>
          <w:rFonts w:ascii="David" w:hAnsi="David" w:cs="David"/>
          <w:rtl/>
          <w:lang w:eastAsia="he-IL"/>
        </w:rPr>
      </w:pPr>
      <w:r>
        <w:rPr>
          <w:rFonts w:ascii="David" w:hAnsi="David" w:cs="David"/>
          <w:rtl/>
          <w:lang w:eastAsia="he-IL"/>
        </w:rPr>
        <w:t>שירות המבחן שב פעם אחר פעם על התרשמותו מהשינוי החיובי שערך הנאשם, לקיחת האחריות, המאמץ והשינוי המשמעותי שעבר. להתרשמות שירות המבחן, על רקע התמכרות רבת שנים לחומרים משני תודעה ולהתנהגות עבריינית ורווחיה המשניים – בהתחשב בהשתלבות הנאשם, לראשונה בחייו, בטיפול ייעודי בתום ההתמכרות, תחילה בקהילה טיפולית ובהמשך במרכז יום וסיום הטיפול בהצלחה, הקשר היציב עם שירות המבחן וההתרשמות מהמחויבות לקשר ולליווי – יש חשיבות גבוהה במתן הזדמנות להשלמת ההליך הטיפולי, שיכול לצמצם רמת הסיכון להישנות התנהגות עוברת חוק בעתיד. שירות המבחן ציין בהתרשמותו כי השתת מאסר בפועל יכולה לגדוע את ההליך הטיפולי בו מצוי ולהחזירו לאוכלוסייה שולית ועבריינית, לגרום לנסיבה במצבו ובמצב בני משפחתו ולפגוע בסיכויי פרנסתו. משכך,</w:t>
      </w:r>
      <w:r>
        <w:rPr>
          <w:rFonts w:ascii="David" w:hAnsi="David" w:cs="David"/>
          <w:b/>
          <w:bCs/>
          <w:rtl/>
          <w:lang w:eastAsia="he-IL"/>
        </w:rPr>
        <w:t xml:space="preserve"> המליץ שירות המבחן על הארכת המאסר המותנה, 300 שעות של"צ וצו מבחן לשנה</w:t>
      </w:r>
      <w:r>
        <w:rPr>
          <w:rFonts w:ascii="David" w:hAnsi="David" w:cs="David"/>
          <w:rtl/>
          <w:lang w:eastAsia="he-IL"/>
        </w:rPr>
        <w:t xml:space="preserve">. קביעת כב' השופטת פרוקצ'יה, בקבלה הערעור </w:t>
      </w:r>
      <w:bookmarkStart w:id="11" w:name="_Hlk160269827"/>
      <w:r>
        <w:rPr>
          <w:rFonts w:ascii="David" w:hAnsi="David" w:cs="David"/>
          <w:rtl/>
          <w:lang w:eastAsia="he-IL"/>
        </w:rPr>
        <w:t>ב-</w:t>
      </w:r>
      <w:hyperlink r:id="rId66" w:history="1">
        <w:r w:rsidR="003C0B95" w:rsidRPr="003C0B95">
          <w:rPr>
            <w:rFonts w:ascii="David" w:hAnsi="David" w:cs="David"/>
            <w:color w:val="0000FF"/>
            <w:u w:val="single"/>
            <w:rtl/>
            <w:lang w:eastAsia="he-IL"/>
          </w:rPr>
          <w:t>ע"פ 8092/04</w:t>
        </w:r>
      </w:hyperlink>
      <w:r>
        <w:rPr>
          <w:rFonts w:ascii="David" w:hAnsi="David" w:cs="David"/>
          <w:rtl/>
          <w:lang w:eastAsia="he-IL"/>
        </w:rPr>
        <w:t xml:space="preserve"> </w:t>
      </w:r>
      <w:r>
        <w:rPr>
          <w:rFonts w:ascii="Miriam" w:hAnsi="Miriam" w:cs="Miriam"/>
          <w:b/>
          <w:bCs/>
          <w:sz w:val="22"/>
          <w:szCs w:val="22"/>
          <w:rtl/>
        </w:rPr>
        <w:t>חביב נ' מדינת ישראל</w:t>
      </w:r>
      <w:r>
        <w:rPr>
          <w:rFonts w:ascii="Miriam" w:hAnsi="Miriam" w:cs="Miriam"/>
          <w:sz w:val="22"/>
          <w:szCs w:val="22"/>
          <w:rtl/>
          <w:lang w:eastAsia="he-IL"/>
        </w:rPr>
        <w:t xml:space="preserve"> </w:t>
      </w:r>
      <w:r>
        <w:rPr>
          <w:rFonts w:ascii="David" w:hAnsi="David" w:cs="David"/>
          <w:rtl/>
          <w:lang w:eastAsia="he-IL"/>
        </w:rPr>
        <w:t>(10.9.06), כי במסגרת שיקולי הענישה יש ליתן להישג השיקומי נכבד רלוונטיות אף לעניינו (</w:t>
      </w:r>
      <w:r>
        <w:rPr>
          <w:rFonts w:ascii="David" w:hAnsi="David" w:cs="David"/>
          <w:i/>
          <w:iCs/>
          <w:rtl/>
          <w:lang w:eastAsia="he-IL"/>
        </w:rPr>
        <w:t>ההדגשות בכתיב מוטה - במקור</w:t>
      </w:r>
      <w:r>
        <w:rPr>
          <w:rFonts w:ascii="David" w:hAnsi="David" w:cs="David"/>
          <w:rtl/>
          <w:lang w:eastAsia="he-IL"/>
        </w:rPr>
        <w:t xml:space="preserve">, </w:t>
      </w:r>
      <w:r>
        <w:rPr>
          <w:rFonts w:ascii="David" w:hAnsi="David" w:cs="David"/>
          <w:u w:val="single"/>
          <w:rtl/>
          <w:lang w:eastAsia="he-IL"/>
        </w:rPr>
        <w:t>ההדגשות בקו תחתון - לא במקור</w:t>
      </w:r>
      <w:r>
        <w:rPr>
          <w:rFonts w:ascii="David" w:hAnsi="David" w:cs="David"/>
          <w:rtl/>
          <w:lang w:eastAsia="he-IL"/>
        </w:rPr>
        <w:t xml:space="preserve"> - זד"ל) –</w:t>
      </w:r>
      <w:bookmarkEnd w:id="11"/>
    </w:p>
    <w:p w14:paraId="042E9F24" w14:textId="77777777" w:rsidR="00205D7E" w:rsidRDefault="00205D7E" w:rsidP="00205D7E">
      <w:pPr>
        <w:snapToGrid w:val="0"/>
        <w:ind w:left="1588" w:right="794"/>
        <w:jc w:val="both"/>
        <w:rPr>
          <w:rFonts w:ascii="David" w:hAnsi="David"/>
          <w:lang w:eastAsia="he-IL"/>
        </w:rPr>
      </w:pPr>
      <w:bookmarkStart w:id="12" w:name="_Hlk160270081"/>
    </w:p>
    <w:p w14:paraId="0B9BEB4B" w14:textId="77777777" w:rsidR="00205D7E" w:rsidRDefault="00205D7E" w:rsidP="00205D7E">
      <w:pPr>
        <w:snapToGrid w:val="0"/>
        <w:ind w:left="1588" w:right="794"/>
        <w:jc w:val="both"/>
        <w:rPr>
          <w:rFonts w:ascii="David" w:hAnsi="David"/>
          <w:b/>
          <w:bCs/>
          <w:rtl/>
          <w:lang w:eastAsia="he-IL"/>
        </w:rPr>
      </w:pPr>
      <w:r>
        <w:rPr>
          <w:rFonts w:ascii="David" w:hAnsi="David"/>
          <w:rtl/>
          <w:lang w:eastAsia="he-IL"/>
        </w:rPr>
        <w:t>"</w:t>
      </w:r>
      <w:r>
        <w:rPr>
          <w:rFonts w:ascii="David" w:hAnsi="David"/>
          <w:b/>
          <w:bCs/>
          <w:rtl/>
          <w:lang w:eastAsia="he-IL"/>
        </w:rPr>
        <w:t xml:space="preserve">וזאת מכמה בחינות: </w:t>
      </w:r>
      <w:r>
        <w:rPr>
          <w:rFonts w:ascii="David" w:hAnsi="David"/>
          <w:b/>
          <w:bCs/>
          <w:i/>
          <w:iCs/>
          <w:rtl/>
          <w:lang w:eastAsia="he-IL"/>
        </w:rPr>
        <w:t>ראשית</w:t>
      </w:r>
      <w:r>
        <w:rPr>
          <w:rFonts w:ascii="David" w:hAnsi="David"/>
          <w:b/>
          <w:bCs/>
          <w:rtl/>
          <w:lang w:eastAsia="he-IL"/>
        </w:rPr>
        <w:t xml:space="preserve">, </w:t>
      </w:r>
      <w:r>
        <w:rPr>
          <w:rFonts w:ascii="David" w:hAnsi="David"/>
          <w:b/>
          <w:bCs/>
          <w:u w:val="single"/>
          <w:rtl/>
          <w:lang w:eastAsia="he-IL"/>
        </w:rPr>
        <w:t>מבחינת האינטרס הציבורי בהגנה על שלום הציבור ובטחונו, שיקומו של עבריין מו</w:t>
      </w:r>
      <w:r>
        <w:rPr>
          <w:rFonts w:ascii="David" w:hAnsi="David"/>
          <w:b/>
          <w:bCs/>
          <w:u w:val="single"/>
          <w:rtl/>
          <w:lang w:eastAsia="he-IL"/>
        </w:rPr>
        <w:softHyphen/>
        <w:t>עד תורם</w:t>
      </w:r>
      <w:r>
        <w:rPr>
          <w:rFonts w:ascii="David" w:hAnsi="David"/>
          <w:b/>
          <w:bCs/>
          <w:rtl/>
          <w:lang w:eastAsia="he-IL"/>
        </w:rPr>
        <w:t xml:space="preserve"> לקיומה של ציפייה כי לא יחזור לעולם הפשע. ציפייה זו </w:t>
      </w:r>
      <w:r>
        <w:rPr>
          <w:rFonts w:ascii="David" w:hAnsi="David"/>
          <w:b/>
          <w:bCs/>
          <w:u w:val="single"/>
          <w:rtl/>
          <w:lang w:eastAsia="he-IL"/>
        </w:rPr>
        <w:t>מקדמת את טובת הציבור ומתיישבת עם אינטרס חברתי רחב</w:t>
      </w:r>
      <w:r>
        <w:rPr>
          <w:rFonts w:ascii="David" w:hAnsi="David"/>
          <w:b/>
          <w:bCs/>
          <w:rtl/>
          <w:lang w:eastAsia="he-IL"/>
        </w:rPr>
        <w:t xml:space="preserve">. </w:t>
      </w:r>
      <w:r>
        <w:rPr>
          <w:rFonts w:ascii="David" w:hAnsi="David"/>
          <w:b/>
          <w:bCs/>
          <w:i/>
          <w:iCs/>
          <w:rtl/>
          <w:lang w:eastAsia="he-IL"/>
        </w:rPr>
        <w:t>שנית</w:t>
      </w:r>
      <w:r>
        <w:rPr>
          <w:rFonts w:ascii="David" w:hAnsi="David"/>
          <w:b/>
          <w:bCs/>
          <w:rtl/>
          <w:lang w:eastAsia="he-IL"/>
        </w:rPr>
        <w:t xml:space="preserve">, מבחינת העבריין, השיקום המוצלח פותח בפניו אופקי-חיים חדשים, ולראשונה </w:t>
      </w:r>
      <w:r>
        <w:rPr>
          <w:rFonts w:ascii="David" w:hAnsi="David"/>
          <w:b/>
          <w:bCs/>
          <w:u w:val="single"/>
          <w:rtl/>
          <w:lang w:eastAsia="he-IL"/>
        </w:rPr>
        <w:t>עולה תקוה כי יוכל לפנות לדרך חיים בונה, שבה יוכל להשתלב באורח חיים יציב וקונסטרוקטיבי</w:t>
      </w:r>
      <w:r>
        <w:rPr>
          <w:rFonts w:ascii="David" w:hAnsi="David"/>
          <w:b/>
          <w:bCs/>
          <w:rtl/>
          <w:lang w:eastAsia="he-IL"/>
        </w:rPr>
        <w:t xml:space="preserve">. </w:t>
      </w:r>
      <w:r>
        <w:rPr>
          <w:rFonts w:ascii="David" w:hAnsi="David"/>
          <w:b/>
          <w:bCs/>
          <w:i/>
          <w:iCs/>
          <w:rtl/>
          <w:lang w:eastAsia="he-IL"/>
        </w:rPr>
        <w:t>ושלישית</w:t>
      </w:r>
      <w:r>
        <w:rPr>
          <w:rFonts w:ascii="David" w:hAnsi="David"/>
          <w:b/>
          <w:bCs/>
          <w:rtl/>
          <w:lang w:eastAsia="he-IL"/>
        </w:rPr>
        <w:t xml:space="preserve">, מבחינת שירותי השיקום והרווחה, </w:t>
      </w:r>
      <w:r>
        <w:rPr>
          <w:rFonts w:ascii="David" w:hAnsi="David"/>
          <w:b/>
          <w:bCs/>
          <w:u w:val="single"/>
          <w:rtl/>
          <w:lang w:eastAsia="he-IL"/>
        </w:rPr>
        <w:t>חשוב לטעת את התודעה כי יש טעם ותוחלת בהשקעת משאבים חומריים ואנושיים בפעולות שיקום עבריינים</w:t>
      </w:r>
      <w:r>
        <w:rPr>
          <w:rFonts w:ascii="David" w:hAnsi="David"/>
          <w:b/>
          <w:bCs/>
          <w:rtl/>
          <w:lang w:eastAsia="he-IL"/>
        </w:rPr>
        <w:t>, וכי מקום שפעולות אלה מניבות פרי, ישנה התחשבות בכך בתהליך הענישה וננקטים אמצעים המאפשרים ככל הניתן את הותרת תוצאות השיקום על כנן, בלא העמדתן בסכנה</w:t>
      </w:r>
      <w:r>
        <w:rPr>
          <w:rFonts w:ascii="David" w:hAnsi="David"/>
          <w:rtl/>
          <w:lang w:eastAsia="he-IL"/>
        </w:rPr>
        <w:t>...</w:t>
      </w:r>
    </w:p>
    <w:p w14:paraId="779E4D19" w14:textId="77777777" w:rsidR="00205D7E" w:rsidRDefault="00205D7E" w:rsidP="00205D7E">
      <w:pPr>
        <w:snapToGrid w:val="0"/>
        <w:ind w:left="1588" w:right="794"/>
        <w:jc w:val="both"/>
        <w:rPr>
          <w:rFonts w:ascii="David" w:hAnsi="David"/>
          <w:b/>
          <w:bCs/>
          <w:rtl/>
          <w:lang w:eastAsia="he-IL"/>
        </w:rPr>
      </w:pPr>
      <w:r>
        <w:rPr>
          <w:rFonts w:ascii="David" w:hAnsi="David"/>
          <w:b/>
          <w:bCs/>
          <w:rtl/>
          <w:lang w:eastAsia="he-IL"/>
        </w:rPr>
        <w:t xml:space="preserve">בענייננו, </w:t>
      </w:r>
      <w:r>
        <w:rPr>
          <w:rFonts w:ascii="David" w:hAnsi="David"/>
          <w:b/>
          <w:bCs/>
          <w:u w:val="single"/>
          <w:rtl/>
          <w:lang w:eastAsia="he-IL"/>
        </w:rPr>
        <w:t>גם אם חומרת העבירות בהן הורשע המערער ורקעו הפלילי המכביד הקודם היו מצדיקים במצב אחר עונש מחמיר ומאסר בפועל ארוך</w:t>
      </w:r>
      <w:r>
        <w:rPr>
          <w:rFonts w:ascii="David" w:hAnsi="David"/>
          <w:b/>
          <w:bCs/>
          <w:rtl/>
          <w:lang w:eastAsia="he-IL"/>
        </w:rPr>
        <w:t xml:space="preserve">, הרי </w:t>
      </w:r>
      <w:r>
        <w:rPr>
          <w:rFonts w:ascii="David" w:hAnsi="David"/>
          <w:b/>
          <w:bCs/>
          <w:u w:val="single"/>
          <w:rtl/>
          <w:lang w:eastAsia="he-IL"/>
        </w:rPr>
        <w:t>הישגי השיקום</w:t>
      </w:r>
      <w:r>
        <w:rPr>
          <w:rFonts w:ascii="David" w:hAnsi="David"/>
          <w:b/>
          <w:bCs/>
          <w:rtl/>
          <w:lang w:eastAsia="he-IL"/>
        </w:rPr>
        <w:t xml:space="preserve"> המיוחדים שהושגו כאן, </w:t>
      </w:r>
      <w:r>
        <w:rPr>
          <w:rFonts w:ascii="David" w:hAnsi="David"/>
          <w:b/>
          <w:bCs/>
          <w:u w:val="single"/>
          <w:rtl/>
          <w:lang w:eastAsia="he-IL"/>
        </w:rPr>
        <w:t>וההשקעה הרבה</w:t>
      </w:r>
      <w:r>
        <w:rPr>
          <w:rFonts w:ascii="David" w:hAnsi="David"/>
          <w:b/>
          <w:bCs/>
          <w:rtl/>
          <w:lang w:eastAsia="he-IL"/>
        </w:rPr>
        <w:t xml:space="preserve"> - הן מצד המערער והן מצד מערכת הרווחה - שהביאה להישגים אלה, </w:t>
      </w:r>
      <w:r>
        <w:rPr>
          <w:rFonts w:ascii="David" w:hAnsi="David"/>
          <w:b/>
          <w:bCs/>
          <w:u w:val="single"/>
          <w:rtl/>
          <w:lang w:eastAsia="he-IL"/>
        </w:rPr>
        <w:t>מצדיקים באיזון כולל מתן משקל נכבד לגורם זה</w:t>
      </w:r>
      <w:r>
        <w:rPr>
          <w:rFonts w:ascii="David" w:hAnsi="David"/>
          <w:b/>
          <w:bCs/>
          <w:rtl/>
          <w:lang w:eastAsia="he-IL"/>
        </w:rPr>
        <w:t>. המסקנה הנובעת מכך היא כי אין מקום, בנסיבות ענין זה, להותיר את עונש המאסר בפועל על כנו, מחשש כי הוא עלול לדרדר את המערער להשפעות שליליות של גורמים עברייניים, ולשים לאל או לסכן את המאמצים הכבירים שהושקעו בשיקומו</w:t>
      </w:r>
      <w:r>
        <w:rPr>
          <w:rFonts w:ascii="David" w:hAnsi="David"/>
          <w:rtl/>
          <w:lang w:eastAsia="he-IL"/>
        </w:rPr>
        <w:t>"</w:t>
      </w:r>
    </w:p>
    <w:bookmarkEnd w:id="12"/>
    <w:p w14:paraId="0F00A269" w14:textId="77777777" w:rsidR="00205D7E" w:rsidRDefault="00205D7E" w:rsidP="00205D7E">
      <w:pPr>
        <w:widowControl w:val="0"/>
        <w:spacing w:line="360" w:lineRule="auto"/>
        <w:rPr>
          <w:rFonts w:ascii="David" w:hAnsi="David"/>
          <w:b/>
          <w:bCs/>
          <w:sz w:val="26"/>
          <w:szCs w:val="26"/>
        </w:rPr>
      </w:pPr>
    </w:p>
    <w:p w14:paraId="26634008" w14:textId="77777777" w:rsidR="00205D7E" w:rsidRDefault="00205D7E" w:rsidP="00205D7E">
      <w:pPr>
        <w:widowControl w:val="0"/>
        <w:spacing w:line="360" w:lineRule="auto"/>
        <w:rPr>
          <w:rFonts w:ascii="David" w:hAnsi="David"/>
          <w:b/>
          <w:bCs/>
          <w:sz w:val="26"/>
          <w:szCs w:val="26"/>
          <w:rtl/>
        </w:rPr>
      </w:pPr>
      <w:r>
        <w:rPr>
          <w:rFonts w:ascii="David" w:hAnsi="David"/>
          <w:b/>
          <w:bCs/>
          <w:sz w:val="26"/>
          <w:szCs w:val="26"/>
          <w:rtl/>
        </w:rPr>
        <w:t>סוף דבר</w:t>
      </w:r>
    </w:p>
    <w:p w14:paraId="489C3AFD" w14:textId="77777777" w:rsidR="00205D7E" w:rsidRDefault="00205D7E" w:rsidP="00205D7E">
      <w:pPr>
        <w:pStyle w:val="a9"/>
        <w:widowControl w:val="0"/>
        <w:numPr>
          <w:ilvl w:val="0"/>
          <w:numId w:val="1"/>
        </w:numPr>
        <w:snapToGrid w:val="0"/>
        <w:spacing w:line="360" w:lineRule="auto"/>
        <w:ind w:left="357" w:hanging="357"/>
        <w:jc w:val="both"/>
        <w:rPr>
          <w:rFonts w:ascii="David" w:hAnsi="David" w:cs="David"/>
          <w:rtl/>
        </w:rPr>
      </w:pPr>
      <w:r>
        <w:rPr>
          <w:rFonts w:cs="David"/>
          <w:sz w:val="20"/>
          <w:rtl/>
          <w:lang w:eastAsia="he-IL"/>
        </w:rPr>
        <w:t xml:space="preserve">הצורך בהרתעה אישית ובהרתעת הרבים, בהתאם </w:t>
      </w:r>
      <w:hyperlink r:id="rId67" w:history="1">
        <w:r w:rsidR="00892006" w:rsidRPr="00892006">
          <w:rPr>
            <w:rStyle w:val="Hyperlink"/>
            <w:rFonts w:cs="David"/>
            <w:color w:val="0000FF"/>
            <w:sz w:val="20"/>
            <w:rtl/>
            <w:lang w:eastAsia="he-IL"/>
          </w:rPr>
          <w:t>לסעיפים 40ו</w:t>
        </w:r>
      </w:hyperlink>
      <w:r>
        <w:rPr>
          <w:rFonts w:cs="David"/>
          <w:sz w:val="20"/>
          <w:rtl/>
          <w:lang w:eastAsia="he-IL"/>
        </w:rPr>
        <w:t xml:space="preserve"> ו-</w:t>
      </w:r>
      <w:hyperlink r:id="rId68" w:history="1">
        <w:r w:rsidR="00892006" w:rsidRPr="00892006">
          <w:rPr>
            <w:rStyle w:val="Hyperlink"/>
            <w:rFonts w:cs="David"/>
            <w:color w:val="0000FF"/>
            <w:sz w:val="20"/>
            <w:rtl/>
            <w:lang w:eastAsia="he-IL"/>
          </w:rPr>
          <w:t>40ז</w:t>
        </w:r>
      </w:hyperlink>
      <w:r>
        <w:rPr>
          <w:rFonts w:cs="David"/>
          <w:sz w:val="20"/>
          <w:rtl/>
          <w:lang w:eastAsia="he-IL"/>
        </w:rPr>
        <w:t xml:space="preserve"> ל-</w:t>
      </w:r>
      <w:hyperlink r:id="rId69" w:history="1">
        <w:r w:rsidR="003C0B95" w:rsidRPr="003C0B95">
          <w:rPr>
            <w:rFonts w:ascii="Miriam" w:hAnsi="Miriam" w:cs="Miriam"/>
            <w:b/>
            <w:bCs/>
            <w:color w:val="0000FF"/>
            <w:sz w:val="16"/>
            <w:szCs w:val="22"/>
            <w:u w:val="single"/>
            <w:rtl/>
            <w:lang w:eastAsia="he-IL"/>
          </w:rPr>
          <w:t>חוק העונשין</w:t>
        </w:r>
      </w:hyperlink>
      <w:r>
        <w:rPr>
          <w:rFonts w:cs="David"/>
          <w:sz w:val="20"/>
          <w:rtl/>
          <w:lang w:eastAsia="he-IL"/>
        </w:rPr>
        <w:t xml:space="preserve"> </w:t>
      </w:r>
      <w:r>
        <w:rPr>
          <w:rFonts w:ascii="DaunPenh" w:hAnsi="DaunPenh" w:cs="David"/>
          <w:rtl/>
        </w:rPr>
        <w:t>– מצדיקים ענישה מחמירה, הכוללת כליאתו של הנאשם מאחורי סורג ובריח והפעלת המאסר המותנה במצטבר</w:t>
      </w:r>
      <w:r>
        <w:rPr>
          <w:rFonts w:cs="David"/>
          <w:sz w:val="20"/>
          <w:rtl/>
          <w:lang w:eastAsia="he-IL"/>
        </w:rPr>
        <w:t xml:space="preserve">, כטענת ב"כ המאשימה. מנגד, שיקולי מיהות העושה, עליהם עמד ב"כ הנאשם, מובילים למסקנה כי יש מקום להקלה בעניינו של הנאשם, בהינתן נסיבותיו האישיות, לרבות הודייתו, הבנת חומרת מעשיו והפסול שבהם, החרטה, התחייבותו שלא לחזור על מעשיו – ומעל הכל הליך הטיפול המשמעותי שעבר, תוך התחשבות גם בגילו ומצבו המשפחתי. </w:t>
      </w:r>
      <w:r>
        <w:rPr>
          <w:rFonts w:ascii="David" w:hAnsi="David" w:cs="David"/>
          <w:rtl/>
        </w:rPr>
        <w:t>משכך</w:t>
      </w:r>
      <w:r>
        <w:rPr>
          <w:rFonts w:cs="David"/>
          <w:sz w:val="20"/>
          <w:rtl/>
          <w:lang w:eastAsia="he-IL"/>
        </w:rPr>
        <w:t xml:space="preserve"> אני קובעת כי יש לחרוג ממתחם העונש ההולם משיקולי שיקום </w:t>
      </w:r>
      <w:r>
        <w:rPr>
          <w:rFonts w:ascii="David" w:hAnsi="David" w:cs="David"/>
          <w:b/>
          <w:bCs/>
          <w:rtl/>
        </w:rPr>
        <w:t>ואני גוזרת על הנאשם את העונשים הבאים</w:t>
      </w:r>
      <w:r>
        <w:rPr>
          <w:rFonts w:ascii="David" w:hAnsi="David" w:cs="David"/>
          <w:rtl/>
        </w:rPr>
        <w:t>:</w:t>
      </w:r>
    </w:p>
    <w:p w14:paraId="2C8FCBB6" w14:textId="77777777" w:rsidR="00205D7E" w:rsidRDefault="00205D7E" w:rsidP="00205D7E">
      <w:pPr>
        <w:widowControl w:val="0"/>
        <w:spacing w:line="360" w:lineRule="auto"/>
        <w:ind w:firstLine="720"/>
        <w:rPr>
          <w:rFonts w:ascii="David" w:hAnsi="David"/>
          <w:b/>
          <w:bCs/>
          <w:rtl/>
        </w:rPr>
      </w:pPr>
    </w:p>
    <w:p w14:paraId="2386C9C1" w14:textId="77777777" w:rsidR="00205D7E" w:rsidRDefault="00205D7E" w:rsidP="00205D7E">
      <w:pPr>
        <w:pStyle w:val="a9"/>
        <w:widowControl w:val="0"/>
        <w:numPr>
          <w:ilvl w:val="1"/>
          <w:numId w:val="1"/>
        </w:numPr>
        <w:tabs>
          <w:tab w:val="left" w:pos="368"/>
        </w:tabs>
        <w:snapToGrid w:val="0"/>
        <w:spacing w:line="360" w:lineRule="auto"/>
        <w:ind w:left="794" w:hanging="397"/>
        <w:jc w:val="both"/>
        <w:rPr>
          <w:rFonts w:ascii="David" w:hAnsi="David" w:cs="David"/>
          <w:rtl/>
        </w:rPr>
      </w:pPr>
      <w:r>
        <w:rPr>
          <w:rFonts w:ascii="David" w:hAnsi="David" w:cs="David"/>
          <w:b/>
          <w:bCs/>
          <w:rtl/>
        </w:rPr>
        <w:t xml:space="preserve">חידוש מאסר מותנה בן 12 חודשים, שנגזר ביום </w:t>
      </w:r>
      <w:r>
        <w:rPr>
          <w:rFonts w:ascii="David" w:hAnsi="David" w:cs="David"/>
          <w:rtl/>
        </w:rPr>
        <w:t>7.9.20 ב</w:t>
      </w:r>
      <w:hyperlink r:id="rId70" w:history="1">
        <w:r w:rsidR="003C0B95" w:rsidRPr="003C0B95">
          <w:rPr>
            <w:rFonts w:ascii="David" w:hAnsi="David" w:cs="David"/>
            <w:color w:val="0000FF"/>
            <w:u w:val="single"/>
            <w:rtl/>
          </w:rPr>
          <w:t>ת"פ 33185-12-19</w:t>
        </w:r>
      </w:hyperlink>
      <w:r>
        <w:rPr>
          <w:rFonts w:ascii="David" w:hAnsi="David" w:cs="David"/>
          <w:rtl/>
        </w:rPr>
        <w:t xml:space="preserve">, למשך שנתיים מהיום, שלא יעבור על עבירה על </w:t>
      </w:r>
      <w:r>
        <w:rPr>
          <w:rFonts w:ascii="Miriam" w:hAnsi="Miriam" w:cs="Miriam"/>
          <w:b/>
          <w:bCs/>
          <w:sz w:val="22"/>
          <w:szCs w:val="22"/>
          <w:rtl/>
        </w:rPr>
        <w:t xml:space="preserve">פקודת הסמים </w:t>
      </w:r>
      <w:r>
        <w:rPr>
          <w:rFonts w:ascii="David" w:hAnsi="David" w:cs="David"/>
          <w:rtl/>
        </w:rPr>
        <w:t>מסוג פשע.</w:t>
      </w:r>
    </w:p>
    <w:p w14:paraId="04F6B347" w14:textId="77777777" w:rsidR="00205D7E" w:rsidRDefault="00205D7E" w:rsidP="00205D7E">
      <w:pPr>
        <w:pStyle w:val="a9"/>
        <w:widowControl w:val="0"/>
        <w:tabs>
          <w:tab w:val="left" w:pos="368"/>
        </w:tabs>
        <w:snapToGrid w:val="0"/>
        <w:spacing w:line="360" w:lineRule="auto"/>
        <w:ind w:left="794"/>
        <w:jc w:val="both"/>
        <w:rPr>
          <w:rFonts w:ascii="David" w:hAnsi="David" w:cs="David"/>
        </w:rPr>
      </w:pPr>
    </w:p>
    <w:p w14:paraId="07486D2F" w14:textId="77777777" w:rsidR="00205D7E" w:rsidRDefault="00205D7E" w:rsidP="00205D7E">
      <w:pPr>
        <w:pStyle w:val="a9"/>
        <w:widowControl w:val="0"/>
        <w:numPr>
          <w:ilvl w:val="1"/>
          <w:numId w:val="1"/>
        </w:numPr>
        <w:tabs>
          <w:tab w:val="left" w:pos="368"/>
        </w:tabs>
        <w:snapToGrid w:val="0"/>
        <w:spacing w:line="360" w:lineRule="auto"/>
        <w:ind w:left="794" w:hanging="397"/>
        <w:jc w:val="both"/>
        <w:rPr>
          <w:rFonts w:ascii="David" w:hAnsi="David" w:cs="David"/>
        </w:rPr>
      </w:pPr>
      <w:r>
        <w:rPr>
          <w:rFonts w:ascii="David" w:hAnsi="David" w:cs="David"/>
          <w:b/>
          <w:bCs/>
          <w:rtl/>
        </w:rPr>
        <w:t>קנס בסך 2,500 ₪</w:t>
      </w:r>
      <w:r>
        <w:rPr>
          <w:rFonts w:ascii="David" w:hAnsi="David" w:cs="David"/>
          <w:rtl/>
        </w:rPr>
        <w:t xml:space="preserve">, או 50 ימי מאסר תמורתו. </w:t>
      </w:r>
    </w:p>
    <w:p w14:paraId="00915502" w14:textId="77777777" w:rsidR="00205D7E" w:rsidRDefault="00205D7E" w:rsidP="00205D7E">
      <w:pPr>
        <w:pStyle w:val="a9"/>
        <w:widowControl w:val="0"/>
        <w:spacing w:line="360" w:lineRule="auto"/>
        <w:ind w:left="725"/>
        <w:jc w:val="both"/>
        <w:rPr>
          <w:rFonts w:ascii="David" w:hAnsi="David" w:cs="David"/>
        </w:rPr>
      </w:pPr>
      <w:r>
        <w:rPr>
          <w:rFonts w:ascii="David" w:hAnsi="David" w:cs="David"/>
          <w:rtl/>
        </w:rPr>
        <w:t>הקנס ישולם ב-10 תשלומים שווים ורצופים, החל מיום 1.4.25 וכל 1 בחודש שלאחריו.</w:t>
      </w:r>
    </w:p>
    <w:p w14:paraId="6276D24A" w14:textId="77777777" w:rsidR="00205D7E" w:rsidRDefault="00205D7E" w:rsidP="00205D7E">
      <w:pPr>
        <w:pStyle w:val="a9"/>
        <w:widowControl w:val="0"/>
        <w:spacing w:line="360" w:lineRule="auto"/>
        <w:ind w:left="725"/>
        <w:jc w:val="both"/>
        <w:rPr>
          <w:rFonts w:ascii="David" w:hAnsi="David" w:cs="David"/>
          <w:rtl/>
        </w:rPr>
      </w:pPr>
      <w:r>
        <w:rPr>
          <w:rFonts w:ascii="David" w:hAnsi="David" w:cs="David"/>
          <w:rtl/>
        </w:rPr>
        <w:t>אם לא יבוצע תשלום במועדו - תעמוד כל יתרת הקנס לפירעון מיידי.</w:t>
      </w:r>
    </w:p>
    <w:p w14:paraId="036E534E" w14:textId="77777777" w:rsidR="00205D7E" w:rsidRDefault="00205D7E" w:rsidP="00205D7E">
      <w:pPr>
        <w:pStyle w:val="a9"/>
        <w:widowControl w:val="0"/>
        <w:jc w:val="both"/>
        <w:rPr>
          <w:rFonts w:ascii="David" w:hAnsi="David" w:cs="David"/>
          <w:b/>
          <w:bCs/>
        </w:rPr>
      </w:pPr>
      <w:r>
        <w:rPr>
          <w:rFonts w:ascii="David" w:hAnsi="David" w:cs="David"/>
          <w:b/>
          <w:bCs/>
          <w:u w:val="single"/>
          <w:rtl/>
        </w:rPr>
        <w:t>תשומת לב הנאשם כי ניתן לשלם את הקנס באחת הדרכים הבאות</w:t>
      </w:r>
      <w:r>
        <w:rPr>
          <w:rFonts w:ascii="David" w:hAnsi="David" w:cs="David"/>
          <w:b/>
          <w:bCs/>
          <w:rtl/>
        </w:rPr>
        <w:t>:</w:t>
      </w:r>
    </w:p>
    <w:p w14:paraId="3A7E7DED" w14:textId="77777777" w:rsidR="00205D7E" w:rsidRDefault="00205D7E" w:rsidP="00205D7E">
      <w:pPr>
        <w:pStyle w:val="a9"/>
        <w:widowControl w:val="0"/>
        <w:numPr>
          <w:ilvl w:val="0"/>
          <w:numId w:val="5"/>
        </w:numPr>
        <w:snapToGrid w:val="0"/>
        <w:ind w:left="1080"/>
        <w:jc w:val="both"/>
        <w:rPr>
          <w:rFonts w:ascii="David" w:hAnsi="David" w:cs="David"/>
        </w:rPr>
      </w:pPr>
      <w:r>
        <w:rPr>
          <w:rFonts w:ascii="David" w:hAnsi="David" w:cs="David"/>
          <w:rtl/>
        </w:rPr>
        <w:t>בכרטיס</w:t>
      </w:r>
      <w:r>
        <w:rPr>
          <w:rFonts w:ascii="David" w:hAnsi="David" w:cs="David"/>
        </w:rPr>
        <w:t xml:space="preserve"> </w:t>
      </w:r>
      <w:r>
        <w:rPr>
          <w:rFonts w:ascii="David" w:hAnsi="David" w:cs="David"/>
          <w:rtl/>
        </w:rPr>
        <w:t>אשראי - באתר</w:t>
      </w:r>
      <w:r>
        <w:rPr>
          <w:rFonts w:ascii="David" w:hAnsi="David" w:cs="David"/>
        </w:rPr>
        <w:t xml:space="preserve"> </w:t>
      </w:r>
      <w:r>
        <w:rPr>
          <w:rFonts w:ascii="David" w:hAnsi="David" w:cs="David"/>
          <w:rtl/>
        </w:rPr>
        <w:t>המקוון</w:t>
      </w:r>
      <w:r>
        <w:rPr>
          <w:rFonts w:ascii="David" w:hAnsi="David" w:cs="David"/>
        </w:rPr>
        <w:t xml:space="preserve"> </w:t>
      </w:r>
      <w:r>
        <w:rPr>
          <w:rFonts w:ascii="David" w:hAnsi="David" w:cs="David"/>
          <w:rtl/>
        </w:rPr>
        <w:t>של</w:t>
      </w:r>
      <w:r>
        <w:rPr>
          <w:rFonts w:ascii="David" w:hAnsi="David" w:cs="David"/>
        </w:rPr>
        <w:t xml:space="preserve"> </w:t>
      </w:r>
      <w:r>
        <w:rPr>
          <w:rFonts w:ascii="David" w:hAnsi="David" w:cs="David"/>
          <w:rtl/>
        </w:rPr>
        <w:t>רשות</w:t>
      </w:r>
      <w:r>
        <w:rPr>
          <w:rFonts w:ascii="David" w:hAnsi="David" w:cs="David"/>
        </w:rPr>
        <w:t xml:space="preserve"> </w:t>
      </w:r>
      <w:r>
        <w:rPr>
          <w:rFonts w:ascii="David" w:hAnsi="David" w:cs="David"/>
          <w:rtl/>
        </w:rPr>
        <w:t>האכיפה</w:t>
      </w:r>
      <w:r>
        <w:rPr>
          <w:rFonts w:ascii="David" w:hAnsi="David" w:cs="David"/>
        </w:rPr>
        <w:t xml:space="preserve"> </w:t>
      </w:r>
      <w:r>
        <w:rPr>
          <w:rFonts w:ascii="David" w:hAnsi="David" w:cs="David"/>
          <w:rtl/>
        </w:rPr>
        <w:t>והגבייה</w:t>
      </w:r>
      <w:r>
        <w:rPr>
          <w:rFonts w:ascii="David" w:hAnsi="David" w:cs="David"/>
        </w:rPr>
        <w:t xml:space="preserve">www.eca.gov.il </w:t>
      </w:r>
      <w:r>
        <w:rPr>
          <w:rFonts w:ascii="David" w:hAnsi="David" w:cs="David"/>
          <w:rtl/>
        </w:rPr>
        <w:t>.</w:t>
      </w:r>
    </w:p>
    <w:p w14:paraId="21B1B57B" w14:textId="77777777" w:rsidR="00205D7E" w:rsidRDefault="00205D7E" w:rsidP="00205D7E">
      <w:pPr>
        <w:pStyle w:val="a9"/>
        <w:widowControl w:val="0"/>
        <w:numPr>
          <w:ilvl w:val="0"/>
          <w:numId w:val="5"/>
        </w:numPr>
        <w:snapToGrid w:val="0"/>
        <w:ind w:left="1080"/>
        <w:jc w:val="both"/>
        <w:rPr>
          <w:rFonts w:ascii="David" w:hAnsi="David" w:cs="David"/>
          <w:rtl/>
        </w:rPr>
      </w:pPr>
      <w:r>
        <w:rPr>
          <w:rFonts w:ascii="David" w:hAnsi="David" w:cs="David"/>
          <w:rtl/>
        </w:rPr>
        <w:t>מוקד</w:t>
      </w:r>
      <w:r>
        <w:rPr>
          <w:rFonts w:ascii="David" w:hAnsi="David" w:cs="David"/>
        </w:rPr>
        <w:t xml:space="preserve"> </w:t>
      </w:r>
      <w:r>
        <w:rPr>
          <w:rFonts w:ascii="David" w:hAnsi="David" w:cs="David"/>
          <w:rtl/>
        </w:rPr>
        <w:t>שירות</w:t>
      </w:r>
      <w:r>
        <w:rPr>
          <w:rFonts w:ascii="David" w:hAnsi="David" w:cs="David"/>
        </w:rPr>
        <w:t xml:space="preserve"> </w:t>
      </w:r>
      <w:r>
        <w:rPr>
          <w:rFonts w:ascii="David" w:hAnsi="David" w:cs="David"/>
          <w:rtl/>
        </w:rPr>
        <w:t>טלפוני</w:t>
      </w:r>
      <w:r>
        <w:rPr>
          <w:rFonts w:ascii="David" w:hAnsi="David" w:cs="David"/>
        </w:rPr>
        <w:t xml:space="preserve"> </w:t>
      </w:r>
      <w:r>
        <w:rPr>
          <w:rFonts w:ascii="David" w:hAnsi="David" w:cs="David"/>
          <w:rtl/>
        </w:rPr>
        <w:t>(בשרות</w:t>
      </w:r>
      <w:r>
        <w:rPr>
          <w:rFonts w:ascii="David" w:hAnsi="David" w:cs="David"/>
        </w:rPr>
        <w:t xml:space="preserve"> </w:t>
      </w:r>
      <w:r>
        <w:rPr>
          <w:rFonts w:ascii="David" w:hAnsi="David" w:cs="David"/>
          <w:rtl/>
        </w:rPr>
        <w:t>עצמי) מרכז</w:t>
      </w:r>
      <w:r>
        <w:rPr>
          <w:rFonts w:ascii="David" w:hAnsi="David" w:cs="David"/>
        </w:rPr>
        <w:t xml:space="preserve"> </w:t>
      </w:r>
      <w:r>
        <w:rPr>
          <w:rFonts w:ascii="David" w:hAnsi="David" w:cs="David"/>
          <w:rtl/>
        </w:rPr>
        <w:t>גבייה - במספר *</w:t>
      </w:r>
      <w:r>
        <w:rPr>
          <w:rFonts w:ascii="David" w:hAnsi="David" w:cs="David"/>
        </w:rPr>
        <w:t>35592</w:t>
      </w:r>
      <w:r>
        <w:rPr>
          <w:rFonts w:ascii="David" w:hAnsi="David" w:cs="David"/>
          <w:rtl/>
        </w:rPr>
        <w:t xml:space="preserve"> או</w:t>
      </w:r>
      <w:r>
        <w:rPr>
          <w:rFonts w:ascii="David" w:hAnsi="David" w:cs="David"/>
        </w:rPr>
        <w:t xml:space="preserve">073-2055000 </w:t>
      </w:r>
      <w:r>
        <w:rPr>
          <w:rFonts w:ascii="David" w:hAnsi="David" w:cs="David"/>
          <w:rtl/>
        </w:rPr>
        <w:t>.</w:t>
      </w:r>
    </w:p>
    <w:p w14:paraId="398BF4FE" w14:textId="77777777" w:rsidR="00205D7E" w:rsidRDefault="00205D7E" w:rsidP="00205D7E">
      <w:pPr>
        <w:pStyle w:val="a9"/>
        <w:widowControl w:val="0"/>
        <w:numPr>
          <w:ilvl w:val="0"/>
          <w:numId w:val="5"/>
        </w:numPr>
        <w:snapToGrid w:val="0"/>
        <w:ind w:left="1080"/>
        <w:jc w:val="both"/>
        <w:rPr>
          <w:rFonts w:ascii="David" w:hAnsi="David" w:cs="David"/>
        </w:rPr>
      </w:pPr>
      <w:r>
        <w:rPr>
          <w:rFonts w:ascii="David" w:hAnsi="David" w:cs="David"/>
          <w:rtl/>
        </w:rPr>
        <w:t>במזומן</w:t>
      </w:r>
      <w:r>
        <w:rPr>
          <w:rFonts w:ascii="David" w:hAnsi="David" w:cs="David"/>
        </w:rPr>
        <w:t xml:space="preserve"> </w:t>
      </w:r>
      <w:r>
        <w:rPr>
          <w:rFonts w:ascii="David" w:hAnsi="David" w:cs="David"/>
          <w:rtl/>
        </w:rPr>
        <w:t>בכל</w:t>
      </w:r>
      <w:r>
        <w:rPr>
          <w:rFonts w:ascii="David" w:hAnsi="David" w:cs="David"/>
        </w:rPr>
        <w:t xml:space="preserve"> </w:t>
      </w:r>
      <w:r>
        <w:rPr>
          <w:rFonts w:ascii="David" w:hAnsi="David" w:cs="David"/>
          <w:rtl/>
        </w:rPr>
        <w:t>סניף</w:t>
      </w:r>
      <w:r>
        <w:rPr>
          <w:rFonts w:ascii="David" w:hAnsi="David" w:cs="David"/>
        </w:rPr>
        <w:t xml:space="preserve"> </w:t>
      </w:r>
      <w:r>
        <w:rPr>
          <w:rFonts w:ascii="David" w:hAnsi="David" w:cs="David"/>
          <w:rtl/>
        </w:rPr>
        <w:t>של</w:t>
      </w:r>
      <w:r>
        <w:rPr>
          <w:rFonts w:ascii="David" w:hAnsi="David" w:cs="David"/>
        </w:rPr>
        <w:t xml:space="preserve"> </w:t>
      </w:r>
      <w:r>
        <w:rPr>
          <w:rFonts w:ascii="David" w:hAnsi="David" w:cs="David"/>
          <w:rtl/>
        </w:rPr>
        <w:t>בנק</w:t>
      </w:r>
      <w:r>
        <w:rPr>
          <w:rFonts w:ascii="David" w:hAnsi="David" w:cs="David"/>
        </w:rPr>
        <w:t xml:space="preserve"> </w:t>
      </w:r>
      <w:r>
        <w:rPr>
          <w:rFonts w:ascii="David" w:hAnsi="David" w:cs="David"/>
          <w:rtl/>
        </w:rPr>
        <w:t>הדואר - בהצגת</w:t>
      </w:r>
      <w:r>
        <w:rPr>
          <w:rFonts w:ascii="David" w:hAnsi="David" w:cs="David"/>
        </w:rPr>
        <w:t xml:space="preserve"> </w:t>
      </w:r>
      <w:r>
        <w:rPr>
          <w:rFonts w:ascii="David" w:hAnsi="David" w:cs="David"/>
          <w:rtl/>
        </w:rPr>
        <w:t>תעודת</w:t>
      </w:r>
      <w:r>
        <w:rPr>
          <w:rFonts w:ascii="David" w:hAnsi="David" w:cs="David"/>
        </w:rPr>
        <w:t xml:space="preserve"> </w:t>
      </w:r>
      <w:r>
        <w:rPr>
          <w:rFonts w:ascii="David" w:hAnsi="David" w:cs="David"/>
          <w:rtl/>
        </w:rPr>
        <w:t>זהות</w:t>
      </w:r>
      <w:r>
        <w:rPr>
          <w:rFonts w:ascii="David" w:hAnsi="David" w:cs="David"/>
        </w:rPr>
        <w:t xml:space="preserve"> </w:t>
      </w:r>
      <w:r>
        <w:rPr>
          <w:rFonts w:ascii="David" w:hAnsi="David" w:cs="David"/>
          <w:rtl/>
        </w:rPr>
        <w:t>בלבד (אין</w:t>
      </w:r>
      <w:r>
        <w:rPr>
          <w:rFonts w:ascii="David" w:hAnsi="David" w:cs="David"/>
        </w:rPr>
        <w:t xml:space="preserve"> </w:t>
      </w:r>
      <w:r>
        <w:rPr>
          <w:rFonts w:ascii="David" w:hAnsi="David" w:cs="David"/>
          <w:rtl/>
        </w:rPr>
        <w:t>צורך</w:t>
      </w:r>
      <w:r>
        <w:rPr>
          <w:rFonts w:ascii="David" w:hAnsi="David" w:cs="David"/>
        </w:rPr>
        <w:t xml:space="preserve"> </w:t>
      </w:r>
      <w:r>
        <w:rPr>
          <w:rFonts w:ascii="David" w:hAnsi="David" w:cs="David"/>
          <w:rtl/>
        </w:rPr>
        <w:t>בהצגת</w:t>
      </w:r>
      <w:r>
        <w:rPr>
          <w:rFonts w:ascii="David" w:hAnsi="David" w:cs="David"/>
        </w:rPr>
        <w:t xml:space="preserve"> </w:t>
      </w:r>
      <w:r>
        <w:rPr>
          <w:rFonts w:ascii="David" w:hAnsi="David" w:cs="David"/>
          <w:rtl/>
        </w:rPr>
        <w:t>בשוברי</w:t>
      </w:r>
      <w:r>
        <w:rPr>
          <w:rFonts w:ascii="David" w:hAnsi="David" w:cs="David"/>
        </w:rPr>
        <w:t xml:space="preserve"> </w:t>
      </w:r>
      <w:r>
        <w:rPr>
          <w:rFonts w:ascii="David" w:hAnsi="David" w:cs="David"/>
          <w:rtl/>
        </w:rPr>
        <w:t>תשלום).</w:t>
      </w:r>
    </w:p>
    <w:p w14:paraId="49428EC9" w14:textId="77777777" w:rsidR="00205D7E" w:rsidRDefault="00205D7E" w:rsidP="00205D7E">
      <w:pPr>
        <w:pStyle w:val="a9"/>
        <w:widowControl w:val="0"/>
        <w:jc w:val="both"/>
        <w:rPr>
          <w:rFonts w:ascii="David" w:hAnsi="David" w:cs="David"/>
          <w:rtl/>
        </w:rPr>
      </w:pPr>
      <w:r>
        <w:rPr>
          <w:rFonts w:ascii="David" w:hAnsi="David" w:cs="David"/>
          <w:b/>
          <w:bCs/>
          <w:rtl/>
        </w:rPr>
        <w:t>לא תשמע טענה שהנאשם לא קיבל שוברי תשלום בדואר</w:t>
      </w:r>
      <w:r>
        <w:rPr>
          <w:rFonts w:ascii="David" w:hAnsi="David" w:cs="David"/>
          <w:rtl/>
        </w:rPr>
        <w:t>.</w:t>
      </w:r>
    </w:p>
    <w:p w14:paraId="196C9F0C" w14:textId="77777777" w:rsidR="00205D7E" w:rsidRDefault="00205D7E" w:rsidP="00205D7E">
      <w:pPr>
        <w:pStyle w:val="a9"/>
        <w:widowControl w:val="0"/>
        <w:ind w:left="725"/>
        <w:jc w:val="both"/>
        <w:rPr>
          <w:rFonts w:ascii="David" w:hAnsi="David" w:cs="David"/>
          <w:rtl/>
        </w:rPr>
      </w:pPr>
    </w:p>
    <w:p w14:paraId="771E43A8" w14:textId="77777777" w:rsidR="00205D7E" w:rsidRDefault="00205D7E" w:rsidP="00205D7E">
      <w:pPr>
        <w:pStyle w:val="a9"/>
        <w:widowControl w:val="0"/>
        <w:numPr>
          <w:ilvl w:val="1"/>
          <w:numId w:val="1"/>
        </w:numPr>
        <w:tabs>
          <w:tab w:val="left" w:pos="368"/>
        </w:tabs>
        <w:snapToGrid w:val="0"/>
        <w:spacing w:line="360" w:lineRule="auto"/>
        <w:ind w:left="725" w:hanging="357"/>
        <w:jc w:val="both"/>
        <w:rPr>
          <w:rFonts w:ascii="David" w:hAnsi="David" w:cs="David"/>
          <w:rtl/>
        </w:rPr>
      </w:pPr>
      <w:r>
        <w:rPr>
          <w:rFonts w:ascii="David" w:hAnsi="David" w:cs="David"/>
          <w:b/>
          <w:bCs/>
          <w:rtl/>
        </w:rPr>
        <w:t>5,000 ₪ התחייבות</w:t>
      </w:r>
      <w:r>
        <w:rPr>
          <w:rFonts w:ascii="David" w:hAnsi="David" w:cs="David"/>
          <w:rtl/>
        </w:rPr>
        <w:t xml:space="preserve">, למשך 3 שנים מהיום, שלא יעבור כל עבירה על </w:t>
      </w:r>
      <w:r>
        <w:rPr>
          <w:rFonts w:ascii="Miriam" w:hAnsi="Miriam" w:cs="Miriam"/>
          <w:b/>
          <w:bCs/>
          <w:sz w:val="22"/>
          <w:szCs w:val="22"/>
          <w:rtl/>
        </w:rPr>
        <w:t>פקודת הסמים</w:t>
      </w:r>
      <w:r>
        <w:rPr>
          <w:rFonts w:ascii="David" w:hAnsi="David" w:cs="David"/>
          <w:rtl/>
        </w:rPr>
        <w:t>.</w:t>
      </w:r>
    </w:p>
    <w:p w14:paraId="5F167BFD" w14:textId="77777777" w:rsidR="00205D7E" w:rsidRDefault="00205D7E" w:rsidP="00205D7E">
      <w:pPr>
        <w:pStyle w:val="a9"/>
        <w:widowControl w:val="0"/>
        <w:spacing w:line="360" w:lineRule="auto"/>
        <w:ind w:left="725"/>
        <w:jc w:val="both"/>
        <w:rPr>
          <w:rFonts w:ascii="David" w:hAnsi="David" w:cs="David"/>
          <w:rtl/>
        </w:rPr>
      </w:pPr>
      <w:r>
        <w:rPr>
          <w:rFonts w:ascii="David" w:hAnsi="David" w:cs="David"/>
          <w:rtl/>
        </w:rPr>
        <w:t xml:space="preserve">על הנאשם להצהיר על ההתחייבות היום. לא יצהיר על ההתחייבות היום – יהיה על הנאשם לרצות 30 ימי מאסר בפועל, לשם כפיה. </w:t>
      </w:r>
    </w:p>
    <w:p w14:paraId="7C9F91C4" w14:textId="77777777" w:rsidR="00205D7E" w:rsidRDefault="00205D7E" w:rsidP="00205D7E">
      <w:pPr>
        <w:pStyle w:val="a9"/>
        <w:widowControl w:val="0"/>
        <w:ind w:left="725"/>
        <w:jc w:val="both"/>
        <w:rPr>
          <w:rFonts w:ascii="David" w:hAnsi="David" w:cs="David"/>
          <w:rtl/>
        </w:rPr>
      </w:pPr>
    </w:p>
    <w:p w14:paraId="10A80BE2" w14:textId="77777777" w:rsidR="00205D7E" w:rsidRDefault="00205D7E" w:rsidP="00205D7E">
      <w:pPr>
        <w:pStyle w:val="a9"/>
        <w:widowControl w:val="0"/>
        <w:numPr>
          <w:ilvl w:val="1"/>
          <w:numId w:val="1"/>
        </w:numPr>
        <w:tabs>
          <w:tab w:val="left" w:pos="368"/>
        </w:tabs>
        <w:snapToGrid w:val="0"/>
        <w:spacing w:line="360" w:lineRule="auto"/>
        <w:ind w:left="725" w:hanging="357"/>
        <w:jc w:val="both"/>
        <w:rPr>
          <w:rFonts w:ascii="David" w:hAnsi="David" w:cs="David"/>
          <w:rtl/>
        </w:rPr>
      </w:pPr>
      <w:r>
        <w:rPr>
          <w:rFonts w:ascii="David" w:hAnsi="David" w:cs="David"/>
          <w:b/>
          <w:bCs/>
          <w:rtl/>
        </w:rPr>
        <w:t>11 חודשי פסילה מלקבל או מהחזיק רישיון נהיגה על תנאי</w:t>
      </w:r>
      <w:r>
        <w:rPr>
          <w:rFonts w:ascii="David" w:hAnsi="David" w:cs="David"/>
          <w:rtl/>
        </w:rPr>
        <w:t xml:space="preserve">. התנאי הוא שבמשך 3 שנים לא יעבור כל עבירה על </w:t>
      </w:r>
      <w:r>
        <w:rPr>
          <w:rFonts w:ascii="Miriam" w:hAnsi="Miriam" w:cs="Miriam"/>
          <w:b/>
          <w:bCs/>
          <w:sz w:val="22"/>
          <w:szCs w:val="22"/>
          <w:rtl/>
        </w:rPr>
        <w:t>פקודת הסמים</w:t>
      </w:r>
      <w:r>
        <w:rPr>
          <w:rFonts w:ascii="David" w:hAnsi="David" w:cs="David"/>
          <w:rtl/>
        </w:rPr>
        <w:t>.</w:t>
      </w:r>
    </w:p>
    <w:p w14:paraId="19DCA45C" w14:textId="77777777" w:rsidR="00205D7E" w:rsidRDefault="00205D7E" w:rsidP="00205D7E">
      <w:pPr>
        <w:pStyle w:val="a9"/>
        <w:widowControl w:val="0"/>
        <w:tabs>
          <w:tab w:val="left" w:pos="368"/>
        </w:tabs>
        <w:snapToGrid w:val="0"/>
        <w:ind w:left="725"/>
        <w:jc w:val="both"/>
        <w:rPr>
          <w:rFonts w:ascii="David" w:hAnsi="David" w:cs="David"/>
          <w:rtl/>
        </w:rPr>
      </w:pPr>
    </w:p>
    <w:p w14:paraId="409A2D4C" w14:textId="77777777" w:rsidR="00205D7E" w:rsidRDefault="00205D7E" w:rsidP="00205D7E">
      <w:pPr>
        <w:pStyle w:val="a9"/>
        <w:widowControl w:val="0"/>
        <w:numPr>
          <w:ilvl w:val="1"/>
          <w:numId w:val="1"/>
        </w:numPr>
        <w:tabs>
          <w:tab w:val="left" w:pos="368"/>
        </w:tabs>
        <w:snapToGrid w:val="0"/>
        <w:spacing w:line="360" w:lineRule="auto"/>
        <w:ind w:left="725" w:hanging="357"/>
        <w:jc w:val="both"/>
        <w:rPr>
          <w:rFonts w:ascii="David" w:hAnsi="David" w:cs="David"/>
        </w:rPr>
      </w:pPr>
      <w:r>
        <w:rPr>
          <w:rFonts w:ascii="David" w:hAnsi="David" w:cs="David"/>
          <w:b/>
          <w:bCs/>
          <w:rtl/>
        </w:rPr>
        <w:t>הנאשם יבצע 300 שעות שירות לתועלת הציבור</w:t>
      </w:r>
      <w:r>
        <w:rPr>
          <w:rFonts w:ascii="David" w:hAnsi="David" w:cs="David"/>
          <w:rtl/>
        </w:rPr>
        <w:t xml:space="preserve"> בהתאם לתוכנית שירות המבחן (להלן: </w:t>
      </w:r>
      <w:r>
        <w:rPr>
          <w:rFonts w:ascii="David" w:hAnsi="David" w:cs="David"/>
          <w:b/>
          <w:bCs/>
          <w:rtl/>
        </w:rPr>
        <w:t>צו השל"ץ</w:t>
      </w:r>
      <w:r>
        <w:rPr>
          <w:rFonts w:ascii="David" w:hAnsi="David" w:cs="David"/>
          <w:rtl/>
        </w:rPr>
        <w:t xml:space="preserve">). אם יהא צורך בשינוי מקום ההשמה – יבצע שירות המבחן את השינוי וידווח עליו לבית המשפט. </w:t>
      </w:r>
    </w:p>
    <w:p w14:paraId="75C88836" w14:textId="77777777" w:rsidR="00205D7E" w:rsidRDefault="00205D7E" w:rsidP="00205D7E">
      <w:pPr>
        <w:pStyle w:val="a9"/>
        <w:widowControl w:val="0"/>
        <w:ind w:left="725"/>
        <w:jc w:val="both"/>
        <w:rPr>
          <w:rFonts w:ascii="David" w:hAnsi="David" w:cs="David"/>
          <w:rtl/>
        </w:rPr>
      </w:pPr>
    </w:p>
    <w:p w14:paraId="291E6406" w14:textId="77777777" w:rsidR="00205D7E" w:rsidRDefault="00205D7E" w:rsidP="00205D7E">
      <w:pPr>
        <w:pStyle w:val="a9"/>
        <w:widowControl w:val="0"/>
        <w:numPr>
          <w:ilvl w:val="1"/>
          <w:numId w:val="1"/>
        </w:numPr>
        <w:tabs>
          <w:tab w:val="left" w:pos="368"/>
        </w:tabs>
        <w:snapToGrid w:val="0"/>
        <w:spacing w:line="360" w:lineRule="auto"/>
        <w:ind w:left="725" w:hanging="357"/>
        <w:jc w:val="both"/>
        <w:rPr>
          <w:rFonts w:ascii="David" w:hAnsi="David" w:cs="David"/>
          <w:rtl/>
        </w:rPr>
      </w:pPr>
      <w:r>
        <w:rPr>
          <w:rFonts w:ascii="David" w:hAnsi="David" w:cs="David"/>
          <w:b/>
          <w:bCs/>
          <w:rtl/>
        </w:rPr>
        <w:t>הנאשם יעמוד בפיקוח שירות המבחן</w:t>
      </w:r>
      <w:r>
        <w:rPr>
          <w:rFonts w:ascii="David" w:hAnsi="David" w:cs="David"/>
          <w:rtl/>
        </w:rPr>
        <w:t xml:space="preserve"> למשך שנה מהיום. </w:t>
      </w:r>
    </w:p>
    <w:p w14:paraId="0DEFFCF2" w14:textId="77777777" w:rsidR="00205D7E" w:rsidRDefault="00205D7E" w:rsidP="00205D7E">
      <w:pPr>
        <w:widowControl w:val="0"/>
        <w:ind w:left="368"/>
        <w:jc w:val="both"/>
        <w:rPr>
          <w:rFonts w:ascii="David" w:hAnsi="David"/>
          <w:b/>
          <w:bCs/>
          <w:rtl/>
        </w:rPr>
      </w:pPr>
    </w:p>
    <w:p w14:paraId="4AC77D52" w14:textId="77777777" w:rsidR="00205D7E" w:rsidRDefault="00205D7E" w:rsidP="00205D7E">
      <w:pPr>
        <w:widowControl w:val="0"/>
        <w:spacing w:line="360" w:lineRule="auto"/>
        <w:ind w:left="368"/>
        <w:jc w:val="both"/>
        <w:rPr>
          <w:rFonts w:ascii="David" w:hAnsi="David"/>
          <w:rtl/>
        </w:rPr>
      </w:pPr>
      <w:r>
        <w:rPr>
          <w:rFonts w:ascii="David" w:hAnsi="David"/>
          <w:b/>
          <w:bCs/>
          <w:rtl/>
        </w:rPr>
        <w:t>מובהר לנאשם כי אם לא יבצע את צו השל"ץ או צו המבחן כנדרש, יוחזר עניינו לדיון בבית המשפט ודינו ייגזר מחדש</w:t>
      </w:r>
      <w:r>
        <w:rPr>
          <w:rFonts w:ascii="David" w:hAnsi="David"/>
          <w:rtl/>
        </w:rPr>
        <w:t>.</w:t>
      </w:r>
    </w:p>
    <w:p w14:paraId="621F8F79" w14:textId="77777777" w:rsidR="00205D7E" w:rsidRDefault="00205D7E" w:rsidP="00205D7E">
      <w:pPr>
        <w:widowControl w:val="0"/>
        <w:spacing w:line="360" w:lineRule="auto"/>
        <w:rPr>
          <w:rFonts w:ascii="David" w:hAnsi="David"/>
          <w:b/>
          <w:bCs/>
          <w:u w:val="single"/>
        </w:rPr>
      </w:pPr>
    </w:p>
    <w:p w14:paraId="6FD0093E" w14:textId="77777777" w:rsidR="00205D7E" w:rsidRDefault="00205D7E" w:rsidP="00205D7E">
      <w:pPr>
        <w:widowControl w:val="0"/>
        <w:spacing w:line="360" w:lineRule="auto"/>
        <w:rPr>
          <w:rFonts w:ascii="David" w:hAnsi="David"/>
          <w:b/>
          <w:bCs/>
          <w:rtl/>
        </w:rPr>
      </w:pPr>
      <w:r>
        <w:rPr>
          <w:rFonts w:ascii="David" w:hAnsi="David"/>
          <w:b/>
          <w:bCs/>
          <w:u w:val="single"/>
          <w:rtl/>
        </w:rPr>
        <w:t>המזכירות מתבקשת להעביר עותק גזר הדין לשירות המבחן</w:t>
      </w:r>
      <w:r>
        <w:rPr>
          <w:rFonts w:ascii="David" w:hAnsi="David"/>
          <w:b/>
          <w:bCs/>
          <w:rtl/>
        </w:rPr>
        <w:t xml:space="preserve">. </w:t>
      </w:r>
    </w:p>
    <w:p w14:paraId="1AFF8C22" w14:textId="77777777" w:rsidR="00205D7E" w:rsidRDefault="00205D7E" w:rsidP="00205D7E">
      <w:pPr>
        <w:widowControl w:val="0"/>
        <w:spacing w:line="360" w:lineRule="auto"/>
        <w:rPr>
          <w:rFonts w:ascii="David" w:hAnsi="David"/>
          <w:b/>
          <w:bCs/>
          <w:rtl/>
        </w:rPr>
      </w:pPr>
    </w:p>
    <w:p w14:paraId="58AFAA86" w14:textId="77777777" w:rsidR="00205D7E" w:rsidRDefault="00205D7E" w:rsidP="00205D7E">
      <w:pPr>
        <w:widowControl w:val="0"/>
        <w:spacing w:line="360" w:lineRule="auto"/>
        <w:rPr>
          <w:rFonts w:ascii="David" w:hAnsi="David"/>
          <w:b/>
          <w:bCs/>
          <w:rtl/>
        </w:rPr>
      </w:pPr>
      <w:r>
        <w:rPr>
          <w:rFonts w:ascii="David" w:hAnsi="David"/>
          <w:b/>
          <w:bCs/>
          <w:rtl/>
        </w:rPr>
        <w:t>סמים – להשמיד.</w:t>
      </w:r>
    </w:p>
    <w:p w14:paraId="662DBD08" w14:textId="77777777" w:rsidR="00205D7E" w:rsidRDefault="00205D7E" w:rsidP="00205D7E">
      <w:pPr>
        <w:widowControl w:val="0"/>
        <w:spacing w:line="360" w:lineRule="auto"/>
        <w:jc w:val="both"/>
        <w:rPr>
          <w:rFonts w:ascii="David" w:hAnsi="David"/>
          <w:rtl/>
        </w:rPr>
      </w:pPr>
      <w:r>
        <w:rPr>
          <w:rFonts w:ascii="David" w:hAnsi="David"/>
          <w:b/>
          <w:bCs/>
          <w:rtl/>
        </w:rPr>
        <w:t>ניתן צו כללי למוצגים הנוספים</w:t>
      </w:r>
      <w:r>
        <w:rPr>
          <w:rFonts w:ascii="David" w:hAnsi="David"/>
          <w:rtl/>
        </w:rPr>
        <w:t>: להשמיד, לחלט ולהשיב לבעלים, לפי שיקול דעת היחידה החוקרת.</w:t>
      </w:r>
    </w:p>
    <w:p w14:paraId="03B9BA65" w14:textId="77777777" w:rsidR="00205D7E" w:rsidRPr="003C0B95" w:rsidRDefault="003C0B95" w:rsidP="00205D7E">
      <w:pPr>
        <w:widowControl w:val="0"/>
        <w:spacing w:line="360" w:lineRule="auto"/>
        <w:rPr>
          <w:rFonts w:ascii="David" w:hAnsi="David"/>
          <w:b/>
          <w:bCs/>
          <w:color w:val="FFFFFF"/>
          <w:sz w:val="2"/>
          <w:szCs w:val="2"/>
          <w:u w:val="single"/>
          <w:rtl/>
        </w:rPr>
      </w:pPr>
      <w:r w:rsidRPr="003C0B95">
        <w:rPr>
          <w:rFonts w:ascii="David" w:hAnsi="David"/>
          <w:b/>
          <w:bCs/>
          <w:color w:val="FFFFFF"/>
          <w:sz w:val="2"/>
          <w:szCs w:val="2"/>
          <w:u w:val="single"/>
          <w:rtl/>
        </w:rPr>
        <w:t>5129371</w:t>
      </w:r>
    </w:p>
    <w:p w14:paraId="07306A0B" w14:textId="77777777" w:rsidR="00205D7E" w:rsidRDefault="003C0B95" w:rsidP="00205D7E">
      <w:pPr>
        <w:widowControl w:val="0"/>
        <w:spacing w:line="360" w:lineRule="auto"/>
        <w:rPr>
          <w:rFonts w:ascii="David" w:hAnsi="David"/>
          <w:b/>
          <w:bCs/>
          <w:u w:val="single"/>
          <w:rtl/>
        </w:rPr>
      </w:pPr>
      <w:r w:rsidRPr="003C0B95">
        <w:rPr>
          <w:rFonts w:ascii="David" w:hAnsi="David"/>
          <w:b/>
          <w:bCs/>
          <w:color w:val="FFFFFF"/>
          <w:sz w:val="2"/>
          <w:szCs w:val="2"/>
          <w:u w:val="single"/>
          <w:rtl/>
        </w:rPr>
        <w:t>54678313</w:t>
      </w:r>
      <w:r w:rsidR="00205D7E">
        <w:rPr>
          <w:rFonts w:ascii="David" w:hAnsi="David"/>
          <w:b/>
          <w:bCs/>
          <w:u w:val="single"/>
          <w:rtl/>
        </w:rPr>
        <w:t>זכות ערעור לבית-המשפט המחוזי תוך 45 יום.</w:t>
      </w:r>
    </w:p>
    <w:p w14:paraId="6760E80F" w14:textId="77777777" w:rsidR="00205D7E" w:rsidRDefault="00205D7E" w:rsidP="00205D7E">
      <w:pPr>
        <w:widowControl w:val="0"/>
        <w:rPr>
          <w:rFonts w:ascii="Arial" w:hAnsi="Arial"/>
          <w:b/>
          <w:bCs/>
          <w:sz w:val="26"/>
          <w:szCs w:val="26"/>
          <w:rtl/>
        </w:rPr>
      </w:pPr>
    </w:p>
    <w:p w14:paraId="0BB36CE8" w14:textId="77777777" w:rsidR="00205D7E" w:rsidRDefault="003C0B95" w:rsidP="00205D7E">
      <w:pPr>
        <w:widowControl w:val="0"/>
        <w:spacing w:line="360" w:lineRule="auto"/>
        <w:jc w:val="both"/>
        <w:rPr>
          <w:rFonts w:ascii="Arial" w:hAnsi="Arial"/>
          <w:b/>
          <w:bCs/>
          <w:sz w:val="26"/>
          <w:szCs w:val="26"/>
          <w:rtl/>
        </w:rPr>
      </w:pPr>
      <w:bookmarkStart w:id="13" w:name="Nitan"/>
      <w:r>
        <w:rPr>
          <w:rFonts w:ascii="Arial" w:hAnsi="Arial"/>
          <w:b/>
          <w:bCs/>
          <w:sz w:val="26"/>
          <w:szCs w:val="26"/>
          <w:rtl/>
        </w:rPr>
        <w:t xml:space="preserve">ניתן והודע היום, כ"ב שבט תשפ"ה, 20 פברואר 2025, במעמד הצדדים. </w:t>
      </w:r>
      <w:bookmarkEnd w:id="13"/>
      <w:r w:rsidR="00205D7E">
        <w:rPr>
          <w:rFonts w:ascii="Arial" w:hAnsi="Arial"/>
          <w:b/>
          <w:bCs/>
          <w:sz w:val="26"/>
          <w:szCs w:val="26"/>
          <w:rtl/>
        </w:rPr>
        <w:tab/>
      </w:r>
      <w:r w:rsidR="00205D7E">
        <w:rPr>
          <w:rFonts w:ascii="Arial" w:hAnsi="Arial"/>
          <w:b/>
          <w:bCs/>
          <w:sz w:val="26"/>
          <w:szCs w:val="26"/>
          <w:rtl/>
        </w:rPr>
        <w:tab/>
      </w:r>
      <w:r w:rsidR="00205D7E">
        <w:rPr>
          <w:rFonts w:ascii="Arial" w:hAnsi="Arial"/>
          <w:b/>
          <w:bCs/>
          <w:sz w:val="26"/>
          <w:szCs w:val="26"/>
          <w:rtl/>
        </w:rPr>
        <w:tab/>
      </w:r>
      <w:r w:rsidR="00205D7E">
        <w:rPr>
          <w:rFonts w:ascii="Arial" w:hAnsi="Arial"/>
          <w:b/>
          <w:bCs/>
          <w:sz w:val="26"/>
          <w:szCs w:val="26"/>
          <w:rtl/>
        </w:rPr>
        <w:tab/>
      </w:r>
      <w:r w:rsidR="00205D7E">
        <w:rPr>
          <w:rFonts w:ascii="Arial" w:hAnsi="Arial"/>
          <w:b/>
          <w:bCs/>
          <w:sz w:val="26"/>
          <w:szCs w:val="26"/>
          <w:rtl/>
        </w:rPr>
        <w:tab/>
      </w:r>
      <w:r w:rsidR="00205D7E">
        <w:rPr>
          <w:rFonts w:ascii="Arial" w:hAnsi="Arial"/>
          <w:b/>
          <w:bCs/>
          <w:sz w:val="26"/>
          <w:szCs w:val="26"/>
          <w:rtl/>
        </w:rPr>
        <w:tab/>
      </w:r>
      <w:r w:rsidR="00205D7E">
        <w:rPr>
          <w:rFonts w:ascii="Arial" w:hAnsi="Arial"/>
          <w:b/>
          <w:bCs/>
          <w:sz w:val="26"/>
          <w:szCs w:val="26"/>
          <w:rtl/>
        </w:rPr>
        <w:tab/>
        <w:t xml:space="preserve">         </w:t>
      </w:r>
    </w:p>
    <w:p w14:paraId="7D65B181" w14:textId="77777777" w:rsidR="00205D7E" w:rsidRPr="009F757E" w:rsidRDefault="00205D7E" w:rsidP="003C0B95">
      <w:pPr>
        <w:widowControl w:val="0"/>
        <w:jc w:val="center"/>
      </w:pPr>
      <w:r>
        <w:rPr>
          <w:rFonts w:ascii="Arial" w:hAnsi="Arial"/>
          <w:b/>
          <w:bCs/>
          <w:sz w:val="26"/>
          <w:szCs w:val="26"/>
          <w:rtl/>
        </w:rPr>
        <w:t xml:space="preserve">   </w:t>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p>
    <w:p w14:paraId="4157AF07" w14:textId="77777777" w:rsidR="00205D7E" w:rsidRPr="00892006" w:rsidRDefault="00892006" w:rsidP="00205D7E">
      <w:pPr>
        <w:widowControl w:val="0"/>
        <w:jc w:val="center"/>
        <w:rPr>
          <w:rFonts w:ascii="Arial" w:hAnsi="Arial"/>
          <w:b/>
          <w:bCs/>
          <w:color w:val="FFFFFF"/>
          <w:sz w:val="2"/>
          <w:szCs w:val="2"/>
          <w:rtl/>
        </w:rPr>
      </w:pPr>
      <w:r w:rsidRPr="00892006">
        <w:rPr>
          <w:rFonts w:ascii="Arial" w:hAnsi="Arial"/>
          <w:b/>
          <w:bCs/>
          <w:color w:val="FFFFFF"/>
          <w:sz w:val="2"/>
          <w:szCs w:val="2"/>
          <w:rtl/>
        </w:rPr>
        <w:t>5129371</w:t>
      </w:r>
    </w:p>
    <w:p w14:paraId="5BE28179" w14:textId="77777777" w:rsidR="003C0B95" w:rsidRDefault="00892006" w:rsidP="003C0B95">
      <w:r w:rsidRPr="00892006">
        <w:rPr>
          <w:rFonts w:ascii="David" w:hAnsi="David"/>
          <w:color w:val="FFFFFF"/>
          <w:sz w:val="2"/>
          <w:szCs w:val="2"/>
          <w:rtl/>
        </w:rPr>
        <w:t>54678313</w:t>
      </w:r>
    </w:p>
    <w:p w14:paraId="1B8DE84F" w14:textId="77777777" w:rsidR="003C0B95" w:rsidRDefault="003C0B95" w:rsidP="003C0B95">
      <w:pPr>
        <w:rPr>
          <w:rtl/>
        </w:rPr>
      </w:pPr>
    </w:p>
    <w:p w14:paraId="2E15E103" w14:textId="77777777" w:rsidR="003C0B95" w:rsidRDefault="003C0B95" w:rsidP="003C0B95">
      <w:pPr>
        <w:jc w:val="center"/>
        <w:rPr>
          <w:color w:val="0000FF"/>
          <w:u w:val="single"/>
        </w:rPr>
      </w:pPr>
      <w:hyperlink r:id="rId71" w:history="1">
        <w:r>
          <w:rPr>
            <w:color w:val="0000FF"/>
            <w:u w:val="single"/>
            <w:rtl/>
          </w:rPr>
          <w:t>בעניין עריכה ושינויים במסמכי פסיקה, חקיקה ועוד באתר נבו – הקש כאן</w:t>
        </w:r>
      </w:hyperlink>
    </w:p>
    <w:p w14:paraId="1866006A" w14:textId="77777777" w:rsidR="00892006" w:rsidRPr="00892006" w:rsidRDefault="00892006" w:rsidP="00892006">
      <w:pPr>
        <w:keepNext/>
        <w:rPr>
          <w:rFonts w:ascii="David" w:hAnsi="David"/>
          <w:color w:val="000000"/>
          <w:sz w:val="22"/>
          <w:szCs w:val="22"/>
          <w:rtl/>
        </w:rPr>
      </w:pPr>
    </w:p>
    <w:p w14:paraId="1C2AB18F" w14:textId="77777777" w:rsidR="00892006" w:rsidRPr="00892006" w:rsidRDefault="00892006" w:rsidP="00892006">
      <w:pPr>
        <w:keepNext/>
        <w:rPr>
          <w:rFonts w:ascii="David" w:hAnsi="David"/>
          <w:color w:val="000000"/>
          <w:sz w:val="22"/>
          <w:szCs w:val="22"/>
          <w:rtl/>
        </w:rPr>
      </w:pPr>
      <w:r w:rsidRPr="00892006">
        <w:rPr>
          <w:rFonts w:ascii="David" w:hAnsi="David"/>
          <w:color w:val="000000"/>
          <w:sz w:val="22"/>
          <w:szCs w:val="22"/>
          <w:rtl/>
        </w:rPr>
        <w:t>זהר דולב להמן 54678313-/</w:t>
      </w:r>
    </w:p>
    <w:p w14:paraId="2CEA86A1" w14:textId="77777777" w:rsidR="003C0B95" w:rsidRPr="003C0B95" w:rsidRDefault="00892006" w:rsidP="00892006">
      <w:pPr>
        <w:rPr>
          <w:color w:val="0000FF"/>
          <w:u w:val="single"/>
        </w:rPr>
      </w:pPr>
      <w:r w:rsidRPr="00892006">
        <w:rPr>
          <w:color w:val="000000"/>
          <w:u w:val="single"/>
          <w:rtl/>
        </w:rPr>
        <w:t>נוסח מסמך זה כפוף לשינויי ניסוח ועריכה</w:t>
      </w:r>
    </w:p>
    <w:sectPr w:rsidR="003C0B95" w:rsidRPr="003C0B95" w:rsidSect="00892006">
      <w:headerReference w:type="even" r:id="rId72"/>
      <w:headerReference w:type="default" r:id="rId73"/>
      <w:footerReference w:type="even" r:id="rId74"/>
      <w:footerReference w:type="default" r:id="rId75"/>
      <w:pgSz w:w="11907" w:h="16840" w:code="9"/>
      <w:pgMar w:top="1701" w:right="1701" w:bottom="1134" w:left="1701" w:header="709"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3FD2C8" w14:textId="77777777" w:rsidR="001E504F" w:rsidRDefault="001E504F" w:rsidP="00857E2F">
      <w:r>
        <w:separator/>
      </w:r>
    </w:p>
  </w:endnote>
  <w:endnote w:type="continuationSeparator" w:id="0">
    <w:p w14:paraId="4EC11FAC" w14:textId="77777777" w:rsidR="001E504F" w:rsidRDefault="001E504F" w:rsidP="00857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unPenh">
    <w:charset w:val="00"/>
    <w:family w:val="auto"/>
    <w:pitch w:val="variable"/>
    <w:sig w:usb0="80000003" w:usb1="00000000" w:usb2="0001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FC9C35" w14:textId="77777777" w:rsidR="00892006" w:rsidRDefault="00892006" w:rsidP="0089200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0C0150BC" w14:textId="77777777" w:rsidR="009C0D6A" w:rsidRPr="00892006" w:rsidRDefault="00892006" w:rsidP="00892006">
    <w:pPr>
      <w:pStyle w:val="a5"/>
      <w:pBdr>
        <w:top w:val="single" w:sz="4" w:space="1" w:color="auto"/>
        <w:between w:val="single" w:sz="4" w:space="0" w:color="auto"/>
      </w:pBdr>
      <w:spacing w:after="60"/>
      <w:jc w:val="center"/>
      <w:rPr>
        <w:rFonts w:ascii="FrankRuehl" w:hAnsi="FrankRuehl" w:cs="FrankRuehl"/>
        <w:color w:val="000000"/>
      </w:rPr>
    </w:pPr>
    <w:r w:rsidRPr="0089200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BFEB3" w14:textId="77777777" w:rsidR="00892006" w:rsidRDefault="00892006" w:rsidP="00892006">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16499">
      <w:rPr>
        <w:rFonts w:ascii="FrankRuehl" w:hAnsi="FrankRuehl" w:cs="FrankRuehl"/>
        <w:noProof/>
        <w:rtl/>
      </w:rPr>
      <w:t>1</w:t>
    </w:r>
    <w:r>
      <w:rPr>
        <w:rFonts w:ascii="FrankRuehl" w:hAnsi="FrankRuehl" w:cs="FrankRuehl"/>
        <w:rtl/>
      </w:rPr>
      <w:fldChar w:fldCharType="end"/>
    </w:r>
  </w:p>
  <w:p w14:paraId="6766E740" w14:textId="77777777" w:rsidR="009C0D6A" w:rsidRPr="00892006" w:rsidRDefault="00892006" w:rsidP="00892006">
    <w:pPr>
      <w:pStyle w:val="a5"/>
      <w:pBdr>
        <w:top w:val="single" w:sz="4" w:space="1" w:color="auto"/>
        <w:between w:val="single" w:sz="4" w:space="0" w:color="auto"/>
      </w:pBdr>
      <w:spacing w:after="60"/>
      <w:jc w:val="center"/>
      <w:rPr>
        <w:rFonts w:ascii="FrankRuehl" w:hAnsi="FrankRuehl" w:cs="FrankRuehl"/>
        <w:color w:val="000000"/>
      </w:rPr>
    </w:pPr>
    <w:r w:rsidRPr="00892006">
      <w:rPr>
        <w:rFonts w:ascii="FrankRuehl" w:hAnsi="FrankRuehl" w:cs="FrankRuehl"/>
        <w:color w:val="000000"/>
      </w:rPr>
      <w:pict w14:anchorId="5EB2DA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65424" w14:textId="77777777" w:rsidR="001E504F" w:rsidRDefault="001E504F" w:rsidP="00857E2F">
      <w:r>
        <w:separator/>
      </w:r>
    </w:p>
  </w:footnote>
  <w:footnote w:type="continuationSeparator" w:id="0">
    <w:p w14:paraId="37360CDF" w14:textId="77777777" w:rsidR="001E504F" w:rsidRDefault="001E504F" w:rsidP="00857E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1D5987" w14:textId="77777777" w:rsidR="003C0B95" w:rsidRPr="00892006" w:rsidRDefault="00892006" w:rsidP="0089200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(אש') 893-03-22</w:t>
    </w:r>
    <w:r>
      <w:rPr>
        <w:rFonts w:ascii="David" w:hAnsi="David"/>
        <w:color w:val="000000"/>
        <w:sz w:val="22"/>
        <w:szCs w:val="22"/>
        <w:rtl/>
      </w:rPr>
      <w:tab/>
      <w:t xml:space="preserve"> מדינת ישראל נ' רמי בנאיש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F554B" w14:textId="77777777" w:rsidR="003C0B95" w:rsidRPr="00892006" w:rsidRDefault="00892006" w:rsidP="0089200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(אש') 893-03-22</w:t>
    </w:r>
    <w:r>
      <w:rPr>
        <w:rFonts w:ascii="David" w:hAnsi="David"/>
        <w:color w:val="000000"/>
        <w:sz w:val="22"/>
        <w:szCs w:val="22"/>
        <w:rtl/>
      </w:rPr>
      <w:tab/>
      <w:t xml:space="preserve"> מדינת ישראל נ' רמי בנאיש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BA0264"/>
    <w:multiLevelType w:val="hybridMultilevel"/>
    <w:tmpl w:val="EB4425A2"/>
    <w:lvl w:ilvl="0" w:tplc="2A3EEBE2">
      <w:start w:val="1"/>
      <w:numFmt w:val="decimal"/>
      <w:lvlText w:val="%1)"/>
      <w:lvlJc w:val="left"/>
      <w:pPr>
        <w:ind w:left="717" w:hanging="360"/>
      </w:pPr>
      <w:rPr>
        <w:rFonts w:hint="default"/>
        <w:lang w:val="en-US"/>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 w15:restartNumberingAfterBreak="0">
    <w:nsid w:val="638813E7"/>
    <w:multiLevelType w:val="hybridMultilevel"/>
    <w:tmpl w:val="7FE266C2"/>
    <w:lvl w:ilvl="0" w:tplc="0409000F">
      <w:start w:val="1"/>
      <w:numFmt w:val="decimal"/>
      <w:lvlText w:val="%1."/>
      <w:lvlJc w:val="left"/>
      <w:pPr>
        <w:ind w:left="720" w:hanging="360"/>
      </w:pPr>
    </w:lvl>
    <w:lvl w:ilvl="1" w:tplc="04090013">
      <w:start w:val="1"/>
      <w:numFmt w:val="hebrew1"/>
      <w:lvlText w:val="%2."/>
      <w:lvlJc w:val="center"/>
      <w:pPr>
        <w:ind w:left="1440" w:hanging="360"/>
      </w:pPr>
    </w:lvl>
    <w:lvl w:ilvl="2" w:tplc="04090011">
      <w:start w:val="1"/>
      <w:numFmt w:val="decimal"/>
      <w:lvlText w:val="%3)"/>
      <w:lvlJc w:val="left"/>
      <w:pPr>
        <w:ind w:left="2160" w:hanging="180"/>
      </w:pPr>
      <w:rPr>
        <w:bCs w:val="0"/>
        <w:iCs w:val="0"/>
        <w:szCs w:val="24"/>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C693E3F"/>
    <w:multiLevelType w:val="hybridMultilevel"/>
    <w:tmpl w:val="F496C904"/>
    <w:lvl w:ilvl="0" w:tplc="0409000F">
      <w:start w:val="1"/>
      <w:numFmt w:val="decimal"/>
      <w:lvlText w:val="%1."/>
      <w:lvlJc w:val="left"/>
      <w:pPr>
        <w:ind w:left="720" w:hanging="360"/>
      </w:pPr>
    </w:lvl>
    <w:lvl w:ilvl="1" w:tplc="04090013">
      <w:start w:val="1"/>
      <w:numFmt w:val="hebrew1"/>
      <w:lvlText w:val="%2."/>
      <w:lvlJc w:val="center"/>
      <w:pPr>
        <w:ind w:left="1440" w:hanging="360"/>
      </w:pPr>
    </w:lvl>
    <w:lvl w:ilvl="2" w:tplc="E6A25624">
      <w:start w:val="1"/>
      <w:numFmt w:val="decimal"/>
      <w:lvlText w:val="(%3)"/>
      <w:lvlJc w:val="left"/>
      <w:pPr>
        <w:ind w:left="2160" w:hanging="180"/>
      </w:pPr>
      <w:rPr>
        <w:rFonts w:cs="David"/>
        <w:bCs w:val="0"/>
        <w:iCs w:val="0"/>
        <w:szCs w:val="24"/>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D3856D5"/>
    <w:multiLevelType w:val="hybridMultilevel"/>
    <w:tmpl w:val="E94C95BE"/>
    <w:lvl w:ilvl="0" w:tplc="4F165BB0">
      <w:start w:val="1"/>
      <w:numFmt w:val="bullet"/>
      <w:lvlText w:val=""/>
      <w:lvlJc w:val="left"/>
      <w:pPr>
        <w:ind w:left="1445" w:hanging="360"/>
      </w:pPr>
      <w:rPr>
        <w:rFonts w:ascii="Symbol" w:hAnsi="Symbol" w:hint="default"/>
      </w:rPr>
    </w:lvl>
    <w:lvl w:ilvl="1" w:tplc="04090003">
      <w:start w:val="1"/>
      <w:numFmt w:val="bullet"/>
      <w:lvlText w:val="o"/>
      <w:lvlJc w:val="left"/>
      <w:pPr>
        <w:ind w:left="2165" w:hanging="360"/>
      </w:pPr>
      <w:rPr>
        <w:rFonts w:ascii="Courier New" w:hAnsi="Courier New" w:cs="Courier New" w:hint="default"/>
      </w:rPr>
    </w:lvl>
    <w:lvl w:ilvl="2" w:tplc="04090005">
      <w:start w:val="1"/>
      <w:numFmt w:val="bullet"/>
      <w:lvlText w:val=""/>
      <w:lvlJc w:val="left"/>
      <w:pPr>
        <w:ind w:left="2885" w:hanging="360"/>
      </w:pPr>
      <w:rPr>
        <w:rFonts w:ascii="Wingdings" w:hAnsi="Wingdings" w:hint="default"/>
      </w:rPr>
    </w:lvl>
    <w:lvl w:ilvl="3" w:tplc="04090001">
      <w:start w:val="1"/>
      <w:numFmt w:val="bullet"/>
      <w:lvlText w:val=""/>
      <w:lvlJc w:val="left"/>
      <w:pPr>
        <w:ind w:left="3605" w:hanging="360"/>
      </w:pPr>
      <w:rPr>
        <w:rFonts w:ascii="Symbol" w:hAnsi="Symbol" w:hint="default"/>
      </w:rPr>
    </w:lvl>
    <w:lvl w:ilvl="4" w:tplc="04090003">
      <w:start w:val="1"/>
      <w:numFmt w:val="bullet"/>
      <w:lvlText w:val="o"/>
      <w:lvlJc w:val="left"/>
      <w:pPr>
        <w:ind w:left="4325" w:hanging="360"/>
      </w:pPr>
      <w:rPr>
        <w:rFonts w:ascii="Courier New" w:hAnsi="Courier New" w:cs="Courier New" w:hint="default"/>
      </w:rPr>
    </w:lvl>
    <w:lvl w:ilvl="5" w:tplc="04090005">
      <w:start w:val="1"/>
      <w:numFmt w:val="bullet"/>
      <w:lvlText w:val=""/>
      <w:lvlJc w:val="left"/>
      <w:pPr>
        <w:ind w:left="5045" w:hanging="360"/>
      </w:pPr>
      <w:rPr>
        <w:rFonts w:ascii="Wingdings" w:hAnsi="Wingdings" w:hint="default"/>
      </w:rPr>
    </w:lvl>
    <w:lvl w:ilvl="6" w:tplc="04090001">
      <w:start w:val="1"/>
      <w:numFmt w:val="bullet"/>
      <w:lvlText w:val=""/>
      <w:lvlJc w:val="left"/>
      <w:pPr>
        <w:ind w:left="5765" w:hanging="360"/>
      </w:pPr>
      <w:rPr>
        <w:rFonts w:ascii="Symbol" w:hAnsi="Symbol" w:hint="default"/>
      </w:rPr>
    </w:lvl>
    <w:lvl w:ilvl="7" w:tplc="04090003">
      <w:start w:val="1"/>
      <w:numFmt w:val="bullet"/>
      <w:lvlText w:val="o"/>
      <w:lvlJc w:val="left"/>
      <w:pPr>
        <w:ind w:left="6485" w:hanging="360"/>
      </w:pPr>
      <w:rPr>
        <w:rFonts w:ascii="Courier New" w:hAnsi="Courier New" w:cs="Courier New" w:hint="default"/>
      </w:rPr>
    </w:lvl>
    <w:lvl w:ilvl="8" w:tplc="04090005">
      <w:start w:val="1"/>
      <w:numFmt w:val="bullet"/>
      <w:lvlText w:val=""/>
      <w:lvlJc w:val="left"/>
      <w:pPr>
        <w:ind w:left="7205" w:hanging="360"/>
      </w:pPr>
      <w:rPr>
        <w:rFonts w:ascii="Wingdings" w:hAnsi="Wingdings" w:hint="default"/>
      </w:rPr>
    </w:lvl>
  </w:abstractNum>
  <w:abstractNum w:abstractNumId="4" w15:restartNumberingAfterBreak="0">
    <w:nsid w:val="7B1526DB"/>
    <w:multiLevelType w:val="hybridMultilevel"/>
    <w:tmpl w:val="E9946D26"/>
    <w:lvl w:ilvl="0" w:tplc="E53CEB34">
      <w:start w:val="1"/>
      <w:numFmt w:val="decimal"/>
      <w:lvlText w:val="%1)"/>
      <w:lvlJc w:val="left"/>
      <w:pPr>
        <w:ind w:left="1434" w:hanging="72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num w:numId="1" w16cid:durableId="12437577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47191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470175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606924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880583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05D7E"/>
    <w:rsid w:val="00116499"/>
    <w:rsid w:val="001E504F"/>
    <w:rsid w:val="00205D7E"/>
    <w:rsid w:val="00322869"/>
    <w:rsid w:val="003C0B95"/>
    <w:rsid w:val="004736F2"/>
    <w:rsid w:val="00763D8E"/>
    <w:rsid w:val="00857E2F"/>
    <w:rsid w:val="00892006"/>
    <w:rsid w:val="009C0D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98C25D0"/>
  <w15:chartTrackingRefBased/>
  <w15:docId w15:val="{C95B75E7-96E6-41A1-A771-FC933D7FE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05D7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05D7E"/>
    <w:pPr>
      <w:tabs>
        <w:tab w:val="center" w:pos="4153"/>
        <w:tab w:val="right" w:pos="8306"/>
      </w:tabs>
    </w:pPr>
  </w:style>
  <w:style w:type="character" w:customStyle="1" w:styleId="a4">
    <w:name w:val="כותרת עליונה תו"/>
    <w:link w:val="a3"/>
    <w:rsid w:val="00205D7E"/>
    <w:rPr>
      <w:rFonts w:ascii="Times New Roman" w:eastAsia="Times New Roman" w:hAnsi="Times New Roman" w:cs="David"/>
      <w:sz w:val="24"/>
      <w:szCs w:val="24"/>
    </w:rPr>
  </w:style>
  <w:style w:type="paragraph" w:styleId="a5">
    <w:name w:val="footer"/>
    <w:basedOn w:val="a"/>
    <w:link w:val="a6"/>
    <w:rsid w:val="00205D7E"/>
    <w:pPr>
      <w:tabs>
        <w:tab w:val="center" w:pos="4153"/>
        <w:tab w:val="right" w:pos="8306"/>
      </w:tabs>
    </w:pPr>
  </w:style>
  <w:style w:type="character" w:customStyle="1" w:styleId="a6">
    <w:name w:val="כותרת תחתונה תו"/>
    <w:link w:val="a5"/>
    <w:rsid w:val="00205D7E"/>
    <w:rPr>
      <w:rFonts w:ascii="Times New Roman" w:eastAsia="Times New Roman" w:hAnsi="Times New Roman" w:cs="David"/>
      <w:sz w:val="24"/>
      <w:szCs w:val="24"/>
    </w:rPr>
  </w:style>
  <w:style w:type="table" w:styleId="a7">
    <w:name w:val="Table Grid"/>
    <w:basedOn w:val="a1"/>
    <w:rsid w:val="00205D7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05D7E"/>
  </w:style>
  <w:style w:type="paragraph" w:styleId="a9">
    <w:name w:val="List Paragraph"/>
    <w:basedOn w:val="a"/>
    <w:link w:val="aa"/>
    <w:qFormat/>
    <w:rsid w:val="00205D7E"/>
    <w:pPr>
      <w:ind w:left="720"/>
      <w:contextualSpacing/>
    </w:pPr>
    <w:rPr>
      <w:rFonts w:cs="Times New Roman"/>
    </w:rPr>
  </w:style>
  <w:style w:type="character" w:customStyle="1" w:styleId="aa">
    <w:name w:val="פיסקת רשימה תו"/>
    <w:link w:val="a9"/>
    <w:locked/>
    <w:rsid w:val="00205D7E"/>
    <w:rPr>
      <w:rFonts w:ascii="Times New Roman" w:eastAsia="Times New Roman" w:hAnsi="Times New Roman" w:cs="Times New Roman"/>
      <w:sz w:val="24"/>
      <w:szCs w:val="24"/>
    </w:rPr>
  </w:style>
  <w:style w:type="character" w:styleId="Hyperlink">
    <w:name w:val="Hyperlink"/>
    <w:rsid w:val="003C0B9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13;19a" TargetMode="External"/><Relationship Id="rId21" Type="http://schemas.openxmlformats.org/officeDocument/2006/relationships/hyperlink" Target="http://www.nevo.co.il/law/70301/40ja" TargetMode="External"/><Relationship Id="rId42" Type="http://schemas.openxmlformats.org/officeDocument/2006/relationships/hyperlink" Target="http://www.nevo.co.il/case/11279208" TargetMode="External"/><Relationship Id="rId47" Type="http://schemas.openxmlformats.org/officeDocument/2006/relationships/hyperlink" Target="http://www.nevo.co.il/case/16907310" TargetMode="External"/><Relationship Id="rId63" Type="http://schemas.openxmlformats.org/officeDocument/2006/relationships/hyperlink" Target="http://www.nevo.co.il/law/70301" TargetMode="External"/><Relationship Id="rId68" Type="http://schemas.openxmlformats.org/officeDocument/2006/relationships/hyperlink" Target="http://www.nevo.co.il/law/70301/40g" TargetMode="External"/><Relationship Id="rId16" Type="http://schemas.openxmlformats.org/officeDocument/2006/relationships/hyperlink" Target="http://www.nevo.co.il/law/70301/40d" TargetMode="External"/><Relationship Id="rId11" Type="http://schemas.openxmlformats.org/officeDocument/2006/relationships/hyperlink" Target="http://www.nevo.co.il/law/4216/37a" TargetMode="External"/><Relationship Id="rId24" Type="http://schemas.openxmlformats.org/officeDocument/2006/relationships/hyperlink" Target="http://www.nevo.co.il/law/4216/19a" TargetMode="External"/><Relationship Id="rId32" Type="http://schemas.openxmlformats.org/officeDocument/2006/relationships/hyperlink" Target="http://www.nevo.co.il/case/20412551" TargetMode="External"/><Relationship Id="rId37" Type="http://schemas.openxmlformats.org/officeDocument/2006/relationships/hyperlink" Target="http://www.nevo.co.il/law/70301/40c.a" TargetMode="External"/><Relationship Id="rId40" Type="http://schemas.openxmlformats.org/officeDocument/2006/relationships/hyperlink" Target="http://www.nevo.co.il/case/5726579" TargetMode="External"/><Relationship Id="rId45" Type="http://schemas.openxmlformats.org/officeDocument/2006/relationships/hyperlink" Target="http://www.nevo.co.il/case/10520037" TargetMode="External"/><Relationship Id="rId53" Type="http://schemas.openxmlformats.org/officeDocument/2006/relationships/hyperlink" Target="http://www.nevo.co.il/law/70301/40h" TargetMode="External"/><Relationship Id="rId58" Type="http://schemas.openxmlformats.org/officeDocument/2006/relationships/hyperlink" Target="http://www.nevo.co.il/law/70301/56.a" TargetMode="External"/><Relationship Id="rId66" Type="http://schemas.openxmlformats.org/officeDocument/2006/relationships/hyperlink" Target="http://www.nevo.co.il/case/6120591" TargetMode="External"/><Relationship Id="rId74"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law/70301/40f" TargetMode="External"/><Relationship Id="rId19" Type="http://schemas.openxmlformats.org/officeDocument/2006/relationships/hyperlink" Target="http://www.nevo.co.il/law/70301/40h" TargetMode="External"/><Relationship Id="rId14" Type="http://schemas.openxmlformats.org/officeDocument/2006/relationships/hyperlink" Target="http://www.nevo.co.il/law/70301/32" TargetMode="External"/><Relationship Id="rId22" Type="http://schemas.openxmlformats.org/officeDocument/2006/relationships/hyperlink" Target="http://www.nevo.co.il/law/70301/40ji" TargetMode="External"/><Relationship Id="rId27" Type="http://schemas.openxmlformats.org/officeDocument/2006/relationships/hyperlink" Target="http://www.nevo.co.il/law/70301/31" TargetMode="External"/><Relationship Id="rId30" Type="http://schemas.openxmlformats.org/officeDocument/2006/relationships/hyperlink" Target="http://www.nevo.co.il/case/13093721"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26728483" TargetMode="External"/><Relationship Id="rId48" Type="http://schemas.openxmlformats.org/officeDocument/2006/relationships/hyperlink" Target="http://www.nevo.co.il/law/70301/40ji" TargetMode="External"/><Relationship Id="rId56" Type="http://schemas.openxmlformats.org/officeDocument/2006/relationships/hyperlink" Target="http://www.nevo.co.il/law/70301/40d" TargetMode="External"/><Relationship Id="rId64" Type="http://schemas.openxmlformats.org/officeDocument/2006/relationships/hyperlink" Target="http://www.nevo.co.il/case/17942576" TargetMode="External"/><Relationship Id="rId69" Type="http://schemas.openxmlformats.org/officeDocument/2006/relationships/hyperlink" Target="http://www.nevo.co.il/law/70301" TargetMode="External"/><Relationship Id="rId77" Type="http://schemas.openxmlformats.org/officeDocument/2006/relationships/theme" Target="theme/theme1.xml"/><Relationship Id="rId8" Type="http://schemas.openxmlformats.org/officeDocument/2006/relationships/hyperlink" Target="http://www.nevo.co.il/law/4216/13" TargetMode="External"/><Relationship Id="rId51" Type="http://schemas.openxmlformats.org/officeDocument/2006/relationships/hyperlink" Target="http://www.nevo.co.il/case/20683594" TargetMode="External"/><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40f" TargetMode="External"/><Relationship Id="rId25" Type="http://schemas.openxmlformats.org/officeDocument/2006/relationships/hyperlink" Target="http://www.nevo.co.il/law/4216"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28363443" TargetMode="External"/><Relationship Id="rId59" Type="http://schemas.openxmlformats.org/officeDocument/2006/relationships/hyperlink" Target="http://www.nevo.co.il/law/70301/40ja" TargetMode="External"/><Relationship Id="rId67" Type="http://schemas.openxmlformats.org/officeDocument/2006/relationships/hyperlink" Target="http://www.nevo.co.il/law/70301/40f" TargetMode="External"/><Relationship Id="rId20" Type="http://schemas.openxmlformats.org/officeDocument/2006/relationships/hyperlink" Target="http://www.nevo.co.il/law/70301/56.a" TargetMode="External"/><Relationship Id="rId41" Type="http://schemas.openxmlformats.org/officeDocument/2006/relationships/hyperlink" Target="http://www.nevo.co.il/case/18793360" TargetMode="External"/><Relationship Id="rId54" Type="http://schemas.openxmlformats.org/officeDocument/2006/relationships/hyperlink" Target="http://www.nevo.co.il/law/70301" TargetMode="External"/><Relationship Id="rId62" Type="http://schemas.openxmlformats.org/officeDocument/2006/relationships/hyperlink" Target="http://www.nevo.co.il/law/70301/40g" TargetMode="External"/><Relationship Id="rId70" Type="http://schemas.openxmlformats.org/officeDocument/2006/relationships/hyperlink" Target="http://www.nevo.co.il/case/26270118" TargetMode="External"/><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c.a" TargetMode="External"/><Relationship Id="rId23" Type="http://schemas.openxmlformats.org/officeDocument/2006/relationships/hyperlink" Target="http://www.nevo.co.il/law/4216/13" TargetMode="External"/><Relationship Id="rId28" Type="http://schemas.openxmlformats.org/officeDocument/2006/relationships/hyperlink" Target="http://www.nevo.co.il/law/70301" TargetMode="External"/><Relationship Id="rId36" Type="http://schemas.openxmlformats.org/officeDocument/2006/relationships/hyperlink" Target="http://www.nevo.co.il/law/70301" TargetMode="External"/><Relationship Id="rId49" Type="http://schemas.openxmlformats.org/officeDocument/2006/relationships/hyperlink" Target="http://www.nevo.co.il/law/70301" TargetMode="External"/><Relationship Id="rId57" Type="http://schemas.openxmlformats.org/officeDocument/2006/relationships/hyperlink" Target="http://www.nevo.co.il/law/70301" TargetMode="External"/><Relationship Id="rId10" Type="http://schemas.openxmlformats.org/officeDocument/2006/relationships/hyperlink" Target="http://www.nevo.co.il/law/4216/32" TargetMode="External"/><Relationship Id="rId31" Type="http://schemas.openxmlformats.org/officeDocument/2006/relationships/hyperlink" Target="http://www.nevo.co.il/case/20420496" TargetMode="External"/><Relationship Id="rId44" Type="http://schemas.openxmlformats.org/officeDocument/2006/relationships/hyperlink" Target="http://www.nevo.co.il/case/22140787" TargetMode="External"/><Relationship Id="rId52" Type="http://schemas.openxmlformats.org/officeDocument/2006/relationships/hyperlink" Target="http://www.nevo.co.il/law/4216/32" TargetMode="External"/><Relationship Id="rId60" Type="http://schemas.openxmlformats.org/officeDocument/2006/relationships/hyperlink" Target="http://www.nevo.co.il/case/26270118" TargetMode="External"/><Relationship Id="rId65" Type="http://schemas.openxmlformats.org/officeDocument/2006/relationships/hyperlink" Target="http://www.nevo.co.il/case/25067043" TargetMode="External"/><Relationship Id="rId73"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19a" TargetMode="External"/><Relationship Id="rId13" Type="http://schemas.openxmlformats.org/officeDocument/2006/relationships/hyperlink" Target="http://www.nevo.co.il/law/70301/31" TargetMode="External"/><Relationship Id="rId18" Type="http://schemas.openxmlformats.org/officeDocument/2006/relationships/hyperlink" Target="http://www.nevo.co.il/law/70301/40g" TargetMode="External"/><Relationship Id="rId39" Type="http://schemas.openxmlformats.org/officeDocument/2006/relationships/hyperlink" Target="http://www.nevo.co.il/case/26797877" TargetMode="External"/><Relationship Id="rId34" Type="http://schemas.openxmlformats.org/officeDocument/2006/relationships/hyperlink" Target="http://www.nevo.co.il/law/70301/32" TargetMode="External"/><Relationship Id="rId50" Type="http://schemas.openxmlformats.org/officeDocument/2006/relationships/hyperlink" Target="http://www.nevo.co.il/case/24287803" TargetMode="External"/><Relationship Id="rId55" Type="http://schemas.openxmlformats.org/officeDocument/2006/relationships/hyperlink" Target="http://www.nevo.co.il/law/4216/37a" TargetMode="External"/><Relationship Id="rId76" Type="http://schemas.openxmlformats.org/officeDocument/2006/relationships/fontTable" Target="fontTable.xml"/><Relationship Id="rId7" Type="http://schemas.openxmlformats.org/officeDocument/2006/relationships/hyperlink" Target="http://www.nevo.co.il/law/4216" TargetMode="External"/><Relationship Id="rId71" Type="http://schemas.openxmlformats.org/officeDocument/2006/relationships/hyperlink" Target="http://www.nevo.co.il/advertisements/nevo-100.doc" TargetMode="External"/><Relationship Id="rId2" Type="http://schemas.openxmlformats.org/officeDocument/2006/relationships/styles" Target="styles.xml"/><Relationship Id="rId29"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5832</Words>
  <Characters>29162</Characters>
  <Application>Microsoft Office Word</Application>
  <DocSecurity>0</DocSecurity>
  <Lines>243</Lines>
  <Paragraphs>69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34925</CharactersWithSpaces>
  <SharedDoc>false</SharedDoc>
  <HLinks>
    <vt:vector size="390" baseType="variant">
      <vt:variant>
        <vt:i4>393283</vt:i4>
      </vt:variant>
      <vt:variant>
        <vt:i4>192</vt:i4>
      </vt:variant>
      <vt:variant>
        <vt:i4>0</vt:i4>
      </vt:variant>
      <vt:variant>
        <vt:i4>5</vt:i4>
      </vt:variant>
      <vt:variant>
        <vt:lpwstr>http://www.nevo.co.il/advertisements/nevo-100.doc</vt:lpwstr>
      </vt:variant>
      <vt:variant>
        <vt:lpwstr/>
      </vt:variant>
      <vt:variant>
        <vt:i4>3211380</vt:i4>
      </vt:variant>
      <vt:variant>
        <vt:i4>189</vt:i4>
      </vt:variant>
      <vt:variant>
        <vt:i4>0</vt:i4>
      </vt:variant>
      <vt:variant>
        <vt:i4>5</vt:i4>
      </vt:variant>
      <vt:variant>
        <vt:lpwstr>http://www.nevo.co.il/case/26270118</vt:lpwstr>
      </vt:variant>
      <vt:variant>
        <vt:lpwstr/>
      </vt:variant>
      <vt:variant>
        <vt:i4>7995492</vt:i4>
      </vt:variant>
      <vt:variant>
        <vt:i4>186</vt:i4>
      </vt:variant>
      <vt:variant>
        <vt:i4>0</vt:i4>
      </vt:variant>
      <vt:variant>
        <vt:i4>5</vt:i4>
      </vt:variant>
      <vt:variant>
        <vt:lpwstr>http://www.nevo.co.il/law/70301</vt:lpwstr>
      </vt:variant>
      <vt:variant>
        <vt:lpwstr/>
      </vt:variant>
      <vt:variant>
        <vt:i4>6619233</vt:i4>
      </vt:variant>
      <vt:variant>
        <vt:i4>183</vt:i4>
      </vt:variant>
      <vt:variant>
        <vt:i4>0</vt:i4>
      </vt:variant>
      <vt:variant>
        <vt:i4>5</vt:i4>
      </vt:variant>
      <vt:variant>
        <vt:lpwstr>http://www.nevo.co.il/law/70301/40g</vt:lpwstr>
      </vt:variant>
      <vt:variant>
        <vt:lpwstr/>
      </vt:variant>
      <vt:variant>
        <vt:i4>6619233</vt:i4>
      </vt:variant>
      <vt:variant>
        <vt:i4>180</vt:i4>
      </vt:variant>
      <vt:variant>
        <vt:i4>0</vt:i4>
      </vt:variant>
      <vt:variant>
        <vt:i4>5</vt:i4>
      </vt:variant>
      <vt:variant>
        <vt:lpwstr>http://www.nevo.co.il/law/70301/40f</vt:lpwstr>
      </vt:variant>
      <vt:variant>
        <vt:lpwstr/>
      </vt:variant>
      <vt:variant>
        <vt:i4>3145852</vt:i4>
      </vt:variant>
      <vt:variant>
        <vt:i4>177</vt:i4>
      </vt:variant>
      <vt:variant>
        <vt:i4>0</vt:i4>
      </vt:variant>
      <vt:variant>
        <vt:i4>5</vt:i4>
      </vt:variant>
      <vt:variant>
        <vt:lpwstr>http://www.nevo.co.il/case/6120591</vt:lpwstr>
      </vt:variant>
      <vt:variant>
        <vt:lpwstr/>
      </vt:variant>
      <vt:variant>
        <vt:i4>3211383</vt:i4>
      </vt:variant>
      <vt:variant>
        <vt:i4>174</vt:i4>
      </vt:variant>
      <vt:variant>
        <vt:i4>0</vt:i4>
      </vt:variant>
      <vt:variant>
        <vt:i4>5</vt:i4>
      </vt:variant>
      <vt:variant>
        <vt:lpwstr>http://www.nevo.co.il/case/25067043</vt:lpwstr>
      </vt:variant>
      <vt:variant>
        <vt:lpwstr/>
      </vt:variant>
      <vt:variant>
        <vt:i4>3997810</vt:i4>
      </vt:variant>
      <vt:variant>
        <vt:i4>171</vt:i4>
      </vt:variant>
      <vt:variant>
        <vt:i4>0</vt:i4>
      </vt:variant>
      <vt:variant>
        <vt:i4>5</vt:i4>
      </vt:variant>
      <vt:variant>
        <vt:lpwstr>http://www.nevo.co.il/case/17942576</vt:lpwstr>
      </vt:variant>
      <vt:variant>
        <vt:lpwstr/>
      </vt:variant>
      <vt:variant>
        <vt:i4>7995492</vt:i4>
      </vt:variant>
      <vt:variant>
        <vt:i4>168</vt:i4>
      </vt:variant>
      <vt:variant>
        <vt:i4>0</vt:i4>
      </vt:variant>
      <vt:variant>
        <vt:i4>5</vt:i4>
      </vt:variant>
      <vt:variant>
        <vt:lpwstr>http://www.nevo.co.il/law/70301</vt:lpwstr>
      </vt:variant>
      <vt:variant>
        <vt:lpwstr/>
      </vt:variant>
      <vt:variant>
        <vt:i4>6619233</vt:i4>
      </vt:variant>
      <vt:variant>
        <vt:i4>165</vt:i4>
      </vt:variant>
      <vt:variant>
        <vt:i4>0</vt:i4>
      </vt:variant>
      <vt:variant>
        <vt:i4>5</vt:i4>
      </vt:variant>
      <vt:variant>
        <vt:lpwstr>http://www.nevo.co.il/law/70301/40g</vt:lpwstr>
      </vt:variant>
      <vt:variant>
        <vt:lpwstr/>
      </vt:variant>
      <vt:variant>
        <vt:i4>6619233</vt:i4>
      </vt:variant>
      <vt:variant>
        <vt:i4>162</vt:i4>
      </vt:variant>
      <vt:variant>
        <vt:i4>0</vt:i4>
      </vt:variant>
      <vt:variant>
        <vt:i4>5</vt:i4>
      </vt:variant>
      <vt:variant>
        <vt:lpwstr>http://www.nevo.co.il/law/70301/40f</vt:lpwstr>
      </vt:variant>
      <vt:variant>
        <vt:lpwstr/>
      </vt:variant>
      <vt:variant>
        <vt:i4>3211380</vt:i4>
      </vt:variant>
      <vt:variant>
        <vt:i4>159</vt:i4>
      </vt:variant>
      <vt:variant>
        <vt:i4>0</vt:i4>
      </vt:variant>
      <vt:variant>
        <vt:i4>5</vt:i4>
      </vt:variant>
      <vt:variant>
        <vt:lpwstr>http://www.nevo.co.il/case/26270118</vt:lpwstr>
      </vt:variant>
      <vt:variant>
        <vt:lpwstr/>
      </vt:variant>
      <vt:variant>
        <vt:i4>262155</vt:i4>
      </vt:variant>
      <vt:variant>
        <vt:i4>156</vt:i4>
      </vt:variant>
      <vt:variant>
        <vt:i4>0</vt:i4>
      </vt:variant>
      <vt:variant>
        <vt:i4>5</vt:i4>
      </vt:variant>
      <vt:variant>
        <vt:lpwstr>http://www.nevo.co.il/law/70301/40ja</vt:lpwstr>
      </vt:variant>
      <vt:variant>
        <vt:lpwstr/>
      </vt:variant>
      <vt:variant>
        <vt:i4>131150</vt:i4>
      </vt:variant>
      <vt:variant>
        <vt:i4>153</vt:i4>
      </vt:variant>
      <vt:variant>
        <vt:i4>0</vt:i4>
      </vt:variant>
      <vt:variant>
        <vt:i4>5</vt:i4>
      </vt:variant>
      <vt:variant>
        <vt:lpwstr>http://www.nevo.co.il/law/70301/56.a</vt:lpwstr>
      </vt:variant>
      <vt:variant>
        <vt:lpwstr/>
      </vt:variant>
      <vt:variant>
        <vt:i4>7995492</vt:i4>
      </vt:variant>
      <vt:variant>
        <vt:i4>150</vt:i4>
      </vt:variant>
      <vt:variant>
        <vt:i4>0</vt:i4>
      </vt:variant>
      <vt:variant>
        <vt:i4>5</vt:i4>
      </vt:variant>
      <vt:variant>
        <vt:lpwstr>http://www.nevo.co.il/law/70301</vt:lpwstr>
      </vt:variant>
      <vt:variant>
        <vt:lpwstr/>
      </vt:variant>
      <vt:variant>
        <vt:i4>6619233</vt:i4>
      </vt:variant>
      <vt:variant>
        <vt:i4>147</vt:i4>
      </vt:variant>
      <vt:variant>
        <vt:i4>0</vt:i4>
      </vt:variant>
      <vt:variant>
        <vt:i4>5</vt:i4>
      </vt:variant>
      <vt:variant>
        <vt:lpwstr>http://www.nevo.co.il/law/70301/40d</vt:lpwstr>
      </vt:variant>
      <vt:variant>
        <vt:lpwstr/>
      </vt:variant>
      <vt:variant>
        <vt:i4>2883709</vt:i4>
      </vt:variant>
      <vt:variant>
        <vt:i4>144</vt:i4>
      </vt:variant>
      <vt:variant>
        <vt:i4>0</vt:i4>
      </vt:variant>
      <vt:variant>
        <vt:i4>5</vt:i4>
      </vt:variant>
      <vt:variant>
        <vt:lpwstr>http://www.nevo.co.il/law/4216/37a</vt:lpwstr>
      </vt:variant>
      <vt:variant>
        <vt:lpwstr/>
      </vt:variant>
      <vt:variant>
        <vt:i4>7995492</vt:i4>
      </vt:variant>
      <vt:variant>
        <vt:i4>141</vt:i4>
      </vt:variant>
      <vt:variant>
        <vt:i4>0</vt:i4>
      </vt:variant>
      <vt:variant>
        <vt:i4>5</vt:i4>
      </vt:variant>
      <vt:variant>
        <vt:lpwstr>http://www.nevo.co.il/law/70301</vt:lpwstr>
      </vt:variant>
      <vt:variant>
        <vt:lpwstr/>
      </vt:variant>
      <vt:variant>
        <vt:i4>6619233</vt:i4>
      </vt:variant>
      <vt:variant>
        <vt:i4>138</vt:i4>
      </vt:variant>
      <vt:variant>
        <vt:i4>0</vt:i4>
      </vt:variant>
      <vt:variant>
        <vt:i4>5</vt:i4>
      </vt:variant>
      <vt:variant>
        <vt:lpwstr>http://www.nevo.co.il/law/70301/40h</vt:lpwstr>
      </vt:variant>
      <vt:variant>
        <vt:lpwstr/>
      </vt:variant>
      <vt:variant>
        <vt:i4>5046346</vt:i4>
      </vt:variant>
      <vt:variant>
        <vt:i4>135</vt:i4>
      </vt:variant>
      <vt:variant>
        <vt:i4>0</vt:i4>
      </vt:variant>
      <vt:variant>
        <vt:i4>5</vt:i4>
      </vt:variant>
      <vt:variant>
        <vt:lpwstr>http://www.nevo.co.il/law/4216/32</vt:lpwstr>
      </vt:variant>
      <vt:variant>
        <vt:lpwstr/>
      </vt:variant>
      <vt:variant>
        <vt:i4>4063353</vt:i4>
      </vt:variant>
      <vt:variant>
        <vt:i4>132</vt:i4>
      </vt:variant>
      <vt:variant>
        <vt:i4>0</vt:i4>
      </vt:variant>
      <vt:variant>
        <vt:i4>5</vt:i4>
      </vt:variant>
      <vt:variant>
        <vt:lpwstr>http://www.nevo.co.il/case/20683594</vt:lpwstr>
      </vt:variant>
      <vt:variant>
        <vt:lpwstr/>
      </vt:variant>
      <vt:variant>
        <vt:i4>3604592</vt:i4>
      </vt:variant>
      <vt:variant>
        <vt:i4>129</vt:i4>
      </vt:variant>
      <vt:variant>
        <vt:i4>0</vt:i4>
      </vt:variant>
      <vt:variant>
        <vt:i4>5</vt:i4>
      </vt:variant>
      <vt:variant>
        <vt:lpwstr>http://www.nevo.co.il/case/24287803</vt:lpwstr>
      </vt:variant>
      <vt:variant>
        <vt:lpwstr/>
      </vt:variant>
      <vt:variant>
        <vt:i4>7995492</vt:i4>
      </vt:variant>
      <vt:variant>
        <vt:i4>126</vt:i4>
      </vt:variant>
      <vt:variant>
        <vt:i4>0</vt:i4>
      </vt:variant>
      <vt:variant>
        <vt:i4>5</vt:i4>
      </vt:variant>
      <vt:variant>
        <vt:lpwstr>http://www.nevo.co.il/law/70301</vt:lpwstr>
      </vt:variant>
      <vt:variant>
        <vt:lpwstr/>
      </vt:variant>
      <vt:variant>
        <vt:i4>786443</vt:i4>
      </vt:variant>
      <vt:variant>
        <vt:i4>123</vt:i4>
      </vt:variant>
      <vt:variant>
        <vt:i4>0</vt:i4>
      </vt:variant>
      <vt:variant>
        <vt:i4>5</vt:i4>
      </vt:variant>
      <vt:variant>
        <vt:lpwstr>http://www.nevo.co.il/law/70301/40ji</vt:lpwstr>
      </vt:variant>
      <vt:variant>
        <vt:lpwstr/>
      </vt:variant>
      <vt:variant>
        <vt:i4>4063345</vt:i4>
      </vt:variant>
      <vt:variant>
        <vt:i4>120</vt:i4>
      </vt:variant>
      <vt:variant>
        <vt:i4>0</vt:i4>
      </vt:variant>
      <vt:variant>
        <vt:i4>5</vt:i4>
      </vt:variant>
      <vt:variant>
        <vt:lpwstr>http://www.nevo.co.il/case/16907310</vt:lpwstr>
      </vt:variant>
      <vt:variant>
        <vt:lpwstr/>
      </vt:variant>
      <vt:variant>
        <vt:i4>3539070</vt:i4>
      </vt:variant>
      <vt:variant>
        <vt:i4>117</vt:i4>
      </vt:variant>
      <vt:variant>
        <vt:i4>0</vt:i4>
      </vt:variant>
      <vt:variant>
        <vt:i4>5</vt:i4>
      </vt:variant>
      <vt:variant>
        <vt:lpwstr>http://www.nevo.co.il/case/28363443</vt:lpwstr>
      </vt:variant>
      <vt:variant>
        <vt:lpwstr/>
      </vt:variant>
      <vt:variant>
        <vt:i4>3604598</vt:i4>
      </vt:variant>
      <vt:variant>
        <vt:i4>114</vt:i4>
      </vt:variant>
      <vt:variant>
        <vt:i4>0</vt:i4>
      </vt:variant>
      <vt:variant>
        <vt:i4>5</vt:i4>
      </vt:variant>
      <vt:variant>
        <vt:lpwstr>http://www.nevo.co.il/case/10520037</vt:lpwstr>
      </vt:variant>
      <vt:variant>
        <vt:lpwstr/>
      </vt:variant>
      <vt:variant>
        <vt:i4>3866741</vt:i4>
      </vt:variant>
      <vt:variant>
        <vt:i4>111</vt:i4>
      </vt:variant>
      <vt:variant>
        <vt:i4>0</vt:i4>
      </vt:variant>
      <vt:variant>
        <vt:i4>5</vt:i4>
      </vt:variant>
      <vt:variant>
        <vt:lpwstr>http://www.nevo.co.il/case/22140787</vt:lpwstr>
      </vt:variant>
      <vt:variant>
        <vt:lpwstr/>
      </vt:variant>
      <vt:variant>
        <vt:i4>3473524</vt:i4>
      </vt:variant>
      <vt:variant>
        <vt:i4>108</vt:i4>
      </vt:variant>
      <vt:variant>
        <vt:i4>0</vt:i4>
      </vt:variant>
      <vt:variant>
        <vt:i4>5</vt:i4>
      </vt:variant>
      <vt:variant>
        <vt:lpwstr>http://www.nevo.co.il/case/26728483</vt:lpwstr>
      </vt:variant>
      <vt:variant>
        <vt:lpwstr/>
      </vt:variant>
      <vt:variant>
        <vt:i4>3801200</vt:i4>
      </vt:variant>
      <vt:variant>
        <vt:i4>105</vt:i4>
      </vt:variant>
      <vt:variant>
        <vt:i4>0</vt:i4>
      </vt:variant>
      <vt:variant>
        <vt:i4>5</vt:i4>
      </vt:variant>
      <vt:variant>
        <vt:lpwstr>http://www.nevo.co.il/case/11279208</vt:lpwstr>
      </vt:variant>
      <vt:variant>
        <vt:lpwstr/>
      </vt:variant>
      <vt:variant>
        <vt:i4>3342454</vt:i4>
      </vt:variant>
      <vt:variant>
        <vt:i4>102</vt:i4>
      </vt:variant>
      <vt:variant>
        <vt:i4>0</vt:i4>
      </vt:variant>
      <vt:variant>
        <vt:i4>5</vt:i4>
      </vt:variant>
      <vt:variant>
        <vt:lpwstr>http://www.nevo.co.il/case/18793360</vt:lpwstr>
      </vt:variant>
      <vt:variant>
        <vt:lpwstr/>
      </vt:variant>
      <vt:variant>
        <vt:i4>3866738</vt:i4>
      </vt:variant>
      <vt:variant>
        <vt:i4>99</vt:i4>
      </vt:variant>
      <vt:variant>
        <vt:i4>0</vt:i4>
      </vt:variant>
      <vt:variant>
        <vt:i4>5</vt:i4>
      </vt:variant>
      <vt:variant>
        <vt:lpwstr>http://www.nevo.co.il/case/5726579</vt:lpwstr>
      </vt:variant>
      <vt:variant>
        <vt:lpwstr/>
      </vt:variant>
      <vt:variant>
        <vt:i4>3473523</vt:i4>
      </vt:variant>
      <vt:variant>
        <vt:i4>96</vt:i4>
      </vt:variant>
      <vt:variant>
        <vt:i4>0</vt:i4>
      </vt:variant>
      <vt:variant>
        <vt:i4>5</vt:i4>
      </vt:variant>
      <vt:variant>
        <vt:lpwstr>http://www.nevo.co.il/case/26797877</vt:lpwstr>
      </vt:variant>
      <vt:variant>
        <vt:lpwstr/>
      </vt:variant>
      <vt:variant>
        <vt:i4>7995492</vt:i4>
      </vt:variant>
      <vt:variant>
        <vt:i4>93</vt:i4>
      </vt:variant>
      <vt:variant>
        <vt:i4>0</vt:i4>
      </vt:variant>
      <vt:variant>
        <vt:i4>5</vt:i4>
      </vt:variant>
      <vt:variant>
        <vt:lpwstr>http://www.nevo.co.il/law/70301</vt:lpwstr>
      </vt:variant>
      <vt:variant>
        <vt:lpwstr/>
      </vt:variant>
      <vt:variant>
        <vt:i4>4915202</vt:i4>
      </vt:variant>
      <vt:variant>
        <vt:i4>90</vt:i4>
      </vt:variant>
      <vt:variant>
        <vt:i4>0</vt:i4>
      </vt:variant>
      <vt:variant>
        <vt:i4>5</vt:i4>
      </vt:variant>
      <vt:variant>
        <vt:lpwstr>http://www.nevo.co.il/law/70301/40c.a</vt:lpwstr>
      </vt:variant>
      <vt:variant>
        <vt:lpwstr/>
      </vt:variant>
      <vt:variant>
        <vt:i4>7995492</vt:i4>
      </vt:variant>
      <vt:variant>
        <vt:i4>87</vt:i4>
      </vt:variant>
      <vt:variant>
        <vt:i4>0</vt:i4>
      </vt:variant>
      <vt:variant>
        <vt:i4>5</vt:i4>
      </vt:variant>
      <vt:variant>
        <vt:lpwstr>http://www.nevo.co.il/law/70301</vt:lpwstr>
      </vt:variant>
      <vt:variant>
        <vt:lpwstr/>
      </vt:variant>
      <vt:variant>
        <vt:i4>7995492</vt:i4>
      </vt:variant>
      <vt:variant>
        <vt:i4>84</vt:i4>
      </vt:variant>
      <vt:variant>
        <vt:i4>0</vt:i4>
      </vt:variant>
      <vt:variant>
        <vt:i4>5</vt:i4>
      </vt:variant>
      <vt:variant>
        <vt:lpwstr>http://www.nevo.co.il/law/70301</vt:lpwstr>
      </vt:variant>
      <vt:variant>
        <vt:lpwstr/>
      </vt:variant>
      <vt:variant>
        <vt:i4>6750310</vt:i4>
      </vt:variant>
      <vt:variant>
        <vt:i4>81</vt:i4>
      </vt:variant>
      <vt:variant>
        <vt:i4>0</vt:i4>
      </vt:variant>
      <vt:variant>
        <vt:i4>5</vt:i4>
      </vt:variant>
      <vt:variant>
        <vt:lpwstr>http://www.nevo.co.il/law/70301/32</vt:lpwstr>
      </vt:variant>
      <vt:variant>
        <vt:lpwstr/>
      </vt:variant>
      <vt:variant>
        <vt:i4>7995492</vt:i4>
      </vt:variant>
      <vt:variant>
        <vt:i4>78</vt:i4>
      </vt:variant>
      <vt:variant>
        <vt:i4>0</vt:i4>
      </vt:variant>
      <vt:variant>
        <vt:i4>5</vt:i4>
      </vt:variant>
      <vt:variant>
        <vt:lpwstr>http://www.nevo.co.il/law/70301</vt:lpwstr>
      </vt:variant>
      <vt:variant>
        <vt:lpwstr/>
      </vt:variant>
      <vt:variant>
        <vt:i4>3211376</vt:i4>
      </vt:variant>
      <vt:variant>
        <vt:i4>75</vt:i4>
      </vt:variant>
      <vt:variant>
        <vt:i4>0</vt:i4>
      </vt:variant>
      <vt:variant>
        <vt:i4>5</vt:i4>
      </vt:variant>
      <vt:variant>
        <vt:lpwstr>http://www.nevo.co.il/case/20412551</vt:lpwstr>
      </vt:variant>
      <vt:variant>
        <vt:lpwstr/>
      </vt:variant>
      <vt:variant>
        <vt:i4>4128882</vt:i4>
      </vt:variant>
      <vt:variant>
        <vt:i4>72</vt:i4>
      </vt:variant>
      <vt:variant>
        <vt:i4>0</vt:i4>
      </vt:variant>
      <vt:variant>
        <vt:i4>5</vt:i4>
      </vt:variant>
      <vt:variant>
        <vt:lpwstr>http://www.nevo.co.il/case/20420496</vt:lpwstr>
      </vt:variant>
      <vt:variant>
        <vt:lpwstr/>
      </vt:variant>
      <vt:variant>
        <vt:i4>3145849</vt:i4>
      </vt:variant>
      <vt:variant>
        <vt:i4>69</vt:i4>
      </vt:variant>
      <vt:variant>
        <vt:i4>0</vt:i4>
      </vt:variant>
      <vt:variant>
        <vt:i4>5</vt:i4>
      </vt:variant>
      <vt:variant>
        <vt:lpwstr>http://www.nevo.co.il/case/13093721</vt:lpwstr>
      </vt:variant>
      <vt:variant>
        <vt:lpwstr/>
      </vt:variant>
      <vt:variant>
        <vt:i4>7995492</vt:i4>
      </vt:variant>
      <vt:variant>
        <vt:i4>66</vt:i4>
      </vt:variant>
      <vt:variant>
        <vt:i4>0</vt:i4>
      </vt:variant>
      <vt:variant>
        <vt:i4>5</vt:i4>
      </vt:variant>
      <vt:variant>
        <vt:lpwstr>http://www.nevo.co.il/law/70301</vt:lpwstr>
      </vt:variant>
      <vt:variant>
        <vt:lpwstr/>
      </vt:variant>
      <vt:variant>
        <vt:i4>7995492</vt:i4>
      </vt:variant>
      <vt:variant>
        <vt:i4>63</vt:i4>
      </vt:variant>
      <vt:variant>
        <vt:i4>0</vt:i4>
      </vt:variant>
      <vt:variant>
        <vt:i4>5</vt:i4>
      </vt:variant>
      <vt:variant>
        <vt:lpwstr>http://www.nevo.co.il/law/70301</vt:lpwstr>
      </vt:variant>
      <vt:variant>
        <vt:lpwstr/>
      </vt:variant>
      <vt:variant>
        <vt:i4>6553702</vt:i4>
      </vt:variant>
      <vt:variant>
        <vt:i4>60</vt:i4>
      </vt:variant>
      <vt:variant>
        <vt:i4>0</vt:i4>
      </vt:variant>
      <vt:variant>
        <vt:i4>5</vt:i4>
      </vt:variant>
      <vt:variant>
        <vt:lpwstr>http://www.nevo.co.il/law/70301/31</vt:lpwstr>
      </vt:variant>
      <vt:variant>
        <vt:lpwstr/>
      </vt:variant>
      <vt:variant>
        <vt:i4>5046344</vt:i4>
      </vt:variant>
      <vt:variant>
        <vt:i4>57</vt:i4>
      </vt:variant>
      <vt:variant>
        <vt:i4>0</vt:i4>
      </vt:variant>
      <vt:variant>
        <vt:i4>5</vt:i4>
      </vt:variant>
      <vt:variant>
        <vt:lpwstr>http://www.nevo.co.il/law/4216/13;19a</vt:lpwstr>
      </vt:variant>
      <vt:variant>
        <vt:lpwstr/>
      </vt:variant>
      <vt:variant>
        <vt:i4>8257637</vt:i4>
      </vt:variant>
      <vt:variant>
        <vt:i4>54</vt:i4>
      </vt:variant>
      <vt:variant>
        <vt:i4>0</vt:i4>
      </vt:variant>
      <vt:variant>
        <vt:i4>5</vt:i4>
      </vt:variant>
      <vt:variant>
        <vt:lpwstr>http://www.nevo.co.il/law/4216</vt:lpwstr>
      </vt:variant>
      <vt:variant>
        <vt:lpwstr/>
      </vt:variant>
      <vt:variant>
        <vt:i4>3014771</vt:i4>
      </vt:variant>
      <vt:variant>
        <vt:i4>51</vt:i4>
      </vt:variant>
      <vt:variant>
        <vt:i4>0</vt:i4>
      </vt:variant>
      <vt:variant>
        <vt:i4>5</vt:i4>
      </vt:variant>
      <vt:variant>
        <vt:lpwstr>http://www.nevo.co.il/law/4216/19a</vt:lpwstr>
      </vt:variant>
      <vt:variant>
        <vt:lpwstr/>
      </vt:variant>
      <vt:variant>
        <vt:i4>5177418</vt:i4>
      </vt:variant>
      <vt:variant>
        <vt:i4>48</vt:i4>
      </vt:variant>
      <vt:variant>
        <vt:i4>0</vt:i4>
      </vt:variant>
      <vt:variant>
        <vt:i4>5</vt:i4>
      </vt:variant>
      <vt:variant>
        <vt:lpwstr>http://www.nevo.co.il/law/4216/13</vt:lpwstr>
      </vt:variant>
      <vt:variant>
        <vt:lpwstr/>
      </vt:variant>
      <vt:variant>
        <vt:i4>786443</vt:i4>
      </vt:variant>
      <vt:variant>
        <vt:i4>45</vt:i4>
      </vt:variant>
      <vt:variant>
        <vt:i4>0</vt:i4>
      </vt:variant>
      <vt:variant>
        <vt:i4>5</vt:i4>
      </vt:variant>
      <vt:variant>
        <vt:lpwstr>http://www.nevo.co.il/law/70301/40ji</vt:lpwstr>
      </vt:variant>
      <vt:variant>
        <vt:lpwstr/>
      </vt:variant>
      <vt:variant>
        <vt:i4>262155</vt:i4>
      </vt:variant>
      <vt:variant>
        <vt:i4>42</vt:i4>
      </vt:variant>
      <vt:variant>
        <vt:i4>0</vt:i4>
      </vt:variant>
      <vt:variant>
        <vt:i4>5</vt:i4>
      </vt:variant>
      <vt:variant>
        <vt:lpwstr>http://www.nevo.co.il/law/70301/40ja</vt:lpwstr>
      </vt:variant>
      <vt:variant>
        <vt:lpwstr/>
      </vt:variant>
      <vt:variant>
        <vt:i4>131150</vt:i4>
      </vt:variant>
      <vt:variant>
        <vt:i4>39</vt:i4>
      </vt:variant>
      <vt:variant>
        <vt:i4>0</vt:i4>
      </vt:variant>
      <vt:variant>
        <vt:i4>5</vt:i4>
      </vt:variant>
      <vt:variant>
        <vt:lpwstr>http://www.nevo.co.il/law/70301/56.a</vt:lpwstr>
      </vt:variant>
      <vt:variant>
        <vt:lpwstr/>
      </vt:variant>
      <vt:variant>
        <vt:i4>6619233</vt:i4>
      </vt:variant>
      <vt:variant>
        <vt:i4>36</vt:i4>
      </vt:variant>
      <vt:variant>
        <vt:i4>0</vt:i4>
      </vt:variant>
      <vt:variant>
        <vt:i4>5</vt:i4>
      </vt:variant>
      <vt:variant>
        <vt:lpwstr>http://www.nevo.co.il/law/70301/40h</vt:lpwstr>
      </vt:variant>
      <vt:variant>
        <vt:lpwstr/>
      </vt:variant>
      <vt:variant>
        <vt:i4>6619233</vt:i4>
      </vt:variant>
      <vt:variant>
        <vt:i4>33</vt:i4>
      </vt:variant>
      <vt:variant>
        <vt:i4>0</vt:i4>
      </vt:variant>
      <vt:variant>
        <vt:i4>5</vt:i4>
      </vt:variant>
      <vt:variant>
        <vt:lpwstr>http://www.nevo.co.il/law/70301/40g</vt:lpwstr>
      </vt:variant>
      <vt:variant>
        <vt:lpwstr/>
      </vt:variant>
      <vt:variant>
        <vt:i4>6619233</vt:i4>
      </vt:variant>
      <vt:variant>
        <vt:i4>30</vt:i4>
      </vt:variant>
      <vt:variant>
        <vt:i4>0</vt:i4>
      </vt:variant>
      <vt:variant>
        <vt:i4>5</vt:i4>
      </vt:variant>
      <vt:variant>
        <vt:lpwstr>http://www.nevo.co.il/law/70301/40f</vt:lpwstr>
      </vt:variant>
      <vt:variant>
        <vt:lpwstr/>
      </vt:variant>
      <vt:variant>
        <vt:i4>6619233</vt:i4>
      </vt:variant>
      <vt:variant>
        <vt:i4>27</vt:i4>
      </vt:variant>
      <vt:variant>
        <vt:i4>0</vt:i4>
      </vt:variant>
      <vt:variant>
        <vt:i4>5</vt:i4>
      </vt:variant>
      <vt:variant>
        <vt:lpwstr>http://www.nevo.co.il/law/70301/40d</vt:lpwstr>
      </vt:variant>
      <vt:variant>
        <vt:lpwstr/>
      </vt:variant>
      <vt:variant>
        <vt:i4>4915202</vt:i4>
      </vt:variant>
      <vt:variant>
        <vt:i4>24</vt:i4>
      </vt:variant>
      <vt:variant>
        <vt:i4>0</vt:i4>
      </vt:variant>
      <vt:variant>
        <vt:i4>5</vt:i4>
      </vt:variant>
      <vt:variant>
        <vt:lpwstr>http://www.nevo.co.il/law/70301/40c.a</vt:lpwstr>
      </vt:variant>
      <vt:variant>
        <vt:lpwstr/>
      </vt:variant>
      <vt:variant>
        <vt:i4>6750310</vt:i4>
      </vt:variant>
      <vt:variant>
        <vt:i4>21</vt:i4>
      </vt:variant>
      <vt:variant>
        <vt:i4>0</vt:i4>
      </vt:variant>
      <vt:variant>
        <vt:i4>5</vt:i4>
      </vt:variant>
      <vt:variant>
        <vt:lpwstr>http://www.nevo.co.il/law/70301/32</vt:lpwstr>
      </vt:variant>
      <vt:variant>
        <vt:lpwstr/>
      </vt:variant>
      <vt:variant>
        <vt:i4>6553702</vt:i4>
      </vt:variant>
      <vt:variant>
        <vt:i4>18</vt:i4>
      </vt:variant>
      <vt:variant>
        <vt:i4>0</vt:i4>
      </vt:variant>
      <vt:variant>
        <vt:i4>5</vt:i4>
      </vt:variant>
      <vt:variant>
        <vt:lpwstr>http://www.nevo.co.il/law/70301/31</vt:lpwstr>
      </vt:variant>
      <vt:variant>
        <vt:lpwstr/>
      </vt:variant>
      <vt:variant>
        <vt:i4>7995492</vt:i4>
      </vt:variant>
      <vt:variant>
        <vt:i4>15</vt:i4>
      </vt:variant>
      <vt:variant>
        <vt:i4>0</vt:i4>
      </vt:variant>
      <vt:variant>
        <vt:i4>5</vt:i4>
      </vt:variant>
      <vt:variant>
        <vt:lpwstr>http://www.nevo.co.il/law/70301</vt:lpwstr>
      </vt:variant>
      <vt:variant>
        <vt:lpwstr/>
      </vt:variant>
      <vt:variant>
        <vt:i4>2883709</vt:i4>
      </vt:variant>
      <vt:variant>
        <vt:i4>12</vt:i4>
      </vt:variant>
      <vt:variant>
        <vt:i4>0</vt:i4>
      </vt:variant>
      <vt:variant>
        <vt:i4>5</vt:i4>
      </vt:variant>
      <vt:variant>
        <vt:lpwstr>http://www.nevo.co.il/law/4216/37a</vt:lpwstr>
      </vt:variant>
      <vt:variant>
        <vt:lpwstr/>
      </vt:variant>
      <vt:variant>
        <vt:i4>5046346</vt:i4>
      </vt:variant>
      <vt:variant>
        <vt:i4>9</vt:i4>
      </vt:variant>
      <vt:variant>
        <vt:i4>0</vt:i4>
      </vt:variant>
      <vt:variant>
        <vt:i4>5</vt:i4>
      </vt:variant>
      <vt:variant>
        <vt:lpwstr>http://www.nevo.co.il/law/4216/32</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2025-04-23T01:25:00Z</dcterms:created>
  <dcterms:modified xsi:type="dcterms:W3CDTF">2025-04-23T01:25:00Z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893</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רמי בנאיש</vt:lpwstr>
  </property>
  <property fmtid="{D5CDD505-2E9C-101B-9397-08002B2CF9AE}" pid="10" name="LAWYER">
    <vt:lpwstr>רעות בונה ז'ורנור;שמעון אברג'יל;רועי אטיאס</vt:lpwstr>
  </property>
  <property fmtid="{D5CDD505-2E9C-101B-9397-08002B2CF9AE}" pid="11" name="JUDGE">
    <vt:lpwstr>זהר דולב להמן</vt:lpwstr>
  </property>
  <property fmtid="{D5CDD505-2E9C-101B-9397-08002B2CF9AE}" pid="12" name="CITY">
    <vt:lpwstr>אש'</vt:lpwstr>
  </property>
  <property fmtid="{D5CDD505-2E9C-101B-9397-08002B2CF9AE}" pid="13" name="DATE">
    <vt:lpwstr>20250220</vt:lpwstr>
  </property>
  <property fmtid="{D5CDD505-2E9C-101B-9397-08002B2CF9AE}" pid="14" name="TYPE_N_DATE">
    <vt:lpwstr>38020250220</vt:lpwstr>
  </property>
  <property fmtid="{D5CDD505-2E9C-101B-9397-08002B2CF9AE}" pid="15" name="CASESLISTTMP1">
    <vt:lpwstr>13093721;20420496;20412551;26797877;5726579;18793360;11279208;26728483;22140787;10520037;28363443;16907310;24287803;20683594;26270118:2;17942576;25067043;6120591</vt:lpwstr>
  </property>
  <property fmtid="{D5CDD505-2E9C-101B-9397-08002B2CF9AE}" pid="16" name="WORDNUMPAGES">
    <vt:lpwstr>14</vt:lpwstr>
  </property>
  <property fmtid="{D5CDD505-2E9C-101B-9397-08002B2CF9AE}" pid="17" name="TYPE_ABS_DATE">
    <vt:lpwstr>380020250220</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4216/013:2;019a:2;032;037a</vt:lpwstr>
  </property>
  <property fmtid="{D5CDD505-2E9C-101B-9397-08002B2CF9AE}" pid="36" name="LAWLISTTMP2">
    <vt:lpwstr>70301/031;032;040c.a;40ji;040h;040d;056.a;40ja;040f:2;040g:2</vt:lpwstr>
  </property>
  <property fmtid="{D5CDD505-2E9C-101B-9397-08002B2CF9AE}" pid="37" name="ISABSTRACT">
    <vt:lpwstr>Y</vt:lpwstr>
  </property>
</Properties>
</file>