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51F53" w:rsidRPr="004A6439" w14:paraId="40D87CC5" w14:textId="77777777" w:rsidTr="007B34B6">
        <w:trPr>
          <w:trHeight w:hRule="exact" w:val="418"/>
          <w:jc w:val="center"/>
        </w:trPr>
        <w:tc>
          <w:tcPr>
            <w:tcW w:w="8721" w:type="dxa"/>
            <w:gridSpan w:val="2"/>
          </w:tcPr>
          <w:p w14:paraId="3B518141" w14:textId="77777777" w:rsidR="00F51F53" w:rsidRPr="004A6439" w:rsidRDefault="00F51F53" w:rsidP="006D4883">
            <w:pPr>
              <w:pStyle w:val="a3"/>
              <w:jc w:val="center"/>
              <w:rPr>
                <w:rFonts w:ascii="Tahoma" w:hAnsi="Tahoma" w:cs="Tahoma"/>
                <w:color w:val="000080"/>
                <w:rtl/>
              </w:rPr>
            </w:pPr>
            <w:r w:rsidRPr="004A6439">
              <w:rPr>
                <w:rFonts w:ascii="Tahoma" w:hAnsi="Tahoma" w:cs="Tahoma"/>
                <w:b/>
                <w:bCs/>
                <w:color w:val="000080"/>
                <w:rtl/>
              </w:rPr>
              <w:t>בית משפט השלום בקריות</w:t>
            </w:r>
          </w:p>
        </w:tc>
      </w:tr>
      <w:tr w:rsidR="00F51F53" w:rsidRPr="004A6439" w14:paraId="30236F5C" w14:textId="77777777" w:rsidTr="007B34B6">
        <w:trPr>
          <w:trHeight w:val="337"/>
          <w:jc w:val="center"/>
        </w:trPr>
        <w:tc>
          <w:tcPr>
            <w:tcW w:w="5054" w:type="dxa"/>
          </w:tcPr>
          <w:p w14:paraId="4C376975" w14:textId="77777777" w:rsidR="00F51F53" w:rsidRPr="004A6439" w:rsidRDefault="00F51F53" w:rsidP="006D4883">
            <w:pPr>
              <w:rPr>
                <w:rFonts w:cs="FrankRuehl"/>
                <w:sz w:val="28"/>
                <w:szCs w:val="28"/>
                <w:rtl/>
              </w:rPr>
            </w:pPr>
            <w:r w:rsidRPr="004A6439">
              <w:rPr>
                <w:rFonts w:cs="FrankRuehl"/>
                <w:sz w:val="28"/>
                <w:szCs w:val="28"/>
                <w:rtl/>
              </w:rPr>
              <w:t>ת"פ</w:t>
            </w:r>
            <w:r w:rsidRPr="004A6439">
              <w:rPr>
                <w:rFonts w:cs="FrankRuehl" w:hint="cs"/>
                <w:sz w:val="28"/>
                <w:szCs w:val="28"/>
                <w:rtl/>
              </w:rPr>
              <w:t xml:space="preserve"> </w:t>
            </w:r>
            <w:r w:rsidRPr="004A6439">
              <w:rPr>
                <w:rFonts w:cs="FrankRuehl"/>
                <w:sz w:val="28"/>
                <w:szCs w:val="28"/>
                <w:rtl/>
              </w:rPr>
              <w:t>23498-04-22</w:t>
            </w:r>
            <w:r w:rsidRPr="004A6439">
              <w:rPr>
                <w:rFonts w:cs="FrankRuehl" w:hint="cs"/>
                <w:sz w:val="28"/>
                <w:szCs w:val="28"/>
                <w:rtl/>
              </w:rPr>
              <w:t xml:space="preserve"> </w:t>
            </w:r>
            <w:r w:rsidRPr="004A6439">
              <w:rPr>
                <w:rFonts w:cs="FrankRuehl"/>
                <w:sz w:val="28"/>
                <w:szCs w:val="28"/>
                <w:rtl/>
              </w:rPr>
              <w:t>מדינת ישראל נ' סעד</w:t>
            </w:r>
          </w:p>
          <w:p w14:paraId="04D589D2" w14:textId="77777777" w:rsidR="00F51F53" w:rsidRPr="004A6439" w:rsidRDefault="00F51F53" w:rsidP="006D4883">
            <w:pPr>
              <w:pStyle w:val="a3"/>
              <w:rPr>
                <w:rFonts w:cs="FrankRuehl"/>
                <w:sz w:val="28"/>
                <w:szCs w:val="28"/>
                <w:rtl/>
              </w:rPr>
            </w:pPr>
          </w:p>
        </w:tc>
        <w:tc>
          <w:tcPr>
            <w:tcW w:w="3667" w:type="dxa"/>
          </w:tcPr>
          <w:p w14:paraId="0F14E860" w14:textId="77777777" w:rsidR="00F51F53" w:rsidRPr="004A6439" w:rsidRDefault="00F51F53" w:rsidP="006D4883">
            <w:pPr>
              <w:pStyle w:val="a3"/>
              <w:jc w:val="right"/>
              <w:rPr>
                <w:rFonts w:cs="FrankRuehl"/>
                <w:sz w:val="28"/>
                <w:szCs w:val="28"/>
                <w:rtl/>
              </w:rPr>
            </w:pPr>
          </w:p>
        </w:tc>
      </w:tr>
    </w:tbl>
    <w:p w14:paraId="5A73F702" w14:textId="77777777" w:rsidR="00F51F53" w:rsidRPr="004A6439" w:rsidRDefault="00F51F53" w:rsidP="00F51F53">
      <w:pPr>
        <w:pStyle w:val="a3"/>
        <w:rPr>
          <w:rtl/>
        </w:rPr>
      </w:pPr>
      <w:r w:rsidRPr="004A6439">
        <w:rPr>
          <w:rFonts w:hint="cs"/>
          <w:rtl/>
        </w:rPr>
        <w:t xml:space="preserve"> </w:t>
      </w:r>
    </w:p>
    <w:p w14:paraId="2DD7F8B8" w14:textId="77777777" w:rsidR="00F51F53" w:rsidRPr="004A6439" w:rsidRDefault="00F51F53" w:rsidP="00F51F53">
      <w:pPr>
        <w:rPr>
          <w:sz w:val="26"/>
          <w:szCs w:val="26"/>
          <w:rtl/>
        </w:rPr>
      </w:pPr>
    </w:p>
    <w:p w14:paraId="516D8163" w14:textId="77777777" w:rsidR="00F51F53" w:rsidRPr="004A6439" w:rsidRDefault="00F51F53" w:rsidP="00F51F53">
      <w:pPr>
        <w:rPr>
          <w:sz w:val="26"/>
          <w:szCs w:val="26"/>
          <w:rtl/>
        </w:rPr>
      </w:pP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F51F53" w:rsidRPr="004A6439" w14:paraId="7C18C22B" w14:textId="77777777" w:rsidTr="00F51F53">
        <w:trPr>
          <w:trHeight w:val="345"/>
          <w:jc w:val="center"/>
        </w:trPr>
        <w:tc>
          <w:tcPr>
            <w:tcW w:w="957" w:type="dxa"/>
            <w:tcBorders>
              <w:top w:val="nil"/>
              <w:left w:val="nil"/>
              <w:bottom w:val="nil"/>
              <w:right w:val="nil"/>
            </w:tcBorders>
            <w:shd w:val="clear" w:color="auto" w:fill="auto"/>
          </w:tcPr>
          <w:p w14:paraId="710984EF" w14:textId="77777777" w:rsidR="00F51F53" w:rsidRPr="004A6439" w:rsidRDefault="00F51F53" w:rsidP="00F51F53">
            <w:pPr>
              <w:jc w:val="both"/>
              <w:rPr>
                <w:rFonts w:ascii="David" w:hAnsi="David"/>
                <w:b/>
                <w:bCs/>
              </w:rPr>
            </w:pPr>
            <w:r w:rsidRPr="004A6439">
              <w:rPr>
                <w:rFonts w:ascii="David" w:hAnsi="David"/>
                <w:b/>
                <w:bCs/>
                <w:rtl/>
              </w:rPr>
              <w:t xml:space="preserve">בפני </w:t>
            </w:r>
          </w:p>
        </w:tc>
        <w:tc>
          <w:tcPr>
            <w:tcW w:w="8358" w:type="dxa"/>
            <w:gridSpan w:val="2"/>
            <w:tcBorders>
              <w:top w:val="nil"/>
              <w:left w:val="nil"/>
              <w:bottom w:val="nil"/>
              <w:right w:val="nil"/>
            </w:tcBorders>
            <w:shd w:val="clear" w:color="auto" w:fill="auto"/>
          </w:tcPr>
          <w:p w14:paraId="153DBA17" w14:textId="77777777" w:rsidR="00F51F53" w:rsidRPr="004A6439" w:rsidRDefault="00F51F53" w:rsidP="006D4883">
            <w:pPr>
              <w:rPr>
                <w:rFonts w:ascii="David" w:hAnsi="David"/>
                <w:b/>
                <w:bCs/>
              </w:rPr>
            </w:pPr>
            <w:r w:rsidRPr="004A6439">
              <w:rPr>
                <w:rFonts w:ascii="Arial" w:hAnsi="Arial"/>
                <w:b/>
                <w:bCs/>
                <w:rtl/>
              </w:rPr>
              <w:t>כב' השופט יוסי טורס , סגן הנשיאה</w:t>
            </w:r>
          </w:p>
        </w:tc>
      </w:tr>
      <w:tr w:rsidR="00F51F53" w:rsidRPr="004A6439" w14:paraId="59F976BE" w14:textId="77777777" w:rsidTr="00F51F53">
        <w:trPr>
          <w:trHeight w:val="345"/>
          <w:jc w:val="center"/>
        </w:trPr>
        <w:tc>
          <w:tcPr>
            <w:tcW w:w="957" w:type="dxa"/>
            <w:tcBorders>
              <w:top w:val="nil"/>
              <w:left w:val="nil"/>
              <w:bottom w:val="nil"/>
              <w:right w:val="nil"/>
            </w:tcBorders>
            <w:shd w:val="clear" w:color="auto" w:fill="auto"/>
          </w:tcPr>
          <w:p w14:paraId="5CDDE634" w14:textId="77777777" w:rsidR="00F51F53" w:rsidRPr="004A6439" w:rsidRDefault="00F51F53" w:rsidP="00F51F53">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47D53906" w14:textId="77777777" w:rsidR="00F51F53" w:rsidRPr="004A6439" w:rsidRDefault="00F51F53" w:rsidP="006D4883">
            <w:pPr>
              <w:rPr>
                <w:rFonts w:ascii="Arial" w:hAnsi="Arial"/>
                <w:b/>
                <w:bCs/>
                <w:rtl/>
              </w:rPr>
            </w:pPr>
          </w:p>
        </w:tc>
      </w:tr>
      <w:tr w:rsidR="00F51F53" w:rsidRPr="004A6439" w14:paraId="6903130C" w14:textId="77777777" w:rsidTr="00F51F53">
        <w:trPr>
          <w:trHeight w:val="415"/>
          <w:jc w:val="center"/>
        </w:trPr>
        <w:tc>
          <w:tcPr>
            <w:tcW w:w="957" w:type="dxa"/>
            <w:tcBorders>
              <w:top w:val="nil"/>
              <w:left w:val="nil"/>
              <w:bottom w:val="nil"/>
              <w:right w:val="nil"/>
            </w:tcBorders>
            <w:shd w:val="clear" w:color="auto" w:fill="auto"/>
          </w:tcPr>
          <w:p w14:paraId="524D2F83" w14:textId="77777777" w:rsidR="00F51F53" w:rsidRPr="004A6439" w:rsidRDefault="00F51F53" w:rsidP="00F51F53">
            <w:pPr>
              <w:jc w:val="both"/>
              <w:rPr>
                <w:rFonts w:ascii="David" w:hAnsi="David"/>
                <w:b/>
                <w:bCs/>
                <w:rtl/>
              </w:rPr>
            </w:pPr>
            <w:bookmarkStart w:id="1" w:name="FirstAppellant"/>
          </w:p>
          <w:p w14:paraId="7624A248" w14:textId="77777777" w:rsidR="00F51F53" w:rsidRPr="004A6439" w:rsidRDefault="00F51F53" w:rsidP="00F51F53">
            <w:pPr>
              <w:jc w:val="both"/>
              <w:rPr>
                <w:rFonts w:ascii="David" w:hAnsi="David"/>
                <w:b/>
                <w:bCs/>
              </w:rPr>
            </w:pPr>
            <w:r w:rsidRPr="004A6439">
              <w:rPr>
                <w:rFonts w:ascii="David" w:hAnsi="David"/>
                <w:b/>
                <w:bCs/>
                <w:rtl/>
              </w:rPr>
              <w:t>בעניין:</w:t>
            </w:r>
          </w:p>
        </w:tc>
        <w:tc>
          <w:tcPr>
            <w:tcW w:w="5095" w:type="dxa"/>
            <w:tcBorders>
              <w:top w:val="nil"/>
              <w:left w:val="nil"/>
              <w:bottom w:val="nil"/>
              <w:right w:val="nil"/>
            </w:tcBorders>
            <w:shd w:val="clear" w:color="auto" w:fill="auto"/>
          </w:tcPr>
          <w:p w14:paraId="7672A15C" w14:textId="77777777" w:rsidR="00F51F53" w:rsidRPr="004A6439" w:rsidRDefault="00F51F53" w:rsidP="006D4883">
            <w:pPr>
              <w:rPr>
                <w:rFonts w:ascii="David" w:hAnsi="David"/>
                <w:b/>
                <w:bCs/>
              </w:rPr>
            </w:pPr>
            <w:r w:rsidRPr="004A6439">
              <w:rPr>
                <w:rFonts w:ascii="David" w:hAnsi="David"/>
                <w:b/>
                <w:bCs/>
                <w:rtl/>
              </w:rPr>
              <w:br/>
              <w:t>מדינת ישראל</w:t>
            </w:r>
          </w:p>
        </w:tc>
        <w:tc>
          <w:tcPr>
            <w:tcW w:w="3263" w:type="dxa"/>
            <w:tcBorders>
              <w:top w:val="nil"/>
              <w:left w:val="nil"/>
              <w:bottom w:val="nil"/>
              <w:right w:val="nil"/>
            </w:tcBorders>
            <w:shd w:val="clear" w:color="auto" w:fill="auto"/>
          </w:tcPr>
          <w:p w14:paraId="26A53458" w14:textId="77777777" w:rsidR="00F51F53" w:rsidRPr="004A6439" w:rsidRDefault="00F51F53" w:rsidP="00F51F53">
            <w:pPr>
              <w:jc w:val="both"/>
              <w:rPr>
                <w:rFonts w:ascii="David" w:hAnsi="David"/>
                <w:b/>
                <w:bCs/>
                <w:rtl/>
              </w:rPr>
            </w:pPr>
          </w:p>
          <w:p w14:paraId="2AD5D96E" w14:textId="77777777" w:rsidR="00F51F53" w:rsidRPr="004A6439" w:rsidRDefault="00F51F53" w:rsidP="00F51F53">
            <w:pPr>
              <w:jc w:val="both"/>
              <w:rPr>
                <w:rFonts w:ascii="David" w:hAnsi="David"/>
                <w:b/>
                <w:bCs/>
              </w:rPr>
            </w:pPr>
            <w:r w:rsidRPr="004A6439">
              <w:rPr>
                <w:rFonts w:ascii="David" w:hAnsi="David"/>
                <w:b/>
                <w:bCs/>
                <w:rtl/>
              </w:rPr>
              <w:t>המאשימה</w:t>
            </w:r>
          </w:p>
        </w:tc>
      </w:tr>
      <w:bookmarkEnd w:id="1"/>
      <w:tr w:rsidR="00F51F53" w:rsidRPr="004A6439" w14:paraId="2A24E954" w14:textId="77777777" w:rsidTr="00F51F53">
        <w:trPr>
          <w:trHeight w:val="415"/>
          <w:jc w:val="center"/>
        </w:trPr>
        <w:tc>
          <w:tcPr>
            <w:tcW w:w="957" w:type="dxa"/>
            <w:tcBorders>
              <w:top w:val="nil"/>
              <w:left w:val="nil"/>
              <w:bottom w:val="nil"/>
              <w:right w:val="nil"/>
            </w:tcBorders>
            <w:shd w:val="clear" w:color="auto" w:fill="auto"/>
          </w:tcPr>
          <w:p w14:paraId="35FE9524" w14:textId="77777777" w:rsidR="00F51F53" w:rsidRPr="004A6439" w:rsidRDefault="00F51F53" w:rsidP="00F51F53">
            <w:pPr>
              <w:jc w:val="both"/>
              <w:rPr>
                <w:rFonts w:ascii="David" w:hAnsi="David"/>
                <w:b/>
                <w:bCs/>
                <w:rtl/>
              </w:rPr>
            </w:pPr>
          </w:p>
        </w:tc>
        <w:tc>
          <w:tcPr>
            <w:tcW w:w="8358" w:type="dxa"/>
            <w:gridSpan w:val="2"/>
            <w:tcBorders>
              <w:top w:val="nil"/>
              <w:left w:val="nil"/>
              <w:bottom w:val="nil"/>
              <w:right w:val="nil"/>
            </w:tcBorders>
            <w:shd w:val="clear" w:color="auto" w:fill="auto"/>
          </w:tcPr>
          <w:p w14:paraId="02AC617F" w14:textId="77777777" w:rsidR="00F51F53" w:rsidRPr="004A6439" w:rsidRDefault="00F51F53" w:rsidP="006D4883">
            <w:pPr>
              <w:rPr>
                <w:rFonts w:ascii="David" w:hAnsi="David"/>
                <w:b/>
                <w:bCs/>
              </w:rPr>
            </w:pPr>
            <w:r w:rsidRPr="004A6439">
              <w:rPr>
                <w:rFonts w:ascii="David" w:hAnsi="David" w:hint="cs"/>
                <w:b/>
                <w:bCs/>
                <w:rtl/>
              </w:rPr>
              <w:t xml:space="preserve">                                                   </w:t>
            </w:r>
            <w:r w:rsidRPr="004A6439">
              <w:rPr>
                <w:rFonts w:ascii="David" w:hAnsi="David"/>
                <w:b/>
                <w:bCs/>
                <w:rtl/>
              </w:rPr>
              <w:t>נגד</w:t>
            </w:r>
          </w:p>
        </w:tc>
      </w:tr>
      <w:tr w:rsidR="00F51F53" w:rsidRPr="004A6439" w14:paraId="22E647B1" w14:textId="77777777" w:rsidTr="00F51F53">
        <w:trPr>
          <w:trHeight w:val="415"/>
          <w:jc w:val="center"/>
        </w:trPr>
        <w:tc>
          <w:tcPr>
            <w:tcW w:w="957" w:type="dxa"/>
            <w:tcBorders>
              <w:top w:val="nil"/>
              <w:left w:val="nil"/>
              <w:bottom w:val="nil"/>
              <w:right w:val="nil"/>
            </w:tcBorders>
            <w:shd w:val="clear" w:color="auto" w:fill="auto"/>
          </w:tcPr>
          <w:p w14:paraId="65180B17" w14:textId="77777777" w:rsidR="00F51F53" w:rsidRPr="004A6439" w:rsidRDefault="00F51F53" w:rsidP="006D4883">
            <w:pPr>
              <w:rPr>
                <w:rFonts w:ascii="David" w:hAnsi="David"/>
                <w:b/>
                <w:bCs/>
                <w:rtl/>
              </w:rPr>
            </w:pPr>
          </w:p>
        </w:tc>
        <w:tc>
          <w:tcPr>
            <w:tcW w:w="5095" w:type="dxa"/>
            <w:tcBorders>
              <w:top w:val="nil"/>
              <w:left w:val="nil"/>
              <w:bottom w:val="nil"/>
              <w:right w:val="nil"/>
            </w:tcBorders>
            <w:shd w:val="clear" w:color="auto" w:fill="auto"/>
          </w:tcPr>
          <w:p w14:paraId="666E5E73" w14:textId="77777777" w:rsidR="00F51F53" w:rsidRPr="004A6439" w:rsidRDefault="00F51F53" w:rsidP="006D4883">
            <w:pPr>
              <w:rPr>
                <w:rFonts w:ascii="David" w:hAnsi="David"/>
                <w:b/>
                <w:bCs/>
                <w:rtl/>
              </w:rPr>
            </w:pPr>
            <w:r w:rsidRPr="004A6439">
              <w:rPr>
                <w:rFonts w:ascii="David" w:hAnsi="David"/>
                <w:b/>
                <w:bCs/>
                <w:rtl/>
              </w:rPr>
              <w:br/>
              <w:t>ערן סעד</w:t>
            </w:r>
          </w:p>
        </w:tc>
        <w:tc>
          <w:tcPr>
            <w:tcW w:w="3263" w:type="dxa"/>
            <w:tcBorders>
              <w:top w:val="nil"/>
              <w:left w:val="nil"/>
              <w:bottom w:val="nil"/>
              <w:right w:val="nil"/>
            </w:tcBorders>
            <w:shd w:val="clear" w:color="auto" w:fill="auto"/>
          </w:tcPr>
          <w:p w14:paraId="332A4D9A" w14:textId="77777777" w:rsidR="00F51F53" w:rsidRPr="004A6439" w:rsidRDefault="00F51F53" w:rsidP="006D4883">
            <w:pPr>
              <w:rPr>
                <w:rFonts w:ascii="David" w:hAnsi="David"/>
                <w:b/>
                <w:bCs/>
                <w:rtl/>
              </w:rPr>
            </w:pPr>
          </w:p>
          <w:p w14:paraId="78EFCF07" w14:textId="77777777" w:rsidR="00F51F53" w:rsidRPr="004A6439" w:rsidRDefault="00F51F53" w:rsidP="006D4883">
            <w:pPr>
              <w:rPr>
                <w:rFonts w:ascii="David" w:hAnsi="David"/>
                <w:b/>
                <w:bCs/>
              </w:rPr>
            </w:pPr>
            <w:r w:rsidRPr="004A6439">
              <w:rPr>
                <w:rFonts w:ascii="David" w:hAnsi="David"/>
                <w:b/>
                <w:bCs/>
                <w:rtl/>
              </w:rPr>
              <w:t>הנאשם</w:t>
            </w:r>
          </w:p>
        </w:tc>
      </w:tr>
      <w:tr w:rsidR="00F51F53" w:rsidRPr="004A6439" w14:paraId="4339AFF3" w14:textId="77777777" w:rsidTr="00F51F53">
        <w:trPr>
          <w:trHeight w:val="415"/>
          <w:jc w:val="center"/>
        </w:trPr>
        <w:tc>
          <w:tcPr>
            <w:tcW w:w="957" w:type="dxa"/>
            <w:tcBorders>
              <w:top w:val="nil"/>
              <w:left w:val="nil"/>
              <w:bottom w:val="nil"/>
              <w:right w:val="nil"/>
            </w:tcBorders>
            <w:shd w:val="clear" w:color="auto" w:fill="auto"/>
          </w:tcPr>
          <w:p w14:paraId="7759066C" w14:textId="77777777" w:rsidR="00F51F53" w:rsidRPr="004A6439" w:rsidRDefault="00F51F53" w:rsidP="00F51F53">
            <w:pPr>
              <w:jc w:val="both"/>
              <w:rPr>
                <w:rFonts w:ascii="David" w:hAnsi="David"/>
                <w:rtl/>
              </w:rPr>
            </w:pPr>
          </w:p>
        </w:tc>
        <w:tc>
          <w:tcPr>
            <w:tcW w:w="5095" w:type="dxa"/>
            <w:tcBorders>
              <w:top w:val="nil"/>
              <w:left w:val="nil"/>
              <w:bottom w:val="nil"/>
              <w:right w:val="nil"/>
            </w:tcBorders>
            <w:shd w:val="clear" w:color="auto" w:fill="auto"/>
          </w:tcPr>
          <w:p w14:paraId="2D58551F" w14:textId="77777777" w:rsidR="00F51F53" w:rsidRPr="004A6439" w:rsidRDefault="00F51F53" w:rsidP="00F51F53">
            <w:pPr>
              <w:jc w:val="both"/>
              <w:rPr>
                <w:rFonts w:ascii="David" w:hAnsi="David"/>
                <w:rtl/>
              </w:rPr>
            </w:pPr>
          </w:p>
        </w:tc>
        <w:tc>
          <w:tcPr>
            <w:tcW w:w="3263" w:type="dxa"/>
            <w:tcBorders>
              <w:top w:val="nil"/>
              <w:left w:val="nil"/>
              <w:bottom w:val="nil"/>
              <w:right w:val="nil"/>
            </w:tcBorders>
            <w:shd w:val="clear" w:color="auto" w:fill="auto"/>
          </w:tcPr>
          <w:p w14:paraId="30C651B7" w14:textId="77777777" w:rsidR="00F51F53" w:rsidRPr="004A6439" w:rsidRDefault="00F51F53" w:rsidP="00F51F53">
            <w:pPr>
              <w:jc w:val="right"/>
              <w:rPr>
                <w:rFonts w:ascii="David" w:hAnsi="David"/>
              </w:rPr>
            </w:pPr>
          </w:p>
        </w:tc>
      </w:tr>
    </w:tbl>
    <w:p w14:paraId="171FC849" w14:textId="77777777" w:rsidR="00F51F53" w:rsidRPr="004A6439" w:rsidRDefault="00F51F53" w:rsidP="00F51F53">
      <w:pPr>
        <w:rPr>
          <w:sz w:val="26"/>
          <w:szCs w:val="26"/>
        </w:rPr>
      </w:pPr>
    </w:p>
    <w:p w14:paraId="3953452D" w14:textId="77777777" w:rsidR="0082283E" w:rsidRPr="0082283E" w:rsidRDefault="0082283E" w:rsidP="0082283E">
      <w:pPr>
        <w:spacing w:before="120" w:after="120" w:line="240" w:lineRule="exact"/>
        <w:ind w:left="283" w:hanging="283"/>
        <w:jc w:val="both"/>
        <w:rPr>
          <w:rFonts w:ascii="FrankRuehl" w:hAnsi="FrankRuehl" w:cs="FrankRuehl"/>
          <w:rtl/>
        </w:rPr>
      </w:pPr>
    </w:p>
    <w:p w14:paraId="4A91B314" w14:textId="77777777" w:rsidR="00F020AA" w:rsidRDefault="00F020AA" w:rsidP="00F020AA">
      <w:pPr>
        <w:rPr>
          <w:rFonts w:ascii="David" w:hAnsi="David"/>
          <w:sz w:val="26"/>
          <w:szCs w:val="26"/>
          <w:rtl/>
        </w:rPr>
      </w:pPr>
      <w:bookmarkStart w:id="2" w:name="LawTable"/>
      <w:bookmarkEnd w:id="2"/>
    </w:p>
    <w:p w14:paraId="528FD70A" w14:textId="77777777" w:rsidR="00F020AA" w:rsidRPr="00F020AA" w:rsidRDefault="00F020AA" w:rsidP="00F020AA">
      <w:pPr>
        <w:spacing w:before="120" w:after="120" w:line="240" w:lineRule="exact"/>
        <w:ind w:left="283" w:hanging="283"/>
        <w:jc w:val="both"/>
        <w:rPr>
          <w:rFonts w:ascii="FrankRuehl" w:hAnsi="FrankRuehl" w:cs="FrankRuehl"/>
          <w:rtl/>
        </w:rPr>
      </w:pPr>
    </w:p>
    <w:p w14:paraId="73396D20" w14:textId="77777777" w:rsidR="00F020AA" w:rsidRPr="00F020AA" w:rsidRDefault="00F020AA" w:rsidP="00F020AA">
      <w:pPr>
        <w:spacing w:before="120" w:after="120" w:line="240" w:lineRule="exact"/>
        <w:ind w:left="283" w:hanging="283"/>
        <w:jc w:val="both"/>
        <w:rPr>
          <w:rFonts w:ascii="FrankRuehl" w:hAnsi="FrankRuehl" w:cs="FrankRuehl"/>
          <w:rtl/>
        </w:rPr>
      </w:pPr>
    </w:p>
    <w:p w14:paraId="7D1C644D" w14:textId="77777777" w:rsidR="00F020AA" w:rsidRPr="00F020AA" w:rsidRDefault="00F020AA" w:rsidP="00F020AA">
      <w:pPr>
        <w:spacing w:before="120" w:after="120" w:line="240" w:lineRule="exact"/>
        <w:ind w:left="283" w:hanging="283"/>
        <w:jc w:val="both"/>
        <w:rPr>
          <w:rFonts w:ascii="FrankRuehl" w:hAnsi="FrankRuehl" w:cs="FrankRuehl"/>
          <w:rtl/>
        </w:rPr>
      </w:pPr>
      <w:r w:rsidRPr="00F020AA">
        <w:rPr>
          <w:rFonts w:ascii="FrankRuehl" w:hAnsi="FrankRuehl" w:cs="FrankRuehl"/>
          <w:rtl/>
        </w:rPr>
        <w:t xml:space="preserve">חקיקה שאוזכרה: </w:t>
      </w:r>
    </w:p>
    <w:p w14:paraId="4540CB98" w14:textId="77777777" w:rsidR="00F020AA" w:rsidRPr="00F020AA" w:rsidRDefault="00F020AA" w:rsidP="00F020AA">
      <w:pPr>
        <w:spacing w:before="120" w:after="120" w:line="240" w:lineRule="exact"/>
        <w:ind w:left="283" w:hanging="283"/>
        <w:jc w:val="both"/>
        <w:rPr>
          <w:rFonts w:ascii="FrankRuehl" w:hAnsi="FrankRuehl" w:cs="FrankRuehl"/>
          <w:rtl/>
        </w:rPr>
      </w:pPr>
      <w:hyperlink r:id="rId7" w:history="1">
        <w:r w:rsidRPr="00F020AA">
          <w:rPr>
            <w:rFonts w:ascii="FrankRuehl" w:hAnsi="FrankRuehl" w:cs="FrankRuehl"/>
            <w:color w:val="0000FF"/>
            <w:rtl/>
          </w:rPr>
          <w:t>פקודת הסמים המסוכנים [נוסח חדש], תשל"ג-1973</w:t>
        </w:r>
      </w:hyperlink>
      <w:r w:rsidRPr="00F020AA">
        <w:rPr>
          <w:rFonts w:ascii="FrankRuehl" w:hAnsi="FrankRuehl" w:cs="FrankRuehl"/>
          <w:rtl/>
        </w:rPr>
        <w:t xml:space="preserve">: סע'  </w:t>
      </w:r>
      <w:hyperlink r:id="rId8" w:history="1">
        <w:r w:rsidRPr="00F020AA">
          <w:rPr>
            <w:rFonts w:ascii="FrankRuehl" w:hAnsi="FrankRuehl" w:cs="FrankRuehl"/>
            <w:color w:val="0000FF"/>
            <w:rtl/>
          </w:rPr>
          <w:t>בתוספת השנייה</w:t>
        </w:r>
      </w:hyperlink>
      <w:r w:rsidRPr="00F020AA">
        <w:rPr>
          <w:rFonts w:ascii="FrankRuehl" w:hAnsi="FrankRuehl" w:cs="FrankRuehl"/>
          <w:rtl/>
        </w:rPr>
        <w:t xml:space="preserve">, </w:t>
      </w:r>
      <w:hyperlink r:id="rId9" w:history="1">
        <w:r w:rsidRPr="00F020AA">
          <w:rPr>
            <w:rFonts w:ascii="FrankRuehl" w:hAnsi="FrankRuehl" w:cs="FrankRuehl"/>
            <w:color w:val="0000FF"/>
            <w:rtl/>
          </w:rPr>
          <w:t>7.א.</w:t>
        </w:r>
      </w:hyperlink>
      <w:r w:rsidRPr="00F020AA">
        <w:rPr>
          <w:rFonts w:ascii="FrankRuehl" w:hAnsi="FrankRuehl" w:cs="FrankRuehl"/>
          <w:rtl/>
        </w:rPr>
        <w:t xml:space="preserve">, </w:t>
      </w:r>
      <w:hyperlink r:id="rId10" w:history="1">
        <w:r w:rsidRPr="00F020AA">
          <w:rPr>
            <w:rFonts w:ascii="FrankRuehl" w:hAnsi="FrankRuehl" w:cs="FrankRuehl"/>
            <w:color w:val="0000FF"/>
            <w:rtl/>
          </w:rPr>
          <w:t>7.ג</w:t>
        </w:r>
      </w:hyperlink>
    </w:p>
    <w:p w14:paraId="61CF562A" w14:textId="77777777" w:rsidR="00F020AA" w:rsidRPr="00F020AA" w:rsidRDefault="00F020AA" w:rsidP="00F020AA">
      <w:pPr>
        <w:spacing w:before="120" w:after="120" w:line="240" w:lineRule="exact"/>
        <w:ind w:left="283" w:hanging="283"/>
        <w:jc w:val="both"/>
        <w:rPr>
          <w:rFonts w:ascii="FrankRuehl" w:hAnsi="FrankRuehl" w:cs="FrankRuehl"/>
          <w:rtl/>
        </w:rPr>
      </w:pPr>
      <w:hyperlink r:id="rId11" w:history="1">
        <w:r w:rsidRPr="00F020AA">
          <w:rPr>
            <w:rFonts w:ascii="FrankRuehl" w:hAnsi="FrankRuehl" w:cs="FrankRuehl"/>
            <w:color w:val="0000FF"/>
            <w:rtl/>
          </w:rPr>
          <w:t>תקנות העבירות המינהליות (קנס מינהלי – החזקת קנאביס ושימוש בו לצריכה עצמית), תשפ"ב-2022</w:t>
        </w:r>
      </w:hyperlink>
    </w:p>
    <w:p w14:paraId="6A298231" w14:textId="77777777" w:rsidR="00F020AA" w:rsidRPr="00F020AA" w:rsidRDefault="00F020AA" w:rsidP="00F020AA">
      <w:pPr>
        <w:spacing w:before="120" w:after="120" w:line="240" w:lineRule="exact"/>
        <w:ind w:left="283" w:hanging="283"/>
        <w:jc w:val="both"/>
        <w:rPr>
          <w:rFonts w:ascii="FrankRuehl" w:hAnsi="FrankRuehl" w:cs="FrankRuehl"/>
          <w:rtl/>
        </w:rPr>
      </w:pPr>
      <w:hyperlink r:id="rId12" w:history="1">
        <w:r w:rsidRPr="00F020AA">
          <w:rPr>
            <w:rFonts w:ascii="FrankRuehl" w:hAnsi="FrankRuehl" w:cs="FrankRuehl"/>
            <w:color w:val="0000FF"/>
            <w:rtl/>
          </w:rPr>
          <w:t>חוק העבירות המינהליות, תשמ"ו-1985</w:t>
        </w:r>
      </w:hyperlink>
      <w:r w:rsidRPr="00F020AA">
        <w:rPr>
          <w:rFonts w:ascii="FrankRuehl" w:hAnsi="FrankRuehl" w:cs="FrankRuehl"/>
          <w:rtl/>
        </w:rPr>
        <w:t xml:space="preserve">: סע'  </w:t>
      </w:r>
      <w:hyperlink r:id="rId13" w:history="1">
        <w:r w:rsidRPr="00F020AA">
          <w:rPr>
            <w:rFonts w:ascii="FrankRuehl" w:hAnsi="FrankRuehl" w:cs="FrankRuehl"/>
            <w:color w:val="0000FF"/>
            <w:rtl/>
          </w:rPr>
          <w:t>15</w:t>
        </w:r>
      </w:hyperlink>
    </w:p>
    <w:p w14:paraId="55747215" w14:textId="77777777" w:rsidR="00F020AA" w:rsidRPr="00F020AA" w:rsidRDefault="00F020AA" w:rsidP="00F020AA">
      <w:pPr>
        <w:spacing w:before="120" w:after="120" w:line="240" w:lineRule="exact"/>
        <w:ind w:left="283" w:hanging="283"/>
        <w:jc w:val="both"/>
        <w:rPr>
          <w:rFonts w:ascii="FrankRuehl" w:hAnsi="FrankRuehl" w:cs="FrankRuehl"/>
          <w:rtl/>
        </w:rPr>
      </w:pPr>
      <w:hyperlink r:id="rId14" w:history="1">
        <w:r w:rsidRPr="00F020AA">
          <w:rPr>
            <w:rFonts w:ascii="FrankRuehl" w:hAnsi="FrankRuehl" w:cs="FrankRuehl"/>
            <w:color w:val="0000FF"/>
            <w:rtl/>
          </w:rPr>
          <w:t>חוק העונשין, תשל"ז-1977</w:t>
        </w:r>
      </w:hyperlink>
      <w:r w:rsidRPr="00F020AA">
        <w:rPr>
          <w:rFonts w:ascii="FrankRuehl" w:hAnsi="FrankRuehl" w:cs="FrankRuehl"/>
          <w:rtl/>
        </w:rPr>
        <w:t xml:space="preserve">: סע'  </w:t>
      </w:r>
      <w:hyperlink r:id="rId15" w:history="1">
        <w:r w:rsidRPr="00F020AA">
          <w:rPr>
            <w:rFonts w:ascii="FrankRuehl" w:hAnsi="FrankRuehl" w:cs="FrankRuehl"/>
            <w:color w:val="0000FF"/>
            <w:rtl/>
          </w:rPr>
          <w:t>54</w:t>
        </w:r>
      </w:hyperlink>
      <w:r w:rsidRPr="00F020AA">
        <w:rPr>
          <w:rFonts w:ascii="FrankRuehl" w:hAnsi="FrankRuehl" w:cs="FrankRuehl"/>
          <w:rtl/>
        </w:rPr>
        <w:t xml:space="preserve">, </w:t>
      </w:r>
      <w:hyperlink r:id="rId16" w:history="1">
        <w:r w:rsidRPr="00F020AA">
          <w:rPr>
            <w:rFonts w:ascii="FrankRuehl" w:hAnsi="FrankRuehl" w:cs="FrankRuehl"/>
            <w:color w:val="0000FF"/>
            <w:rtl/>
          </w:rPr>
          <w:t>56(א)</w:t>
        </w:r>
      </w:hyperlink>
    </w:p>
    <w:p w14:paraId="6F497920" w14:textId="77777777" w:rsidR="00F020AA" w:rsidRPr="00F020AA" w:rsidRDefault="00F020AA" w:rsidP="00F020AA">
      <w:pPr>
        <w:rPr>
          <w:rFonts w:ascii="David" w:hAnsi="David"/>
          <w:sz w:val="26"/>
          <w:szCs w:val="26"/>
          <w:rtl/>
        </w:rPr>
      </w:pPr>
      <w:bookmarkStart w:id="3" w:name="LawTable_End"/>
      <w:bookmarkEnd w:id="3"/>
    </w:p>
    <w:p w14:paraId="70B8B73C" w14:textId="77777777" w:rsidR="00F51F53" w:rsidRPr="0082283E" w:rsidRDefault="00F51F53" w:rsidP="0082283E">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1F53" w14:paraId="074BCFA0" w14:textId="77777777" w:rsidTr="00F51F53">
        <w:trPr>
          <w:trHeight w:val="355"/>
          <w:jc w:val="center"/>
        </w:trPr>
        <w:tc>
          <w:tcPr>
            <w:tcW w:w="8820" w:type="dxa"/>
            <w:tcBorders>
              <w:top w:val="nil"/>
              <w:left w:val="nil"/>
              <w:bottom w:val="nil"/>
              <w:right w:val="nil"/>
            </w:tcBorders>
            <w:shd w:val="clear" w:color="auto" w:fill="auto"/>
          </w:tcPr>
          <w:p w14:paraId="795A6750" w14:textId="77777777" w:rsidR="004A6439" w:rsidRPr="004A6439" w:rsidRDefault="004A6439" w:rsidP="004A6439">
            <w:pPr>
              <w:jc w:val="center"/>
              <w:rPr>
                <w:rFonts w:ascii="David" w:hAnsi="David"/>
                <w:b/>
                <w:bCs/>
                <w:sz w:val="32"/>
                <w:szCs w:val="32"/>
                <w:u w:val="single"/>
                <w:rtl/>
              </w:rPr>
            </w:pPr>
            <w:bookmarkStart w:id="4" w:name="PsakDin" w:colFirst="0" w:colLast="0"/>
            <w:r w:rsidRPr="004A6439">
              <w:rPr>
                <w:rFonts w:ascii="David" w:hAnsi="David"/>
                <w:b/>
                <w:bCs/>
                <w:sz w:val="32"/>
                <w:szCs w:val="32"/>
                <w:u w:val="single"/>
                <w:rtl/>
              </w:rPr>
              <w:t>גזר דין</w:t>
            </w:r>
          </w:p>
          <w:p w14:paraId="1C3A6545" w14:textId="77777777" w:rsidR="00F51F53" w:rsidRPr="004A6439" w:rsidRDefault="00F51F53" w:rsidP="004A6439">
            <w:pPr>
              <w:jc w:val="center"/>
              <w:rPr>
                <w:rFonts w:ascii="David" w:hAnsi="David"/>
                <w:bCs/>
                <w:sz w:val="32"/>
                <w:szCs w:val="32"/>
                <w:u w:val="single"/>
                <w:rtl/>
              </w:rPr>
            </w:pPr>
          </w:p>
        </w:tc>
      </w:tr>
      <w:bookmarkEnd w:id="4"/>
    </w:tbl>
    <w:p w14:paraId="0268F283" w14:textId="77777777" w:rsidR="00F51F53" w:rsidRPr="002B7D23" w:rsidRDefault="00F51F53" w:rsidP="00F51F53">
      <w:pPr>
        <w:rPr>
          <w:rFonts w:ascii="David" w:hAnsi="David"/>
          <w:sz w:val="26"/>
          <w:szCs w:val="26"/>
          <w:rtl/>
        </w:rPr>
      </w:pPr>
    </w:p>
    <w:p w14:paraId="0F2C46B6" w14:textId="77777777" w:rsidR="00F51F53" w:rsidRDefault="00F51F53" w:rsidP="00F51F53">
      <w:pPr>
        <w:rPr>
          <w:rFonts w:ascii="David" w:hAnsi="David"/>
          <w:b/>
          <w:bCs/>
          <w:u w:val="single"/>
        </w:rPr>
      </w:pPr>
      <w:r>
        <w:rPr>
          <w:rFonts w:ascii="David" w:hAnsi="David"/>
          <w:b/>
          <w:bCs/>
          <w:u w:val="single"/>
          <w:rtl/>
        </w:rPr>
        <w:t>כתב האישום וההליכים</w:t>
      </w:r>
    </w:p>
    <w:p w14:paraId="30A173A9" w14:textId="77777777" w:rsidR="00F51F53" w:rsidRDefault="00F51F53" w:rsidP="00F51F53">
      <w:pPr>
        <w:spacing w:line="360" w:lineRule="auto"/>
        <w:jc w:val="both"/>
        <w:rPr>
          <w:rtl/>
        </w:rPr>
      </w:pPr>
    </w:p>
    <w:p w14:paraId="3CDEE613" w14:textId="77777777" w:rsidR="00F51F53" w:rsidRDefault="00F51F53" w:rsidP="00F51F53">
      <w:pPr>
        <w:pStyle w:val="a9"/>
        <w:numPr>
          <w:ilvl w:val="0"/>
          <w:numId w:val="1"/>
        </w:numPr>
        <w:spacing w:line="360" w:lineRule="auto"/>
        <w:jc w:val="both"/>
      </w:pPr>
      <w:bookmarkStart w:id="5" w:name="ABSTRACT_START"/>
      <w:bookmarkEnd w:id="5"/>
      <w:r>
        <w:rPr>
          <w:rtl/>
        </w:rPr>
        <w:t xml:space="preserve">הנאשם הורשע על פי הודאתו בעבירה שעניינה החזקת סם לשימוש עצמי, לפי </w:t>
      </w:r>
      <w:hyperlink r:id="rId17" w:history="1">
        <w:r w:rsidR="007B34B6" w:rsidRPr="007B34B6">
          <w:rPr>
            <w:rStyle w:val="Hyperlink"/>
            <w:rFonts w:ascii="David" w:hAnsi="David"/>
            <w:rtl/>
          </w:rPr>
          <w:t>סעיף 7(א)+7(ג)</w:t>
        </w:r>
      </w:hyperlink>
      <w:r>
        <w:rPr>
          <w:rtl/>
        </w:rPr>
        <w:t xml:space="preserve"> סיפא ל</w:t>
      </w:r>
      <w:hyperlink r:id="rId18" w:history="1">
        <w:r w:rsidR="004A6439" w:rsidRPr="004A6439">
          <w:rPr>
            <w:color w:val="0000FF"/>
            <w:u w:val="single"/>
            <w:rtl/>
          </w:rPr>
          <w:t>פקודת הסמים המסוכנים</w:t>
        </w:r>
      </w:hyperlink>
      <w:r>
        <w:rPr>
          <w:rtl/>
        </w:rPr>
        <w:t xml:space="preserve"> (נוסח חדש), תשל"ג- 1973 (להלן – </w:t>
      </w:r>
      <w:r>
        <w:rPr>
          <w:rFonts w:ascii="Miriam" w:hAnsi="Miriam" w:cs="Miriam"/>
          <w:rtl/>
        </w:rPr>
        <w:t>פקודת הסמים</w:t>
      </w:r>
      <w:r>
        <w:rPr>
          <w:rtl/>
        </w:rPr>
        <w:t xml:space="preserve">). בהתאם לעובדות כתב האישום המתוקן, ביום 29.6.21 החזיק הנאשם בביתו ולשימושו האישי סמים כמפורט להלן: חשיש במשקל 53.93 גרם; קנבוס במשקל 7.75 גרם; קוקאין במשקל 0.0808 גרם; </w:t>
      </w:r>
      <w:r w:rsidRPr="005F4CF8">
        <w:rPr>
          <w:rFonts w:ascii="David" w:hAnsi="David"/>
          <w:sz w:val="22"/>
          <w:szCs w:val="22"/>
        </w:rPr>
        <w:t>MDMA</w:t>
      </w:r>
      <w:r>
        <w:rPr>
          <w:rFonts w:ascii="David" w:hAnsi="David"/>
          <w:rtl/>
        </w:rPr>
        <w:t xml:space="preserve"> </w:t>
      </w:r>
      <w:r>
        <w:rPr>
          <w:rFonts w:ascii="David" w:hAnsi="David" w:hint="cs"/>
          <w:rtl/>
        </w:rPr>
        <w:t>–</w:t>
      </w:r>
      <w:r>
        <w:rPr>
          <w:rtl/>
        </w:rPr>
        <w:t xml:space="preserve"> קטאמין במשקל  0.3615 גרם. </w:t>
      </w:r>
    </w:p>
    <w:p w14:paraId="4E2D2BE9" w14:textId="77777777" w:rsidR="00F51F53" w:rsidRDefault="00F51F53" w:rsidP="00F51F53">
      <w:pPr>
        <w:pStyle w:val="a9"/>
        <w:ind w:left="0"/>
        <w:jc w:val="both"/>
        <w:rPr>
          <w:rtl/>
        </w:rPr>
      </w:pPr>
      <w:bookmarkStart w:id="6" w:name="ABSTRACT_END"/>
      <w:bookmarkEnd w:id="6"/>
    </w:p>
    <w:p w14:paraId="35FA6EA6" w14:textId="77777777" w:rsidR="00F51F53" w:rsidRDefault="00F51F53" w:rsidP="00F51F53">
      <w:pPr>
        <w:pStyle w:val="a9"/>
        <w:numPr>
          <w:ilvl w:val="0"/>
          <w:numId w:val="1"/>
        </w:numPr>
        <w:spacing w:line="360" w:lineRule="auto"/>
        <w:jc w:val="both"/>
        <w:rPr>
          <w:rtl/>
        </w:rPr>
      </w:pPr>
      <w:r>
        <w:rPr>
          <w:rtl/>
        </w:rPr>
        <w:t xml:space="preserve">להשלמת התמונה יצוין כי הודאת הנאשם באה אגב הסדר טיעון במסגרתו כתב האישום תוקן לעבירת שימוש עצמי והנאשם הופנה לשירות המבחן. הצדדים הסכימו כי במקרה של תסקיר </w:t>
      </w:r>
      <w:r>
        <w:rPr>
          <w:rtl/>
        </w:rPr>
        <w:lastRenderedPageBreak/>
        <w:t>חיובי, המאסר המותנה התלוי ועומד נגד הנאשם יוארך ואילו במקרה של תסקיר שלילי, תטען המאשימה לעונש בעבודות שירות וההגנה תטען באופן חופשי. אציין כבר עתה כי בסופו של יום ו</w:t>
      </w:r>
      <w:r>
        <w:rPr>
          <w:rFonts w:hint="cs"/>
          <w:rtl/>
        </w:rPr>
        <w:t>ו</w:t>
      </w:r>
      <w:r>
        <w:rPr>
          <w:rtl/>
        </w:rPr>
        <w:t xml:space="preserve">יתר הנאשם על קבלת תסקיר והצדדים טענו לעונש על בסיס החלופה השנייה של ההסדר. כן אציין שלאחר שלב הטיעונים לעונש הפניתי את הנאשם לממונה על עבודות השירות אך הוא לא התייצב לראיון שלוש פעמים. בשלב זה הוחלף הייצוג והתבקשה הפניה חוזרת לשירות המבחן אותה דחיתי לאור התנהגות הנאשם כמפורט לעיל. עם זאת נעתרתי לבקשות חוזרות להפניה לממונה על עבודות השירות ובסופו של יום ניתנה חוות דעת חיובית. </w:t>
      </w:r>
    </w:p>
    <w:p w14:paraId="6373AA73" w14:textId="77777777" w:rsidR="00F51F53" w:rsidRDefault="00F51F53" w:rsidP="00F51F53">
      <w:pPr>
        <w:pStyle w:val="a9"/>
      </w:pPr>
    </w:p>
    <w:p w14:paraId="675ED6F1" w14:textId="77777777" w:rsidR="00F51F53" w:rsidRDefault="00F51F53" w:rsidP="00F51F53">
      <w:pPr>
        <w:spacing w:line="360" w:lineRule="auto"/>
        <w:jc w:val="both"/>
        <w:rPr>
          <w:b/>
          <w:bCs/>
          <w:u w:val="single"/>
          <w:rtl/>
        </w:rPr>
      </w:pPr>
      <w:r>
        <w:rPr>
          <w:b/>
          <w:bCs/>
          <w:u w:val="single"/>
          <w:rtl/>
        </w:rPr>
        <w:t>טיעוני הצדדים לעונש</w:t>
      </w:r>
    </w:p>
    <w:p w14:paraId="3C68BB3C" w14:textId="77777777" w:rsidR="00F51F53" w:rsidRDefault="00F51F53" w:rsidP="00F51F53">
      <w:pPr>
        <w:jc w:val="both"/>
      </w:pPr>
    </w:p>
    <w:p w14:paraId="18E3C4EA" w14:textId="77777777" w:rsidR="00F51F53" w:rsidRDefault="00F51F53" w:rsidP="00F51F53">
      <w:pPr>
        <w:pStyle w:val="a9"/>
        <w:numPr>
          <w:ilvl w:val="0"/>
          <w:numId w:val="1"/>
        </w:numPr>
        <w:spacing w:line="360" w:lineRule="auto"/>
        <w:jc w:val="both"/>
        <w:rPr>
          <w:rtl/>
        </w:rPr>
      </w:pPr>
      <w:r>
        <w:rPr>
          <w:rFonts w:ascii="David" w:hAnsi="David"/>
          <w:rtl/>
        </w:rPr>
        <w:t xml:space="preserve">ב"כ המאשימה הפנה לערכים המוגנים שנפגעו בשל מעשי הנאשם ולכמות הסמים וסוגם. נטען כי מתחם הענישה ההולם את העבירה בנסיבות ביצועה נע בין מאסר מותנה ועד 8 חודשי מאסר שניתן לשאת בעבודות שירות. ביחס לעונש שיש להטיל על </w:t>
      </w:r>
      <w:r>
        <w:rPr>
          <w:rtl/>
        </w:rPr>
        <w:t xml:space="preserve">הנאשם טענה המאשימה שאין מקום להארכת המאסר המותנה התלוי ועומד נגדו לאור כך שהוא לא שיתף פעולה עם שירות המבחן והוא אינו עומד בתנאי החוק והפסיקה בנושא. לפיכך, עתרה המאשימה להטיל עליו עונש מאסר בן 4 חודשים </w:t>
      </w:r>
      <w:r>
        <w:rPr>
          <w:rFonts w:hint="cs"/>
          <w:rtl/>
        </w:rPr>
        <w:t>ו</w:t>
      </w:r>
      <w:r>
        <w:rPr>
          <w:rtl/>
        </w:rPr>
        <w:t xml:space="preserve">להפעיל את המאסר המותנה במצטבר, כך שיישא 8 חודשי מאסר בדרך של עבודות שירות לצד ענישה נלוות. </w:t>
      </w:r>
    </w:p>
    <w:p w14:paraId="75060FDC" w14:textId="77777777" w:rsidR="00F51F53" w:rsidRDefault="00F51F53" w:rsidP="00F51F53">
      <w:pPr>
        <w:jc w:val="both"/>
        <w:rPr>
          <w:rtl/>
        </w:rPr>
      </w:pPr>
    </w:p>
    <w:p w14:paraId="049B565F" w14:textId="77777777" w:rsidR="00F51F53" w:rsidRDefault="00F51F53" w:rsidP="00F51F53">
      <w:pPr>
        <w:pStyle w:val="a9"/>
        <w:numPr>
          <w:ilvl w:val="0"/>
          <w:numId w:val="1"/>
        </w:numPr>
        <w:spacing w:line="360" w:lineRule="auto"/>
        <w:jc w:val="both"/>
        <w:rPr>
          <w:rtl/>
        </w:rPr>
      </w:pPr>
      <w:r>
        <w:rPr>
          <w:rtl/>
        </w:rPr>
        <w:t xml:space="preserve">ב"כ הנאשם עמד על כך שמדובר בעבירה קלה יחסית שאף בוצעה בנסיבות קלות וכי מאז לא נפתחו תיקים נוספים. נטען כי העבירה בוצעה בתקופת הקורונה כאשר הנאשם היה מצוי בביתו במצב נפשי רעוע ולא יצא ממנו תקופה ארוכה. כן נטען כי הנאשם עובד לפרנסתו במסעדה ומאסר בעבודות שירות עלול לפגוע בו בצורה קשה. בעניין זה טען הסנגור כי הנאשם היה קורבן למקרה שוד אלים במסגרתו נמשכו שיקים מחשבונו ונגרם לו נזק כלכלי רב. סיכומו של דבר, נטען כי נתונים אלו מצדיקים להאריך את המאסר המותנה, ולחלופין ביקש הסנגור שככל ויקבע אחרת, תוטל תקופה מאסר בעבודות שירות כאורך המאסר המותנה בלבד. </w:t>
      </w:r>
    </w:p>
    <w:p w14:paraId="564D4045" w14:textId="77777777" w:rsidR="00F51F53" w:rsidRDefault="00F51F53" w:rsidP="00F51F53">
      <w:pPr>
        <w:pStyle w:val="a9"/>
      </w:pPr>
    </w:p>
    <w:p w14:paraId="6CA77506" w14:textId="77777777" w:rsidR="00F51F53" w:rsidRDefault="00F51F53" w:rsidP="00F51F53">
      <w:pPr>
        <w:pStyle w:val="a9"/>
        <w:numPr>
          <w:ilvl w:val="0"/>
          <w:numId w:val="1"/>
        </w:numPr>
        <w:spacing w:line="360" w:lineRule="auto"/>
        <w:jc w:val="both"/>
      </w:pPr>
      <w:r>
        <w:rPr>
          <w:rtl/>
        </w:rPr>
        <w:t xml:space="preserve">הנאשם בדברו האחרון תיאר את מצבו באותה התקופה, ציין כי הוא מצוי כיום במקום אחר בחייו, עובד לפרנסתו וחדל לצורך סמים. כן הביע הנאשם חשש כי עונש מוחשי עלול לפגוע בו. </w:t>
      </w:r>
    </w:p>
    <w:p w14:paraId="6F415ED6" w14:textId="77777777" w:rsidR="00F51F53" w:rsidRDefault="00F51F53" w:rsidP="00F51F53">
      <w:pPr>
        <w:pStyle w:val="a9"/>
        <w:ind w:left="0"/>
        <w:jc w:val="both"/>
        <w:rPr>
          <w:rFonts w:ascii="David" w:hAnsi="David"/>
          <w:b/>
          <w:bCs/>
          <w:u w:val="single"/>
          <w:rtl/>
        </w:rPr>
      </w:pPr>
    </w:p>
    <w:p w14:paraId="39E03B18" w14:textId="77777777" w:rsidR="00F51F53" w:rsidRDefault="00F51F53" w:rsidP="00F51F53">
      <w:pPr>
        <w:pStyle w:val="a9"/>
        <w:spacing w:line="360" w:lineRule="auto"/>
        <w:ind w:left="0"/>
        <w:jc w:val="both"/>
        <w:rPr>
          <w:rFonts w:ascii="David" w:hAnsi="David"/>
          <w:b/>
          <w:bCs/>
          <w:u w:val="single"/>
          <w:rtl/>
        </w:rPr>
      </w:pPr>
      <w:r>
        <w:rPr>
          <w:rFonts w:ascii="David" w:hAnsi="David"/>
          <w:b/>
          <w:bCs/>
          <w:u w:val="single"/>
          <w:rtl/>
        </w:rPr>
        <w:t>דיון והכרעה</w:t>
      </w:r>
    </w:p>
    <w:p w14:paraId="6A47CB3A" w14:textId="77777777" w:rsidR="00F51F53" w:rsidRDefault="00F51F53" w:rsidP="00F51F53">
      <w:pPr>
        <w:pStyle w:val="a9"/>
        <w:spacing w:line="360" w:lineRule="auto"/>
        <w:ind w:left="0"/>
        <w:jc w:val="both"/>
        <w:rPr>
          <w:rFonts w:ascii="David" w:hAnsi="David"/>
          <w:b/>
          <w:bCs/>
          <w:u w:val="single"/>
          <w:rtl/>
        </w:rPr>
      </w:pPr>
      <w:r>
        <w:rPr>
          <w:rFonts w:ascii="David" w:hAnsi="David"/>
          <w:b/>
          <w:bCs/>
          <w:u w:val="single"/>
          <w:rtl/>
        </w:rPr>
        <w:t>קביעת מתחם הענישה</w:t>
      </w:r>
    </w:p>
    <w:p w14:paraId="5F4C6329" w14:textId="77777777" w:rsidR="00F51F53" w:rsidRDefault="00F51F53" w:rsidP="00F51F53">
      <w:pPr>
        <w:rPr>
          <w:rFonts w:ascii="David" w:hAnsi="David"/>
          <w:rtl/>
        </w:rPr>
      </w:pPr>
    </w:p>
    <w:p w14:paraId="1084F5BD" w14:textId="77777777" w:rsidR="00F51F53" w:rsidRDefault="00F51F53" w:rsidP="00F51F53">
      <w:pPr>
        <w:pStyle w:val="a9"/>
        <w:numPr>
          <w:ilvl w:val="0"/>
          <w:numId w:val="1"/>
        </w:numPr>
        <w:spacing w:line="360" w:lineRule="auto"/>
        <w:jc w:val="both"/>
        <w:rPr>
          <w:rFonts w:ascii="David" w:hAnsi="David"/>
        </w:rPr>
      </w:pPr>
      <w:r>
        <w:rPr>
          <w:rFonts w:ascii="David" w:hAnsi="David"/>
          <w:rtl/>
        </w:rPr>
        <w:t xml:space="preserve">הערכים המוגנים שנפגעו בשל מעשי הנאשם ברורים. הסכנות הטמונות בהחזקת סם מסוכן ושימוש בו ידועות ואין צורך להכביר מילים על הנזקים העקיפים והישירים שעלולים להיגרם לחברה ולפרט מעבירות הסמים. אכן, עיקר הסם שהחזיק הנאשם היה מסוג קנביס ואולם מובן שאין להקל ראש בחומרת התנהגות זו (ראו למשל: </w:t>
      </w:r>
      <w:hyperlink r:id="rId19" w:history="1">
        <w:r w:rsidR="004A6439" w:rsidRPr="004A6439">
          <w:rPr>
            <w:rFonts w:ascii="David" w:hAnsi="David"/>
            <w:color w:val="0000FF"/>
            <w:u w:val="single"/>
            <w:rtl/>
          </w:rPr>
          <w:t>ע"פ 6299/20</w:t>
        </w:r>
      </w:hyperlink>
      <w:r>
        <w:rPr>
          <w:rFonts w:ascii="David" w:hAnsi="David"/>
          <w:rtl/>
        </w:rPr>
        <w:t xml:space="preserve"> </w:t>
      </w:r>
      <w:r>
        <w:rPr>
          <w:rFonts w:ascii="David" w:hAnsi="David"/>
          <w:b/>
          <w:bCs/>
          <w:rtl/>
        </w:rPr>
        <w:t>שחר חן נ' מדינת ישראל</w:t>
      </w:r>
      <w:r>
        <w:rPr>
          <w:rFonts w:ascii="David" w:hAnsi="David"/>
          <w:rtl/>
        </w:rPr>
        <w:t xml:space="preserve"> (4.2.2021); </w:t>
      </w:r>
      <w:hyperlink r:id="rId20" w:history="1">
        <w:r w:rsidR="004A6439" w:rsidRPr="004A6439">
          <w:rPr>
            <w:rFonts w:ascii="David" w:hAnsi="David"/>
            <w:color w:val="0000FF"/>
            <w:u w:val="single"/>
            <w:rtl/>
          </w:rPr>
          <w:t>ע"פ 2596/18</w:t>
        </w:r>
      </w:hyperlink>
      <w:r>
        <w:rPr>
          <w:rFonts w:ascii="David" w:hAnsi="David"/>
          <w:rtl/>
        </w:rPr>
        <w:t xml:space="preserve"> </w:t>
      </w:r>
      <w:r>
        <w:rPr>
          <w:rFonts w:ascii="David" w:hAnsi="David"/>
          <w:b/>
          <w:bCs/>
          <w:rtl/>
        </w:rPr>
        <w:t>כפיר זנזורי נ' מדינת ישראל</w:t>
      </w:r>
      <w:r>
        <w:rPr>
          <w:rFonts w:ascii="David" w:hAnsi="David"/>
          <w:rtl/>
        </w:rPr>
        <w:t xml:space="preserve"> (12.8.2018)). לכך אוסיף שבין הסמים </w:t>
      </w:r>
      <w:r>
        <w:rPr>
          <w:rFonts w:ascii="David" w:hAnsi="David"/>
          <w:rtl/>
        </w:rPr>
        <w:lastRenderedPageBreak/>
        <w:t>שהחזיק הנאשם היו גם סמים קשים מסוג קוקאין ו</w:t>
      </w:r>
      <w:r>
        <w:rPr>
          <w:rFonts w:ascii="David" w:hAnsi="David"/>
        </w:rPr>
        <w:t>MDMA</w:t>
      </w:r>
      <w:r>
        <w:rPr>
          <w:rFonts w:ascii="David" w:hAnsi="David"/>
          <w:rtl/>
        </w:rPr>
        <w:t xml:space="preserve">, אם כי בכמויות קטנות יחסית, ובכל מקרה לשימושו העצמי בלבד. </w:t>
      </w:r>
    </w:p>
    <w:p w14:paraId="57D3FEF8" w14:textId="77777777" w:rsidR="00F51F53" w:rsidRDefault="00F51F53" w:rsidP="00F51F53">
      <w:pPr>
        <w:pStyle w:val="a9"/>
        <w:spacing w:line="360" w:lineRule="auto"/>
        <w:ind w:left="0"/>
        <w:jc w:val="both"/>
        <w:rPr>
          <w:rFonts w:ascii="David" w:hAnsi="David"/>
        </w:rPr>
      </w:pPr>
    </w:p>
    <w:p w14:paraId="7AE9497B" w14:textId="77777777" w:rsidR="00F51F53" w:rsidRDefault="00F51F53" w:rsidP="00F51F53">
      <w:pPr>
        <w:pStyle w:val="a9"/>
        <w:numPr>
          <w:ilvl w:val="0"/>
          <w:numId w:val="1"/>
        </w:numPr>
        <w:spacing w:line="360" w:lineRule="auto"/>
        <w:jc w:val="both"/>
        <w:rPr>
          <w:rFonts w:ascii="David" w:hAnsi="David"/>
          <w:rtl/>
        </w:rPr>
      </w:pPr>
      <w:r>
        <w:rPr>
          <w:rFonts w:ascii="David" w:hAnsi="David"/>
          <w:rtl/>
        </w:rPr>
        <w:t>ביחס לגבולות מתחם הענישה ההולם נסיבות אלו, אזי המאשימה עתרה למתחם שתחילתו במאסר מותנה ואילו ההגנה לא התייחסה לכך. בעניין זה ראיתי להדגיש שהחזקת סם מסוג קנביס לשימוש עצמי מהווה כיום עבירה מנהלית שעונשה קנס (</w:t>
      </w:r>
      <w:hyperlink r:id="rId21" w:history="1">
        <w:r w:rsidR="007B34B6" w:rsidRPr="007B34B6">
          <w:rPr>
            <w:rStyle w:val="Hyperlink"/>
            <w:rFonts w:ascii="David" w:hAnsi="David"/>
            <w:rtl/>
          </w:rPr>
          <w:t>תקנות העבירות המנהליות (קנס מנהלי – החזקת קנאביס ושימוש בו לצריכה עצמית</w:t>
        </w:r>
      </w:hyperlink>
      <w:r>
        <w:rPr>
          <w:rFonts w:ascii="David" w:hAnsi="David"/>
          <w:rtl/>
        </w:rPr>
        <w:t>), תשפ"ב-2022). עם זאת, אף אם עבירה הוגדרה כעבירה מנהלית, רשאי תובע להגיש כתב אישום בעניינה (</w:t>
      </w:r>
      <w:hyperlink r:id="rId22" w:history="1">
        <w:r w:rsidR="007B34B6" w:rsidRPr="007B34B6">
          <w:rPr>
            <w:rStyle w:val="Hyperlink"/>
            <w:rFonts w:ascii="David" w:hAnsi="David"/>
            <w:rtl/>
          </w:rPr>
          <w:t>סעיף 15</w:t>
        </w:r>
      </w:hyperlink>
      <w:r>
        <w:rPr>
          <w:rFonts w:ascii="David" w:hAnsi="David"/>
          <w:rtl/>
        </w:rPr>
        <w:t xml:space="preserve"> ל</w:t>
      </w:r>
      <w:hyperlink r:id="rId23" w:history="1">
        <w:r w:rsidR="004A6439" w:rsidRPr="004A6439">
          <w:rPr>
            <w:rFonts w:ascii="David" w:hAnsi="David"/>
            <w:color w:val="0000FF"/>
            <w:u w:val="single"/>
            <w:rtl/>
          </w:rPr>
          <w:t>חוק העבירות המנהליות</w:t>
        </w:r>
      </w:hyperlink>
      <w:r>
        <w:rPr>
          <w:rFonts w:ascii="David" w:hAnsi="David"/>
          <w:rtl/>
        </w:rPr>
        <w:t>, תשמ"ו-1985) ובענייננו מדובר בתיקון לקולה של כתב האישום לעבירה של החזקת סם קנביס לשימוש עצמי</w:t>
      </w:r>
      <w:r>
        <w:rPr>
          <w:rFonts w:ascii="David" w:hAnsi="David" w:hint="cs"/>
          <w:rtl/>
        </w:rPr>
        <w:t xml:space="preserve">, </w:t>
      </w:r>
      <w:r>
        <w:rPr>
          <w:rFonts w:ascii="David" w:hAnsi="David"/>
          <w:rtl/>
        </w:rPr>
        <w:t xml:space="preserve">במסגרת סמכותו של תובע (ובכל מקרה בהסכמת הנאשם). כך או כך, העובדה שמדובר בעבירה מנהלית משליכה כמובן על גבולות מתחם הענישה, אך תשומת הלב שמדובר בכמות לא מבוטלת של קנביס ובכל מקרה מעל לכמות הנזכרת </w:t>
      </w:r>
      <w:hyperlink r:id="rId24" w:history="1">
        <w:r w:rsidR="007B34B6" w:rsidRPr="007B34B6">
          <w:rPr>
            <w:rStyle w:val="Hyperlink"/>
            <w:rFonts w:ascii="David" w:hAnsi="David"/>
            <w:rtl/>
          </w:rPr>
          <w:t>בתוספת השנייה</w:t>
        </w:r>
      </w:hyperlink>
      <w:r>
        <w:rPr>
          <w:rFonts w:ascii="David" w:hAnsi="David"/>
          <w:rtl/>
        </w:rPr>
        <w:t xml:space="preserve"> שבפקודת הסמים. כמו כן הנאשם החזיק סמים נוספים זולת קנביס, לשימוש עצמי, אשר החזקתם אינה מהווה עבירה מנהלית. </w:t>
      </w:r>
    </w:p>
    <w:p w14:paraId="62B4E845" w14:textId="77777777" w:rsidR="00F51F53" w:rsidRDefault="00F51F53" w:rsidP="00F51F53">
      <w:pPr>
        <w:pStyle w:val="a9"/>
        <w:numPr>
          <w:ilvl w:val="0"/>
          <w:numId w:val="1"/>
        </w:numPr>
        <w:spacing w:line="360" w:lineRule="auto"/>
        <w:jc w:val="both"/>
        <w:rPr>
          <w:rFonts w:ascii="David" w:hAnsi="David"/>
        </w:rPr>
      </w:pPr>
      <w:r>
        <w:rPr>
          <w:rFonts w:ascii="David" w:hAnsi="David"/>
          <w:rtl/>
        </w:rPr>
        <w:t xml:space="preserve">מדיניות הענישה בעבירות של החזקת סם לשימוש עצמי מלמדת כי לרוב מוטלים עונשים מותנים ולעיתים, בנסיבות חמורות יותר, מוטלים גם עונשי מאסר. לצורך המחשה אפנה לפסקי הדין הבאים: </w:t>
      </w:r>
      <w:hyperlink r:id="rId25" w:history="1">
        <w:r w:rsidR="004A6439" w:rsidRPr="004A6439">
          <w:rPr>
            <w:rFonts w:ascii="David" w:hAnsi="David"/>
            <w:color w:val="0000FF"/>
            <w:u w:val="single"/>
            <w:rtl/>
          </w:rPr>
          <w:t>ת"פ 9104-12-22</w:t>
        </w:r>
      </w:hyperlink>
      <w:r>
        <w:rPr>
          <w:rFonts w:ascii="David" w:hAnsi="David"/>
          <w:rtl/>
        </w:rPr>
        <w:t xml:space="preserve"> </w:t>
      </w:r>
      <w:r>
        <w:rPr>
          <w:rFonts w:ascii="David" w:hAnsi="David"/>
          <w:b/>
          <w:bCs/>
          <w:rtl/>
        </w:rPr>
        <w:t>מדינת ישראל נ' רוימי</w:t>
      </w:r>
      <w:r>
        <w:rPr>
          <w:rFonts w:ascii="David" w:hAnsi="David"/>
          <w:rtl/>
        </w:rPr>
        <w:t xml:space="preserve"> (30.1.2024), בו בוטלה הרשעתו של הנאשם והוא נידון לצו של"צ בגין החזקת 0.36 גרם קוקאין לשימוש עצמי; </w:t>
      </w:r>
      <w:hyperlink r:id="rId26" w:history="1">
        <w:r w:rsidR="004A6439" w:rsidRPr="004A6439">
          <w:rPr>
            <w:rFonts w:ascii="David" w:hAnsi="David"/>
            <w:color w:val="0000FF"/>
            <w:u w:val="single"/>
            <w:rtl/>
          </w:rPr>
          <w:t>ת"פ 11804-04-20</w:t>
        </w:r>
      </w:hyperlink>
      <w:r>
        <w:rPr>
          <w:rFonts w:ascii="David" w:hAnsi="David"/>
          <w:rtl/>
        </w:rPr>
        <w:t xml:space="preserve"> </w:t>
      </w:r>
      <w:r>
        <w:rPr>
          <w:rFonts w:ascii="David" w:hAnsi="David"/>
          <w:b/>
          <w:bCs/>
          <w:rtl/>
        </w:rPr>
        <w:t>מדינת ישראל נ' אבו רקייק</w:t>
      </w:r>
      <w:r>
        <w:rPr>
          <w:rFonts w:ascii="David" w:hAnsi="David"/>
          <w:rtl/>
        </w:rPr>
        <w:t xml:space="preserve"> (27.2.23023), בו נידון עניינו של נאשם שהורשע בעבירת החזקת 0.0455 גרם קנביס לצריכה עצמית ובית המשפט הורה על הארכת מאסר מותנה בצירוף צו של"צ וענישה נלוות; </w:t>
      </w:r>
      <w:hyperlink r:id="rId27" w:history="1">
        <w:r w:rsidR="004A6439" w:rsidRPr="004A6439">
          <w:rPr>
            <w:rFonts w:ascii="David" w:hAnsi="David"/>
            <w:color w:val="0000FF"/>
            <w:u w:val="single"/>
            <w:rtl/>
          </w:rPr>
          <w:t>ת"פ (ירושלים) 6434-08-19</w:t>
        </w:r>
      </w:hyperlink>
      <w:r>
        <w:rPr>
          <w:rFonts w:ascii="David" w:hAnsi="David"/>
          <w:rtl/>
        </w:rPr>
        <w:t xml:space="preserve"> </w:t>
      </w:r>
      <w:r>
        <w:rPr>
          <w:rFonts w:ascii="David" w:hAnsi="David"/>
          <w:b/>
          <w:bCs/>
          <w:rtl/>
        </w:rPr>
        <w:t>מדינת ישראל נ' ג'מאל גאווי</w:t>
      </w:r>
      <w:r>
        <w:rPr>
          <w:rFonts w:ascii="David" w:hAnsi="David"/>
          <w:rtl/>
        </w:rPr>
        <w:t xml:space="preserve"> (3.1.2024), בו נידון עניינו של נאשם שהורשע בשלושה כתבי אישום בעבירות של החזקת סמים מסוג הרואין לצריכה עצמית. בית המשפט אימץ את המלצות שירות המבחן והטיל על הנאשם ענישה שיקומית בדמות צו של"צ, מאסרים מותנים ועונשים נלווים;  </w:t>
      </w:r>
      <w:hyperlink r:id="rId28" w:history="1">
        <w:r w:rsidR="004A6439" w:rsidRPr="004A6439">
          <w:rPr>
            <w:rFonts w:ascii="David" w:hAnsi="David"/>
            <w:color w:val="0000FF"/>
            <w:u w:val="single"/>
            <w:rtl/>
          </w:rPr>
          <w:t>ת"פ 7858-02-21</w:t>
        </w:r>
      </w:hyperlink>
      <w:r>
        <w:rPr>
          <w:rFonts w:ascii="David" w:hAnsi="David"/>
          <w:rtl/>
        </w:rPr>
        <w:t xml:space="preserve"> </w:t>
      </w:r>
      <w:r>
        <w:rPr>
          <w:rFonts w:ascii="David" w:hAnsi="David"/>
          <w:b/>
          <w:bCs/>
          <w:rtl/>
        </w:rPr>
        <w:t>מדינת ישראל נ' לוז'נסקי</w:t>
      </w:r>
      <w:r>
        <w:rPr>
          <w:rFonts w:ascii="David" w:hAnsi="David"/>
          <w:rtl/>
        </w:rPr>
        <w:t xml:space="preserve"> (18.12.2023), בו נידון עניינו של נאשם שהורשע בהחזקת כ-2 גרם קנביס ובית המשפט קבע כי מתחם הענישה נע בין מאסר מותנה ועד מספר חודשי מאסר לריצוי בעבודות שירות והורה על הארכת המאסר המותנה וקנס; </w:t>
      </w:r>
      <w:hyperlink r:id="rId29" w:history="1">
        <w:r w:rsidR="004A6439" w:rsidRPr="004A6439">
          <w:rPr>
            <w:rFonts w:ascii="David" w:hAnsi="David"/>
            <w:color w:val="0000FF"/>
            <w:u w:val="single"/>
            <w:rtl/>
          </w:rPr>
          <w:t>ת"פ 24358-07-20</w:t>
        </w:r>
      </w:hyperlink>
      <w:r>
        <w:rPr>
          <w:rFonts w:ascii="David" w:hAnsi="David"/>
          <w:rtl/>
        </w:rPr>
        <w:t xml:space="preserve"> </w:t>
      </w:r>
      <w:r>
        <w:rPr>
          <w:rFonts w:ascii="David" w:hAnsi="David"/>
          <w:b/>
          <w:bCs/>
          <w:rtl/>
        </w:rPr>
        <w:t>מדינת ישראל נ' בן חמו</w:t>
      </w:r>
      <w:r>
        <w:rPr>
          <w:rFonts w:ascii="David" w:hAnsi="David"/>
          <w:rtl/>
        </w:rPr>
        <w:t xml:space="preserve"> (11.4.2022), בו הורשע נאשם בעבירה של החזקת סם מסוג חשיש לצריכה עצמית במשקל 974.52 גרם ונקבע כי מתחם הענישה נע בין של"צ ומאסר על תנאי ועד שישה חודשי עבודות שירות; </w:t>
      </w:r>
      <w:hyperlink r:id="rId30" w:history="1">
        <w:r w:rsidR="004A6439" w:rsidRPr="004A6439">
          <w:rPr>
            <w:rFonts w:ascii="David" w:hAnsi="David"/>
            <w:color w:val="0000FF"/>
            <w:u w:val="single"/>
            <w:rtl/>
          </w:rPr>
          <w:t>ת"פ 31892-08-21</w:t>
        </w:r>
      </w:hyperlink>
      <w:r>
        <w:rPr>
          <w:rFonts w:ascii="David" w:hAnsi="David"/>
          <w:rtl/>
        </w:rPr>
        <w:t xml:space="preserve"> </w:t>
      </w:r>
      <w:r>
        <w:rPr>
          <w:rFonts w:ascii="David" w:hAnsi="David"/>
          <w:b/>
          <w:bCs/>
          <w:rtl/>
        </w:rPr>
        <w:t>מדינת ישראל נ' תורג'מן</w:t>
      </w:r>
      <w:r>
        <w:rPr>
          <w:rFonts w:ascii="David" w:hAnsi="David"/>
          <w:rtl/>
        </w:rPr>
        <w:t xml:space="preserve"> (18.12.2023), בו נידון עניינו של נאשם שהחזיק 30.63 גרם קנביס ברכבו וסכין וצרף תיק נוסף שעניינו החזקת סכין. לאור הליך שיקום משמעותי וכן "</w:t>
      </w:r>
      <w:r>
        <w:rPr>
          <w:rFonts w:ascii="Miriam" w:hAnsi="Miriam" w:cs="Miriam"/>
          <w:rtl/>
        </w:rPr>
        <w:t>נסיבות ייחודיות וחריגות</w:t>
      </w:r>
      <w:r>
        <w:rPr>
          <w:rFonts w:ascii="David" w:hAnsi="David"/>
          <w:rtl/>
        </w:rPr>
        <w:t xml:space="preserve">" בית המשפט הורה על ביטול הרשעתו והוא נידון לצו של"צ והתחייבות.   </w:t>
      </w:r>
    </w:p>
    <w:p w14:paraId="513F912E" w14:textId="77777777" w:rsidR="00F51F53" w:rsidRDefault="00F51F53" w:rsidP="00F51F53">
      <w:pPr>
        <w:pStyle w:val="a9"/>
        <w:rPr>
          <w:rFonts w:ascii="David" w:hAnsi="David"/>
        </w:rPr>
      </w:pPr>
    </w:p>
    <w:p w14:paraId="0EB1840E" w14:textId="77777777" w:rsidR="00F51F53" w:rsidRDefault="00F51F53" w:rsidP="00F51F53">
      <w:pPr>
        <w:pStyle w:val="a9"/>
        <w:numPr>
          <w:ilvl w:val="0"/>
          <w:numId w:val="1"/>
        </w:numPr>
        <w:spacing w:line="360" w:lineRule="auto"/>
        <w:jc w:val="both"/>
        <w:rPr>
          <w:rFonts w:ascii="David" w:hAnsi="David"/>
          <w:rtl/>
        </w:rPr>
      </w:pPr>
      <w:r>
        <w:rPr>
          <w:rFonts w:ascii="David" w:hAnsi="David"/>
          <w:rtl/>
        </w:rPr>
        <w:t xml:space="preserve">לאור כך, דעתי היא שמתחם העונש ההולם עבירה זו, בנסיבות ביצועה, נע בין מאסר מותנה ועד מספר חודשי מאסר שניתן לשאת בעבודות שירות. </w:t>
      </w:r>
    </w:p>
    <w:p w14:paraId="4B23C79B" w14:textId="77777777" w:rsidR="00F51F53" w:rsidRDefault="00F51F53" w:rsidP="00F51F53">
      <w:pPr>
        <w:pStyle w:val="a9"/>
        <w:ind w:left="0"/>
        <w:jc w:val="both"/>
        <w:rPr>
          <w:rFonts w:ascii="David" w:hAnsi="David"/>
        </w:rPr>
      </w:pPr>
    </w:p>
    <w:p w14:paraId="36AD59D4" w14:textId="77777777" w:rsidR="00F51F53" w:rsidRDefault="00F51F53" w:rsidP="00F51F53">
      <w:pPr>
        <w:rPr>
          <w:rFonts w:ascii="David" w:hAnsi="David"/>
          <w:b/>
          <w:bCs/>
          <w:u w:val="single"/>
          <w:rtl/>
        </w:rPr>
      </w:pPr>
      <w:r>
        <w:rPr>
          <w:rFonts w:ascii="David" w:hAnsi="David"/>
          <w:b/>
          <w:bCs/>
          <w:u w:val="single"/>
          <w:rtl/>
        </w:rPr>
        <w:t>קביעת עונשו של הנאשם</w:t>
      </w:r>
    </w:p>
    <w:p w14:paraId="335BEFA9" w14:textId="77777777" w:rsidR="00F51F53" w:rsidRDefault="00F51F53" w:rsidP="00F51F53">
      <w:pPr>
        <w:rPr>
          <w:rFonts w:ascii="David" w:hAnsi="David"/>
          <w:b/>
          <w:bCs/>
          <w:u w:val="single"/>
        </w:rPr>
      </w:pPr>
    </w:p>
    <w:p w14:paraId="6905F178" w14:textId="77777777" w:rsidR="00F51F53" w:rsidRDefault="00F51F53" w:rsidP="00F51F53">
      <w:pPr>
        <w:pStyle w:val="a9"/>
        <w:numPr>
          <w:ilvl w:val="0"/>
          <w:numId w:val="1"/>
        </w:numPr>
        <w:spacing w:line="360" w:lineRule="auto"/>
        <w:jc w:val="both"/>
        <w:rPr>
          <w:rFonts w:ascii="David" w:hAnsi="David"/>
          <w:rtl/>
        </w:rPr>
      </w:pPr>
      <w:r>
        <w:rPr>
          <w:rFonts w:ascii="David" w:hAnsi="David"/>
          <w:rtl/>
        </w:rPr>
        <w:t>נגד הנאשם תלויי ועומד מאסר מותנה ו</w:t>
      </w:r>
      <w:r>
        <w:rPr>
          <w:rtl/>
        </w:rPr>
        <w:t xml:space="preserve">דומה כי המחלוקת העיקרית בין הצדדים נוגעת לאפשרות הארכתו. אקדים ואומר כי לאחר שנתתי דעתי לטיעוני הצדדים, סברתי שאין הצדקה להארכת המאסר המותנה, במיוחד בהיעדר אינדיקציה מקצועית לשיקום. אזכיר כי הנאשם </w:t>
      </w:r>
      <w:r>
        <w:rPr>
          <w:rFonts w:hint="cs"/>
          <w:rtl/>
        </w:rPr>
        <w:t>ו</w:t>
      </w:r>
      <w:r>
        <w:rPr>
          <w:rtl/>
        </w:rPr>
        <w:t xml:space="preserve">ויתר על קבלת תסקיר שירות המבחן ולא הובאו בפני נתונים כלשהם על אודותיו זולת טענה להיותו איש העובד למחייתו. </w:t>
      </w:r>
    </w:p>
    <w:p w14:paraId="240D88F3" w14:textId="77777777" w:rsidR="00F51F53" w:rsidRDefault="00F51F53" w:rsidP="00F51F53">
      <w:pPr>
        <w:pStyle w:val="a9"/>
        <w:ind w:left="0"/>
        <w:jc w:val="both"/>
        <w:rPr>
          <w:rFonts w:ascii="David" w:hAnsi="David"/>
          <w:rtl/>
        </w:rPr>
      </w:pPr>
    </w:p>
    <w:p w14:paraId="364B8B86" w14:textId="77777777" w:rsidR="00F51F53" w:rsidRDefault="00F51F53" w:rsidP="00F51F53">
      <w:pPr>
        <w:pStyle w:val="a9"/>
        <w:numPr>
          <w:ilvl w:val="0"/>
          <w:numId w:val="1"/>
        </w:numPr>
        <w:spacing w:line="360" w:lineRule="auto"/>
        <w:jc w:val="both"/>
        <w:rPr>
          <w:rFonts w:ascii="David" w:hAnsi="David"/>
          <w:rtl/>
        </w:rPr>
      </w:pPr>
      <w:r>
        <w:rPr>
          <w:rtl/>
        </w:rPr>
        <w:t>כידוע, מאסר מותנה הוא מאסר שריצויו נדחה. הוא הוטל בגין העבירה הקודמת שעבר הנאשם וכעת מתבקשת הפעלתו בשל עבירה נוספת (</w:t>
      </w:r>
      <w:hyperlink r:id="rId31" w:history="1">
        <w:r w:rsidR="004A6439" w:rsidRPr="004A6439">
          <w:rPr>
            <w:color w:val="0000FF"/>
            <w:u w:val="single"/>
            <w:rtl/>
          </w:rPr>
          <w:t>רע"פ 2798/06</w:t>
        </w:r>
      </w:hyperlink>
      <w:r>
        <w:rPr>
          <w:rtl/>
        </w:rPr>
        <w:t xml:space="preserve"> </w:t>
      </w:r>
      <w:r>
        <w:rPr>
          <w:b/>
          <w:bCs/>
          <w:rtl/>
        </w:rPr>
        <w:t>דוד ועקנין נ' מדינת ישראל</w:t>
      </w:r>
      <w:r>
        <w:rPr>
          <w:rtl/>
        </w:rPr>
        <w:t xml:space="preserve"> (16.7.2007)). בהתאם לפסיקה הנוהגת, ככלל יורה בית המשפט על הפעלת מאסר מותנה אם הורשע הנאשם בעבירה נוספת שיש בה להפעילו. סמכותו של בית המשפט להימנע מתוצאה זו מותנית בהתאם </w:t>
      </w:r>
      <w:hyperlink r:id="rId32" w:history="1">
        <w:r w:rsidR="007B34B6" w:rsidRPr="007B34B6">
          <w:rPr>
            <w:rStyle w:val="Hyperlink"/>
            <w:rtl/>
          </w:rPr>
          <w:t>לסעיף 56(א)</w:t>
        </w:r>
      </w:hyperlink>
      <w:r>
        <w:rPr>
          <w:rtl/>
        </w:rPr>
        <w:t xml:space="preserve"> ל</w:t>
      </w:r>
      <w:hyperlink r:id="rId33" w:history="1">
        <w:r w:rsidR="004A6439" w:rsidRPr="004A6439">
          <w:rPr>
            <w:color w:val="0000FF"/>
            <w:u w:val="single"/>
            <w:rtl/>
          </w:rPr>
          <w:t>חוק העונשין</w:t>
        </w:r>
      </w:hyperlink>
      <w:r>
        <w:rPr>
          <w:rtl/>
        </w:rPr>
        <w:t xml:space="preserve"> בקיומם של "</w:t>
      </w:r>
      <w:r>
        <w:rPr>
          <w:rFonts w:ascii="Miriam" w:hAnsi="Miriam" w:cs="Miriam"/>
          <w:rtl/>
        </w:rPr>
        <w:t>טעמים מיוחדים שירשמו</w:t>
      </w:r>
      <w:r>
        <w:rPr>
          <w:rtl/>
        </w:rPr>
        <w:t>" וכן במסקנה שיהיה זה בלתי צודק להפעיל את המאסר המותנה בנסיבות העניין (</w:t>
      </w:r>
      <w:hyperlink r:id="rId34" w:history="1">
        <w:r w:rsidR="004A6439" w:rsidRPr="004A6439">
          <w:rPr>
            <w:color w:val="0000FF"/>
            <w:u w:val="single"/>
            <w:rtl/>
          </w:rPr>
          <w:t>רע"פ 7391/08</w:t>
        </w:r>
      </w:hyperlink>
      <w:r>
        <w:rPr>
          <w:rtl/>
        </w:rPr>
        <w:t xml:space="preserve"> </w:t>
      </w:r>
      <w:r>
        <w:rPr>
          <w:b/>
          <w:bCs/>
          <w:rtl/>
        </w:rPr>
        <w:t>מחאג'נה נ' מדינת ישראל</w:t>
      </w:r>
      <w:r>
        <w:rPr>
          <w:rtl/>
        </w:rPr>
        <w:t xml:space="preserve"> (14.9.2009)). כמו כן על מנת להאריך את המאסר המותנה יש להימנע מהטלת עונש מאסר </w:t>
      </w:r>
      <w:r>
        <w:rPr>
          <w:u w:val="single"/>
          <w:rtl/>
        </w:rPr>
        <w:t>ולו מותנה</w:t>
      </w:r>
      <w:r>
        <w:rPr>
          <w:rtl/>
        </w:rPr>
        <w:t xml:space="preserve"> (</w:t>
      </w:r>
      <w:hyperlink r:id="rId35" w:history="1">
        <w:r w:rsidR="007B34B6" w:rsidRPr="007B34B6">
          <w:rPr>
            <w:rStyle w:val="Hyperlink"/>
            <w:rtl/>
          </w:rPr>
          <w:t>סעיפים 54</w:t>
        </w:r>
      </w:hyperlink>
      <w:r>
        <w:rPr>
          <w:rtl/>
        </w:rPr>
        <w:t xml:space="preserve"> ו- </w:t>
      </w:r>
      <w:hyperlink r:id="rId36" w:history="1">
        <w:r w:rsidR="007B34B6" w:rsidRPr="007B34B6">
          <w:rPr>
            <w:rStyle w:val="Hyperlink"/>
            <w:rtl/>
          </w:rPr>
          <w:t>56(א)</w:t>
        </w:r>
      </w:hyperlink>
      <w:r>
        <w:rPr>
          <w:rtl/>
        </w:rPr>
        <w:t xml:space="preserve"> ל</w:t>
      </w:r>
      <w:hyperlink r:id="rId37" w:history="1">
        <w:r w:rsidR="004A6439" w:rsidRPr="004A6439">
          <w:rPr>
            <w:color w:val="0000FF"/>
            <w:u w:val="single"/>
            <w:rtl/>
          </w:rPr>
          <w:t>חוק העונשין</w:t>
        </w:r>
      </w:hyperlink>
      <w:r>
        <w:rPr>
          <w:rtl/>
        </w:rPr>
        <w:t>; (</w:t>
      </w:r>
      <w:hyperlink r:id="rId38" w:history="1">
        <w:r w:rsidR="004A6439" w:rsidRPr="004A6439">
          <w:rPr>
            <w:color w:val="0000FF"/>
            <w:u w:val="single"/>
            <w:rtl/>
          </w:rPr>
          <w:t>רע"פ 1441/14</w:t>
        </w:r>
      </w:hyperlink>
      <w:r>
        <w:rPr>
          <w:rtl/>
        </w:rPr>
        <w:t xml:space="preserve"> </w:t>
      </w:r>
      <w:r>
        <w:rPr>
          <w:b/>
          <w:bCs/>
          <w:rtl/>
        </w:rPr>
        <w:t>האבט חמיס נ' מדינת ישראל</w:t>
      </w:r>
      <w:r>
        <w:rPr>
          <w:rtl/>
        </w:rPr>
        <w:t xml:space="preserve"> (9.12.2014)). </w:t>
      </w:r>
    </w:p>
    <w:p w14:paraId="0B3464D5" w14:textId="77777777" w:rsidR="00F51F53" w:rsidRDefault="00F51F53" w:rsidP="00F51F53">
      <w:pPr>
        <w:pStyle w:val="a9"/>
      </w:pPr>
    </w:p>
    <w:p w14:paraId="740CE7FD" w14:textId="77777777" w:rsidR="00F51F53" w:rsidRDefault="00F51F53" w:rsidP="00F51F53">
      <w:pPr>
        <w:pStyle w:val="a9"/>
        <w:numPr>
          <w:ilvl w:val="0"/>
          <w:numId w:val="1"/>
        </w:numPr>
        <w:spacing w:line="360" w:lineRule="auto"/>
        <w:jc w:val="both"/>
        <w:rPr>
          <w:rFonts w:ascii="David" w:hAnsi="David"/>
          <w:rtl/>
        </w:rPr>
      </w:pPr>
      <w:r>
        <w:rPr>
          <w:rtl/>
        </w:rPr>
        <w:t xml:space="preserve">בחינת השיקולים השונים מלמדת שאין בנמצא נימוקים ראויים להארכת המאסר המותנה. אכן, העבירה שעבר הנאשם אינה חמורה במיוחד, וזאת מבלי להקל בה ראש. עם זאת, הנאשם החזיק סמים מסוגים שונים וכמות הקנביס הייתה מעל לפי שלוש מהכמות הקבועה בתוספת. </w:t>
      </w:r>
      <w:r>
        <w:rPr>
          <w:rFonts w:ascii="David" w:hAnsi="David"/>
          <w:rtl/>
        </w:rPr>
        <w:t>לכך יש להוסיף שהמאסר המותנה הוטל בגין עבירה חמורה של סחר בסמים. נתונים גולמיים אלו אינם תומכים בהארכת המאסר המותנה. לכך יש להוסיף שבמסגרת הסדר הטיעון התאפשר לנאשם להראות סיכויי שיקום ובכך להביא להארכת המאסר המותנה ואולם הוא בחר לוותר על מסלול זה. בחירה זו מקשה לקבל את טענתו להארכת המאסר המותנה. ראשית, אינני סבור שניתן לבסס מסקנה בדבר סיכויי שיקום ממשיים וכאמור על מנת להאריך את המאסר המותנה יש להימנע מהטלת מאסר כלל, ולו מותנה, ומהלך זה מחייב חריגה מטעמי שיקום שאינו אפשרי במקרה זה. שנית, לא שוכנעתי שהיה קושי אובייקטיבי שגרם לנאשם לוותר על הפנייתו לשירות המבחן ויש לזקוף ו</w:t>
      </w:r>
      <w:r>
        <w:rPr>
          <w:rFonts w:ascii="David" w:hAnsi="David" w:hint="cs"/>
          <w:rtl/>
        </w:rPr>
        <w:t>ו</w:t>
      </w:r>
      <w:r>
        <w:rPr>
          <w:rFonts w:ascii="David" w:hAnsi="David"/>
          <w:rtl/>
        </w:rPr>
        <w:t xml:space="preserve">יתור זה לחובתו ולא להעמידו במצב הטוב ביותר אליו יכול היה להגיע לו שיתף פעולה עם שירות המבחן. לא התעלמתי מבקשתו החוזרת לתסקיר ואולם כאמור דחיתי בקשה זו על רקע התנהגותו הכוללת ויחסו להליך, עת לא התייצב בפני שירות המבחן ובהמשך </w:t>
      </w:r>
      <w:r>
        <w:rPr>
          <w:rFonts w:ascii="David" w:hAnsi="David" w:hint="cs"/>
          <w:rtl/>
        </w:rPr>
        <w:t>ו</w:t>
      </w:r>
      <w:r>
        <w:rPr>
          <w:rFonts w:ascii="David" w:hAnsi="David"/>
          <w:rtl/>
        </w:rPr>
        <w:t xml:space="preserve">ויתר על תסקיר. בקשתו להפניה חוזרת לאחר שהופנה לממונה על עבודות השירות (שאף אליו לא התייצב מספר פעמים), אינה מלמדת על רצון בשינוי אלא על מהלך מושכל להימנע מענישה מחמירה לאחר שהבין את תוצאת התנהגותו. </w:t>
      </w:r>
    </w:p>
    <w:p w14:paraId="2E2CBFFC" w14:textId="77777777" w:rsidR="00F51F53" w:rsidRDefault="00F51F53" w:rsidP="00F51F53">
      <w:pPr>
        <w:pStyle w:val="a9"/>
        <w:rPr>
          <w:rFonts w:ascii="David" w:hAnsi="David"/>
        </w:rPr>
      </w:pPr>
    </w:p>
    <w:p w14:paraId="05CDEFC1" w14:textId="77777777" w:rsidR="00F51F53" w:rsidRDefault="00F51F53" w:rsidP="00F51F53">
      <w:pPr>
        <w:pStyle w:val="a9"/>
        <w:numPr>
          <w:ilvl w:val="0"/>
          <w:numId w:val="1"/>
        </w:numPr>
        <w:spacing w:line="360" w:lineRule="auto"/>
        <w:jc w:val="both"/>
        <w:rPr>
          <w:rFonts w:ascii="David" w:hAnsi="David"/>
          <w:rtl/>
        </w:rPr>
      </w:pPr>
      <w:r>
        <w:rPr>
          <w:rFonts w:ascii="David" w:hAnsi="David"/>
          <w:rtl/>
        </w:rPr>
        <w:t>יתרה מכך, אינני סבור שייגרם לנאשם נזק בלתי מידתי אם יופעל המאסר המותנה וגם לא שוכנעתי שיהיה זה בלתי צודק לעשות כן (</w:t>
      </w:r>
      <w:hyperlink r:id="rId39" w:history="1">
        <w:r w:rsidR="007B34B6" w:rsidRPr="007B34B6">
          <w:rPr>
            <w:rStyle w:val="Hyperlink"/>
            <w:rFonts w:ascii="David" w:hAnsi="David"/>
            <w:rtl/>
          </w:rPr>
          <w:t>סעיף 56(א)</w:t>
        </w:r>
      </w:hyperlink>
      <w:r>
        <w:rPr>
          <w:rFonts w:ascii="David" w:hAnsi="David"/>
          <w:rtl/>
        </w:rPr>
        <w:t xml:space="preserve"> ל</w:t>
      </w:r>
      <w:hyperlink r:id="rId40" w:history="1">
        <w:r w:rsidR="004A6439" w:rsidRPr="004A6439">
          <w:rPr>
            <w:rFonts w:ascii="David" w:hAnsi="David"/>
            <w:color w:val="0000FF"/>
            <w:u w:val="single"/>
            <w:rtl/>
          </w:rPr>
          <w:t>חוק העונשין</w:t>
        </w:r>
      </w:hyperlink>
      <w:r>
        <w:rPr>
          <w:rFonts w:ascii="David" w:hAnsi="David"/>
          <w:rtl/>
        </w:rPr>
        <w:t>). אינני מקל ראש בחומרת עונש מאסר (ולו בעבודות שירות) ואולם אין מדובר בפגיעה בלתי מידתית או כזו שאינה צודקת. אשוב ואציין כי הלכה למעשה תוצאת ההליך נגזרה מיחסו של הנאשם אליו שכן בהתאם להסדר הטיעון הוא יכול היה להוכיח סיכויי שיקום ולהימנע מעונש מאסר ולו בעבודות שירות</w:t>
      </w:r>
      <w:r>
        <w:rPr>
          <w:rFonts w:ascii="David" w:hAnsi="David" w:hint="cs"/>
          <w:rtl/>
        </w:rPr>
        <w:t>,</w:t>
      </w:r>
      <w:r>
        <w:rPr>
          <w:rFonts w:ascii="David" w:hAnsi="David"/>
          <w:rtl/>
        </w:rPr>
        <w:t xml:space="preserve"> אך הוא בחר לנהוג אחרת. </w:t>
      </w:r>
    </w:p>
    <w:p w14:paraId="48738459" w14:textId="77777777" w:rsidR="00F51F53" w:rsidRDefault="00F51F53" w:rsidP="00F51F53">
      <w:pPr>
        <w:pStyle w:val="a9"/>
        <w:rPr>
          <w:rFonts w:ascii="David" w:hAnsi="David"/>
        </w:rPr>
      </w:pPr>
    </w:p>
    <w:p w14:paraId="12A91DE1" w14:textId="77777777" w:rsidR="00F51F53" w:rsidRDefault="00F51F53" w:rsidP="00F51F53">
      <w:pPr>
        <w:pStyle w:val="a9"/>
        <w:numPr>
          <w:ilvl w:val="0"/>
          <w:numId w:val="1"/>
        </w:numPr>
        <w:spacing w:line="360" w:lineRule="auto"/>
        <w:jc w:val="both"/>
        <w:rPr>
          <w:rFonts w:ascii="David" w:hAnsi="David"/>
          <w:rtl/>
        </w:rPr>
      </w:pPr>
      <w:r>
        <w:rPr>
          <w:rFonts w:ascii="David" w:hAnsi="David"/>
          <w:rtl/>
        </w:rPr>
        <w:t xml:space="preserve">אין אפוא הצדקה להארכת המאסר המותנה. בבואי לקבוע את עונשו של הנאשם הבאתי בחשבון את הגיל הצעיר יחסית, את קבלת האחריות, את נסיבות חייו כפי שציין הסנגור, את העובדה שמאז ביצוע העבירה לא נפתחו תיקים נוספים וכן את חלוף הזמן. בנקודה זו אבהיר כי התמשכות ההליכים עומדת לפתחו של הנאשם. אומנם מדובר בעבירה מחודש 6/21, אך כתב האישום הוגש לאחר כעשרה חודשים בעוד </w:t>
      </w:r>
      <w:r>
        <w:rPr>
          <w:rFonts w:ascii="David" w:hAnsi="David" w:hint="cs"/>
          <w:rtl/>
        </w:rPr>
        <w:t>ש</w:t>
      </w:r>
      <w:r>
        <w:rPr>
          <w:rFonts w:ascii="David" w:hAnsi="David"/>
          <w:rtl/>
        </w:rPr>
        <w:t>ההליך התארך בשל התנהלות הנאשם שפורטה לעיל ולכן לחלוף הזמן יינתן משקל מוגבל. לחומרה הבאתי בחשבון את העבר הפלילי הכולל עבירות סמים חמורות בגינן הוטל עליו עונש מאסר בעבודות שירות. על רקע המאסר המותנה שיש להפעיל מתחייב עונש מאסר</w:t>
      </w:r>
      <w:r>
        <w:rPr>
          <w:rFonts w:ascii="David" w:hAnsi="David" w:hint="cs"/>
          <w:rtl/>
        </w:rPr>
        <w:t xml:space="preserve"> ואולם לאור נתוני הנאשם ומהות האישום, אורה על נשיאתו בעבודות שירות</w:t>
      </w:r>
      <w:r>
        <w:rPr>
          <w:rFonts w:ascii="David" w:hAnsi="David"/>
          <w:rtl/>
        </w:rPr>
        <w:t xml:space="preserve">. </w:t>
      </w:r>
      <w:r>
        <w:rPr>
          <w:rFonts w:ascii="David" w:hAnsi="David" w:hint="cs"/>
          <w:rtl/>
        </w:rPr>
        <w:t>כן אורה על חפיפה של העונש שיוטל לעונש המופעל וזאת על רקע מהות העבירה והעונש הכולל הראוי.</w:t>
      </w:r>
    </w:p>
    <w:p w14:paraId="7CEC0884" w14:textId="77777777" w:rsidR="00F51F53" w:rsidRDefault="00F51F53" w:rsidP="00F51F53">
      <w:pPr>
        <w:pStyle w:val="a9"/>
        <w:spacing w:line="360" w:lineRule="auto"/>
        <w:ind w:left="0"/>
        <w:jc w:val="both"/>
        <w:rPr>
          <w:rFonts w:ascii="David" w:hAnsi="David"/>
        </w:rPr>
      </w:pPr>
      <w:r>
        <w:rPr>
          <w:rFonts w:ascii="David" w:hAnsi="David"/>
          <w:rtl/>
        </w:rPr>
        <w:t xml:space="preserve"> </w:t>
      </w:r>
      <w:r>
        <w:rPr>
          <w:rtl/>
        </w:rPr>
        <w:t>סיכומו של דבר, לאחר שבחנתי את מכלול השיקולים, הן לקולה והן לחומרה, אני מטיל על הנאשם את העונשים הבאים:</w:t>
      </w:r>
    </w:p>
    <w:p w14:paraId="060FB09C" w14:textId="77777777" w:rsidR="00F51F53" w:rsidRDefault="00F51F53" w:rsidP="00F51F53">
      <w:pPr>
        <w:pStyle w:val="a9"/>
        <w:rPr>
          <w:rFonts w:ascii="David" w:hAnsi="David"/>
        </w:rPr>
      </w:pPr>
    </w:p>
    <w:p w14:paraId="22F6FF81" w14:textId="77777777" w:rsidR="00F51F53" w:rsidRDefault="00F51F53" w:rsidP="00F51F53">
      <w:pPr>
        <w:pStyle w:val="a9"/>
        <w:numPr>
          <w:ilvl w:val="0"/>
          <w:numId w:val="2"/>
        </w:numPr>
        <w:spacing w:before="120" w:after="120" w:line="360" w:lineRule="auto"/>
        <w:jc w:val="both"/>
      </w:pPr>
      <w:r>
        <w:rPr>
          <w:rtl/>
        </w:rPr>
        <w:t xml:space="preserve">מאסר בפועל למשך חודש. </w:t>
      </w:r>
    </w:p>
    <w:p w14:paraId="78B4BF7E" w14:textId="77777777" w:rsidR="00F51F53" w:rsidRDefault="00F51F53" w:rsidP="00F51F53">
      <w:pPr>
        <w:pStyle w:val="a9"/>
        <w:numPr>
          <w:ilvl w:val="0"/>
          <w:numId w:val="2"/>
        </w:numPr>
        <w:spacing w:before="120" w:after="120" w:line="360" w:lineRule="auto"/>
        <w:jc w:val="both"/>
        <w:rPr>
          <w:rtl/>
        </w:rPr>
      </w:pPr>
      <w:r>
        <w:rPr>
          <w:rtl/>
        </w:rPr>
        <w:t xml:space="preserve">אני מפעיל עונש מאסר מותנה בן 4 חודשים מ- </w:t>
      </w:r>
      <w:hyperlink r:id="rId41" w:history="1">
        <w:r w:rsidR="004A6439" w:rsidRPr="004A6439">
          <w:rPr>
            <w:color w:val="0000FF"/>
            <w:u w:val="single"/>
            <w:rtl/>
          </w:rPr>
          <w:t>ת.פ. 37273-03-18</w:t>
        </w:r>
      </w:hyperlink>
      <w:r>
        <w:rPr>
          <w:rtl/>
        </w:rPr>
        <w:t xml:space="preserve"> (בית משפט שלום נצרת) מיום 28.02.2019 וזאת בחופף לעונש שהוטל לעיל. </w:t>
      </w:r>
    </w:p>
    <w:p w14:paraId="4923377D" w14:textId="77777777" w:rsidR="00F51F53" w:rsidRDefault="00F51F53" w:rsidP="00F51F53">
      <w:pPr>
        <w:spacing w:before="120" w:after="120" w:line="360" w:lineRule="auto"/>
        <w:ind w:left="1440"/>
        <w:contextualSpacing/>
        <w:jc w:val="both"/>
      </w:pPr>
      <w:r>
        <w:rPr>
          <w:b/>
          <w:bCs/>
          <w:rtl/>
        </w:rPr>
        <w:t xml:space="preserve">סה"כ יישא הנאשם עונש מאסר בן </w:t>
      </w:r>
      <w:r>
        <w:rPr>
          <w:rFonts w:hint="cs"/>
          <w:b/>
          <w:bCs/>
          <w:rtl/>
        </w:rPr>
        <w:t>4</w:t>
      </w:r>
      <w:r>
        <w:rPr>
          <w:b/>
          <w:bCs/>
          <w:rtl/>
        </w:rPr>
        <w:t xml:space="preserve"> חודשים.</w:t>
      </w:r>
      <w:r>
        <w:rPr>
          <w:rtl/>
        </w:rPr>
        <w:t xml:space="preserve"> הנאשם יישא עונש זה בעבודות שירות בהתאם לחוות דעת הממונה ויתייצב לתחילת עונשו ביום 31.7.24 במתחם כלא מגידו עד השעה 08.00. </w:t>
      </w:r>
      <w:r>
        <w:rPr>
          <w:u w:val="single"/>
          <w:rtl/>
        </w:rPr>
        <w:t>מובהר לנאשם כי עליו לבצע את העבודות בהתאם להוראות הממונה וכי אם לא יעשה כן ניתן יהיה להפקיע את העבודות מנהלית והוא יאלץ לשאת ביתרת התקופה בבית מאסר.</w:t>
      </w:r>
    </w:p>
    <w:p w14:paraId="671493D8" w14:textId="77777777" w:rsidR="00F51F53" w:rsidRDefault="00F51F53" w:rsidP="00F51F53">
      <w:pPr>
        <w:numPr>
          <w:ilvl w:val="0"/>
          <w:numId w:val="2"/>
        </w:numPr>
        <w:spacing w:before="120" w:after="120" w:line="360" w:lineRule="auto"/>
        <w:contextualSpacing/>
        <w:jc w:val="both"/>
      </w:pPr>
      <w:r>
        <w:rPr>
          <w:rtl/>
        </w:rPr>
        <w:t xml:space="preserve">מאסר על תנאי למשך חודש והתנאי הוא </w:t>
      </w:r>
      <w:r>
        <w:rPr>
          <w:rFonts w:hint="cs"/>
          <w:rtl/>
        </w:rPr>
        <w:t>ש</w:t>
      </w:r>
      <w:r>
        <w:rPr>
          <w:rtl/>
        </w:rPr>
        <w:t xml:space="preserve">לא יעבור בתוך שנה כל עבירה על פקודת הסמים שהיא פשע. </w:t>
      </w:r>
    </w:p>
    <w:p w14:paraId="1B78B2B7" w14:textId="77777777" w:rsidR="00F51F53" w:rsidRDefault="00F51F53" w:rsidP="00F51F53">
      <w:pPr>
        <w:numPr>
          <w:ilvl w:val="0"/>
          <w:numId w:val="2"/>
        </w:numPr>
        <w:spacing w:before="120" w:after="120" w:line="360" w:lineRule="auto"/>
        <w:contextualSpacing/>
        <w:jc w:val="both"/>
        <w:rPr>
          <w:rtl/>
        </w:rPr>
      </w:pPr>
      <w:r>
        <w:rPr>
          <w:rtl/>
        </w:rPr>
        <w:t xml:space="preserve">לאור מצבו הכלכלי כפי שנטען והעונש שהוטל, אני נמנע מהטלת קנס. </w:t>
      </w:r>
    </w:p>
    <w:p w14:paraId="006CE9E1" w14:textId="77777777" w:rsidR="00F51F53" w:rsidRDefault="00F51F53" w:rsidP="00F51F53">
      <w:pPr>
        <w:spacing w:before="120" w:after="120"/>
        <w:contextualSpacing/>
        <w:jc w:val="both"/>
      </w:pPr>
    </w:p>
    <w:p w14:paraId="6D551695" w14:textId="77777777" w:rsidR="00F51F53" w:rsidRDefault="00F51F53" w:rsidP="00F51F53">
      <w:pPr>
        <w:spacing w:before="120" w:after="120"/>
        <w:ind w:left="720"/>
        <w:contextualSpacing/>
        <w:jc w:val="both"/>
      </w:pPr>
      <w:r>
        <w:rPr>
          <w:rtl/>
        </w:rPr>
        <w:t>הסמים – להשמיד בחלוף תקופת הערעור.</w:t>
      </w:r>
    </w:p>
    <w:p w14:paraId="745034A8" w14:textId="77777777" w:rsidR="00F51F53" w:rsidRDefault="00F51F53" w:rsidP="00F51F53">
      <w:pPr>
        <w:spacing w:before="120" w:after="120"/>
        <w:contextualSpacing/>
        <w:jc w:val="both"/>
        <w:rPr>
          <w:rtl/>
        </w:rPr>
      </w:pPr>
    </w:p>
    <w:p w14:paraId="44011761" w14:textId="77777777" w:rsidR="00F51F53" w:rsidRDefault="00F51F53" w:rsidP="00F51F53">
      <w:pPr>
        <w:spacing w:before="120" w:after="120" w:line="360" w:lineRule="auto"/>
        <w:contextualSpacing/>
        <w:jc w:val="both"/>
        <w:rPr>
          <w:rtl/>
        </w:rPr>
      </w:pPr>
      <w:r>
        <w:rPr>
          <w:rtl/>
        </w:rPr>
        <w:t xml:space="preserve"> </w:t>
      </w:r>
      <w:r>
        <w:rPr>
          <w:rFonts w:ascii="David" w:hAnsi="David"/>
          <w:b/>
          <w:bCs/>
          <w:color w:val="000000"/>
          <w:u w:val="single"/>
          <w:rtl/>
        </w:rPr>
        <w:t>הודעה זכות ערעור לבית המשפט המחוזי בתוך 45 יום</w:t>
      </w:r>
      <w:r>
        <w:rPr>
          <w:rFonts w:ascii="David" w:hAnsi="David"/>
          <w:b/>
          <w:bCs/>
          <w:color w:val="000000"/>
          <w:u w:val="single"/>
        </w:rPr>
        <w:t>.</w:t>
      </w:r>
    </w:p>
    <w:p w14:paraId="78EAB1F0" w14:textId="77777777" w:rsidR="00F51F53" w:rsidRDefault="00F51F53" w:rsidP="00F51F53">
      <w:pPr>
        <w:rPr>
          <w:rFonts w:ascii="David" w:hAnsi="David"/>
          <w:b/>
          <w:bCs/>
          <w:u w:val="single"/>
        </w:rPr>
      </w:pPr>
      <w:r>
        <w:rPr>
          <w:rFonts w:ascii="David" w:hAnsi="David"/>
          <w:b/>
          <w:bCs/>
          <w:u w:val="single"/>
          <w:rtl/>
        </w:rPr>
        <w:t xml:space="preserve">המזכירות תשלח את גזר הדין לממונה למעקב. </w:t>
      </w:r>
    </w:p>
    <w:p w14:paraId="5EB92BE3" w14:textId="77777777" w:rsidR="00F51F53" w:rsidRDefault="00F51F53" w:rsidP="00F51F53">
      <w:pPr>
        <w:rPr>
          <w:rFonts w:ascii="David" w:hAnsi="David"/>
          <w:b/>
          <w:bCs/>
          <w:u w:val="single"/>
          <w:rtl/>
        </w:rPr>
      </w:pPr>
    </w:p>
    <w:p w14:paraId="00D58C4B" w14:textId="77777777" w:rsidR="00F51F53" w:rsidRPr="004A6439" w:rsidRDefault="004A6439" w:rsidP="00F51F53">
      <w:pPr>
        <w:rPr>
          <w:rFonts w:ascii="David" w:hAnsi="David"/>
          <w:color w:val="FFFFFF"/>
          <w:sz w:val="2"/>
          <w:szCs w:val="2"/>
          <w:rtl/>
        </w:rPr>
      </w:pPr>
      <w:r w:rsidRPr="004A6439">
        <w:rPr>
          <w:rFonts w:ascii="David" w:hAnsi="David"/>
          <w:color w:val="FFFFFF"/>
          <w:sz w:val="2"/>
          <w:szCs w:val="2"/>
          <w:rtl/>
        </w:rPr>
        <w:t>5129371</w:t>
      </w:r>
    </w:p>
    <w:p w14:paraId="1B73D125" w14:textId="77777777" w:rsidR="00F51F53" w:rsidRPr="004A6439" w:rsidRDefault="004A6439" w:rsidP="00F51F53">
      <w:pPr>
        <w:rPr>
          <w:rFonts w:ascii="David" w:hAnsi="David"/>
          <w:color w:val="FFFFFF"/>
          <w:sz w:val="2"/>
          <w:szCs w:val="2"/>
          <w:rtl/>
        </w:rPr>
      </w:pPr>
      <w:r w:rsidRPr="004A6439">
        <w:rPr>
          <w:rFonts w:ascii="David" w:hAnsi="David"/>
          <w:color w:val="FFFFFF"/>
          <w:sz w:val="2"/>
          <w:szCs w:val="2"/>
          <w:rtl/>
        </w:rPr>
        <w:t>54678313</w:t>
      </w:r>
    </w:p>
    <w:p w14:paraId="452B3F40" w14:textId="77777777" w:rsidR="00F51F53" w:rsidRPr="00EA57D5" w:rsidRDefault="00F51F53" w:rsidP="00F51F53">
      <w:pPr>
        <w:rPr>
          <w:rFonts w:ascii="David" w:hAnsi="David"/>
          <w:rtl/>
        </w:rPr>
      </w:pPr>
    </w:p>
    <w:p w14:paraId="2726522E" w14:textId="77777777" w:rsidR="00F51F53" w:rsidRPr="00EA57D5" w:rsidRDefault="004A6439" w:rsidP="00F51F53">
      <w:pPr>
        <w:rPr>
          <w:rFonts w:ascii="David" w:hAnsi="David"/>
          <w:rtl/>
        </w:rPr>
      </w:pPr>
      <w:bookmarkStart w:id="7" w:name="Nitan"/>
      <w:r>
        <w:rPr>
          <w:rFonts w:ascii="David" w:hAnsi="David"/>
          <w:rtl/>
        </w:rPr>
        <w:t xml:space="preserve">ניתן היום,  י"א תמוז תשפ"ד, 17 יולי 2024, במעמד הצדדים. </w:t>
      </w:r>
      <w:bookmarkEnd w:id="7"/>
    </w:p>
    <w:p w14:paraId="042B7B4B" w14:textId="77777777" w:rsidR="00F51F53" w:rsidRPr="00EA57D5" w:rsidRDefault="00F51F53" w:rsidP="004A6439">
      <w:pPr>
        <w:jc w:val="center"/>
      </w:pPr>
      <w:r w:rsidRPr="00EA57D5">
        <w:rPr>
          <w:rFonts w:ascii="David" w:hAnsi="David"/>
          <w:rtl/>
        </w:rPr>
        <w:t xml:space="preserve">   </w:t>
      </w:r>
      <w:r w:rsidRPr="00EA57D5">
        <w:rPr>
          <w:rFonts w:ascii="David" w:hAnsi="David"/>
          <w:rtl/>
        </w:rPr>
        <w:tab/>
      </w:r>
      <w:r w:rsidRPr="00EA57D5">
        <w:rPr>
          <w:rFonts w:ascii="David" w:hAnsi="David"/>
          <w:rtl/>
        </w:rPr>
        <w:tab/>
      </w:r>
      <w:r w:rsidRPr="00EA57D5">
        <w:rPr>
          <w:rFonts w:ascii="David" w:hAnsi="David"/>
          <w:rtl/>
        </w:rPr>
        <w:tab/>
      </w:r>
      <w:r w:rsidRPr="00EA57D5">
        <w:rPr>
          <w:rFonts w:ascii="David" w:hAnsi="David"/>
          <w:rtl/>
        </w:rPr>
        <w:tab/>
      </w:r>
      <w:r w:rsidRPr="00EA57D5">
        <w:rPr>
          <w:rFonts w:ascii="David" w:hAnsi="David"/>
          <w:rtl/>
        </w:rPr>
        <w:tab/>
      </w:r>
    </w:p>
    <w:p w14:paraId="132591CA" w14:textId="77777777" w:rsidR="00F51F53" w:rsidRPr="00EA57D5" w:rsidRDefault="00F51F53" w:rsidP="00F51F53">
      <w:pPr>
        <w:jc w:val="center"/>
        <w:rPr>
          <w:rFonts w:ascii="David" w:hAnsi="David"/>
          <w:rtl/>
        </w:rPr>
      </w:pPr>
    </w:p>
    <w:p w14:paraId="2356A5F0" w14:textId="77777777" w:rsidR="003E5A23" w:rsidRPr="004A6439" w:rsidRDefault="003E5A23" w:rsidP="004A6439">
      <w:pPr>
        <w:keepNext/>
        <w:rPr>
          <w:rFonts w:ascii="David" w:hAnsi="David"/>
          <w:color w:val="000000"/>
          <w:sz w:val="22"/>
          <w:szCs w:val="22"/>
          <w:rtl/>
        </w:rPr>
      </w:pPr>
    </w:p>
    <w:p w14:paraId="4E289A77" w14:textId="77777777" w:rsidR="004A6439" w:rsidRPr="004A6439" w:rsidRDefault="004A6439" w:rsidP="004A6439">
      <w:pPr>
        <w:keepNext/>
        <w:rPr>
          <w:rFonts w:ascii="David" w:hAnsi="David"/>
          <w:color w:val="000000"/>
          <w:sz w:val="22"/>
          <w:szCs w:val="22"/>
          <w:rtl/>
        </w:rPr>
      </w:pPr>
      <w:r w:rsidRPr="004A6439">
        <w:rPr>
          <w:rFonts w:ascii="David" w:hAnsi="David"/>
          <w:color w:val="000000"/>
          <w:sz w:val="22"/>
          <w:szCs w:val="22"/>
          <w:rtl/>
        </w:rPr>
        <w:t>יוסי טורס 54678313</w:t>
      </w:r>
    </w:p>
    <w:p w14:paraId="06BA9C81" w14:textId="77777777" w:rsidR="004A6439" w:rsidRDefault="004A6439" w:rsidP="004A6439">
      <w:r w:rsidRPr="004A6439">
        <w:rPr>
          <w:color w:val="000000"/>
          <w:rtl/>
        </w:rPr>
        <w:t>נוסח מסמך זה כפוף לשינויי ניסוח ועריכה</w:t>
      </w:r>
    </w:p>
    <w:p w14:paraId="4012A91A" w14:textId="77777777" w:rsidR="004A6439" w:rsidRDefault="004A6439" w:rsidP="004A6439">
      <w:pPr>
        <w:rPr>
          <w:rtl/>
        </w:rPr>
      </w:pPr>
    </w:p>
    <w:p w14:paraId="26EE12AE" w14:textId="77777777" w:rsidR="004A6439" w:rsidRDefault="004A6439" w:rsidP="004A6439">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64F5496" w14:textId="77777777" w:rsidR="004A6439" w:rsidRPr="004A6439" w:rsidRDefault="004A6439" w:rsidP="004A6439">
      <w:pPr>
        <w:jc w:val="center"/>
        <w:rPr>
          <w:color w:val="0000FF"/>
          <w:u w:val="single"/>
        </w:rPr>
      </w:pPr>
    </w:p>
    <w:sectPr w:rsidR="004A6439" w:rsidRPr="004A6439" w:rsidSect="004A6439">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AAB8E" w14:textId="77777777" w:rsidR="004E167E" w:rsidRDefault="004E167E" w:rsidP="003C359F">
      <w:r>
        <w:separator/>
      </w:r>
    </w:p>
  </w:endnote>
  <w:endnote w:type="continuationSeparator" w:id="0">
    <w:p w14:paraId="0119AAC0" w14:textId="77777777" w:rsidR="004E167E" w:rsidRDefault="004E167E" w:rsidP="003C3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BAE33" w14:textId="77777777" w:rsidR="004A6439" w:rsidRDefault="004A6439" w:rsidP="004A64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86921F" w14:textId="77777777" w:rsidR="006D4883" w:rsidRPr="004A6439" w:rsidRDefault="004A6439" w:rsidP="004A64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088B9" w14:textId="77777777" w:rsidR="004A6439" w:rsidRDefault="004A6439" w:rsidP="004A64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55EE">
      <w:rPr>
        <w:rFonts w:ascii="FrankRuehl" w:hAnsi="FrankRuehl" w:cs="FrankRuehl"/>
        <w:noProof/>
        <w:rtl/>
      </w:rPr>
      <w:t>1</w:t>
    </w:r>
    <w:r>
      <w:rPr>
        <w:rFonts w:ascii="FrankRuehl" w:hAnsi="FrankRuehl" w:cs="FrankRuehl"/>
        <w:rtl/>
      </w:rPr>
      <w:fldChar w:fldCharType="end"/>
    </w:r>
  </w:p>
  <w:p w14:paraId="0CF9E4A5" w14:textId="77777777" w:rsidR="006D4883" w:rsidRPr="004A6439" w:rsidRDefault="004A6439" w:rsidP="004A64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3F2D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A5960" w14:textId="77777777" w:rsidR="004E167E" w:rsidRDefault="004E167E" w:rsidP="003C359F">
      <w:r>
        <w:separator/>
      </w:r>
    </w:p>
  </w:footnote>
  <w:footnote w:type="continuationSeparator" w:id="0">
    <w:p w14:paraId="073A9D86" w14:textId="77777777" w:rsidR="004E167E" w:rsidRDefault="004E167E" w:rsidP="003C3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7045E" w14:textId="77777777" w:rsidR="004A6439" w:rsidRPr="004A6439" w:rsidRDefault="004A6439" w:rsidP="004A643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23498-04-22</w:t>
    </w:r>
    <w:r>
      <w:rPr>
        <w:rFonts w:ascii="David" w:hAnsi="David"/>
        <w:color w:val="000000"/>
        <w:sz w:val="22"/>
        <w:szCs w:val="22"/>
        <w:rtl/>
      </w:rPr>
      <w:tab/>
      <w:t xml:space="preserve"> מדינת ישראל נ' ערן סעד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462C0" w14:textId="77777777" w:rsidR="004A6439" w:rsidRPr="004A6439" w:rsidRDefault="004A6439" w:rsidP="004A643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23498-04-22</w:t>
    </w:r>
    <w:r>
      <w:rPr>
        <w:rFonts w:ascii="David" w:hAnsi="David"/>
        <w:color w:val="000000"/>
        <w:sz w:val="22"/>
        <w:szCs w:val="22"/>
        <w:rtl/>
      </w:rPr>
      <w:tab/>
      <w:t xml:space="preserve"> מדינת ישראל נ' ערן סעד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1EE1"/>
    <w:multiLevelType w:val="hybridMultilevel"/>
    <w:tmpl w:val="B21C6BE8"/>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59BD7420"/>
    <w:multiLevelType w:val="hybridMultilevel"/>
    <w:tmpl w:val="7E285B74"/>
    <w:lvl w:ilvl="0" w:tplc="9880D8D4">
      <w:start w:val="1"/>
      <w:numFmt w:val="decimal"/>
      <w:lvlText w:val="%1."/>
      <w:lvlJc w:val="left"/>
      <w:pPr>
        <w:tabs>
          <w:tab w:val="num" w:pos="567"/>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771188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8169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1F53"/>
    <w:rsid w:val="000755EE"/>
    <w:rsid w:val="003C359F"/>
    <w:rsid w:val="003E5A23"/>
    <w:rsid w:val="004A6439"/>
    <w:rsid w:val="004E167E"/>
    <w:rsid w:val="0050505F"/>
    <w:rsid w:val="006D4883"/>
    <w:rsid w:val="007B34B6"/>
    <w:rsid w:val="0082283E"/>
    <w:rsid w:val="009A4E4C"/>
    <w:rsid w:val="00B849D6"/>
    <w:rsid w:val="00C3751B"/>
    <w:rsid w:val="00E639A3"/>
    <w:rsid w:val="00EF3A99"/>
    <w:rsid w:val="00F020AA"/>
    <w:rsid w:val="00F51F53"/>
    <w:rsid w:val="00FD7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DE0A17"/>
  <w15:chartTrackingRefBased/>
  <w15:docId w15:val="{7BF4EAAC-EAAD-40E5-ACBA-5C88414D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1F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1F53"/>
    <w:pPr>
      <w:tabs>
        <w:tab w:val="center" w:pos="4153"/>
        <w:tab w:val="right" w:pos="8306"/>
      </w:tabs>
    </w:pPr>
  </w:style>
  <w:style w:type="character" w:customStyle="1" w:styleId="a4">
    <w:name w:val="כותרת עליונה תו"/>
    <w:link w:val="a3"/>
    <w:rsid w:val="00F51F53"/>
    <w:rPr>
      <w:rFonts w:ascii="Times New Roman" w:eastAsia="Times New Roman" w:hAnsi="Times New Roman" w:cs="David"/>
      <w:sz w:val="24"/>
      <w:szCs w:val="24"/>
    </w:rPr>
  </w:style>
  <w:style w:type="paragraph" w:styleId="a5">
    <w:name w:val="footer"/>
    <w:basedOn w:val="a"/>
    <w:link w:val="a6"/>
    <w:rsid w:val="00F51F53"/>
    <w:pPr>
      <w:tabs>
        <w:tab w:val="center" w:pos="4153"/>
        <w:tab w:val="right" w:pos="8306"/>
      </w:tabs>
    </w:pPr>
  </w:style>
  <w:style w:type="character" w:customStyle="1" w:styleId="a6">
    <w:name w:val="כותרת תחתונה תו"/>
    <w:link w:val="a5"/>
    <w:rsid w:val="00F51F53"/>
    <w:rPr>
      <w:rFonts w:ascii="Times New Roman" w:eastAsia="Times New Roman" w:hAnsi="Times New Roman" w:cs="David"/>
      <w:sz w:val="24"/>
      <w:szCs w:val="24"/>
    </w:rPr>
  </w:style>
  <w:style w:type="table" w:styleId="a7">
    <w:name w:val="Table Grid"/>
    <w:basedOn w:val="a1"/>
    <w:rsid w:val="00F51F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1F53"/>
  </w:style>
  <w:style w:type="paragraph" w:styleId="a9">
    <w:name w:val="List Paragraph"/>
    <w:basedOn w:val="a"/>
    <w:qFormat/>
    <w:rsid w:val="00F51F53"/>
    <w:pPr>
      <w:ind w:left="720"/>
      <w:contextualSpacing/>
    </w:pPr>
  </w:style>
  <w:style w:type="character" w:styleId="Hyperlink">
    <w:name w:val="Hyperlink"/>
    <w:rsid w:val="004A6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48/15"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6596068" TargetMode="External"/><Relationship Id="rId39" Type="http://schemas.openxmlformats.org/officeDocument/2006/relationships/hyperlink" Target="http://www.nevo.co.il/law/70301/56.a" TargetMode="External"/><Relationship Id="rId21" Type="http://schemas.openxmlformats.org/officeDocument/2006/relationships/hyperlink" Target="http://www.nevo.co.il/law/207788" TargetMode="External"/><Relationship Id="rId34" Type="http://schemas.openxmlformats.org/officeDocument/2006/relationships/hyperlink" Target="http://www.nevo.co.il/case/610273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56.a" TargetMode="External"/><Relationship Id="rId29" Type="http://schemas.openxmlformats.org/officeDocument/2006/relationships/hyperlink" Target="http://www.nevo.co.il/case/268365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207788" TargetMode="External"/><Relationship Id="rId24" Type="http://schemas.openxmlformats.org/officeDocument/2006/relationships/hyperlink" Target="http://www.nevo.co.il/law/4216/2T" TargetMode="External"/><Relationship Id="rId32" Type="http://schemas.openxmlformats.org/officeDocument/2006/relationships/hyperlink" Target="http://www.nevo.co.il/law/70301/56.a"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54" TargetMode="External"/><Relationship Id="rId23" Type="http://schemas.openxmlformats.org/officeDocument/2006/relationships/hyperlink" Target="http://www.nevo.co.il/law/74248" TargetMode="External"/><Relationship Id="rId28" Type="http://schemas.openxmlformats.org/officeDocument/2006/relationships/hyperlink" Target="http://www.nevo.co.il/case/27375344" TargetMode="External"/><Relationship Id="rId36" Type="http://schemas.openxmlformats.org/officeDocument/2006/relationships/hyperlink" Target="http://www.nevo.co.il/law/70301/56.a"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6991436" TargetMode="External"/><Relationship Id="rId31" Type="http://schemas.openxmlformats.org/officeDocument/2006/relationships/hyperlink" Target="http://www.nevo.co.il/case/585743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4248/15" TargetMode="External"/><Relationship Id="rId27" Type="http://schemas.openxmlformats.org/officeDocument/2006/relationships/hyperlink" Target="http://www.nevo.co.il/case/25925268" TargetMode="External"/><Relationship Id="rId30" Type="http://schemas.openxmlformats.org/officeDocument/2006/relationships/hyperlink" Target="http://www.nevo.co.il/case/27862309" TargetMode="External"/><Relationship Id="rId35" Type="http://schemas.openxmlformats.org/officeDocument/2006/relationships/hyperlink" Target="http://www.nevo.co.il/law/70301/5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2T" TargetMode="External"/><Relationship Id="rId3" Type="http://schemas.openxmlformats.org/officeDocument/2006/relationships/settings" Target="settings.xml"/><Relationship Id="rId12" Type="http://schemas.openxmlformats.org/officeDocument/2006/relationships/hyperlink" Target="http://www.nevo.co.il/law/74248"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9192302"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2930657" TargetMode="External"/><Relationship Id="rId46" Type="http://schemas.openxmlformats.org/officeDocument/2006/relationships/footer" Target="footer2.xml"/><Relationship Id="rId20" Type="http://schemas.openxmlformats.org/officeDocument/2006/relationships/hyperlink" Target="http://www.nevo.co.il/case/23827604" TargetMode="External"/><Relationship Id="rId41" Type="http://schemas.openxmlformats.org/officeDocument/2006/relationships/hyperlink" Target="http://www.nevo.co.il/case/237969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2017</Words>
  <Characters>10090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12083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3801207</vt:i4>
      </vt:variant>
      <vt:variant>
        <vt:i4>102</vt:i4>
      </vt:variant>
      <vt:variant>
        <vt:i4>0</vt:i4>
      </vt:variant>
      <vt:variant>
        <vt:i4>5</vt:i4>
      </vt:variant>
      <vt:variant>
        <vt:lpwstr>http://www.nevo.co.il/case/23796992</vt:lpwstr>
      </vt:variant>
      <vt:variant>
        <vt:lpwstr/>
      </vt:variant>
      <vt:variant>
        <vt:i4>7995492</vt:i4>
      </vt:variant>
      <vt:variant>
        <vt:i4>99</vt:i4>
      </vt:variant>
      <vt:variant>
        <vt:i4>0</vt:i4>
      </vt:variant>
      <vt:variant>
        <vt:i4>5</vt:i4>
      </vt:variant>
      <vt:variant>
        <vt:lpwstr>http://www.nevo.co.il/law/70301</vt:lpwstr>
      </vt:variant>
      <vt:variant>
        <vt:lpwstr/>
      </vt:variant>
      <vt:variant>
        <vt:i4>131150</vt:i4>
      </vt:variant>
      <vt:variant>
        <vt:i4>96</vt:i4>
      </vt:variant>
      <vt:variant>
        <vt:i4>0</vt:i4>
      </vt:variant>
      <vt:variant>
        <vt:i4>5</vt:i4>
      </vt:variant>
      <vt:variant>
        <vt:lpwstr>http://www.nevo.co.il/law/70301/56.a</vt:lpwstr>
      </vt:variant>
      <vt:variant>
        <vt:lpwstr/>
      </vt:variant>
      <vt:variant>
        <vt:i4>3997811</vt:i4>
      </vt:variant>
      <vt:variant>
        <vt:i4>93</vt:i4>
      </vt:variant>
      <vt:variant>
        <vt:i4>0</vt:i4>
      </vt:variant>
      <vt:variant>
        <vt:i4>5</vt:i4>
      </vt:variant>
      <vt:variant>
        <vt:lpwstr>http://www.nevo.co.il/case/12930657</vt:lpwstr>
      </vt:variant>
      <vt:variant>
        <vt:lpwstr/>
      </vt:variant>
      <vt:variant>
        <vt:i4>7995492</vt:i4>
      </vt:variant>
      <vt:variant>
        <vt:i4>90</vt:i4>
      </vt:variant>
      <vt:variant>
        <vt:i4>0</vt:i4>
      </vt:variant>
      <vt:variant>
        <vt:i4>5</vt:i4>
      </vt:variant>
      <vt:variant>
        <vt:lpwstr>http://www.nevo.co.il/law/70301</vt:lpwstr>
      </vt:variant>
      <vt:variant>
        <vt:lpwstr/>
      </vt:variant>
      <vt:variant>
        <vt:i4>131150</vt:i4>
      </vt:variant>
      <vt:variant>
        <vt:i4>87</vt:i4>
      </vt:variant>
      <vt:variant>
        <vt:i4>0</vt:i4>
      </vt:variant>
      <vt:variant>
        <vt:i4>5</vt:i4>
      </vt:variant>
      <vt:variant>
        <vt:lpwstr>http://www.nevo.co.il/law/70301/56.a</vt:lpwstr>
      </vt:variant>
      <vt:variant>
        <vt:lpwstr/>
      </vt:variant>
      <vt:variant>
        <vt:i4>6357088</vt:i4>
      </vt:variant>
      <vt:variant>
        <vt:i4>84</vt:i4>
      </vt:variant>
      <vt:variant>
        <vt:i4>0</vt:i4>
      </vt:variant>
      <vt:variant>
        <vt:i4>5</vt:i4>
      </vt:variant>
      <vt:variant>
        <vt:lpwstr>http://www.nevo.co.il/law/70301/54</vt:lpwstr>
      </vt:variant>
      <vt:variant>
        <vt:lpwstr/>
      </vt:variant>
      <vt:variant>
        <vt:i4>3539060</vt:i4>
      </vt:variant>
      <vt:variant>
        <vt:i4>81</vt:i4>
      </vt:variant>
      <vt:variant>
        <vt:i4>0</vt:i4>
      </vt:variant>
      <vt:variant>
        <vt:i4>5</vt:i4>
      </vt:variant>
      <vt:variant>
        <vt:lpwstr>http://www.nevo.co.il/case/6102737</vt:lpwstr>
      </vt:variant>
      <vt:variant>
        <vt:lpwstr/>
      </vt:variant>
      <vt:variant>
        <vt:i4>7995492</vt:i4>
      </vt:variant>
      <vt:variant>
        <vt:i4>78</vt:i4>
      </vt:variant>
      <vt:variant>
        <vt:i4>0</vt:i4>
      </vt:variant>
      <vt:variant>
        <vt:i4>5</vt:i4>
      </vt:variant>
      <vt:variant>
        <vt:lpwstr>http://www.nevo.co.il/law/70301</vt:lpwstr>
      </vt:variant>
      <vt:variant>
        <vt:lpwstr/>
      </vt:variant>
      <vt:variant>
        <vt:i4>131150</vt:i4>
      </vt:variant>
      <vt:variant>
        <vt:i4>75</vt:i4>
      </vt:variant>
      <vt:variant>
        <vt:i4>0</vt:i4>
      </vt:variant>
      <vt:variant>
        <vt:i4>5</vt:i4>
      </vt:variant>
      <vt:variant>
        <vt:lpwstr>http://www.nevo.co.il/law/70301/56.a</vt:lpwstr>
      </vt:variant>
      <vt:variant>
        <vt:lpwstr/>
      </vt:variant>
      <vt:variant>
        <vt:i4>3145848</vt:i4>
      </vt:variant>
      <vt:variant>
        <vt:i4>72</vt:i4>
      </vt:variant>
      <vt:variant>
        <vt:i4>0</vt:i4>
      </vt:variant>
      <vt:variant>
        <vt:i4>5</vt:i4>
      </vt:variant>
      <vt:variant>
        <vt:lpwstr>http://www.nevo.co.il/case/5857434</vt:lpwstr>
      </vt:variant>
      <vt:variant>
        <vt:lpwstr/>
      </vt:variant>
      <vt:variant>
        <vt:i4>3670134</vt:i4>
      </vt:variant>
      <vt:variant>
        <vt:i4>69</vt:i4>
      </vt:variant>
      <vt:variant>
        <vt:i4>0</vt:i4>
      </vt:variant>
      <vt:variant>
        <vt:i4>5</vt:i4>
      </vt:variant>
      <vt:variant>
        <vt:lpwstr>http://www.nevo.co.il/case/27862309</vt:lpwstr>
      </vt:variant>
      <vt:variant>
        <vt:lpwstr/>
      </vt:variant>
      <vt:variant>
        <vt:i4>3932276</vt:i4>
      </vt:variant>
      <vt:variant>
        <vt:i4>66</vt:i4>
      </vt:variant>
      <vt:variant>
        <vt:i4>0</vt:i4>
      </vt:variant>
      <vt:variant>
        <vt:i4>5</vt:i4>
      </vt:variant>
      <vt:variant>
        <vt:lpwstr>http://www.nevo.co.il/case/26836502</vt:lpwstr>
      </vt:variant>
      <vt:variant>
        <vt:lpwstr/>
      </vt:variant>
      <vt:variant>
        <vt:i4>3145847</vt:i4>
      </vt:variant>
      <vt:variant>
        <vt:i4>63</vt:i4>
      </vt:variant>
      <vt:variant>
        <vt:i4>0</vt:i4>
      </vt:variant>
      <vt:variant>
        <vt:i4>5</vt:i4>
      </vt:variant>
      <vt:variant>
        <vt:lpwstr>http://www.nevo.co.il/case/27375344</vt:lpwstr>
      </vt:variant>
      <vt:variant>
        <vt:lpwstr/>
      </vt:variant>
      <vt:variant>
        <vt:i4>3670129</vt:i4>
      </vt:variant>
      <vt:variant>
        <vt:i4>60</vt:i4>
      </vt:variant>
      <vt:variant>
        <vt:i4>0</vt:i4>
      </vt:variant>
      <vt:variant>
        <vt:i4>5</vt:i4>
      </vt:variant>
      <vt:variant>
        <vt:lpwstr>http://www.nevo.co.il/case/25925268</vt:lpwstr>
      </vt:variant>
      <vt:variant>
        <vt:lpwstr/>
      </vt:variant>
      <vt:variant>
        <vt:i4>3604603</vt:i4>
      </vt:variant>
      <vt:variant>
        <vt:i4>57</vt:i4>
      </vt:variant>
      <vt:variant>
        <vt:i4>0</vt:i4>
      </vt:variant>
      <vt:variant>
        <vt:i4>5</vt:i4>
      </vt:variant>
      <vt:variant>
        <vt:lpwstr>http://www.nevo.co.il/case/26596068</vt:lpwstr>
      </vt:variant>
      <vt:variant>
        <vt:lpwstr/>
      </vt:variant>
      <vt:variant>
        <vt:i4>3211383</vt:i4>
      </vt:variant>
      <vt:variant>
        <vt:i4>54</vt:i4>
      </vt:variant>
      <vt:variant>
        <vt:i4>0</vt:i4>
      </vt:variant>
      <vt:variant>
        <vt:i4>5</vt:i4>
      </vt:variant>
      <vt:variant>
        <vt:lpwstr>http://www.nevo.co.il/case/29192302</vt:lpwstr>
      </vt:variant>
      <vt:variant>
        <vt:lpwstr/>
      </vt:variant>
      <vt:variant>
        <vt:i4>4980810</vt:i4>
      </vt:variant>
      <vt:variant>
        <vt:i4>51</vt:i4>
      </vt:variant>
      <vt:variant>
        <vt:i4>0</vt:i4>
      </vt:variant>
      <vt:variant>
        <vt:i4>5</vt:i4>
      </vt:variant>
      <vt:variant>
        <vt:lpwstr>http://www.nevo.co.il/law/4216/2T</vt:lpwstr>
      </vt:variant>
      <vt:variant>
        <vt:lpwstr/>
      </vt:variant>
      <vt:variant>
        <vt:i4>7995493</vt:i4>
      </vt:variant>
      <vt:variant>
        <vt:i4>48</vt:i4>
      </vt:variant>
      <vt:variant>
        <vt:i4>0</vt:i4>
      </vt:variant>
      <vt:variant>
        <vt:i4>5</vt:i4>
      </vt:variant>
      <vt:variant>
        <vt:lpwstr>http://www.nevo.co.il/law/74248</vt:lpwstr>
      </vt:variant>
      <vt:variant>
        <vt:lpwstr/>
      </vt:variant>
      <vt:variant>
        <vt:i4>6291564</vt:i4>
      </vt:variant>
      <vt:variant>
        <vt:i4>45</vt:i4>
      </vt:variant>
      <vt:variant>
        <vt:i4>0</vt:i4>
      </vt:variant>
      <vt:variant>
        <vt:i4>5</vt:i4>
      </vt:variant>
      <vt:variant>
        <vt:lpwstr>http://www.nevo.co.il/law/74248/15</vt:lpwstr>
      </vt:variant>
      <vt:variant>
        <vt:lpwstr/>
      </vt:variant>
      <vt:variant>
        <vt:i4>4522077</vt:i4>
      </vt:variant>
      <vt:variant>
        <vt:i4>42</vt:i4>
      </vt:variant>
      <vt:variant>
        <vt:i4>0</vt:i4>
      </vt:variant>
      <vt:variant>
        <vt:i4>5</vt:i4>
      </vt:variant>
      <vt:variant>
        <vt:lpwstr>http://www.nevo.co.il/law/207788</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3735679</vt:i4>
      </vt:variant>
      <vt:variant>
        <vt:i4>36</vt:i4>
      </vt:variant>
      <vt:variant>
        <vt:i4>0</vt:i4>
      </vt:variant>
      <vt:variant>
        <vt:i4>5</vt:i4>
      </vt:variant>
      <vt:variant>
        <vt:lpwstr>http://www.nevo.co.il/case/26991436</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131150</vt:i4>
      </vt:variant>
      <vt:variant>
        <vt:i4>27</vt:i4>
      </vt:variant>
      <vt:variant>
        <vt:i4>0</vt:i4>
      </vt:variant>
      <vt:variant>
        <vt:i4>5</vt:i4>
      </vt:variant>
      <vt:variant>
        <vt:lpwstr>http://www.nevo.co.il/law/70301/56.a</vt:lpwstr>
      </vt:variant>
      <vt:variant>
        <vt:lpwstr/>
      </vt:variant>
      <vt:variant>
        <vt:i4>6357088</vt:i4>
      </vt:variant>
      <vt:variant>
        <vt:i4>24</vt:i4>
      </vt:variant>
      <vt:variant>
        <vt:i4>0</vt:i4>
      </vt:variant>
      <vt:variant>
        <vt:i4>5</vt:i4>
      </vt:variant>
      <vt:variant>
        <vt:lpwstr>http://www.nevo.co.il/law/70301/54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6291564</vt:i4>
      </vt:variant>
      <vt:variant>
        <vt:i4>18</vt:i4>
      </vt:variant>
      <vt:variant>
        <vt:i4>0</vt:i4>
      </vt:variant>
      <vt:variant>
        <vt:i4>5</vt:i4>
      </vt:variant>
      <vt:variant>
        <vt:lpwstr>http://www.nevo.co.il/law/74248/15</vt:lpwstr>
      </vt:variant>
      <vt:variant>
        <vt:lpwstr/>
      </vt:variant>
      <vt:variant>
        <vt:i4>7995493</vt:i4>
      </vt:variant>
      <vt:variant>
        <vt:i4>15</vt:i4>
      </vt:variant>
      <vt:variant>
        <vt:i4>0</vt:i4>
      </vt:variant>
      <vt:variant>
        <vt:i4>5</vt:i4>
      </vt:variant>
      <vt:variant>
        <vt:lpwstr>http://www.nevo.co.il/law/74248</vt:lpwstr>
      </vt:variant>
      <vt:variant>
        <vt:lpwstr/>
      </vt:variant>
      <vt:variant>
        <vt:i4>4522077</vt:i4>
      </vt:variant>
      <vt:variant>
        <vt:i4>12</vt:i4>
      </vt:variant>
      <vt:variant>
        <vt:i4>0</vt:i4>
      </vt:variant>
      <vt:variant>
        <vt:i4>5</vt:i4>
      </vt:variant>
      <vt:variant>
        <vt:lpwstr>http://www.nevo.co.il/law/207788</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4980810</vt:i4>
      </vt:variant>
      <vt:variant>
        <vt:i4>3</vt:i4>
      </vt:variant>
      <vt:variant>
        <vt:i4>0</vt:i4>
      </vt:variant>
      <vt:variant>
        <vt:i4>5</vt:i4>
      </vt:variant>
      <vt:variant>
        <vt:lpwstr>http://www.nevo.co.il/law/4216/2T</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23498</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ערן סעד</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20240717</vt:lpwstr>
  </property>
  <property fmtid="{D5CDD505-2E9C-101B-9397-08002B2CF9AE}" pid="13" name="TYPE_N_DATE">
    <vt:lpwstr>38020240717</vt:lpwstr>
  </property>
  <property fmtid="{D5CDD505-2E9C-101B-9397-08002B2CF9AE}" pid="14" name="WORDNUMPAGES">
    <vt:lpwstr>6</vt:lpwstr>
  </property>
  <property fmtid="{D5CDD505-2E9C-101B-9397-08002B2CF9AE}" pid="15" name="TYPE_ABS_DATE">
    <vt:lpwstr>380020240717</vt:lpwstr>
  </property>
  <property fmtid="{D5CDD505-2E9C-101B-9397-08002B2CF9AE}" pid="16" name="ISABSTRACT">
    <vt:lpwstr>Y</vt:lpwstr>
  </property>
  <property fmtid="{D5CDD505-2E9C-101B-9397-08002B2CF9AE}" pid="17" name="CASESLISTTMP1">
    <vt:lpwstr>26991436;23827604;29192302;26596068;25925268;27375344;26836502;27862309;5857434;6102737;12930657;23796992</vt:lpwstr>
  </property>
  <property fmtid="{D5CDD505-2E9C-101B-9397-08002B2CF9AE}" pid="18" name="LAWLISTTMP1">
    <vt:lpwstr>4216/007.a;007.c;002T</vt:lpwstr>
  </property>
  <property fmtid="{D5CDD505-2E9C-101B-9397-08002B2CF9AE}" pid="19" name="LAWLISTTMP2">
    <vt:lpwstr>207788</vt:lpwstr>
  </property>
  <property fmtid="{D5CDD505-2E9C-101B-9397-08002B2CF9AE}" pid="20" name="LAWLISTTMP3">
    <vt:lpwstr>74248/015</vt:lpwstr>
  </property>
  <property fmtid="{D5CDD505-2E9C-101B-9397-08002B2CF9AE}" pid="21" name="LAWLISTTMP4">
    <vt:lpwstr>70301/056.a:3;054</vt:lpwstr>
  </property>
</Properties>
</file>