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D01A9" w:rsidRPr="00C31A0E" w14:paraId="104FB0AB" w14:textId="77777777" w:rsidTr="002048D3">
        <w:trPr>
          <w:trHeight w:hRule="exact" w:val="418"/>
          <w:jc w:val="center"/>
        </w:trPr>
        <w:tc>
          <w:tcPr>
            <w:tcW w:w="8721" w:type="dxa"/>
            <w:gridSpan w:val="2"/>
          </w:tcPr>
          <w:p w14:paraId="577DCDDE" w14:textId="77777777" w:rsidR="009D01A9" w:rsidRPr="00C31A0E" w:rsidRDefault="009D01A9" w:rsidP="00152BBC">
            <w:pPr>
              <w:pStyle w:val="a3"/>
              <w:jc w:val="center"/>
              <w:rPr>
                <w:rFonts w:ascii="Tahoma" w:hAnsi="Tahoma" w:cs="Tahoma"/>
                <w:color w:val="000080"/>
                <w:rtl/>
              </w:rPr>
            </w:pPr>
            <w:r w:rsidRPr="00C31A0E">
              <w:rPr>
                <w:rFonts w:ascii="Tahoma" w:hAnsi="Tahoma" w:cs="Tahoma"/>
                <w:b/>
                <w:bCs/>
                <w:color w:val="000080"/>
                <w:rtl/>
              </w:rPr>
              <w:t>בית משפט השלום בקריות</w:t>
            </w:r>
          </w:p>
        </w:tc>
      </w:tr>
      <w:tr w:rsidR="009D01A9" w:rsidRPr="00C31A0E" w14:paraId="107CF2BC" w14:textId="77777777" w:rsidTr="002048D3">
        <w:trPr>
          <w:trHeight w:val="337"/>
          <w:jc w:val="center"/>
        </w:trPr>
        <w:tc>
          <w:tcPr>
            <w:tcW w:w="5054" w:type="dxa"/>
          </w:tcPr>
          <w:p w14:paraId="5C393CA1" w14:textId="77777777" w:rsidR="009D01A9" w:rsidRPr="00C31A0E" w:rsidRDefault="009D01A9" w:rsidP="00152BBC">
            <w:pPr>
              <w:rPr>
                <w:rFonts w:cs="FrankRuehl"/>
                <w:sz w:val="28"/>
                <w:szCs w:val="28"/>
                <w:rtl/>
              </w:rPr>
            </w:pPr>
            <w:r w:rsidRPr="00C31A0E">
              <w:rPr>
                <w:rFonts w:cs="FrankRuehl"/>
                <w:sz w:val="28"/>
                <w:szCs w:val="28"/>
                <w:rtl/>
              </w:rPr>
              <w:t>ת"פ</w:t>
            </w:r>
            <w:r w:rsidRPr="00C31A0E">
              <w:rPr>
                <w:rFonts w:cs="FrankRuehl" w:hint="cs"/>
                <w:sz w:val="28"/>
                <w:szCs w:val="28"/>
                <w:rtl/>
              </w:rPr>
              <w:t xml:space="preserve"> </w:t>
            </w:r>
            <w:r w:rsidRPr="00C31A0E">
              <w:rPr>
                <w:rFonts w:cs="FrankRuehl"/>
                <w:sz w:val="28"/>
                <w:szCs w:val="28"/>
                <w:rtl/>
              </w:rPr>
              <w:t>23659-04-22</w:t>
            </w:r>
            <w:r w:rsidRPr="00C31A0E">
              <w:rPr>
                <w:rFonts w:cs="FrankRuehl" w:hint="cs"/>
                <w:sz w:val="28"/>
                <w:szCs w:val="28"/>
                <w:rtl/>
              </w:rPr>
              <w:t xml:space="preserve"> </w:t>
            </w:r>
            <w:r w:rsidRPr="00C31A0E">
              <w:rPr>
                <w:rFonts w:cs="FrankRuehl"/>
                <w:sz w:val="28"/>
                <w:szCs w:val="28"/>
                <w:rtl/>
              </w:rPr>
              <w:t>מדינת ישראל נ' רז</w:t>
            </w:r>
          </w:p>
          <w:p w14:paraId="1AD7C249" w14:textId="77777777" w:rsidR="009D01A9" w:rsidRPr="00C31A0E" w:rsidRDefault="009D01A9" w:rsidP="00152BBC">
            <w:pPr>
              <w:pStyle w:val="a3"/>
              <w:rPr>
                <w:rFonts w:cs="FrankRuehl"/>
                <w:sz w:val="28"/>
                <w:szCs w:val="28"/>
                <w:rtl/>
              </w:rPr>
            </w:pPr>
          </w:p>
        </w:tc>
        <w:tc>
          <w:tcPr>
            <w:tcW w:w="3667" w:type="dxa"/>
          </w:tcPr>
          <w:p w14:paraId="62451D2B" w14:textId="77777777" w:rsidR="009D01A9" w:rsidRPr="00C31A0E" w:rsidRDefault="009D01A9" w:rsidP="00152BBC">
            <w:pPr>
              <w:pStyle w:val="a3"/>
              <w:jc w:val="right"/>
              <w:rPr>
                <w:rFonts w:cs="FrankRuehl"/>
                <w:sz w:val="28"/>
                <w:szCs w:val="28"/>
                <w:rtl/>
              </w:rPr>
            </w:pPr>
          </w:p>
        </w:tc>
      </w:tr>
    </w:tbl>
    <w:p w14:paraId="2478D04B" w14:textId="77777777" w:rsidR="009D01A9" w:rsidRPr="00C31A0E" w:rsidRDefault="009D01A9" w:rsidP="002048D3">
      <w:pPr>
        <w:pStyle w:val="a3"/>
        <w:rPr>
          <w:sz w:val="26"/>
          <w:szCs w:val="26"/>
          <w:rtl/>
        </w:rPr>
      </w:pPr>
      <w:r w:rsidRPr="00C31A0E">
        <w:rPr>
          <w:rFonts w:hint="cs"/>
          <w:rtl/>
        </w:rPr>
        <w:t xml:space="preserve"> </w:t>
      </w:r>
    </w:p>
    <w:tbl>
      <w:tblPr>
        <w:bidiVisual/>
        <w:tblW w:w="9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5095"/>
        <w:gridCol w:w="3263"/>
      </w:tblGrid>
      <w:tr w:rsidR="009D01A9" w:rsidRPr="00C31A0E" w14:paraId="1F4D1E1C" w14:textId="77777777" w:rsidTr="009D01A9">
        <w:trPr>
          <w:trHeight w:val="345"/>
          <w:jc w:val="center"/>
        </w:trPr>
        <w:tc>
          <w:tcPr>
            <w:tcW w:w="957" w:type="dxa"/>
            <w:tcBorders>
              <w:top w:val="nil"/>
              <w:left w:val="nil"/>
              <w:bottom w:val="nil"/>
              <w:right w:val="nil"/>
            </w:tcBorders>
            <w:shd w:val="clear" w:color="auto" w:fill="auto"/>
          </w:tcPr>
          <w:p w14:paraId="49DB975A" w14:textId="77777777" w:rsidR="009D01A9" w:rsidRPr="00C31A0E" w:rsidRDefault="009D01A9" w:rsidP="009D01A9">
            <w:pPr>
              <w:jc w:val="both"/>
              <w:rPr>
                <w:rFonts w:ascii="David" w:hAnsi="David"/>
                <w:b/>
                <w:bCs/>
              </w:rPr>
            </w:pPr>
            <w:r w:rsidRPr="00C31A0E">
              <w:rPr>
                <w:rFonts w:ascii="David" w:hAnsi="David"/>
                <w:b/>
                <w:bCs/>
                <w:rtl/>
              </w:rPr>
              <w:t xml:space="preserve">בפני </w:t>
            </w:r>
          </w:p>
        </w:tc>
        <w:tc>
          <w:tcPr>
            <w:tcW w:w="8358" w:type="dxa"/>
            <w:gridSpan w:val="2"/>
            <w:tcBorders>
              <w:top w:val="nil"/>
              <w:left w:val="nil"/>
              <w:bottom w:val="nil"/>
              <w:right w:val="nil"/>
            </w:tcBorders>
            <w:shd w:val="clear" w:color="auto" w:fill="auto"/>
          </w:tcPr>
          <w:p w14:paraId="084A23D4" w14:textId="77777777" w:rsidR="009D01A9" w:rsidRPr="00C31A0E" w:rsidRDefault="009D01A9" w:rsidP="00152BBC">
            <w:pPr>
              <w:rPr>
                <w:rFonts w:ascii="David" w:hAnsi="David"/>
                <w:b/>
                <w:bCs/>
              </w:rPr>
            </w:pPr>
            <w:r w:rsidRPr="00C31A0E">
              <w:rPr>
                <w:rFonts w:ascii="Arial" w:hAnsi="Arial"/>
                <w:b/>
                <w:bCs/>
                <w:rtl/>
              </w:rPr>
              <w:t>כב' השופט יוסי טורס , סגן הנשיאה</w:t>
            </w:r>
          </w:p>
        </w:tc>
      </w:tr>
      <w:tr w:rsidR="009D01A9" w:rsidRPr="00C31A0E" w14:paraId="4F7AEA18" w14:textId="77777777" w:rsidTr="009D01A9">
        <w:trPr>
          <w:trHeight w:val="345"/>
          <w:jc w:val="center"/>
        </w:trPr>
        <w:tc>
          <w:tcPr>
            <w:tcW w:w="957" w:type="dxa"/>
            <w:tcBorders>
              <w:top w:val="nil"/>
              <w:left w:val="nil"/>
              <w:bottom w:val="nil"/>
              <w:right w:val="nil"/>
            </w:tcBorders>
            <w:shd w:val="clear" w:color="auto" w:fill="auto"/>
          </w:tcPr>
          <w:p w14:paraId="6C88E472" w14:textId="77777777" w:rsidR="009D01A9" w:rsidRPr="00C31A0E" w:rsidRDefault="009D01A9" w:rsidP="009D01A9">
            <w:pPr>
              <w:jc w:val="both"/>
              <w:rPr>
                <w:rFonts w:ascii="David" w:hAnsi="David"/>
                <w:b/>
                <w:bCs/>
                <w:rtl/>
              </w:rPr>
            </w:pPr>
            <w:bookmarkStart w:id="0" w:name="LastJudge"/>
            <w:bookmarkEnd w:id="0"/>
          </w:p>
        </w:tc>
        <w:tc>
          <w:tcPr>
            <w:tcW w:w="8358" w:type="dxa"/>
            <w:gridSpan w:val="2"/>
            <w:tcBorders>
              <w:top w:val="nil"/>
              <w:left w:val="nil"/>
              <w:bottom w:val="nil"/>
              <w:right w:val="nil"/>
            </w:tcBorders>
            <w:shd w:val="clear" w:color="auto" w:fill="auto"/>
          </w:tcPr>
          <w:p w14:paraId="5AB0E62B" w14:textId="77777777" w:rsidR="009D01A9" w:rsidRPr="00C31A0E" w:rsidRDefault="009D01A9" w:rsidP="00152BBC">
            <w:pPr>
              <w:rPr>
                <w:rFonts w:ascii="Arial" w:hAnsi="Arial"/>
                <w:b/>
                <w:bCs/>
                <w:rtl/>
              </w:rPr>
            </w:pPr>
          </w:p>
        </w:tc>
      </w:tr>
      <w:tr w:rsidR="009D01A9" w:rsidRPr="00C31A0E" w14:paraId="2A5915F4" w14:textId="77777777" w:rsidTr="009D01A9">
        <w:trPr>
          <w:trHeight w:val="415"/>
          <w:jc w:val="center"/>
        </w:trPr>
        <w:tc>
          <w:tcPr>
            <w:tcW w:w="957" w:type="dxa"/>
            <w:tcBorders>
              <w:top w:val="nil"/>
              <w:left w:val="nil"/>
              <w:bottom w:val="nil"/>
              <w:right w:val="nil"/>
            </w:tcBorders>
            <w:shd w:val="clear" w:color="auto" w:fill="auto"/>
          </w:tcPr>
          <w:p w14:paraId="397378D4" w14:textId="77777777" w:rsidR="009D01A9" w:rsidRPr="00C31A0E" w:rsidRDefault="009D01A9" w:rsidP="009D01A9">
            <w:pPr>
              <w:jc w:val="both"/>
              <w:rPr>
                <w:rFonts w:ascii="David" w:hAnsi="David"/>
                <w:b/>
                <w:bCs/>
              </w:rPr>
            </w:pPr>
            <w:bookmarkStart w:id="1" w:name="FirstAppellant"/>
            <w:r w:rsidRPr="00C31A0E">
              <w:rPr>
                <w:rFonts w:ascii="David" w:hAnsi="David"/>
                <w:b/>
                <w:bCs/>
                <w:rtl/>
              </w:rPr>
              <w:t>בעניין:</w:t>
            </w:r>
          </w:p>
        </w:tc>
        <w:tc>
          <w:tcPr>
            <w:tcW w:w="5095" w:type="dxa"/>
            <w:tcBorders>
              <w:top w:val="nil"/>
              <w:left w:val="nil"/>
              <w:bottom w:val="nil"/>
              <w:right w:val="nil"/>
            </w:tcBorders>
            <w:shd w:val="clear" w:color="auto" w:fill="auto"/>
          </w:tcPr>
          <w:p w14:paraId="1DEF3C40" w14:textId="77777777" w:rsidR="009D01A9" w:rsidRPr="00C31A0E" w:rsidRDefault="009D01A9" w:rsidP="00152BBC">
            <w:pPr>
              <w:rPr>
                <w:rFonts w:ascii="David" w:hAnsi="David"/>
                <w:b/>
                <w:bCs/>
              </w:rPr>
            </w:pPr>
            <w:r w:rsidRPr="00C31A0E">
              <w:rPr>
                <w:rFonts w:ascii="David" w:hAnsi="David"/>
                <w:b/>
                <w:bCs/>
                <w:rtl/>
              </w:rPr>
              <w:t>מדינת ישראל</w:t>
            </w:r>
          </w:p>
        </w:tc>
        <w:tc>
          <w:tcPr>
            <w:tcW w:w="3263" w:type="dxa"/>
            <w:tcBorders>
              <w:top w:val="nil"/>
              <w:left w:val="nil"/>
              <w:bottom w:val="nil"/>
              <w:right w:val="nil"/>
            </w:tcBorders>
            <w:shd w:val="clear" w:color="auto" w:fill="auto"/>
          </w:tcPr>
          <w:p w14:paraId="7DE737EA" w14:textId="77777777" w:rsidR="009D01A9" w:rsidRPr="00C31A0E" w:rsidRDefault="009D01A9" w:rsidP="009D01A9">
            <w:pPr>
              <w:jc w:val="both"/>
              <w:rPr>
                <w:rFonts w:ascii="David" w:hAnsi="David"/>
                <w:b/>
                <w:bCs/>
              </w:rPr>
            </w:pPr>
            <w:r w:rsidRPr="00C31A0E">
              <w:rPr>
                <w:rFonts w:ascii="David" w:hAnsi="David"/>
                <w:b/>
                <w:bCs/>
                <w:rtl/>
              </w:rPr>
              <w:t>המאשימה</w:t>
            </w:r>
          </w:p>
        </w:tc>
      </w:tr>
      <w:bookmarkEnd w:id="1"/>
      <w:tr w:rsidR="009D01A9" w:rsidRPr="00C31A0E" w14:paraId="6EFDCCE7" w14:textId="77777777" w:rsidTr="009D01A9">
        <w:trPr>
          <w:trHeight w:val="415"/>
          <w:jc w:val="center"/>
        </w:trPr>
        <w:tc>
          <w:tcPr>
            <w:tcW w:w="957" w:type="dxa"/>
            <w:tcBorders>
              <w:top w:val="nil"/>
              <w:left w:val="nil"/>
              <w:bottom w:val="nil"/>
              <w:right w:val="nil"/>
            </w:tcBorders>
            <w:shd w:val="clear" w:color="auto" w:fill="auto"/>
          </w:tcPr>
          <w:p w14:paraId="36ABF48D" w14:textId="77777777" w:rsidR="009D01A9" w:rsidRPr="00C31A0E" w:rsidRDefault="009D01A9" w:rsidP="009D01A9">
            <w:pPr>
              <w:jc w:val="both"/>
              <w:rPr>
                <w:rFonts w:ascii="David" w:hAnsi="David"/>
                <w:b/>
                <w:bCs/>
                <w:rtl/>
              </w:rPr>
            </w:pPr>
          </w:p>
        </w:tc>
        <w:tc>
          <w:tcPr>
            <w:tcW w:w="8358" w:type="dxa"/>
            <w:gridSpan w:val="2"/>
            <w:tcBorders>
              <w:top w:val="nil"/>
              <w:left w:val="nil"/>
              <w:bottom w:val="nil"/>
              <w:right w:val="nil"/>
            </w:tcBorders>
            <w:shd w:val="clear" w:color="auto" w:fill="auto"/>
          </w:tcPr>
          <w:p w14:paraId="7DD1A6ED" w14:textId="77777777" w:rsidR="009D01A9" w:rsidRPr="00C31A0E" w:rsidRDefault="009D01A9" w:rsidP="00152BBC">
            <w:pPr>
              <w:rPr>
                <w:rFonts w:ascii="David" w:hAnsi="David"/>
                <w:b/>
                <w:bCs/>
              </w:rPr>
            </w:pPr>
            <w:r w:rsidRPr="00C31A0E">
              <w:rPr>
                <w:rFonts w:ascii="David" w:hAnsi="David" w:hint="cs"/>
                <w:b/>
                <w:bCs/>
                <w:rtl/>
              </w:rPr>
              <w:t xml:space="preserve">                                                   </w:t>
            </w:r>
            <w:r w:rsidRPr="00C31A0E">
              <w:rPr>
                <w:rFonts w:ascii="David" w:hAnsi="David"/>
                <w:b/>
                <w:bCs/>
                <w:rtl/>
              </w:rPr>
              <w:t>נגד</w:t>
            </w:r>
          </w:p>
        </w:tc>
      </w:tr>
      <w:tr w:rsidR="009D01A9" w:rsidRPr="00C31A0E" w14:paraId="0CAD30EC" w14:textId="77777777" w:rsidTr="009D01A9">
        <w:trPr>
          <w:trHeight w:val="415"/>
          <w:jc w:val="center"/>
        </w:trPr>
        <w:tc>
          <w:tcPr>
            <w:tcW w:w="957" w:type="dxa"/>
            <w:tcBorders>
              <w:top w:val="nil"/>
              <w:left w:val="nil"/>
              <w:bottom w:val="nil"/>
              <w:right w:val="nil"/>
            </w:tcBorders>
            <w:shd w:val="clear" w:color="auto" w:fill="auto"/>
          </w:tcPr>
          <w:p w14:paraId="19AAAF09" w14:textId="77777777" w:rsidR="009D01A9" w:rsidRPr="00C31A0E" w:rsidRDefault="009D01A9" w:rsidP="00152BBC">
            <w:pPr>
              <w:rPr>
                <w:rFonts w:ascii="David" w:hAnsi="David"/>
                <w:b/>
                <w:bCs/>
                <w:rtl/>
              </w:rPr>
            </w:pPr>
          </w:p>
        </w:tc>
        <w:tc>
          <w:tcPr>
            <w:tcW w:w="5095" w:type="dxa"/>
            <w:tcBorders>
              <w:top w:val="nil"/>
              <w:left w:val="nil"/>
              <w:bottom w:val="nil"/>
              <w:right w:val="nil"/>
            </w:tcBorders>
            <w:shd w:val="clear" w:color="auto" w:fill="auto"/>
          </w:tcPr>
          <w:p w14:paraId="44099C26" w14:textId="77777777" w:rsidR="009D01A9" w:rsidRPr="00C31A0E" w:rsidRDefault="009D01A9" w:rsidP="00152BBC">
            <w:pPr>
              <w:rPr>
                <w:rFonts w:ascii="David" w:hAnsi="David"/>
                <w:b/>
                <w:bCs/>
                <w:rtl/>
              </w:rPr>
            </w:pPr>
            <w:r w:rsidRPr="00C31A0E">
              <w:rPr>
                <w:rFonts w:ascii="David" w:hAnsi="David"/>
                <w:b/>
                <w:bCs/>
                <w:rtl/>
              </w:rPr>
              <w:br/>
            </w:r>
            <w:r w:rsidRPr="00C31A0E">
              <w:rPr>
                <w:rFonts w:ascii="David" w:hAnsi="David"/>
                <w:b/>
                <w:bCs/>
                <w:rtl/>
              </w:rPr>
              <w:br/>
              <w:t>אור נחום רז</w:t>
            </w:r>
          </w:p>
        </w:tc>
        <w:tc>
          <w:tcPr>
            <w:tcW w:w="3263" w:type="dxa"/>
            <w:tcBorders>
              <w:top w:val="nil"/>
              <w:left w:val="nil"/>
              <w:bottom w:val="nil"/>
              <w:right w:val="nil"/>
            </w:tcBorders>
            <w:shd w:val="clear" w:color="auto" w:fill="auto"/>
          </w:tcPr>
          <w:p w14:paraId="3FB83A44" w14:textId="77777777" w:rsidR="009D01A9" w:rsidRPr="00C31A0E" w:rsidRDefault="009D01A9" w:rsidP="00152BBC">
            <w:pPr>
              <w:rPr>
                <w:rFonts w:ascii="David" w:hAnsi="David"/>
                <w:b/>
                <w:bCs/>
                <w:rtl/>
              </w:rPr>
            </w:pPr>
          </w:p>
          <w:p w14:paraId="19A02217" w14:textId="77777777" w:rsidR="009D01A9" w:rsidRPr="00C31A0E" w:rsidRDefault="009D01A9" w:rsidP="00152BBC">
            <w:pPr>
              <w:rPr>
                <w:rFonts w:ascii="David" w:hAnsi="David"/>
                <w:b/>
                <w:bCs/>
                <w:rtl/>
              </w:rPr>
            </w:pPr>
          </w:p>
          <w:p w14:paraId="2F488899" w14:textId="77777777" w:rsidR="009D01A9" w:rsidRPr="00C31A0E" w:rsidRDefault="009D01A9" w:rsidP="00152BBC">
            <w:pPr>
              <w:rPr>
                <w:rFonts w:ascii="David" w:hAnsi="David"/>
                <w:b/>
                <w:bCs/>
              </w:rPr>
            </w:pPr>
            <w:r w:rsidRPr="00C31A0E">
              <w:rPr>
                <w:rFonts w:ascii="David" w:hAnsi="David"/>
                <w:b/>
                <w:bCs/>
                <w:rtl/>
              </w:rPr>
              <w:t>הנאש</w:t>
            </w:r>
            <w:r w:rsidRPr="00C31A0E">
              <w:rPr>
                <w:rFonts w:ascii="David" w:hAnsi="David" w:hint="cs"/>
                <w:b/>
                <w:bCs/>
                <w:rtl/>
              </w:rPr>
              <w:t>ם</w:t>
            </w:r>
          </w:p>
        </w:tc>
      </w:tr>
    </w:tbl>
    <w:p w14:paraId="6B3A9151" w14:textId="77777777" w:rsidR="00C31A0E" w:rsidRPr="00C31A0E" w:rsidRDefault="00C31A0E" w:rsidP="00C31A0E">
      <w:pPr>
        <w:spacing w:before="120" w:after="120" w:line="240" w:lineRule="exact"/>
        <w:ind w:left="283" w:hanging="283"/>
        <w:jc w:val="both"/>
        <w:rPr>
          <w:rFonts w:ascii="FrankRuehl" w:hAnsi="FrankRuehl" w:cs="FrankRuehl"/>
          <w:rtl/>
        </w:rPr>
      </w:pPr>
    </w:p>
    <w:p w14:paraId="40E5CA7C" w14:textId="77777777" w:rsidR="00C31A0E" w:rsidRPr="00C31A0E" w:rsidRDefault="00C31A0E" w:rsidP="00C31A0E">
      <w:pPr>
        <w:rPr>
          <w:rFonts w:ascii="David" w:hAnsi="David"/>
          <w:rtl/>
        </w:rPr>
      </w:pPr>
    </w:p>
    <w:p w14:paraId="4A95CCD7" w14:textId="77777777" w:rsidR="002048D3" w:rsidRPr="002048D3" w:rsidRDefault="002048D3" w:rsidP="002048D3">
      <w:pPr>
        <w:spacing w:before="120" w:after="120" w:line="240" w:lineRule="exact"/>
        <w:ind w:left="283" w:hanging="283"/>
        <w:jc w:val="both"/>
        <w:rPr>
          <w:rFonts w:ascii="FrankRuehl" w:hAnsi="FrankRuehl" w:cs="FrankRuehl"/>
          <w:rtl/>
        </w:rPr>
      </w:pPr>
      <w:bookmarkStart w:id="2" w:name="LawTable"/>
      <w:bookmarkEnd w:id="2"/>
    </w:p>
    <w:p w14:paraId="6FE02D1E" w14:textId="77777777" w:rsidR="002048D3" w:rsidRPr="002048D3" w:rsidRDefault="002048D3" w:rsidP="002048D3">
      <w:pPr>
        <w:spacing w:before="120" w:after="120" w:line="240" w:lineRule="exact"/>
        <w:ind w:left="283" w:hanging="283"/>
        <w:jc w:val="both"/>
        <w:rPr>
          <w:rFonts w:ascii="FrankRuehl" w:hAnsi="FrankRuehl" w:cs="FrankRuehl"/>
          <w:rtl/>
        </w:rPr>
      </w:pPr>
      <w:r w:rsidRPr="002048D3">
        <w:rPr>
          <w:rFonts w:ascii="FrankRuehl" w:hAnsi="FrankRuehl" w:cs="FrankRuehl"/>
          <w:rtl/>
        </w:rPr>
        <w:t xml:space="preserve">חקיקה שאוזכרה: </w:t>
      </w:r>
    </w:p>
    <w:p w14:paraId="062FD003" w14:textId="77777777" w:rsidR="002048D3" w:rsidRPr="002048D3" w:rsidRDefault="002048D3" w:rsidP="002048D3">
      <w:pPr>
        <w:spacing w:before="120" w:after="120" w:line="240" w:lineRule="exact"/>
        <w:ind w:left="283" w:hanging="283"/>
        <w:jc w:val="both"/>
        <w:rPr>
          <w:rFonts w:ascii="FrankRuehl" w:hAnsi="FrankRuehl" w:cs="FrankRuehl"/>
          <w:color w:val="0000FF"/>
          <w:rtl/>
        </w:rPr>
      </w:pPr>
      <w:hyperlink r:id="rId7" w:history="1">
        <w:r w:rsidRPr="002048D3">
          <w:rPr>
            <w:rStyle w:val="Hyperlink"/>
            <w:rFonts w:ascii="FrankRuehl" w:hAnsi="FrankRuehl" w:cs="FrankRuehl"/>
            <w:u w:val="none"/>
            <w:rtl/>
          </w:rPr>
          <w:t>פקודת הסמים המסוכנים [נוסח חדש], תשל"ג-1973</w:t>
        </w:r>
      </w:hyperlink>
      <w:r w:rsidRPr="002048D3">
        <w:rPr>
          <w:rFonts w:ascii="FrankRuehl" w:hAnsi="FrankRuehl" w:cs="FrankRuehl"/>
          <w:color w:val="0000FF"/>
          <w:rtl/>
        </w:rPr>
        <w:t xml:space="preserve">: סע'  </w:t>
      </w:r>
      <w:hyperlink r:id="rId8" w:history="1">
        <w:r w:rsidRPr="002048D3">
          <w:rPr>
            <w:rStyle w:val="Hyperlink"/>
            <w:rFonts w:ascii="FrankRuehl" w:hAnsi="FrankRuehl" w:cs="FrankRuehl"/>
            <w:u w:val="none"/>
          </w:rPr>
          <w:t>7.</w:t>
        </w:r>
        <w:r w:rsidRPr="002048D3">
          <w:rPr>
            <w:rStyle w:val="Hyperlink"/>
            <w:rFonts w:ascii="FrankRuehl" w:hAnsi="FrankRuehl" w:cs="FrankRuehl"/>
            <w:u w:val="none"/>
            <w:rtl/>
          </w:rPr>
          <w:t>א</w:t>
        </w:r>
        <w:r w:rsidRPr="002048D3">
          <w:rPr>
            <w:rStyle w:val="Hyperlink"/>
            <w:rFonts w:ascii="FrankRuehl" w:hAnsi="FrankRuehl" w:cs="FrankRuehl"/>
            <w:u w:val="none"/>
          </w:rPr>
          <w:t>.</w:t>
        </w:r>
      </w:hyperlink>
      <w:r w:rsidRPr="002048D3">
        <w:rPr>
          <w:rFonts w:ascii="FrankRuehl" w:hAnsi="FrankRuehl" w:cs="FrankRuehl"/>
          <w:color w:val="0000FF"/>
          <w:rtl/>
        </w:rPr>
        <w:t xml:space="preserve">, </w:t>
      </w:r>
      <w:hyperlink r:id="rId9" w:history="1">
        <w:r w:rsidRPr="002048D3">
          <w:rPr>
            <w:rStyle w:val="Hyperlink"/>
            <w:rFonts w:ascii="FrankRuehl" w:hAnsi="FrankRuehl" w:cs="FrankRuehl"/>
            <w:u w:val="none"/>
          </w:rPr>
          <w:t>7.</w:t>
        </w:r>
        <w:r w:rsidRPr="002048D3">
          <w:rPr>
            <w:rStyle w:val="Hyperlink"/>
            <w:rFonts w:ascii="FrankRuehl" w:hAnsi="FrankRuehl" w:cs="FrankRuehl"/>
            <w:u w:val="none"/>
            <w:rtl/>
          </w:rPr>
          <w:t>ג</w:t>
        </w:r>
      </w:hyperlink>
      <w:r w:rsidRPr="002048D3">
        <w:rPr>
          <w:rFonts w:ascii="FrankRuehl" w:hAnsi="FrankRuehl" w:cs="FrankRuehl"/>
          <w:color w:val="0000FF"/>
          <w:rtl/>
        </w:rPr>
        <w:t xml:space="preserve">, </w:t>
      </w:r>
      <w:hyperlink r:id="rId10" w:history="1">
        <w:r w:rsidRPr="002048D3">
          <w:rPr>
            <w:rStyle w:val="Hyperlink"/>
            <w:rFonts w:ascii="FrankRuehl" w:hAnsi="FrankRuehl" w:cs="FrankRuehl"/>
            <w:u w:val="none"/>
          </w:rPr>
          <w:t>10</w:t>
        </w:r>
      </w:hyperlink>
    </w:p>
    <w:p w14:paraId="734BBD28" w14:textId="77777777" w:rsidR="002048D3" w:rsidRPr="002048D3" w:rsidRDefault="002048D3" w:rsidP="002048D3">
      <w:pPr>
        <w:spacing w:before="120" w:after="120" w:line="240" w:lineRule="exact"/>
        <w:ind w:left="283" w:hanging="283"/>
        <w:jc w:val="both"/>
        <w:rPr>
          <w:rFonts w:ascii="FrankRuehl" w:hAnsi="FrankRuehl" w:cs="FrankRuehl"/>
          <w:color w:val="0000FF"/>
          <w:rtl/>
        </w:rPr>
      </w:pPr>
      <w:hyperlink r:id="rId11" w:history="1">
        <w:r w:rsidRPr="002048D3">
          <w:rPr>
            <w:rStyle w:val="Hyperlink"/>
            <w:rFonts w:ascii="FrankRuehl" w:hAnsi="FrankRuehl" w:cs="FrankRuehl"/>
            <w:u w:val="none"/>
            <w:rtl/>
          </w:rPr>
          <w:t>חוק העונשין, תשל"ז-1977</w:t>
        </w:r>
      </w:hyperlink>
      <w:r w:rsidRPr="002048D3">
        <w:rPr>
          <w:rFonts w:ascii="FrankRuehl" w:hAnsi="FrankRuehl" w:cs="FrankRuehl"/>
          <w:color w:val="0000FF"/>
          <w:rtl/>
        </w:rPr>
        <w:t xml:space="preserve">: סע'  </w:t>
      </w:r>
      <w:hyperlink r:id="rId12" w:history="1">
        <w:r w:rsidRPr="002048D3">
          <w:rPr>
            <w:rStyle w:val="Hyperlink"/>
            <w:rFonts w:ascii="FrankRuehl" w:hAnsi="FrankRuehl" w:cs="FrankRuehl"/>
            <w:u w:val="none"/>
          </w:rPr>
          <w:t>400</w:t>
        </w:r>
      </w:hyperlink>
    </w:p>
    <w:p w14:paraId="3BA49EF8" w14:textId="77777777" w:rsidR="009D01A9" w:rsidRDefault="009D01A9" w:rsidP="002048D3">
      <w:pPr>
        <w:rPr>
          <w:rFonts w:ascii="David" w:hAnsi="David" w:hint="cs"/>
          <w:rtl/>
        </w:rPr>
      </w:pPr>
      <w:bookmarkStart w:id="3" w:name="LawTable_End"/>
      <w:bookmarkEnd w:id="3"/>
    </w:p>
    <w:p w14:paraId="35735840" w14:textId="77777777" w:rsidR="002048D3" w:rsidRDefault="002048D3" w:rsidP="002048D3">
      <w:pPr>
        <w:rPr>
          <w:rFonts w:ascii="David" w:hAnsi="David" w:hint="cs"/>
          <w:rtl/>
        </w:rPr>
      </w:pPr>
    </w:p>
    <w:p w14:paraId="250D6605" w14:textId="77777777" w:rsidR="002048D3" w:rsidRPr="002048D3" w:rsidRDefault="002048D3" w:rsidP="002048D3">
      <w:pPr>
        <w:rPr>
          <w:rFonts w:ascii="David" w:hAnsi="David"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D01A9" w14:paraId="344668BD" w14:textId="77777777" w:rsidTr="009D01A9">
        <w:trPr>
          <w:trHeight w:val="355"/>
          <w:jc w:val="center"/>
        </w:trPr>
        <w:tc>
          <w:tcPr>
            <w:tcW w:w="8820" w:type="dxa"/>
            <w:tcBorders>
              <w:top w:val="nil"/>
              <w:left w:val="nil"/>
              <w:bottom w:val="nil"/>
              <w:right w:val="nil"/>
            </w:tcBorders>
            <w:shd w:val="clear" w:color="auto" w:fill="auto"/>
          </w:tcPr>
          <w:p w14:paraId="0E0F8E55" w14:textId="77777777" w:rsidR="00C31A0E" w:rsidRPr="00C31A0E" w:rsidRDefault="00C31A0E" w:rsidP="00C31A0E">
            <w:pPr>
              <w:jc w:val="center"/>
              <w:rPr>
                <w:rFonts w:ascii="David" w:hAnsi="David"/>
                <w:b/>
                <w:bCs/>
                <w:sz w:val="32"/>
                <w:szCs w:val="32"/>
                <w:u w:val="single"/>
                <w:rtl/>
              </w:rPr>
            </w:pPr>
            <w:bookmarkStart w:id="4" w:name="PsakDin" w:colFirst="0" w:colLast="0"/>
            <w:r w:rsidRPr="00C31A0E">
              <w:rPr>
                <w:rFonts w:ascii="David" w:hAnsi="David"/>
                <w:b/>
                <w:bCs/>
                <w:sz w:val="32"/>
                <w:szCs w:val="32"/>
                <w:u w:val="single"/>
                <w:rtl/>
              </w:rPr>
              <w:t>גזר דין</w:t>
            </w:r>
          </w:p>
          <w:p w14:paraId="05D4156B" w14:textId="77777777" w:rsidR="009D01A9" w:rsidRPr="00C31A0E" w:rsidRDefault="009D01A9" w:rsidP="00C31A0E">
            <w:pPr>
              <w:jc w:val="center"/>
              <w:rPr>
                <w:rFonts w:ascii="David" w:hAnsi="David"/>
                <w:bCs/>
                <w:sz w:val="32"/>
                <w:szCs w:val="32"/>
                <w:u w:val="single"/>
                <w:rtl/>
              </w:rPr>
            </w:pPr>
          </w:p>
        </w:tc>
      </w:tr>
      <w:bookmarkEnd w:id="4"/>
    </w:tbl>
    <w:p w14:paraId="0C2CDD5A" w14:textId="77777777" w:rsidR="009D01A9" w:rsidRPr="00655A93" w:rsidRDefault="009D01A9" w:rsidP="009D01A9">
      <w:pPr>
        <w:rPr>
          <w:rFonts w:ascii="David" w:hAnsi="David"/>
          <w:rtl/>
        </w:rPr>
      </w:pPr>
    </w:p>
    <w:p w14:paraId="30346C23" w14:textId="77777777" w:rsidR="009D01A9" w:rsidRDefault="009D01A9" w:rsidP="009D01A9">
      <w:pPr>
        <w:spacing w:line="360" w:lineRule="auto"/>
        <w:jc w:val="both"/>
        <w:rPr>
          <w:rFonts w:ascii="David" w:hAnsi="David"/>
          <w:rtl/>
        </w:rPr>
      </w:pPr>
      <w:r>
        <w:rPr>
          <w:rFonts w:ascii="David" w:hAnsi="David" w:hint="cs"/>
          <w:b/>
          <w:bCs/>
          <w:u w:val="single"/>
          <w:rtl/>
        </w:rPr>
        <w:t>כתב האישום</w:t>
      </w:r>
    </w:p>
    <w:p w14:paraId="66253528" w14:textId="77777777" w:rsidR="009D01A9" w:rsidRDefault="009D01A9" w:rsidP="009D01A9">
      <w:pPr>
        <w:spacing w:line="360" w:lineRule="auto"/>
        <w:jc w:val="both"/>
        <w:rPr>
          <w:rFonts w:ascii="David" w:hAnsi="David"/>
          <w:rtl/>
        </w:rPr>
      </w:pPr>
    </w:p>
    <w:p w14:paraId="3C753372" w14:textId="77777777" w:rsidR="009D01A9" w:rsidRPr="0007571B" w:rsidRDefault="009D01A9" w:rsidP="009D01A9">
      <w:pPr>
        <w:pStyle w:val="a9"/>
        <w:numPr>
          <w:ilvl w:val="0"/>
          <w:numId w:val="1"/>
        </w:numPr>
        <w:spacing w:line="360" w:lineRule="auto"/>
        <w:jc w:val="both"/>
        <w:rPr>
          <w:rFonts w:ascii="David" w:hAnsi="David"/>
        </w:rPr>
      </w:pPr>
      <w:bookmarkStart w:id="5" w:name="ABSTRACT_START"/>
      <w:bookmarkEnd w:id="5"/>
      <w:r>
        <w:rPr>
          <w:rFonts w:ascii="David" w:hAnsi="David" w:hint="cs"/>
          <w:rtl/>
        </w:rPr>
        <w:t xml:space="preserve">הנאשם הורשע על פי הודאתו בעבירת החזקת סמים שלא לצריכה עצמית, לפי </w:t>
      </w:r>
      <w:hyperlink r:id="rId13" w:history="1">
        <w:r w:rsidR="002048D3" w:rsidRPr="002048D3">
          <w:rPr>
            <w:rStyle w:val="Hyperlink"/>
            <w:rFonts w:ascii="David" w:hAnsi="David" w:hint="eastAsia"/>
            <w:color w:val="0000FF"/>
            <w:rtl/>
          </w:rPr>
          <w:t>סעיף</w:t>
        </w:r>
        <w:r w:rsidR="002048D3" w:rsidRPr="002048D3">
          <w:rPr>
            <w:rStyle w:val="Hyperlink"/>
            <w:rFonts w:ascii="David" w:hAnsi="David"/>
            <w:color w:val="0000FF"/>
            <w:rtl/>
          </w:rPr>
          <w:t xml:space="preserve"> 7(א)+7(ג)</w:t>
        </w:r>
      </w:hyperlink>
      <w:r>
        <w:rPr>
          <w:rFonts w:ascii="David" w:hAnsi="David" w:hint="cs"/>
          <w:rtl/>
        </w:rPr>
        <w:t xml:space="preserve"> רישא ל</w:t>
      </w:r>
      <w:hyperlink r:id="rId14" w:history="1">
        <w:r w:rsidR="00C31A0E" w:rsidRPr="00C31A0E">
          <w:rPr>
            <w:rFonts w:ascii="David" w:hAnsi="David"/>
            <w:color w:val="0000FF"/>
            <w:u w:val="single"/>
            <w:rtl/>
          </w:rPr>
          <w:t>פקודת הסמים המסוכנים</w:t>
        </w:r>
      </w:hyperlink>
      <w:r>
        <w:rPr>
          <w:rFonts w:ascii="David" w:hAnsi="David" w:hint="cs"/>
          <w:rtl/>
        </w:rPr>
        <w:t xml:space="preserve"> [נוסח חדש], תשל"ג- 1973 (להלן </w:t>
      </w:r>
      <w:r>
        <w:rPr>
          <w:rFonts w:ascii="David" w:hAnsi="David"/>
          <w:rtl/>
        </w:rPr>
        <w:t>–</w:t>
      </w:r>
      <w:r>
        <w:rPr>
          <w:rFonts w:ascii="David" w:hAnsi="David" w:hint="cs"/>
          <w:rtl/>
        </w:rPr>
        <w:t xml:space="preserve"> </w:t>
      </w:r>
      <w:r w:rsidRPr="00FF1738">
        <w:rPr>
          <w:rFonts w:ascii="Miriam" w:hAnsi="Miriam" w:cs="Miriam"/>
          <w:rtl/>
        </w:rPr>
        <w:t>פקודת הסמים</w:t>
      </w:r>
      <w:r>
        <w:rPr>
          <w:rFonts w:ascii="David" w:hAnsi="David" w:hint="cs"/>
          <w:rtl/>
        </w:rPr>
        <w:t xml:space="preserve">); החזקת כלים שלא לצריכה עצמית, לפי </w:t>
      </w:r>
      <w:hyperlink r:id="rId15" w:history="1">
        <w:r w:rsidR="002048D3" w:rsidRPr="002048D3">
          <w:rPr>
            <w:rStyle w:val="Hyperlink"/>
            <w:rFonts w:ascii="David" w:hAnsi="David" w:hint="eastAsia"/>
            <w:color w:val="0000FF"/>
            <w:rtl/>
          </w:rPr>
          <w:t>סעיף</w:t>
        </w:r>
        <w:r w:rsidR="002048D3" w:rsidRPr="002048D3">
          <w:rPr>
            <w:rStyle w:val="Hyperlink"/>
            <w:rFonts w:ascii="David" w:hAnsi="David"/>
            <w:color w:val="0000FF"/>
            <w:rtl/>
          </w:rPr>
          <w:t xml:space="preserve"> 10</w:t>
        </w:r>
      </w:hyperlink>
      <w:r>
        <w:rPr>
          <w:rFonts w:ascii="David" w:hAnsi="David" w:hint="cs"/>
          <w:rtl/>
        </w:rPr>
        <w:t xml:space="preserve"> רישא לפקודת הסמים; ונטילת חשמל, לפי </w:t>
      </w:r>
      <w:hyperlink r:id="rId16" w:history="1">
        <w:r w:rsidR="002048D3" w:rsidRPr="002048D3">
          <w:rPr>
            <w:rStyle w:val="Hyperlink"/>
            <w:rFonts w:ascii="David" w:hAnsi="David" w:hint="eastAsia"/>
            <w:color w:val="0000FF"/>
            <w:rtl/>
          </w:rPr>
          <w:t>סעיף</w:t>
        </w:r>
        <w:r w:rsidR="002048D3" w:rsidRPr="002048D3">
          <w:rPr>
            <w:rStyle w:val="Hyperlink"/>
            <w:rFonts w:ascii="David" w:hAnsi="David"/>
            <w:color w:val="0000FF"/>
            <w:rtl/>
          </w:rPr>
          <w:t xml:space="preserve"> 400</w:t>
        </w:r>
      </w:hyperlink>
      <w:r>
        <w:rPr>
          <w:rFonts w:ascii="David" w:hAnsi="David" w:hint="cs"/>
          <w:rtl/>
        </w:rPr>
        <w:t xml:space="preserve"> ל</w:t>
      </w:r>
      <w:hyperlink r:id="rId17" w:history="1">
        <w:r w:rsidR="00C31A0E" w:rsidRPr="00C31A0E">
          <w:rPr>
            <w:rFonts w:ascii="David" w:hAnsi="David"/>
            <w:color w:val="0000FF"/>
            <w:u w:val="single"/>
            <w:rtl/>
          </w:rPr>
          <w:t>חוק העונשין</w:t>
        </w:r>
      </w:hyperlink>
      <w:r>
        <w:rPr>
          <w:rFonts w:ascii="David" w:hAnsi="David" w:hint="cs"/>
          <w:rtl/>
        </w:rPr>
        <w:t xml:space="preserve">, תשל"ז- 1977 (להלן </w:t>
      </w:r>
      <w:r>
        <w:rPr>
          <w:rFonts w:ascii="David" w:hAnsi="David"/>
          <w:rtl/>
        </w:rPr>
        <w:t>–</w:t>
      </w:r>
      <w:r>
        <w:rPr>
          <w:rFonts w:ascii="David" w:hAnsi="David" w:hint="cs"/>
          <w:rtl/>
        </w:rPr>
        <w:t xml:space="preserve"> </w:t>
      </w:r>
      <w:r w:rsidRPr="00FF1738">
        <w:rPr>
          <w:rFonts w:ascii="Miriam" w:hAnsi="Miriam" w:cs="Miriam"/>
          <w:rtl/>
        </w:rPr>
        <w:t>חוק העונשין</w:t>
      </w:r>
      <w:r>
        <w:rPr>
          <w:rFonts w:ascii="David" w:hAnsi="David" w:hint="cs"/>
          <w:rtl/>
        </w:rPr>
        <w:t xml:space="preserve">). </w:t>
      </w:r>
      <w:bookmarkStart w:id="6" w:name="ABSTRACT_END"/>
      <w:bookmarkEnd w:id="6"/>
      <w:r>
        <w:rPr>
          <w:rFonts w:ascii="David" w:hAnsi="David" w:hint="cs"/>
          <w:rtl/>
        </w:rPr>
        <w:t>על פי עובדות כתב האישום המתוקן, ביום 17.8.20 שכר הנאשם דירה ולאחר שנת שכירות, ביום 17.8.21, ביקש להמשיך ולשכור את הדירה לשנה נוספת. ביום 2.11.21 נמצא הנאשם מחזיק בדירה סם מסוכן מסוג קנבוס במשקל של 2.94 קילוגרם. כן החזיק בדירה כלים להכנת סמים: 25 בתי מנורות, 16 מאווררים, 5 מזגנים, 4 מזגנים ניידים, 34 שנאים, 35 אדניות, 19 משטחי אדניות, 4 פילטרים, מפוח, 3 מיכלי מים, 3 רשתות ייבוש, מד טמפרטורה ו-9 מנורות. ב</w:t>
      </w:r>
      <w:r w:rsidRPr="0007571B">
        <w:rPr>
          <w:rFonts w:ascii="David" w:hAnsi="David" w:hint="cs"/>
          <w:rtl/>
        </w:rPr>
        <w:t>מהלך תקופ</w:t>
      </w:r>
      <w:r>
        <w:rPr>
          <w:rFonts w:ascii="David" w:hAnsi="David" w:hint="cs"/>
          <w:rtl/>
        </w:rPr>
        <w:t>ה</w:t>
      </w:r>
      <w:r w:rsidRPr="0007571B">
        <w:rPr>
          <w:rFonts w:ascii="David" w:hAnsi="David" w:hint="cs"/>
          <w:rtl/>
        </w:rPr>
        <w:t xml:space="preserve"> זו צרך הנאשם חשמל במרמה בסך כולל של 139,408 ₪ באמצעות חיבור ישיר ולא חוקי להזנת חברת החשמל</w:t>
      </w:r>
      <w:r>
        <w:rPr>
          <w:rFonts w:ascii="David" w:hAnsi="David" w:hint="cs"/>
          <w:rtl/>
        </w:rPr>
        <w:t xml:space="preserve"> אשר אף יצר </w:t>
      </w:r>
      <w:r w:rsidRPr="0007571B">
        <w:rPr>
          <w:rFonts w:ascii="David" w:hAnsi="David" w:hint="cs"/>
          <w:rtl/>
        </w:rPr>
        <w:t>סיכון</w:t>
      </w:r>
      <w:r>
        <w:rPr>
          <w:rFonts w:ascii="David" w:hAnsi="David" w:hint="cs"/>
          <w:rtl/>
        </w:rPr>
        <w:t xml:space="preserve"> בשל אופן החיבור</w:t>
      </w:r>
      <w:r w:rsidRPr="0007571B">
        <w:rPr>
          <w:rFonts w:ascii="David" w:hAnsi="David" w:hint="cs"/>
          <w:rtl/>
        </w:rPr>
        <w:t xml:space="preserve">. </w:t>
      </w:r>
    </w:p>
    <w:p w14:paraId="7743762D" w14:textId="77777777" w:rsidR="009D01A9" w:rsidRPr="000F4F92" w:rsidRDefault="009D01A9" w:rsidP="009D01A9">
      <w:pPr>
        <w:pStyle w:val="a9"/>
        <w:rPr>
          <w:rFonts w:ascii="David" w:hAnsi="David"/>
          <w:rtl/>
        </w:rPr>
      </w:pPr>
    </w:p>
    <w:p w14:paraId="72198D69" w14:textId="77777777" w:rsidR="009D01A9" w:rsidRPr="000F4F92" w:rsidRDefault="009D01A9" w:rsidP="009D01A9">
      <w:pPr>
        <w:pStyle w:val="a9"/>
        <w:spacing w:line="360" w:lineRule="auto"/>
        <w:ind w:left="0"/>
        <w:jc w:val="both"/>
        <w:rPr>
          <w:rFonts w:ascii="David" w:hAnsi="David"/>
          <w:b/>
          <w:bCs/>
          <w:u w:val="single"/>
        </w:rPr>
      </w:pPr>
      <w:r>
        <w:rPr>
          <w:rFonts w:ascii="David" w:hAnsi="David" w:hint="cs"/>
          <w:b/>
          <w:bCs/>
          <w:u w:val="single"/>
          <w:rtl/>
        </w:rPr>
        <w:t>טיעוני הצדדים לעונש והראיות</w:t>
      </w:r>
    </w:p>
    <w:p w14:paraId="5952F918" w14:textId="77777777" w:rsidR="009D01A9" w:rsidRPr="000F4F92" w:rsidRDefault="009D01A9" w:rsidP="009D01A9">
      <w:pPr>
        <w:pStyle w:val="a9"/>
        <w:rPr>
          <w:rFonts w:ascii="David" w:hAnsi="David"/>
          <w:rtl/>
        </w:rPr>
      </w:pPr>
    </w:p>
    <w:p w14:paraId="5F2AE29C" w14:textId="77777777" w:rsidR="009D01A9" w:rsidRDefault="009D01A9" w:rsidP="009D01A9">
      <w:pPr>
        <w:pStyle w:val="a9"/>
        <w:numPr>
          <w:ilvl w:val="0"/>
          <w:numId w:val="1"/>
        </w:numPr>
        <w:spacing w:line="360" w:lineRule="auto"/>
        <w:jc w:val="both"/>
        <w:rPr>
          <w:rFonts w:ascii="David" w:hAnsi="David"/>
        </w:rPr>
      </w:pPr>
      <w:r>
        <w:rPr>
          <w:rFonts w:ascii="David" w:hAnsi="David" w:hint="cs"/>
          <w:rtl/>
        </w:rPr>
        <w:lastRenderedPageBreak/>
        <w:t xml:space="preserve"> ב"כ המאשימה הגיש טיעון כתוב והוסיף טיעון על פה. הודגשו הערכים המוגנים שנפגעו וכן חומרת המעשים, לרבות כמות הסם, ריבוי הכלים וסכום החשמל שנגנב. ביחס למתחם הענישה נטען כי הוא נע בין 10-24 חודשי מאסר בפועל וברמה האופרטיבית עתרה המאשימה לעונש מאסר למשך 10 חודשים וענישה נלווית. </w:t>
      </w:r>
    </w:p>
    <w:p w14:paraId="0B447329" w14:textId="77777777" w:rsidR="009D01A9" w:rsidRDefault="009D01A9" w:rsidP="009D01A9">
      <w:pPr>
        <w:pStyle w:val="a9"/>
        <w:ind w:left="0"/>
        <w:jc w:val="both"/>
        <w:rPr>
          <w:rFonts w:ascii="David" w:hAnsi="David"/>
        </w:rPr>
      </w:pPr>
    </w:p>
    <w:p w14:paraId="5C02A25E" w14:textId="77777777" w:rsidR="009D01A9" w:rsidRDefault="009D01A9" w:rsidP="009D01A9">
      <w:pPr>
        <w:pStyle w:val="a9"/>
        <w:numPr>
          <w:ilvl w:val="0"/>
          <w:numId w:val="1"/>
        </w:numPr>
        <w:spacing w:line="360" w:lineRule="auto"/>
        <w:jc w:val="both"/>
        <w:rPr>
          <w:rFonts w:ascii="David" w:hAnsi="David"/>
        </w:rPr>
      </w:pPr>
      <w:r>
        <w:rPr>
          <w:rFonts w:ascii="David" w:hAnsi="David" w:hint="cs"/>
          <w:rtl/>
        </w:rPr>
        <w:t>ב"כ הנאשם הדגיש את התיקון שנערך בכתב האישום וטען כי אין קשר בין הכלים שנתפסו בדירה לבין הסמים שהחזיק הנאשם. כן הוצגה פסיקה ונטען למתחם ענישה הנע בין מאסר מותנה לבין מאסר לריצוי בעבודות שירות. הודגש כי מדובר בנאשם צעיר, ללא עבר פלילי, מצבו הכלכלי רעוע ומאז ביצוע העבירות חלפו כשלוש שנים בהן לא נפתחו נגדו תיקים נוספים. לאור כך עתרה ההגנה למקם את עונשו בתחתית מתחם הענישה ולהסתפק בענישה צופה פני עתיד ופיצוי מתון.</w:t>
      </w:r>
    </w:p>
    <w:p w14:paraId="6C1BCC02" w14:textId="77777777" w:rsidR="009D01A9" w:rsidRDefault="009D01A9" w:rsidP="009D01A9">
      <w:pPr>
        <w:pStyle w:val="a9"/>
        <w:numPr>
          <w:ilvl w:val="0"/>
          <w:numId w:val="1"/>
        </w:numPr>
        <w:spacing w:line="360" w:lineRule="auto"/>
        <w:jc w:val="both"/>
        <w:rPr>
          <w:rFonts w:ascii="David" w:hAnsi="David"/>
        </w:rPr>
      </w:pPr>
      <w:r>
        <w:rPr>
          <w:rFonts w:ascii="David" w:hAnsi="David" w:hint="cs"/>
          <w:rtl/>
        </w:rPr>
        <w:t xml:space="preserve">הנאשם בדברו האחרון הביע צער וחרטה על מעשיו, תאר את מצבו הכלכלי וסיפר על חובות רבים ועל לחץ וחוסר אונים שהוא חווה בשל כך. כן תאר כי הוא עובד שעות רבות על מנת להשיב את חובותיו וברצונו לשוב לחיים נורמטיביים. </w:t>
      </w:r>
    </w:p>
    <w:p w14:paraId="016E5D18" w14:textId="77777777" w:rsidR="009D01A9" w:rsidRPr="009D47BA" w:rsidRDefault="009D01A9" w:rsidP="009D01A9">
      <w:pPr>
        <w:pStyle w:val="a9"/>
        <w:rPr>
          <w:rFonts w:ascii="David" w:hAnsi="David"/>
          <w:rtl/>
        </w:rPr>
      </w:pPr>
    </w:p>
    <w:p w14:paraId="01F618A5" w14:textId="77777777" w:rsidR="009D01A9" w:rsidRDefault="009D01A9" w:rsidP="009D01A9">
      <w:pPr>
        <w:pStyle w:val="a9"/>
        <w:spacing w:line="360" w:lineRule="auto"/>
        <w:ind w:left="0"/>
        <w:jc w:val="both"/>
        <w:rPr>
          <w:rFonts w:ascii="David" w:hAnsi="David"/>
          <w:b/>
          <w:bCs/>
          <w:u w:val="single"/>
          <w:rtl/>
        </w:rPr>
      </w:pPr>
      <w:r>
        <w:rPr>
          <w:rFonts w:ascii="David" w:hAnsi="David" w:hint="cs"/>
          <w:b/>
          <w:bCs/>
          <w:u w:val="single"/>
          <w:rtl/>
        </w:rPr>
        <w:t>דיון והכרעה</w:t>
      </w:r>
    </w:p>
    <w:p w14:paraId="591C2AE3" w14:textId="77777777" w:rsidR="009D01A9" w:rsidRPr="009D47BA" w:rsidRDefault="009D01A9" w:rsidP="009D01A9">
      <w:pPr>
        <w:pStyle w:val="a9"/>
        <w:spacing w:line="360" w:lineRule="auto"/>
        <w:ind w:left="0"/>
        <w:jc w:val="both"/>
        <w:rPr>
          <w:rFonts w:ascii="David" w:hAnsi="David"/>
        </w:rPr>
      </w:pPr>
      <w:r>
        <w:rPr>
          <w:rFonts w:ascii="David" w:hAnsi="David" w:hint="cs"/>
          <w:b/>
          <w:bCs/>
          <w:u w:val="single"/>
          <w:rtl/>
        </w:rPr>
        <w:t>קביעת מתחם הענישה</w:t>
      </w:r>
    </w:p>
    <w:p w14:paraId="28A62D9A" w14:textId="77777777" w:rsidR="009D01A9" w:rsidRPr="009D47BA" w:rsidRDefault="009D01A9" w:rsidP="009D01A9">
      <w:pPr>
        <w:pStyle w:val="a9"/>
        <w:rPr>
          <w:rFonts w:ascii="David" w:hAnsi="David"/>
          <w:rtl/>
        </w:rPr>
      </w:pPr>
    </w:p>
    <w:p w14:paraId="0A304417" w14:textId="77777777" w:rsidR="009D01A9" w:rsidRDefault="009D01A9" w:rsidP="009D01A9">
      <w:pPr>
        <w:pStyle w:val="a9"/>
        <w:numPr>
          <w:ilvl w:val="0"/>
          <w:numId w:val="1"/>
        </w:numPr>
        <w:spacing w:line="360" w:lineRule="auto"/>
        <w:jc w:val="both"/>
        <w:rPr>
          <w:rFonts w:ascii="David" w:hAnsi="David"/>
        </w:rPr>
      </w:pPr>
      <w:r>
        <w:rPr>
          <w:rFonts w:ascii="David" w:hAnsi="David" w:hint="cs"/>
          <w:rtl/>
        </w:rPr>
        <w:t xml:space="preserve">   </w:t>
      </w:r>
      <w:r w:rsidRPr="003611B8">
        <w:rPr>
          <w:rFonts w:ascii="David" w:hAnsi="David"/>
          <w:rtl/>
        </w:rPr>
        <w:t>במעשיו פגע הנאשם בערכים של בטחון הציבור ושלומו. הסכנות הטמונות בהחזקת סם ידועות ופעם אחר פעם נפסק שיש לראות בחומרה את עבירות הסמים אשר הפכו מכת מדינה וכי תוצאותיהן הישירות והעקיפות הרות אסון לשלומה של החברה, לבריאותה ולביטחונה. במקרה זה</w:t>
      </w:r>
      <w:r>
        <w:rPr>
          <w:rFonts w:ascii="David" w:hAnsi="David" w:hint="cs"/>
          <w:rtl/>
        </w:rPr>
        <w:t>,</w:t>
      </w:r>
      <w:r w:rsidRPr="003611B8">
        <w:rPr>
          <w:rFonts w:ascii="David" w:hAnsi="David"/>
          <w:rtl/>
        </w:rPr>
        <w:t xml:space="preserve"> לאור משקל הסם ויתר הנסיבות שיפורטו בהמשך, מידת הפגיעה בערכים גבוהה יחסית. כן יצוין כי הנאשם אף נטל בגניבה חשמל בשווי </w:t>
      </w:r>
      <w:r>
        <w:rPr>
          <w:rFonts w:ascii="David" w:hAnsi="David" w:hint="cs"/>
          <w:rtl/>
        </w:rPr>
        <w:t>רב</w:t>
      </w:r>
      <w:r w:rsidRPr="003611B8">
        <w:rPr>
          <w:rFonts w:ascii="David" w:hAnsi="David"/>
          <w:rtl/>
        </w:rPr>
        <w:t xml:space="preserve"> ובכך פגע בזכות הקניין של קורבן העבירה</w:t>
      </w:r>
      <w:r>
        <w:rPr>
          <w:rFonts w:ascii="David" w:hAnsi="David" w:hint="cs"/>
          <w:rtl/>
        </w:rPr>
        <w:t xml:space="preserve"> </w:t>
      </w:r>
      <w:r>
        <w:rPr>
          <w:rFonts w:ascii="David" w:hAnsi="David"/>
          <w:rtl/>
        </w:rPr>
        <w:t>–</w:t>
      </w:r>
      <w:r>
        <w:rPr>
          <w:rFonts w:ascii="David" w:hAnsi="David" w:hint="cs"/>
          <w:rtl/>
        </w:rPr>
        <w:t xml:space="preserve"> חברת החשמל</w:t>
      </w:r>
      <w:r w:rsidRPr="003611B8">
        <w:rPr>
          <w:rFonts w:ascii="David" w:hAnsi="David"/>
          <w:rtl/>
        </w:rPr>
        <w:t>.</w:t>
      </w:r>
    </w:p>
    <w:p w14:paraId="78B0E358" w14:textId="77777777" w:rsidR="009D01A9" w:rsidRDefault="009D01A9" w:rsidP="009D01A9">
      <w:pPr>
        <w:pStyle w:val="a9"/>
        <w:spacing w:line="360" w:lineRule="auto"/>
        <w:ind w:left="0"/>
        <w:jc w:val="both"/>
        <w:rPr>
          <w:rFonts w:ascii="David" w:hAnsi="David"/>
        </w:rPr>
      </w:pPr>
    </w:p>
    <w:p w14:paraId="350EA1A1" w14:textId="77777777" w:rsidR="009D01A9" w:rsidRDefault="009D01A9" w:rsidP="009D01A9">
      <w:pPr>
        <w:pStyle w:val="a9"/>
        <w:numPr>
          <w:ilvl w:val="0"/>
          <w:numId w:val="1"/>
        </w:numPr>
        <w:spacing w:line="360" w:lineRule="auto"/>
        <w:jc w:val="both"/>
        <w:rPr>
          <w:rFonts w:ascii="David" w:hAnsi="David"/>
        </w:rPr>
      </w:pPr>
      <w:r w:rsidRPr="00E41D72">
        <w:rPr>
          <w:rFonts w:ascii="David" w:hAnsi="David" w:hint="cs"/>
          <w:rtl/>
        </w:rPr>
        <w:t>ביחס לנסיבות ביצוע העבירות אציין כי כמות הסם שהחזיק הנאשם גדולה יחסית- 2.94 ק"ג</w:t>
      </w:r>
      <w:r>
        <w:rPr>
          <w:rFonts w:ascii="David" w:hAnsi="David" w:hint="cs"/>
          <w:rtl/>
        </w:rPr>
        <w:t>,</w:t>
      </w:r>
      <w:r w:rsidRPr="00E41D72">
        <w:rPr>
          <w:rFonts w:ascii="David" w:hAnsi="David" w:hint="cs"/>
          <w:rtl/>
        </w:rPr>
        <w:t xml:space="preserve"> ופוטנציא</w:t>
      </w:r>
      <w:r w:rsidRPr="00E41D72">
        <w:rPr>
          <w:rFonts w:ascii="David" w:hAnsi="David" w:hint="eastAsia"/>
          <w:rtl/>
        </w:rPr>
        <w:t>ל</w:t>
      </w:r>
      <w:r w:rsidRPr="00E41D72">
        <w:rPr>
          <w:rFonts w:ascii="David" w:hAnsi="David" w:hint="cs"/>
          <w:rtl/>
        </w:rPr>
        <w:t xml:space="preserve"> הנזק ברור וממשי. </w:t>
      </w:r>
      <w:r w:rsidRPr="00E41D72">
        <w:rPr>
          <w:rFonts w:ascii="David" w:hAnsi="David"/>
          <w:rtl/>
        </w:rPr>
        <w:t xml:space="preserve">הגם שמדובר בסם מסוג קנבוס אין להקל ראש בחומרת הדברים (ראו למשל: </w:t>
      </w:r>
      <w:hyperlink r:id="rId18" w:history="1">
        <w:r w:rsidR="00C31A0E" w:rsidRPr="00C31A0E">
          <w:rPr>
            <w:rFonts w:ascii="David" w:hAnsi="David"/>
            <w:color w:val="0000FF"/>
            <w:u w:val="single"/>
            <w:rtl/>
          </w:rPr>
          <w:t>ע"פ 6299/20</w:t>
        </w:r>
      </w:hyperlink>
      <w:r w:rsidRPr="00E41D72">
        <w:rPr>
          <w:rFonts w:ascii="David" w:hAnsi="David"/>
          <w:rtl/>
        </w:rPr>
        <w:t xml:space="preserve"> </w:t>
      </w:r>
      <w:r w:rsidRPr="00E41D72">
        <w:rPr>
          <w:rFonts w:ascii="David" w:hAnsi="David"/>
          <w:b/>
          <w:bCs/>
          <w:rtl/>
        </w:rPr>
        <w:t>שחר חן נ' מדינת ישראל</w:t>
      </w:r>
      <w:r w:rsidRPr="00E41D72">
        <w:rPr>
          <w:rFonts w:ascii="David" w:hAnsi="David"/>
          <w:rtl/>
        </w:rPr>
        <w:t xml:space="preserve"> (4.2.2021); </w:t>
      </w:r>
      <w:hyperlink r:id="rId19" w:history="1">
        <w:r w:rsidR="00C31A0E" w:rsidRPr="00C31A0E">
          <w:rPr>
            <w:color w:val="0000FF"/>
            <w:u w:val="single"/>
            <w:rtl/>
          </w:rPr>
          <w:t>ע"פ 2596/18</w:t>
        </w:r>
      </w:hyperlink>
      <w:r>
        <w:rPr>
          <w:rtl/>
        </w:rPr>
        <w:t xml:space="preserve"> </w:t>
      </w:r>
      <w:r w:rsidRPr="00E41D72">
        <w:rPr>
          <w:b/>
          <w:bCs/>
          <w:rtl/>
        </w:rPr>
        <w:t>כפיר זנזורי נ' מדינת ישראל</w:t>
      </w:r>
      <w:r>
        <w:rPr>
          <w:rtl/>
        </w:rPr>
        <w:t xml:space="preserve"> (12.8.2018)</w:t>
      </w:r>
      <w:r w:rsidRPr="00E41D72">
        <w:rPr>
          <w:rFonts w:ascii="David" w:hAnsi="David"/>
          <w:rtl/>
        </w:rPr>
        <w:t>).</w:t>
      </w:r>
      <w:r w:rsidRPr="00E41D72">
        <w:rPr>
          <w:rFonts w:ascii="David" w:hAnsi="David" w:hint="cs"/>
          <w:rtl/>
        </w:rPr>
        <w:t xml:space="preserve"> מעבר לסם גופו, החזיק הנאשם כלים להכנת סם שלא לשימוש עצמי בלבד, בכמות משמעותית והגם שלאחר התיקון לא יוחסה לו עבירת גידול סם, יש להביא בחשבון כי הצטיידות בכלים בהיקף כגון זה מעידה על השקעה כספית לא מבוטלת, עיסוק בתחום והתמקצעות, וכאמור כל זאת שלא לשימוש עצמי בלבד. לכך יש להוסיף כי הנאשם יצר סיכון בכך שחיבר מוליכים פיראטיים למתקן החשמל ובדרך זו אף נטל חש</w:t>
      </w:r>
      <w:r>
        <w:rPr>
          <w:rFonts w:ascii="David" w:hAnsi="David" w:hint="cs"/>
          <w:rtl/>
        </w:rPr>
        <w:t>מל בהיקף של למעלה מ-139,000 ₪. כאן המקום להעיר כי בתיקי סמים מקובל שגניבת החשמל קשורה להפעלת מכשירים חשמליים לצורך גידול הסם ואילו במקרה זה הנאשם לא הורשע בעבירת גידול כך שסיבת הגניבה נותרה בלתי ברורה.</w:t>
      </w:r>
    </w:p>
    <w:p w14:paraId="0D5B5E4E" w14:textId="77777777" w:rsidR="009D01A9" w:rsidRPr="00E41D72" w:rsidRDefault="009D01A9" w:rsidP="009D01A9">
      <w:pPr>
        <w:pStyle w:val="a9"/>
        <w:rPr>
          <w:rFonts w:ascii="David" w:hAnsi="David"/>
          <w:rtl/>
        </w:rPr>
      </w:pPr>
    </w:p>
    <w:p w14:paraId="053D8E63" w14:textId="77777777" w:rsidR="009D01A9" w:rsidRDefault="009D01A9" w:rsidP="009D01A9">
      <w:pPr>
        <w:pStyle w:val="a9"/>
        <w:numPr>
          <w:ilvl w:val="0"/>
          <w:numId w:val="1"/>
        </w:numPr>
        <w:spacing w:line="360" w:lineRule="auto"/>
        <w:jc w:val="both"/>
        <w:rPr>
          <w:rFonts w:ascii="David" w:hAnsi="David"/>
        </w:rPr>
      </w:pPr>
      <w:r w:rsidRPr="00644514">
        <w:rPr>
          <w:rFonts w:ascii="David" w:hAnsi="David"/>
          <w:rtl/>
        </w:rPr>
        <w:t xml:space="preserve">מדיניות הענישה בעבירות סמים הקשורות לשרשרת ההפצה מחמירה ולנסיבות האישיות </w:t>
      </w:r>
      <w:r>
        <w:rPr>
          <w:rFonts w:ascii="David" w:hAnsi="David" w:hint="cs"/>
          <w:rtl/>
        </w:rPr>
        <w:t xml:space="preserve">של הנאשם </w:t>
      </w:r>
      <w:r w:rsidRPr="00644514">
        <w:rPr>
          <w:rFonts w:ascii="David" w:hAnsi="David"/>
          <w:rtl/>
        </w:rPr>
        <w:t xml:space="preserve">ניתן, ככלל, משקל מופחת. בעניין זה נקבע לא אחת כי </w:t>
      </w:r>
      <w:r w:rsidRPr="008D5224">
        <w:rPr>
          <w:rFonts w:ascii="Miriam" w:hAnsi="Miriam" w:cs="Miriam"/>
          <w:rtl/>
        </w:rPr>
        <w:t xml:space="preserve">"ההלכה בעניין עבירות סמים </w:t>
      </w:r>
      <w:r w:rsidRPr="008D5224">
        <w:rPr>
          <w:rFonts w:ascii="Miriam" w:hAnsi="Miriam" w:cs="Miriam"/>
          <w:rtl/>
        </w:rPr>
        <w:lastRenderedPageBreak/>
        <w:t>קובעת כי נוכח חומרתן הרבה של אותן העבירות יש להתמודד מולן באמצעות ענישה משמעותית ומחמירה ... [ו]כי יש לבכר את שיקולי ההרתעה על השיקולים האישיים בעבירות מסוג זה"</w:t>
      </w:r>
      <w:r w:rsidRPr="00644514">
        <w:rPr>
          <w:rFonts w:ascii="David" w:hAnsi="David"/>
          <w:rtl/>
        </w:rPr>
        <w:t xml:space="preserve"> (</w:t>
      </w:r>
      <w:hyperlink r:id="rId20" w:history="1">
        <w:r w:rsidR="00C31A0E" w:rsidRPr="00C31A0E">
          <w:rPr>
            <w:rFonts w:ascii="David" w:hAnsi="David"/>
            <w:color w:val="0000FF"/>
            <w:u w:val="single"/>
            <w:rtl/>
          </w:rPr>
          <w:t>ע"פ 8988/16</w:t>
        </w:r>
      </w:hyperlink>
      <w:r w:rsidRPr="00644514">
        <w:rPr>
          <w:rFonts w:ascii="David" w:hAnsi="David"/>
          <w:rtl/>
        </w:rPr>
        <w:t xml:space="preserve"> </w:t>
      </w:r>
      <w:r w:rsidRPr="00644514">
        <w:rPr>
          <w:rFonts w:ascii="David" w:hAnsi="David"/>
          <w:b/>
          <w:bCs/>
          <w:rtl/>
        </w:rPr>
        <w:t>אשר בן סימון נ' מדינת ישראל</w:t>
      </w:r>
      <w:r w:rsidRPr="00644514">
        <w:rPr>
          <w:rFonts w:ascii="David" w:hAnsi="David"/>
          <w:rtl/>
        </w:rPr>
        <w:t xml:space="preserve"> (8.3.2017)). הענישה המחמירה נועדה להרתיע מפני ביצוען, וזאת על מנת להגן על הציבור מפני השפעותיו הקשות של הסם (</w:t>
      </w:r>
      <w:hyperlink r:id="rId21" w:history="1">
        <w:r w:rsidR="00C31A0E" w:rsidRPr="00C31A0E">
          <w:rPr>
            <w:rFonts w:ascii="David" w:hAnsi="David"/>
            <w:color w:val="0000FF"/>
            <w:u w:val="single"/>
            <w:rtl/>
          </w:rPr>
          <w:t>רע"פ 4512/15</w:t>
        </w:r>
      </w:hyperlink>
      <w:r w:rsidRPr="00644514">
        <w:rPr>
          <w:rFonts w:ascii="David" w:hAnsi="David"/>
          <w:rtl/>
        </w:rPr>
        <w:t xml:space="preserve"> </w:t>
      </w:r>
      <w:r w:rsidRPr="00644514">
        <w:rPr>
          <w:rFonts w:ascii="David" w:hAnsi="David"/>
          <w:b/>
          <w:bCs/>
          <w:rtl/>
        </w:rPr>
        <w:t>הרוש נ' מדינת ישראל</w:t>
      </w:r>
      <w:r w:rsidRPr="00644514">
        <w:rPr>
          <w:rFonts w:ascii="David" w:hAnsi="David"/>
          <w:rtl/>
        </w:rPr>
        <w:t xml:space="preserve"> (6.7.2015); </w:t>
      </w:r>
      <w:hyperlink r:id="rId22" w:history="1">
        <w:r w:rsidR="00C31A0E" w:rsidRPr="00C31A0E">
          <w:rPr>
            <w:rFonts w:ascii="David" w:hAnsi="David"/>
            <w:color w:val="0000FF"/>
            <w:u w:val="single"/>
            <w:rtl/>
          </w:rPr>
          <w:t>ע"פ 211/09</w:t>
        </w:r>
      </w:hyperlink>
      <w:r w:rsidRPr="00644514">
        <w:rPr>
          <w:rFonts w:ascii="David" w:hAnsi="David"/>
          <w:rtl/>
        </w:rPr>
        <w:t xml:space="preserve"> </w:t>
      </w:r>
      <w:r w:rsidRPr="00644514">
        <w:rPr>
          <w:rFonts w:ascii="David" w:hAnsi="David"/>
          <w:b/>
          <w:bCs/>
          <w:rtl/>
        </w:rPr>
        <w:t>אזולאי נ' מדינת ישראל</w:t>
      </w:r>
      <w:r w:rsidRPr="00644514">
        <w:rPr>
          <w:rFonts w:ascii="David" w:hAnsi="David"/>
          <w:rtl/>
        </w:rPr>
        <w:t xml:space="preserve"> (22.6.2010)).  </w:t>
      </w:r>
    </w:p>
    <w:p w14:paraId="258C1A59" w14:textId="77777777" w:rsidR="009D01A9" w:rsidRPr="00644514" w:rsidRDefault="009D01A9" w:rsidP="009D01A9">
      <w:pPr>
        <w:pStyle w:val="a9"/>
        <w:rPr>
          <w:rFonts w:ascii="David" w:hAnsi="David"/>
          <w:rtl/>
        </w:rPr>
      </w:pPr>
    </w:p>
    <w:p w14:paraId="0ADB8C85" w14:textId="77777777" w:rsidR="009D01A9" w:rsidRDefault="009D01A9" w:rsidP="009D01A9">
      <w:pPr>
        <w:pStyle w:val="a9"/>
        <w:numPr>
          <w:ilvl w:val="0"/>
          <w:numId w:val="1"/>
        </w:numPr>
        <w:spacing w:line="360" w:lineRule="auto"/>
        <w:jc w:val="both"/>
      </w:pPr>
      <w:r>
        <w:rPr>
          <w:rFonts w:ascii="David" w:hAnsi="David"/>
          <w:rtl/>
        </w:rPr>
        <w:t>בעניין מדיניות הענישה בעבירות של החזקת סמים שלא לצריכה עצמית אפנה ל</w:t>
      </w:r>
      <w:hyperlink r:id="rId23" w:history="1">
        <w:r w:rsidR="00C31A0E" w:rsidRPr="00C31A0E">
          <w:rPr>
            <w:rFonts w:ascii="David" w:hAnsi="David"/>
            <w:color w:val="0000FF"/>
            <w:u w:val="single"/>
            <w:rtl/>
          </w:rPr>
          <w:t>רע"פ 7570-21</w:t>
        </w:r>
      </w:hyperlink>
      <w:r>
        <w:rPr>
          <w:rFonts w:ascii="David" w:hAnsi="David"/>
          <w:rtl/>
        </w:rPr>
        <w:t xml:space="preserve"> </w:t>
      </w:r>
      <w:r>
        <w:rPr>
          <w:rFonts w:ascii="David" w:hAnsi="David"/>
          <w:b/>
          <w:bCs/>
          <w:rtl/>
        </w:rPr>
        <w:t>זיהאד אבו סוילם נ' מדינת ישראל</w:t>
      </w:r>
      <w:r>
        <w:rPr>
          <w:rFonts w:ascii="David" w:hAnsi="David"/>
          <w:rtl/>
        </w:rPr>
        <w:t xml:space="preserve"> (11.11.2021), בו נידון עניינו של נאשם שהורשע בהחזקת קנבוס וקוקאין במשקל כולל של 4 ק"ג ונידון ל-8 חודשי מאסר בפועל ועונשים נלווים; </w:t>
      </w:r>
      <w:hyperlink r:id="rId24" w:history="1">
        <w:r w:rsidR="00C31A0E" w:rsidRPr="00C31A0E">
          <w:rPr>
            <w:rFonts w:ascii="David" w:hAnsi="David"/>
            <w:color w:val="0000FF"/>
            <w:u w:val="single"/>
            <w:rtl/>
          </w:rPr>
          <w:t>רע"פ 2557/12</w:t>
        </w:r>
      </w:hyperlink>
      <w:r>
        <w:rPr>
          <w:rFonts w:ascii="David" w:hAnsi="David"/>
          <w:rtl/>
        </w:rPr>
        <w:t xml:space="preserve"> </w:t>
      </w:r>
      <w:r>
        <w:rPr>
          <w:rFonts w:ascii="David" w:hAnsi="David"/>
          <w:b/>
          <w:bCs/>
          <w:rtl/>
        </w:rPr>
        <w:t>תמם פרדי נ' מדינת ישראל</w:t>
      </w:r>
      <w:r>
        <w:rPr>
          <w:rFonts w:ascii="David" w:hAnsi="David"/>
          <w:rtl/>
        </w:rPr>
        <w:t xml:space="preserve"> (5.4.2012), בו הוטלו על נאשם 14 חודשי מאסר בפועל בגין החזקת 10 ק"ג קנבוס; </w:t>
      </w:r>
      <w:hyperlink r:id="rId25" w:history="1">
        <w:r w:rsidR="00C31A0E" w:rsidRPr="00C31A0E">
          <w:rPr>
            <w:rFonts w:ascii="David" w:hAnsi="David"/>
            <w:color w:val="0000FF"/>
            <w:u w:val="single"/>
            <w:rtl/>
          </w:rPr>
          <w:t>עפ"ג 38161-12-16</w:t>
        </w:r>
      </w:hyperlink>
      <w:r>
        <w:rPr>
          <w:rFonts w:ascii="David" w:hAnsi="David"/>
          <w:rtl/>
        </w:rPr>
        <w:t xml:space="preserve"> </w:t>
      </w:r>
      <w:r>
        <w:rPr>
          <w:rFonts w:ascii="David" w:hAnsi="David"/>
          <w:b/>
          <w:bCs/>
          <w:rtl/>
        </w:rPr>
        <w:t>אלעול נ' מדינת ישראל</w:t>
      </w:r>
      <w:r>
        <w:rPr>
          <w:rFonts w:ascii="David" w:hAnsi="David"/>
          <w:rtl/>
        </w:rPr>
        <w:t xml:space="preserve"> (18.01.2017), בו נידון עניינו של נאשם שהורשע בהחזקת 6 ק"ג של קנבוס ונידון ל-14 חודשי מאסר בפועל; </w:t>
      </w:r>
      <w:hyperlink r:id="rId26" w:history="1">
        <w:r w:rsidR="00C31A0E" w:rsidRPr="00C31A0E">
          <w:rPr>
            <w:rFonts w:ascii="David" w:hAnsi="David"/>
            <w:color w:val="0000FF"/>
            <w:u w:val="single"/>
            <w:rtl/>
          </w:rPr>
          <w:t>ת"פ 51006-11-21</w:t>
        </w:r>
      </w:hyperlink>
      <w:r>
        <w:rPr>
          <w:rFonts w:ascii="David" w:hAnsi="David"/>
          <w:rtl/>
        </w:rPr>
        <w:t xml:space="preserve"> </w:t>
      </w:r>
      <w:r>
        <w:rPr>
          <w:rFonts w:ascii="David" w:hAnsi="David"/>
          <w:b/>
          <w:bCs/>
          <w:rtl/>
        </w:rPr>
        <w:t>מדינת ישראל נ' מורשד ג'בארין</w:t>
      </w:r>
      <w:r>
        <w:rPr>
          <w:rFonts w:ascii="David" w:hAnsi="David"/>
          <w:rtl/>
        </w:rPr>
        <w:t xml:space="preserve"> (23.6.2022), בו נגזרו 10 חודשי מאסר בפועל על נאשם שהחזיק</w:t>
      </w:r>
      <w:r>
        <w:rPr>
          <w:rFonts w:ascii="David" w:hAnsi="David" w:hint="cs"/>
          <w:rtl/>
        </w:rPr>
        <w:t>,</w:t>
      </w:r>
      <w:r>
        <w:rPr>
          <w:rFonts w:ascii="David" w:hAnsi="David"/>
          <w:rtl/>
        </w:rPr>
        <w:t xml:space="preserve"> ביחד עם אחר, כ-6 ק"ג של סמים מסוג קנבוס וחשיש, כשחלק מהסמים ארוזים, לצד משקל אלקטרוני וציוד נוסף המיועד לטיפול בסמים וחלוקתם לאריזות; </w:t>
      </w:r>
      <w:hyperlink r:id="rId27" w:history="1">
        <w:r w:rsidR="00C31A0E" w:rsidRPr="00C31A0E">
          <w:rPr>
            <w:rFonts w:ascii="David" w:hAnsi="David"/>
            <w:color w:val="0000FF"/>
            <w:u w:val="single"/>
            <w:rtl/>
          </w:rPr>
          <w:t>ת"פ 47640-06-18</w:t>
        </w:r>
      </w:hyperlink>
      <w:r>
        <w:rPr>
          <w:rFonts w:ascii="David" w:hAnsi="David"/>
          <w:rtl/>
        </w:rPr>
        <w:t xml:space="preserve"> </w:t>
      </w:r>
      <w:r>
        <w:rPr>
          <w:rFonts w:ascii="David" w:hAnsi="David"/>
          <w:b/>
          <w:bCs/>
          <w:rtl/>
        </w:rPr>
        <w:t xml:space="preserve">מדינת ישראל נ' אבו סבית ואח' </w:t>
      </w:r>
      <w:r>
        <w:rPr>
          <w:rFonts w:ascii="David" w:hAnsi="David"/>
          <w:rtl/>
        </w:rPr>
        <w:t xml:space="preserve">(25.6.2019) בו הורשע נאשם בהחזקת 6 קילו קנבוס בתא המטען של רכבו ונידון לעשרה חודשי מאסר בפועל ועונשים נלווים. נאשם נוסף הורשע בסיוע להחזקה </w:t>
      </w:r>
      <w:r>
        <w:rPr>
          <w:rFonts w:ascii="David" w:hAnsi="David" w:hint="cs"/>
          <w:rtl/>
        </w:rPr>
        <w:t xml:space="preserve">זו </w:t>
      </w:r>
      <w:r>
        <w:rPr>
          <w:rFonts w:ascii="David" w:hAnsi="David"/>
          <w:rtl/>
        </w:rPr>
        <w:t>ונידון לארבעה חודשי מאסר בעבודות שירות</w:t>
      </w:r>
      <w:r>
        <w:rPr>
          <w:rtl/>
        </w:rPr>
        <w:t xml:space="preserve">; </w:t>
      </w:r>
      <w:hyperlink r:id="rId28" w:history="1">
        <w:r w:rsidR="00C31A0E" w:rsidRPr="00C31A0E">
          <w:rPr>
            <w:rFonts w:ascii="David" w:hAnsi="David"/>
            <w:color w:val="0000FF"/>
            <w:u w:val="single"/>
            <w:rtl/>
          </w:rPr>
          <w:t>ת"פ 51943-05-20</w:t>
        </w:r>
      </w:hyperlink>
      <w:r>
        <w:rPr>
          <w:rFonts w:ascii="David" w:hAnsi="David"/>
          <w:rtl/>
        </w:rPr>
        <w:t xml:space="preserve"> </w:t>
      </w:r>
      <w:r>
        <w:rPr>
          <w:rFonts w:ascii="David" w:hAnsi="David"/>
          <w:b/>
          <w:bCs/>
          <w:rtl/>
        </w:rPr>
        <w:t>מדינת ישראל נ' סאלם בן עלי סאנע</w:t>
      </w:r>
      <w:r>
        <w:rPr>
          <w:rFonts w:ascii="David" w:hAnsi="David"/>
          <w:rtl/>
        </w:rPr>
        <w:t xml:space="preserve"> (9.3.2023), בו הורשע הנאשם בהחזקת 8.5 ק"ג קנבוס, מחולק ל-3 אריזות בתא המטען של רכבו. נקבע מתחם הנע בין 16-36 חודשי מאסר בפועל ועל הנאשם נגזרו 16 חודשי מאסר ועונשים נלווים; </w:t>
      </w:r>
      <w:hyperlink r:id="rId29" w:history="1">
        <w:r w:rsidR="00C31A0E" w:rsidRPr="00C31A0E">
          <w:rPr>
            <w:rFonts w:ascii="David" w:hAnsi="David"/>
            <w:color w:val="0000FF"/>
            <w:u w:val="single"/>
            <w:rtl/>
          </w:rPr>
          <w:t>ת"פ 32793-08-18</w:t>
        </w:r>
      </w:hyperlink>
      <w:r>
        <w:rPr>
          <w:rFonts w:ascii="David" w:hAnsi="David"/>
          <w:rtl/>
        </w:rPr>
        <w:t xml:space="preserve"> </w:t>
      </w:r>
      <w:r>
        <w:rPr>
          <w:rFonts w:ascii="David" w:hAnsi="David"/>
          <w:b/>
          <w:bCs/>
          <w:rtl/>
        </w:rPr>
        <w:t>מדינת ישראל נ' תראבין ואח'</w:t>
      </w:r>
      <w:r>
        <w:rPr>
          <w:rFonts w:ascii="David" w:hAnsi="David"/>
          <w:rtl/>
        </w:rPr>
        <w:t xml:space="preserve"> (10.2.2020), בו נקבע מתחם </w:t>
      </w:r>
      <w:r>
        <w:rPr>
          <w:rFonts w:ascii="David" w:hAnsi="David" w:hint="cs"/>
          <w:rtl/>
        </w:rPr>
        <w:t xml:space="preserve">ענישה </w:t>
      </w:r>
      <w:r>
        <w:rPr>
          <w:rFonts w:ascii="David" w:hAnsi="David"/>
          <w:rtl/>
        </w:rPr>
        <w:t xml:space="preserve">הנע בין 10-24 חודשי מאסר בפועל בגין החזקת 12 ק"ג קנבוס בתא מטען ברכבו של הנאשם; </w:t>
      </w:r>
      <w:hyperlink r:id="rId30" w:history="1">
        <w:r w:rsidR="00C31A0E" w:rsidRPr="00C31A0E">
          <w:rPr>
            <w:rFonts w:ascii="David" w:hAnsi="David"/>
            <w:color w:val="0000FF"/>
            <w:u w:val="single"/>
            <w:rtl/>
          </w:rPr>
          <w:t>ת"פ 17157-08-20</w:t>
        </w:r>
      </w:hyperlink>
      <w:r>
        <w:rPr>
          <w:rFonts w:ascii="David" w:hAnsi="David"/>
          <w:rtl/>
        </w:rPr>
        <w:t xml:space="preserve"> </w:t>
      </w:r>
      <w:r>
        <w:rPr>
          <w:rFonts w:ascii="David" w:hAnsi="David"/>
          <w:b/>
          <w:bCs/>
          <w:rtl/>
        </w:rPr>
        <w:t xml:space="preserve">מדינת ישראל נ' אבו ארסיס </w:t>
      </w:r>
      <w:r>
        <w:rPr>
          <w:rFonts w:ascii="David" w:hAnsi="David"/>
          <w:rtl/>
        </w:rPr>
        <w:t>(1.3.2021), בו הורשע נאשם בהחזקת 9 ק"ג חשיש ברכבו והוטלו עליו 11 חודשי מאסר בפועל ועונשים נלווים</w:t>
      </w:r>
      <w:r>
        <w:rPr>
          <w:rFonts w:ascii="David" w:hAnsi="David" w:hint="cs"/>
          <w:rtl/>
        </w:rPr>
        <w:t xml:space="preserve">; </w:t>
      </w:r>
      <w:hyperlink r:id="rId31" w:history="1">
        <w:r w:rsidR="00C31A0E" w:rsidRPr="00C31A0E">
          <w:rPr>
            <w:rFonts w:ascii="David" w:hAnsi="David"/>
            <w:color w:val="0000FF"/>
            <w:u w:val="single"/>
            <w:rtl/>
          </w:rPr>
          <w:t>ת"פ 34108-01-23</w:t>
        </w:r>
      </w:hyperlink>
      <w:r>
        <w:rPr>
          <w:rFonts w:ascii="David" w:hAnsi="David" w:hint="cs"/>
          <w:rtl/>
        </w:rPr>
        <w:t xml:space="preserve"> (קריות) </w:t>
      </w:r>
      <w:r w:rsidRPr="00643C54">
        <w:rPr>
          <w:rFonts w:ascii="David" w:hAnsi="David"/>
          <w:rtl/>
        </w:rPr>
        <w:t xml:space="preserve"> </w:t>
      </w:r>
      <w:r w:rsidRPr="00643C54">
        <w:rPr>
          <w:rFonts w:ascii="David" w:hAnsi="David"/>
          <w:b/>
          <w:bCs/>
          <w:rtl/>
        </w:rPr>
        <w:t>מדינת ישראל נ' בריהון</w:t>
      </w:r>
      <w:r w:rsidRPr="00643C54">
        <w:rPr>
          <w:rFonts w:ascii="David" w:hAnsi="David" w:hint="cs"/>
          <w:b/>
          <w:bCs/>
          <w:rtl/>
        </w:rPr>
        <w:t xml:space="preserve"> </w:t>
      </w:r>
      <w:r w:rsidRPr="00643C54">
        <w:rPr>
          <w:rFonts w:ascii="David" w:hAnsi="David"/>
          <w:b/>
          <w:bCs/>
          <w:rtl/>
        </w:rPr>
        <w:t>ואח'</w:t>
      </w:r>
      <w:r>
        <w:rPr>
          <w:rFonts w:ascii="David" w:hAnsi="David" w:hint="cs"/>
          <w:rtl/>
        </w:rPr>
        <w:t xml:space="preserve"> (18.4.2023)</w:t>
      </w:r>
      <w:r>
        <w:rPr>
          <w:rFonts w:hint="cs"/>
          <w:rtl/>
        </w:rPr>
        <w:t xml:space="preserve">, בו נקבע מתחם ענישה הנע בין 10-24 חודשי מאסר בפועל בגין עבירת החזקת קנבוס במשקל של למעלה מ-8 ק"ג. על הנאשם, צעיר נעדר עבר פלילי, הוטלו 12 חודשי מאסר בפועל. </w:t>
      </w:r>
    </w:p>
    <w:p w14:paraId="23AA8909" w14:textId="77777777" w:rsidR="009D01A9" w:rsidRDefault="009D01A9" w:rsidP="009D01A9">
      <w:pPr>
        <w:pStyle w:val="a9"/>
        <w:ind w:left="0"/>
        <w:jc w:val="both"/>
      </w:pPr>
    </w:p>
    <w:p w14:paraId="6057D304" w14:textId="77777777" w:rsidR="009D01A9" w:rsidRDefault="009D01A9" w:rsidP="009D01A9">
      <w:pPr>
        <w:pStyle w:val="a9"/>
        <w:numPr>
          <w:ilvl w:val="0"/>
          <w:numId w:val="1"/>
        </w:numPr>
        <w:spacing w:line="360" w:lineRule="auto"/>
        <w:jc w:val="both"/>
        <w:rPr>
          <w:rFonts w:ascii="David" w:hAnsi="David"/>
        </w:rPr>
      </w:pPr>
      <w:r>
        <w:rPr>
          <w:rFonts w:ascii="David" w:hAnsi="David"/>
          <w:color w:val="000000"/>
          <w:rtl/>
        </w:rPr>
        <w:t xml:space="preserve">לאור כל זאת, אני בדעה כי מתחם הענישה ההולם את העבירות מושא ענייננו, בנסיבות ביצוען, נע בין </w:t>
      </w:r>
      <w:r>
        <w:rPr>
          <w:rFonts w:ascii="David" w:hAnsi="David" w:hint="cs"/>
          <w:rtl/>
        </w:rPr>
        <w:t xml:space="preserve">6-20 חודשי מאסר בפועל. </w:t>
      </w:r>
    </w:p>
    <w:p w14:paraId="24473BDD" w14:textId="77777777" w:rsidR="009D01A9" w:rsidRPr="002F3E10" w:rsidRDefault="009D01A9" w:rsidP="009D01A9">
      <w:pPr>
        <w:pStyle w:val="a9"/>
        <w:rPr>
          <w:rFonts w:ascii="David" w:hAnsi="David"/>
          <w:rtl/>
        </w:rPr>
      </w:pPr>
    </w:p>
    <w:p w14:paraId="5BD046FB" w14:textId="77777777" w:rsidR="009D01A9" w:rsidRDefault="009D01A9" w:rsidP="009D01A9">
      <w:pPr>
        <w:spacing w:line="360" w:lineRule="auto"/>
        <w:jc w:val="both"/>
        <w:rPr>
          <w:rFonts w:ascii="David" w:hAnsi="David"/>
        </w:rPr>
      </w:pPr>
      <w:r>
        <w:rPr>
          <w:rFonts w:ascii="David" w:hAnsi="David"/>
          <w:b/>
          <w:bCs/>
          <w:color w:val="000000"/>
          <w:u w:val="single"/>
          <w:rtl/>
        </w:rPr>
        <w:t>קביעת עונשו של הנאשם</w:t>
      </w:r>
    </w:p>
    <w:p w14:paraId="603FDFC7" w14:textId="77777777" w:rsidR="009D01A9" w:rsidRDefault="009D01A9" w:rsidP="009D01A9">
      <w:pPr>
        <w:pStyle w:val="a9"/>
        <w:ind w:left="0"/>
        <w:jc w:val="both"/>
        <w:rPr>
          <w:rFonts w:ascii="David" w:hAnsi="David"/>
        </w:rPr>
      </w:pPr>
    </w:p>
    <w:p w14:paraId="0D78B1E8" w14:textId="77777777" w:rsidR="009D01A9" w:rsidRDefault="00C31A0E" w:rsidP="009D01A9">
      <w:pPr>
        <w:pStyle w:val="a9"/>
        <w:numPr>
          <w:ilvl w:val="0"/>
          <w:numId w:val="1"/>
        </w:numPr>
        <w:spacing w:line="360" w:lineRule="auto"/>
        <w:jc w:val="both"/>
        <w:rPr>
          <w:rFonts w:ascii="David" w:hAnsi="David"/>
        </w:rPr>
      </w:pPr>
      <w:r>
        <w:rPr>
          <w:color w:val="000000"/>
          <w:sz w:val="14"/>
          <w:szCs w:val="14"/>
        </w:rPr>
        <w:t xml:space="preserve"> </w:t>
      </w:r>
      <w:r w:rsidR="009D01A9">
        <w:rPr>
          <w:rFonts w:ascii="David" w:hAnsi="David"/>
          <w:color w:val="000000"/>
          <w:rtl/>
        </w:rPr>
        <w:t>לא הייתה מחלוקת בין הצדדים כי העונש אמור להיגזר בגדרי מתחם הענישה. לא התבקש תסקיר ולא נטען דבר בעניין סיכויי שיקומו של הנאשם</w:t>
      </w:r>
      <w:r w:rsidR="009D01A9">
        <w:rPr>
          <w:rFonts w:ascii="David" w:hAnsi="David"/>
          <w:color w:val="000000"/>
        </w:rPr>
        <w:t>.</w:t>
      </w:r>
      <w:r w:rsidR="009D01A9">
        <w:rPr>
          <w:rFonts w:ascii="David" w:hAnsi="David"/>
          <w:rtl/>
        </w:rPr>
        <w:t xml:space="preserve"> </w:t>
      </w:r>
    </w:p>
    <w:p w14:paraId="6A4DD83C" w14:textId="77777777" w:rsidR="009D01A9" w:rsidRDefault="009D01A9" w:rsidP="009D01A9">
      <w:pPr>
        <w:pStyle w:val="a9"/>
        <w:ind w:left="0"/>
        <w:jc w:val="both"/>
        <w:rPr>
          <w:rFonts w:ascii="David" w:hAnsi="David"/>
        </w:rPr>
      </w:pPr>
    </w:p>
    <w:p w14:paraId="476D7686" w14:textId="77777777" w:rsidR="009D01A9" w:rsidRPr="004E399A" w:rsidRDefault="009D01A9" w:rsidP="009D01A9">
      <w:pPr>
        <w:pStyle w:val="a9"/>
        <w:numPr>
          <w:ilvl w:val="0"/>
          <w:numId w:val="1"/>
        </w:numPr>
        <w:spacing w:line="360" w:lineRule="auto"/>
        <w:jc w:val="both"/>
        <w:rPr>
          <w:rFonts w:ascii="David" w:hAnsi="David"/>
        </w:rPr>
      </w:pPr>
      <w:r w:rsidRPr="004E399A">
        <w:rPr>
          <w:rFonts w:ascii="David" w:hAnsi="David"/>
          <w:color w:val="000000"/>
          <w:rtl/>
        </w:rPr>
        <w:t>לצורך קביעת עונשו של הנאשם הבאתי בחשבון את הודאתו בהזדמנות הראשונה אשר ביטאה הפנמת הפסול וחרטה. הבאתי עוד בחשבון את גילו הצעיר יחסית, עברו הפלילי הנקי, את חלוף הזמן</w:t>
      </w:r>
      <w:r w:rsidRPr="004E399A">
        <w:rPr>
          <w:rFonts w:ascii="David" w:hAnsi="David"/>
          <w:rtl/>
        </w:rPr>
        <w:t xml:space="preserve"> מאז ביצוע העבירות ואת העובדה כי מאז לא נפתחו נגדו תיקים חדשים.</w:t>
      </w:r>
      <w:r w:rsidR="00C31A0E">
        <w:rPr>
          <w:color w:val="000000"/>
          <w:sz w:val="14"/>
          <w:szCs w:val="14"/>
          <w:rtl/>
        </w:rPr>
        <w:t xml:space="preserve"> </w:t>
      </w:r>
      <w:r w:rsidRPr="004E399A">
        <w:rPr>
          <w:rFonts w:ascii="David" w:hAnsi="David"/>
          <w:color w:val="000000"/>
          <w:rtl/>
        </w:rPr>
        <w:t>שקלתי את עתירת המאשימה לעונש מאסר בכליאה ומצאתיה במקרה זה כמחמירה יתר על המידה לצורך השגת תכליו</w:t>
      </w:r>
      <w:r>
        <w:rPr>
          <w:rFonts w:ascii="David" w:hAnsi="David"/>
          <w:color w:val="000000"/>
          <w:rtl/>
        </w:rPr>
        <w:t>ת הענישה השונות. על חומרת העביר</w:t>
      </w:r>
      <w:r>
        <w:rPr>
          <w:rFonts w:ascii="David" w:hAnsi="David" w:hint="cs"/>
          <w:color w:val="000000"/>
          <w:rtl/>
        </w:rPr>
        <w:t>ות</w:t>
      </w:r>
      <w:r w:rsidRPr="004E399A">
        <w:rPr>
          <w:rFonts w:ascii="David" w:hAnsi="David"/>
          <w:color w:val="000000"/>
          <w:rtl/>
        </w:rPr>
        <w:t xml:space="preserve"> במקרה זה אין חולק ועמדתי לעיל על מדיניות הענישה הראויה בעבירות כגון אלו. עם זאת, </w:t>
      </w:r>
      <w:r>
        <w:rPr>
          <w:rFonts w:ascii="David" w:hAnsi="David" w:hint="cs"/>
          <w:color w:val="000000"/>
          <w:rtl/>
        </w:rPr>
        <w:t xml:space="preserve">כאמור, </w:t>
      </w:r>
      <w:r w:rsidRPr="004E399A">
        <w:rPr>
          <w:rFonts w:ascii="David" w:hAnsi="David"/>
          <w:color w:val="000000"/>
          <w:rtl/>
        </w:rPr>
        <w:t>מדובר בנא</w:t>
      </w:r>
      <w:r>
        <w:rPr>
          <w:rFonts w:ascii="David" w:hAnsi="David"/>
          <w:color w:val="000000"/>
          <w:rtl/>
        </w:rPr>
        <w:t>שם שזו הסתבכותו הראשונה עם החוק</w:t>
      </w:r>
      <w:r>
        <w:rPr>
          <w:rFonts w:ascii="David" w:hAnsi="David" w:hint="cs"/>
          <w:color w:val="000000"/>
          <w:rtl/>
        </w:rPr>
        <w:t xml:space="preserve">. </w:t>
      </w:r>
      <w:r w:rsidRPr="004E399A">
        <w:rPr>
          <w:rFonts w:ascii="David" w:hAnsi="David" w:hint="cs"/>
          <w:color w:val="000000"/>
          <w:rtl/>
        </w:rPr>
        <w:t xml:space="preserve">מאז ביצוע העבירות חלפו קרוב לשלוש שנים </w:t>
      </w:r>
      <w:r w:rsidRPr="004E399A">
        <w:rPr>
          <w:rFonts w:ascii="David" w:hAnsi="David"/>
          <w:color w:val="000000"/>
          <w:rtl/>
        </w:rPr>
        <w:t>במהלכ</w:t>
      </w:r>
      <w:r w:rsidRPr="004E399A">
        <w:rPr>
          <w:rFonts w:ascii="David" w:hAnsi="David" w:hint="cs"/>
          <w:color w:val="000000"/>
          <w:rtl/>
        </w:rPr>
        <w:t>ן</w:t>
      </w:r>
      <w:r w:rsidRPr="004E399A">
        <w:rPr>
          <w:rFonts w:ascii="David" w:hAnsi="David"/>
          <w:color w:val="000000"/>
          <w:rtl/>
        </w:rPr>
        <w:t xml:space="preserve"> </w:t>
      </w:r>
      <w:r>
        <w:rPr>
          <w:rFonts w:ascii="David" w:hAnsi="David" w:hint="cs"/>
          <w:color w:val="000000"/>
          <w:rtl/>
        </w:rPr>
        <w:t>ניהל</w:t>
      </w:r>
      <w:r w:rsidRPr="004E399A">
        <w:rPr>
          <w:rFonts w:ascii="David" w:hAnsi="David"/>
          <w:color w:val="000000"/>
          <w:rtl/>
        </w:rPr>
        <w:t xml:space="preserve"> אורח חיים נורמטיבי</w:t>
      </w:r>
      <w:r>
        <w:rPr>
          <w:rFonts w:ascii="David" w:hAnsi="David" w:hint="cs"/>
          <w:color w:val="000000"/>
          <w:rtl/>
        </w:rPr>
        <w:t xml:space="preserve">. נתונים אלו </w:t>
      </w:r>
      <w:r w:rsidRPr="004E399A">
        <w:rPr>
          <w:rFonts w:ascii="David" w:hAnsi="David"/>
          <w:color w:val="000000"/>
          <w:rtl/>
        </w:rPr>
        <w:t>תומכים בהימנעות מכליאת</w:t>
      </w:r>
      <w:r>
        <w:rPr>
          <w:rFonts w:ascii="David" w:hAnsi="David" w:hint="cs"/>
          <w:color w:val="000000"/>
          <w:rtl/>
        </w:rPr>
        <w:t>ו</w:t>
      </w:r>
      <w:r w:rsidRPr="004E399A">
        <w:rPr>
          <w:rFonts w:ascii="David" w:hAnsi="David"/>
          <w:color w:val="000000"/>
          <w:rtl/>
        </w:rPr>
        <w:t xml:space="preserve"> ובמתן אפשרות לשאת בעונש בעבודות שירות. בעניין זה הבאתי אף בחשבון את ההשפעות השליליות הרבות הנלוות לעונש בכליאה</w:t>
      </w:r>
      <w:r>
        <w:rPr>
          <w:rFonts w:ascii="David" w:hAnsi="David" w:hint="cs"/>
          <w:color w:val="000000"/>
          <w:rtl/>
        </w:rPr>
        <w:t>, במיוחד</w:t>
      </w:r>
      <w:r w:rsidRPr="004E399A">
        <w:rPr>
          <w:rFonts w:ascii="David" w:hAnsi="David"/>
          <w:color w:val="000000"/>
          <w:rtl/>
        </w:rPr>
        <w:t xml:space="preserve"> למי שזה</w:t>
      </w:r>
      <w:r>
        <w:rPr>
          <w:rFonts w:ascii="David" w:hAnsi="David" w:hint="cs"/>
          <w:color w:val="000000"/>
          <w:rtl/>
        </w:rPr>
        <w:t>ו</w:t>
      </w:r>
      <w:r w:rsidRPr="004E399A">
        <w:rPr>
          <w:rFonts w:ascii="David" w:hAnsi="David"/>
          <w:color w:val="000000"/>
          <w:rtl/>
        </w:rPr>
        <w:t xml:space="preserve"> מאסרו הראשון (ראו בנושא דו"ח הועדה הציבורית לבחינת מדיניות הענישה והטיפול בעבריינים, 2015 (המכונה "דו"ח ועדת דורנר"); </w:t>
      </w:r>
      <w:hyperlink r:id="rId32" w:history="1">
        <w:r w:rsidR="00C31A0E" w:rsidRPr="00C31A0E">
          <w:rPr>
            <w:rFonts w:ascii="David" w:hAnsi="David"/>
            <w:color w:val="0000FF"/>
            <w:u w:val="single"/>
            <w:rtl/>
          </w:rPr>
          <w:t>רע"פ 356/14</w:t>
        </w:r>
      </w:hyperlink>
      <w:r w:rsidRPr="004E399A">
        <w:rPr>
          <w:rFonts w:ascii="David" w:hAnsi="David"/>
          <w:color w:val="000000"/>
          <w:rtl/>
        </w:rPr>
        <w:t xml:space="preserve"> </w:t>
      </w:r>
      <w:r w:rsidRPr="004E399A">
        <w:rPr>
          <w:rFonts w:ascii="David" w:hAnsi="David"/>
          <w:b/>
          <w:bCs/>
          <w:color w:val="000000"/>
          <w:rtl/>
        </w:rPr>
        <w:t>קפרוב נ' מדינת ישראל</w:t>
      </w:r>
      <w:r w:rsidRPr="004E399A">
        <w:rPr>
          <w:rFonts w:ascii="David" w:hAnsi="David"/>
          <w:color w:val="000000"/>
          <w:rtl/>
        </w:rPr>
        <w:t xml:space="preserve"> (3.10.2017); פסקה 33; </w:t>
      </w:r>
      <w:hyperlink r:id="rId33" w:history="1">
        <w:r w:rsidR="00C31A0E" w:rsidRPr="00C31A0E">
          <w:rPr>
            <w:rFonts w:ascii="David" w:hAnsi="David"/>
            <w:color w:val="0000FF"/>
            <w:u w:val="single"/>
            <w:rtl/>
          </w:rPr>
          <w:t>ע"פ 4318-10-11</w:t>
        </w:r>
      </w:hyperlink>
      <w:r w:rsidRPr="004E399A">
        <w:rPr>
          <w:rFonts w:ascii="David" w:hAnsi="David"/>
          <w:color w:val="000000"/>
          <w:rtl/>
        </w:rPr>
        <w:t xml:space="preserve"> </w:t>
      </w:r>
      <w:r w:rsidRPr="004E399A">
        <w:rPr>
          <w:rFonts w:ascii="David" w:hAnsi="David"/>
          <w:b/>
          <w:bCs/>
          <w:color w:val="000000"/>
          <w:rtl/>
        </w:rPr>
        <w:t>מדינת ישראל נ' רפאילוב ואח'</w:t>
      </w:r>
      <w:r w:rsidRPr="004E399A">
        <w:rPr>
          <w:rFonts w:ascii="David" w:hAnsi="David"/>
          <w:color w:val="000000"/>
          <w:rtl/>
        </w:rPr>
        <w:t xml:space="preserve"> (5.1.2012)).</w:t>
      </w:r>
      <w:r w:rsidRPr="004E399A">
        <w:rPr>
          <w:rFonts w:ascii="David" w:hAnsi="David"/>
          <w:rtl/>
        </w:rPr>
        <w:t xml:space="preserve"> לאור כך </w:t>
      </w:r>
      <w:r>
        <w:rPr>
          <w:rFonts w:ascii="David" w:hAnsi="David" w:hint="cs"/>
          <w:rtl/>
        </w:rPr>
        <w:t xml:space="preserve">יוטל </w:t>
      </w:r>
      <w:r w:rsidRPr="004E399A">
        <w:rPr>
          <w:rFonts w:ascii="David" w:hAnsi="David"/>
          <w:rtl/>
        </w:rPr>
        <w:t xml:space="preserve">עונש </w:t>
      </w:r>
      <w:r>
        <w:rPr>
          <w:rFonts w:ascii="David" w:hAnsi="David" w:hint="cs"/>
          <w:rtl/>
        </w:rPr>
        <w:t>קרוב ל</w:t>
      </w:r>
      <w:r>
        <w:rPr>
          <w:rFonts w:ascii="David" w:hAnsi="David"/>
          <w:rtl/>
        </w:rPr>
        <w:t xml:space="preserve">תחתית </w:t>
      </w:r>
      <w:r w:rsidRPr="004E399A">
        <w:rPr>
          <w:rFonts w:ascii="David" w:hAnsi="David"/>
          <w:rtl/>
        </w:rPr>
        <w:t>מתחם</w:t>
      </w:r>
      <w:r>
        <w:rPr>
          <w:rFonts w:ascii="David" w:hAnsi="David" w:hint="cs"/>
          <w:rtl/>
        </w:rPr>
        <w:t xml:space="preserve"> הענישה, ל</w:t>
      </w:r>
      <w:r w:rsidRPr="004E399A">
        <w:rPr>
          <w:rFonts w:ascii="David" w:hAnsi="David"/>
          <w:rtl/>
        </w:rPr>
        <w:t>נשיא</w:t>
      </w:r>
      <w:r>
        <w:rPr>
          <w:rFonts w:ascii="David" w:hAnsi="David" w:hint="cs"/>
          <w:rtl/>
        </w:rPr>
        <w:t>ה</w:t>
      </w:r>
      <w:r w:rsidRPr="004E399A">
        <w:rPr>
          <w:rFonts w:ascii="David" w:hAnsi="David"/>
          <w:rtl/>
        </w:rPr>
        <w:t xml:space="preserve"> בעבודות שירות. </w:t>
      </w:r>
    </w:p>
    <w:p w14:paraId="4D68CEC4" w14:textId="77777777" w:rsidR="009D01A9" w:rsidRDefault="009D01A9" w:rsidP="009D01A9">
      <w:pPr>
        <w:pStyle w:val="a9"/>
        <w:ind w:left="0"/>
        <w:jc w:val="both"/>
        <w:rPr>
          <w:rFonts w:ascii="David" w:hAnsi="David"/>
        </w:rPr>
      </w:pPr>
    </w:p>
    <w:p w14:paraId="48D1181C" w14:textId="77777777" w:rsidR="009D01A9" w:rsidRDefault="009D01A9" w:rsidP="009D01A9">
      <w:pPr>
        <w:pStyle w:val="a9"/>
        <w:numPr>
          <w:ilvl w:val="0"/>
          <w:numId w:val="1"/>
        </w:numPr>
        <w:spacing w:line="360" w:lineRule="auto"/>
        <w:jc w:val="both"/>
        <w:rPr>
          <w:rFonts w:ascii="David" w:hAnsi="David"/>
        </w:rPr>
      </w:pPr>
      <w:r>
        <w:rPr>
          <w:rFonts w:ascii="David" w:hAnsi="David"/>
          <w:rtl/>
        </w:rPr>
        <w:t>סיכומו של דבר, אני גוזר על הנאשם את העונשים הבאים:</w:t>
      </w:r>
    </w:p>
    <w:p w14:paraId="1896BB06" w14:textId="77777777" w:rsidR="009D01A9" w:rsidRDefault="009D01A9" w:rsidP="009D01A9">
      <w:pPr>
        <w:pStyle w:val="a9"/>
        <w:ind w:left="0"/>
        <w:jc w:val="both"/>
        <w:rPr>
          <w:rFonts w:ascii="David" w:hAnsi="David"/>
          <w:rtl/>
        </w:rPr>
      </w:pPr>
    </w:p>
    <w:p w14:paraId="69918847" w14:textId="77777777" w:rsidR="009D01A9" w:rsidRDefault="009D01A9" w:rsidP="009D01A9">
      <w:pPr>
        <w:pStyle w:val="a9"/>
        <w:numPr>
          <w:ilvl w:val="0"/>
          <w:numId w:val="2"/>
        </w:numPr>
        <w:spacing w:line="360" w:lineRule="auto"/>
        <w:jc w:val="both"/>
        <w:rPr>
          <w:rFonts w:ascii="David" w:hAnsi="David"/>
        </w:rPr>
      </w:pPr>
      <w:r w:rsidRPr="004C244C">
        <w:rPr>
          <w:rFonts w:ascii="David" w:hAnsi="David"/>
          <w:b/>
          <w:bCs/>
          <w:rtl/>
        </w:rPr>
        <w:t xml:space="preserve">מאסר למשך </w:t>
      </w:r>
      <w:r>
        <w:rPr>
          <w:rFonts w:ascii="David" w:hAnsi="David" w:hint="cs"/>
          <w:b/>
          <w:bCs/>
          <w:rtl/>
        </w:rPr>
        <w:t>7</w:t>
      </w:r>
      <w:r w:rsidRPr="004C244C">
        <w:rPr>
          <w:rFonts w:ascii="David" w:hAnsi="David"/>
          <w:b/>
          <w:bCs/>
          <w:rtl/>
        </w:rPr>
        <w:t xml:space="preserve"> חודשים.</w:t>
      </w:r>
      <w:r w:rsidRPr="00405E1F">
        <w:rPr>
          <w:rFonts w:ascii="David" w:hAnsi="David"/>
          <w:rtl/>
        </w:rPr>
        <w:t xml:space="preserve"> </w:t>
      </w:r>
      <w:r>
        <w:rPr>
          <w:rFonts w:ascii="David" w:hAnsi="David"/>
          <w:rtl/>
        </w:rPr>
        <w:t>הנאשם יישא עונש זה בעבודות שירות בהתאם לחוות דעת הממונה</w:t>
      </w:r>
      <w:r>
        <w:rPr>
          <w:rFonts w:ascii="David" w:hAnsi="David" w:hint="cs"/>
          <w:rtl/>
        </w:rPr>
        <w:t xml:space="preserve">. </w:t>
      </w:r>
      <w:r w:rsidRPr="00822A34">
        <w:rPr>
          <w:rFonts w:ascii="David" w:hAnsi="David"/>
          <w:u w:val="single"/>
          <w:rtl/>
        </w:rPr>
        <w:t>המועד שנקבע בחוות הדעת חלף ולכן ימציא הממונה בתוך 14 יום מועד חדש להתייצבות.</w:t>
      </w:r>
      <w:r>
        <w:rPr>
          <w:rFonts w:ascii="David" w:hAnsi="David" w:hint="cs"/>
          <w:rtl/>
        </w:rPr>
        <w:t xml:space="preserve"> </w:t>
      </w:r>
      <w:r w:rsidRPr="004C244C">
        <w:rPr>
          <w:rFonts w:ascii="David" w:hAnsi="David"/>
          <w:b/>
          <w:bCs/>
          <w:rtl/>
        </w:rPr>
        <w:t>מובהר לנאשם שעליו לבצע את העבודות בהתאם להנחיות הממונה וכי אם לא יעשה כן ניתן יהיה להפקיע את העבודות מנהלית והוא יאלץ לשאת ביתרת התקופה בבית מאסר.</w:t>
      </w:r>
      <w:r>
        <w:rPr>
          <w:rFonts w:ascii="David" w:hAnsi="David" w:hint="cs"/>
          <w:rtl/>
        </w:rPr>
        <w:t xml:space="preserve"> </w:t>
      </w:r>
    </w:p>
    <w:p w14:paraId="0F26075A" w14:textId="77777777" w:rsidR="009D01A9" w:rsidRDefault="009D01A9" w:rsidP="009D01A9">
      <w:pPr>
        <w:pStyle w:val="a9"/>
        <w:numPr>
          <w:ilvl w:val="0"/>
          <w:numId w:val="2"/>
        </w:numPr>
        <w:spacing w:line="360" w:lineRule="auto"/>
        <w:jc w:val="both"/>
        <w:rPr>
          <w:rFonts w:ascii="David" w:hAnsi="David"/>
        </w:rPr>
      </w:pPr>
      <w:r>
        <w:rPr>
          <w:rFonts w:ascii="David" w:hAnsi="David"/>
          <w:rtl/>
        </w:rPr>
        <w:t>מאסר על תנאי לתקופה בת 6 חודשים והתנאי הוא שלא יעבור במשך שנתיים כל עבירה על פקודת הסמים שהיא פשע.</w:t>
      </w:r>
    </w:p>
    <w:p w14:paraId="40F4CF54" w14:textId="77777777" w:rsidR="009D01A9" w:rsidRDefault="009D01A9" w:rsidP="009D01A9">
      <w:pPr>
        <w:pStyle w:val="a9"/>
        <w:numPr>
          <w:ilvl w:val="0"/>
          <w:numId w:val="2"/>
        </w:numPr>
        <w:spacing w:line="360" w:lineRule="auto"/>
        <w:jc w:val="both"/>
        <w:rPr>
          <w:rFonts w:ascii="David" w:hAnsi="David"/>
        </w:rPr>
      </w:pPr>
      <w:r>
        <w:rPr>
          <w:rFonts w:ascii="David" w:hAnsi="David"/>
          <w:color w:val="000000"/>
          <w:rtl/>
        </w:rPr>
        <w:t xml:space="preserve">קנס בסך </w:t>
      </w:r>
      <w:r>
        <w:rPr>
          <w:rFonts w:ascii="David" w:hAnsi="David" w:hint="cs"/>
          <w:color w:val="000000"/>
          <w:rtl/>
        </w:rPr>
        <w:t>5,000</w:t>
      </w:r>
      <w:r>
        <w:rPr>
          <w:rFonts w:ascii="David" w:hAnsi="David"/>
          <w:color w:val="000000"/>
          <w:rtl/>
        </w:rPr>
        <w:t xml:space="preserve"> ₪ או </w:t>
      </w:r>
      <w:r>
        <w:rPr>
          <w:rFonts w:ascii="David" w:hAnsi="David" w:hint="cs"/>
          <w:color w:val="000000"/>
          <w:rtl/>
        </w:rPr>
        <w:t>15</w:t>
      </w:r>
      <w:r>
        <w:rPr>
          <w:rFonts w:ascii="David" w:hAnsi="David"/>
          <w:color w:val="000000"/>
          <w:rtl/>
        </w:rPr>
        <w:t xml:space="preserve"> ימי מאסר תמורתו. הקנס ישולם ב-5 תשלומים שווים ורצופים מיום 1.</w:t>
      </w:r>
      <w:r>
        <w:rPr>
          <w:rFonts w:ascii="David" w:hAnsi="David" w:hint="cs"/>
          <w:color w:val="000000"/>
          <w:rtl/>
        </w:rPr>
        <w:t>1</w:t>
      </w:r>
      <w:r>
        <w:rPr>
          <w:rFonts w:ascii="David" w:hAnsi="David"/>
          <w:color w:val="000000"/>
          <w:rtl/>
        </w:rPr>
        <w:t>.</w:t>
      </w:r>
      <w:r>
        <w:rPr>
          <w:rFonts w:ascii="David" w:hAnsi="David" w:hint="cs"/>
          <w:color w:val="000000"/>
          <w:rtl/>
        </w:rPr>
        <w:t>25</w:t>
      </w:r>
      <w:r>
        <w:rPr>
          <w:rFonts w:ascii="David" w:hAnsi="David"/>
          <w:color w:val="000000"/>
          <w:rtl/>
        </w:rPr>
        <w:t xml:space="preserve"> ובכל -1 לחודש שלאחריו. לא ישולם אחד התשלומים במועדו, תעמוד היתרה לפירעון מידי</w:t>
      </w:r>
      <w:r>
        <w:rPr>
          <w:rFonts w:ascii="David" w:hAnsi="David"/>
          <w:rtl/>
        </w:rPr>
        <w:t>.</w:t>
      </w:r>
    </w:p>
    <w:p w14:paraId="0AC295DF" w14:textId="77777777" w:rsidR="009D01A9" w:rsidRDefault="009D01A9" w:rsidP="009D01A9">
      <w:pPr>
        <w:pStyle w:val="a9"/>
        <w:numPr>
          <w:ilvl w:val="0"/>
          <w:numId w:val="2"/>
        </w:numPr>
        <w:spacing w:line="360" w:lineRule="auto"/>
        <w:jc w:val="both"/>
        <w:rPr>
          <w:rFonts w:ascii="David" w:hAnsi="David"/>
        </w:rPr>
      </w:pPr>
      <w:r>
        <w:rPr>
          <w:rFonts w:ascii="David" w:hAnsi="David" w:hint="cs"/>
          <w:rtl/>
        </w:rPr>
        <w:t xml:space="preserve">ביחס לפיצוי לטובת חברת החשמל אזי על רקע מטרות הפיצוי הפלילי (בעיקר מתן סעד ראשוני לנזקי הנפגע; </w:t>
      </w:r>
      <w:hyperlink r:id="rId34" w:history="1">
        <w:r w:rsidR="00C31A0E" w:rsidRPr="00C31A0E">
          <w:rPr>
            <w:rFonts w:ascii="David" w:hAnsi="David"/>
            <w:color w:val="0000FF"/>
            <w:u w:val="single"/>
            <w:rtl/>
          </w:rPr>
          <w:t>ע"פ 764/21</w:t>
        </w:r>
      </w:hyperlink>
      <w:r>
        <w:rPr>
          <w:rFonts w:ascii="David" w:hAnsi="David" w:hint="cs"/>
          <w:rtl/>
        </w:rPr>
        <w:t xml:space="preserve"> </w:t>
      </w:r>
      <w:r w:rsidRPr="000D7BE1">
        <w:rPr>
          <w:rFonts w:ascii="David" w:hAnsi="David" w:hint="cs"/>
          <w:b/>
          <w:bCs/>
          <w:rtl/>
        </w:rPr>
        <w:t>מדינת ישראל נ' אבו לבן</w:t>
      </w:r>
      <w:r>
        <w:rPr>
          <w:rFonts w:ascii="David" w:hAnsi="David" w:hint="cs"/>
          <w:rtl/>
        </w:rPr>
        <w:t xml:space="preserve"> (21.4.2021), פסקה 21-23 לפסק דינו של השופט קרא), מיהות המתלוננת (במובן זה שאינה מסוג הנפגעים שימנעו מהגשת הליך אזרחי נגד עבריינים) והעובדה שהוא אינו תחליף להליך אזרחי, סברתי שראוי להותיר נושא זה להליך אזרחי, ככל שתמצא חברת החשמל לנכון לעשות כן וזאת הגם שעל פני הדברים מדובר בנזק קצוב וברור. המאשימה תביא לידיעת חברת החשמל את תוכנו של גזר הדין ואת זכותה להגיש תובענה אזרחית בנושא, לרבות נגררת.</w:t>
      </w:r>
    </w:p>
    <w:p w14:paraId="65FC4302" w14:textId="77777777" w:rsidR="009D01A9" w:rsidRDefault="009D01A9" w:rsidP="009D01A9">
      <w:pPr>
        <w:ind w:left="360"/>
        <w:jc w:val="both"/>
        <w:rPr>
          <w:rFonts w:ascii="David" w:hAnsi="David"/>
          <w:b/>
          <w:bCs/>
          <w:u w:val="single"/>
          <w:rtl/>
        </w:rPr>
      </w:pPr>
    </w:p>
    <w:p w14:paraId="19A38A02" w14:textId="77777777" w:rsidR="009D01A9" w:rsidRDefault="009D01A9" w:rsidP="009D01A9">
      <w:pPr>
        <w:spacing w:line="360" w:lineRule="auto"/>
        <w:ind w:left="360"/>
        <w:jc w:val="both"/>
        <w:rPr>
          <w:rFonts w:ascii="David" w:hAnsi="David"/>
          <w:b/>
          <w:bCs/>
          <w:u w:val="single"/>
          <w:rtl/>
        </w:rPr>
      </w:pPr>
      <w:r w:rsidRPr="0044393C">
        <w:rPr>
          <w:rFonts w:ascii="David" w:hAnsi="David" w:hint="cs"/>
          <w:b/>
          <w:bCs/>
          <w:u w:val="single"/>
          <w:rtl/>
        </w:rPr>
        <w:t>מוצגים</w:t>
      </w:r>
      <w:r>
        <w:rPr>
          <w:rFonts w:ascii="David" w:hAnsi="David" w:hint="cs"/>
          <w:b/>
          <w:bCs/>
          <w:u w:val="single"/>
          <w:rtl/>
        </w:rPr>
        <w:t>:</w:t>
      </w:r>
    </w:p>
    <w:p w14:paraId="31F21FE1" w14:textId="77777777" w:rsidR="009D01A9" w:rsidRPr="00405E1F" w:rsidRDefault="009D01A9" w:rsidP="009D01A9">
      <w:pPr>
        <w:spacing w:line="360" w:lineRule="auto"/>
        <w:ind w:left="360"/>
        <w:jc w:val="both"/>
        <w:rPr>
          <w:rFonts w:ascii="David" w:hAnsi="David"/>
          <w:rtl/>
        </w:rPr>
      </w:pPr>
      <w:r w:rsidRPr="00405E1F">
        <w:rPr>
          <w:rFonts w:ascii="David" w:hAnsi="David" w:hint="cs"/>
          <w:rtl/>
        </w:rPr>
        <w:t>סמים- להשמיד.</w:t>
      </w:r>
    </w:p>
    <w:p w14:paraId="30BDDA93" w14:textId="77777777" w:rsidR="009D01A9" w:rsidRPr="00405E1F" w:rsidRDefault="009D01A9" w:rsidP="009D01A9">
      <w:pPr>
        <w:spacing w:line="360" w:lineRule="auto"/>
        <w:ind w:left="360"/>
        <w:jc w:val="both"/>
        <w:rPr>
          <w:rFonts w:ascii="David" w:hAnsi="David"/>
          <w:rtl/>
        </w:rPr>
      </w:pPr>
      <w:r w:rsidRPr="00405E1F">
        <w:rPr>
          <w:rFonts w:ascii="David" w:hAnsi="David" w:hint="cs"/>
          <w:rtl/>
        </w:rPr>
        <w:t>כלים- לחלט.</w:t>
      </w:r>
    </w:p>
    <w:p w14:paraId="7E76F917" w14:textId="77777777" w:rsidR="009D01A9" w:rsidRPr="00405E1F" w:rsidRDefault="009D01A9" w:rsidP="009D01A9">
      <w:pPr>
        <w:spacing w:line="360" w:lineRule="auto"/>
        <w:ind w:left="360"/>
        <w:jc w:val="both"/>
        <w:rPr>
          <w:rFonts w:ascii="David" w:hAnsi="David"/>
          <w:rtl/>
        </w:rPr>
      </w:pPr>
      <w:r w:rsidRPr="00405E1F">
        <w:rPr>
          <w:rFonts w:ascii="David" w:hAnsi="David" w:hint="cs"/>
          <w:rtl/>
        </w:rPr>
        <w:t>טלפון נייד- להשיב לבעלים.</w:t>
      </w:r>
    </w:p>
    <w:p w14:paraId="353ED055" w14:textId="77777777" w:rsidR="009D01A9" w:rsidRPr="00405E1F" w:rsidRDefault="009D01A9" w:rsidP="009D01A9">
      <w:pPr>
        <w:spacing w:line="360" w:lineRule="auto"/>
        <w:ind w:left="360"/>
        <w:jc w:val="both"/>
        <w:rPr>
          <w:rFonts w:ascii="David" w:hAnsi="David"/>
          <w:rtl/>
        </w:rPr>
      </w:pPr>
      <w:r w:rsidRPr="00405E1F">
        <w:rPr>
          <w:rFonts w:ascii="David" w:hAnsi="David" w:hint="cs"/>
          <w:rtl/>
        </w:rPr>
        <w:t>מפתחות הדירה- להשיב לבעלים.</w:t>
      </w:r>
    </w:p>
    <w:p w14:paraId="45CB12C9" w14:textId="77777777" w:rsidR="009D01A9" w:rsidRDefault="009D01A9" w:rsidP="009D01A9">
      <w:pPr>
        <w:rPr>
          <w:rFonts w:ascii="David" w:hAnsi="David"/>
          <w:b/>
          <w:bCs/>
          <w:u w:val="single"/>
          <w:rtl/>
        </w:rPr>
      </w:pPr>
    </w:p>
    <w:p w14:paraId="1A9C94EB" w14:textId="77777777" w:rsidR="009D01A9" w:rsidRDefault="00C31A0E" w:rsidP="009D01A9">
      <w:pPr>
        <w:spacing w:line="360" w:lineRule="auto"/>
        <w:rPr>
          <w:rFonts w:ascii="David" w:hAnsi="David"/>
          <w:b/>
          <w:bCs/>
          <w:u w:val="single"/>
          <w:rtl/>
        </w:rPr>
      </w:pPr>
      <w:r w:rsidRPr="00C31A0E">
        <w:rPr>
          <w:rFonts w:ascii="David" w:hAnsi="David"/>
          <w:b/>
          <w:bCs/>
          <w:color w:val="FFFFFF"/>
          <w:sz w:val="2"/>
          <w:szCs w:val="2"/>
          <w:u w:val="single"/>
          <w:rtl/>
        </w:rPr>
        <w:t>5129371</w:t>
      </w:r>
      <w:r w:rsidR="009D01A9">
        <w:rPr>
          <w:rFonts w:ascii="David" w:hAnsi="David"/>
          <w:b/>
          <w:bCs/>
          <w:u w:val="single"/>
          <w:rtl/>
        </w:rPr>
        <w:t>זכות ערעור לבית המשפט המחוזי בתוך 45 ימים.</w:t>
      </w:r>
    </w:p>
    <w:p w14:paraId="0409C46E" w14:textId="77777777" w:rsidR="009D01A9" w:rsidRDefault="00C31A0E" w:rsidP="009D01A9">
      <w:pPr>
        <w:spacing w:line="360" w:lineRule="auto"/>
        <w:jc w:val="both"/>
        <w:rPr>
          <w:rFonts w:ascii="David" w:hAnsi="David"/>
          <w:b/>
          <w:bCs/>
          <w:u w:val="single"/>
          <w:rtl/>
        </w:rPr>
      </w:pPr>
      <w:r w:rsidRPr="00C31A0E">
        <w:rPr>
          <w:rFonts w:ascii="David" w:hAnsi="David"/>
          <w:b/>
          <w:bCs/>
          <w:color w:val="FFFFFF"/>
          <w:sz w:val="2"/>
          <w:szCs w:val="2"/>
          <w:u w:val="single"/>
          <w:rtl/>
        </w:rPr>
        <w:t>54678313</w:t>
      </w:r>
      <w:r w:rsidR="009D01A9">
        <w:rPr>
          <w:rFonts w:ascii="David" w:hAnsi="David"/>
          <w:b/>
          <w:bCs/>
          <w:u w:val="single"/>
          <w:rtl/>
        </w:rPr>
        <w:t>המזכירות תשלח את גזר הדין לממונה למעקב.</w:t>
      </w:r>
      <w:r w:rsidR="009D01A9">
        <w:rPr>
          <w:rFonts w:ascii="David" w:hAnsi="David" w:hint="cs"/>
          <w:b/>
          <w:bCs/>
          <w:u w:val="single"/>
          <w:rtl/>
        </w:rPr>
        <w:t xml:space="preserve"> תשומת הלב לצורך במועד חדש להתייצבות. </w:t>
      </w:r>
    </w:p>
    <w:p w14:paraId="05C16743" w14:textId="77777777" w:rsidR="009D01A9" w:rsidRPr="00655A93" w:rsidRDefault="009D01A9" w:rsidP="009D01A9">
      <w:pPr>
        <w:rPr>
          <w:rFonts w:ascii="David" w:hAnsi="David"/>
          <w:rtl/>
        </w:rPr>
      </w:pPr>
    </w:p>
    <w:p w14:paraId="67A32AC3" w14:textId="77777777" w:rsidR="009D01A9" w:rsidRPr="00655A93" w:rsidRDefault="00C31A0E" w:rsidP="009D01A9">
      <w:pPr>
        <w:rPr>
          <w:rFonts w:ascii="David" w:hAnsi="David"/>
          <w:rtl/>
        </w:rPr>
      </w:pPr>
      <w:bookmarkStart w:id="7" w:name="Nitan"/>
      <w:r>
        <w:rPr>
          <w:rFonts w:ascii="David" w:hAnsi="David"/>
          <w:rtl/>
        </w:rPr>
        <w:t xml:space="preserve">ניתן היום,  ב' חשוון תשפ"ה, 03 נובמבר 2024, במעמד הצדדים. </w:t>
      </w:r>
      <w:bookmarkEnd w:id="7"/>
    </w:p>
    <w:p w14:paraId="79AC683B" w14:textId="77777777" w:rsidR="009D01A9" w:rsidRPr="00655A93" w:rsidRDefault="009D01A9" w:rsidP="00C31A0E">
      <w:pPr>
        <w:jc w:val="center"/>
      </w:pPr>
      <w:r w:rsidRPr="00655A93">
        <w:rPr>
          <w:rFonts w:ascii="David" w:hAnsi="David"/>
          <w:rtl/>
        </w:rPr>
        <w:t xml:space="preserve">   </w:t>
      </w:r>
      <w:r w:rsidRPr="00655A93">
        <w:rPr>
          <w:rFonts w:ascii="David" w:hAnsi="David"/>
          <w:rtl/>
        </w:rPr>
        <w:tab/>
      </w:r>
      <w:r w:rsidRPr="00655A93">
        <w:rPr>
          <w:rFonts w:ascii="David" w:hAnsi="David"/>
          <w:rtl/>
        </w:rPr>
        <w:tab/>
      </w:r>
      <w:r w:rsidRPr="00655A93">
        <w:rPr>
          <w:rFonts w:ascii="David" w:hAnsi="David"/>
          <w:rtl/>
        </w:rPr>
        <w:tab/>
      </w:r>
      <w:r w:rsidRPr="00655A93">
        <w:rPr>
          <w:rFonts w:ascii="David" w:hAnsi="David"/>
          <w:rtl/>
        </w:rPr>
        <w:tab/>
      </w:r>
      <w:r w:rsidRPr="00655A93">
        <w:rPr>
          <w:rFonts w:ascii="David" w:hAnsi="David"/>
          <w:rtl/>
        </w:rPr>
        <w:tab/>
      </w:r>
    </w:p>
    <w:p w14:paraId="6627A720" w14:textId="77777777" w:rsidR="009D01A9" w:rsidRPr="00655A93" w:rsidRDefault="009D01A9" w:rsidP="009D01A9">
      <w:pPr>
        <w:jc w:val="center"/>
        <w:rPr>
          <w:rFonts w:ascii="David" w:hAnsi="David"/>
          <w:rtl/>
        </w:rPr>
      </w:pPr>
    </w:p>
    <w:p w14:paraId="1A437508" w14:textId="77777777" w:rsidR="000D7F09" w:rsidRPr="00C31A0E" w:rsidRDefault="000D7F09" w:rsidP="00C31A0E">
      <w:pPr>
        <w:keepNext/>
        <w:rPr>
          <w:rFonts w:ascii="David" w:hAnsi="David"/>
          <w:color w:val="000000"/>
          <w:sz w:val="22"/>
          <w:szCs w:val="22"/>
          <w:rtl/>
        </w:rPr>
      </w:pPr>
    </w:p>
    <w:p w14:paraId="28ED77CB" w14:textId="77777777" w:rsidR="00C31A0E" w:rsidRPr="00C31A0E" w:rsidRDefault="00C31A0E" w:rsidP="00C31A0E">
      <w:pPr>
        <w:keepNext/>
        <w:rPr>
          <w:rFonts w:ascii="David" w:hAnsi="David"/>
          <w:color w:val="000000"/>
          <w:sz w:val="22"/>
          <w:szCs w:val="22"/>
          <w:rtl/>
        </w:rPr>
      </w:pPr>
      <w:r w:rsidRPr="00C31A0E">
        <w:rPr>
          <w:rFonts w:ascii="David" w:hAnsi="David"/>
          <w:color w:val="000000"/>
          <w:sz w:val="22"/>
          <w:szCs w:val="22"/>
          <w:rtl/>
        </w:rPr>
        <w:t>יוסי טורס 54678313</w:t>
      </w:r>
    </w:p>
    <w:p w14:paraId="39196FF4" w14:textId="77777777" w:rsidR="00C31A0E" w:rsidRDefault="00C31A0E" w:rsidP="00C31A0E">
      <w:r w:rsidRPr="00C31A0E">
        <w:rPr>
          <w:color w:val="000000"/>
          <w:rtl/>
        </w:rPr>
        <w:t>נוסח מסמך זה כפוף לשינויי ניסוח ועריכה</w:t>
      </w:r>
    </w:p>
    <w:p w14:paraId="1FE8A8E0" w14:textId="77777777" w:rsidR="00C31A0E" w:rsidRDefault="00C31A0E" w:rsidP="00C31A0E">
      <w:pPr>
        <w:rPr>
          <w:rtl/>
        </w:rPr>
      </w:pPr>
    </w:p>
    <w:p w14:paraId="3BA36CEC" w14:textId="77777777" w:rsidR="00C31A0E" w:rsidRDefault="00C31A0E" w:rsidP="00C31A0E">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07966185" w14:textId="77777777" w:rsidR="00C31A0E" w:rsidRPr="00C31A0E" w:rsidRDefault="00C31A0E" w:rsidP="00C31A0E">
      <w:pPr>
        <w:jc w:val="center"/>
        <w:rPr>
          <w:color w:val="0000FF"/>
          <w:u w:val="single"/>
        </w:rPr>
      </w:pPr>
    </w:p>
    <w:sectPr w:rsidR="00C31A0E" w:rsidRPr="00C31A0E" w:rsidSect="00C31A0E">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1DC60" w14:textId="77777777" w:rsidR="00F16067" w:rsidRDefault="00F16067" w:rsidP="00503294">
      <w:r>
        <w:separator/>
      </w:r>
    </w:p>
  </w:endnote>
  <w:endnote w:type="continuationSeparator" w:id="0">
    <w:p w14:paraId="30D426AC" w14:textId="77777777" w:rsidR="00F16067" w:rsidRDefault="00F16067" w:rsidP="00503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98ECF" w14:textId="77777777" w:rsidR="00C31A0E" w:rsidRDefault="00C31A0E" w:rsidP="00C31A0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4687B1D" w14:textId="77777777" w:rsidR="00152BBC" w:rsidRPr="00C31A0E" w:rsidRDefault="00C31A0E" w:rsidP="00C31A0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E54DE" w14:textId="77777777" w:rsidR="00C31A0E" w:rsidRDefault="00C31A0E" w:rsidP="00C31A0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40EA5">
      <w:rPr>
        <w:rFonts w:ascii="FrankRuehl" w:hAnsi="FrankRuehl" w:cs="FrankRuehl"/>
        <w:noProof/>
        <w:rtl/>
      </w:rPr>
      <w:t>1</w:t>
    </w:r>
    <w:r>
      <w:rPr>
        <w:rFonts w:ascii="FrankRuehl" w:hAnsi="FrankRuehl" w:cs="FrankRuehl"/>
        <w:rtl/>
      </w:rPr>
      <w:fldChar w:fldCharType="end"/>
    </w:r>
  </w:p>
  <w:p w14:paraId="020AB539" w14:textId="77777777" w:rsidR="00152BBC" w:rsidRPr="00C31A0E" w:rsidRDefault="00C31A0E" w:rsidP="00C31A0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0E17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C22A5" w14:textId="77777777" w:rsidR="00F16067" w:rsidRDefault="00F16067" w:rsidP="00503294">
      <w:r>
        <w:separator/>
      </w:r>
    </w:p>
  </w:footnote>
  <w:footnote w:type="continuationSeparator" w:id="0">
    <w:p w14:paraId="211E0EC9" w14:textId="77777777" w:rsidR="00F16067" w:rsidRDefault="00F16067" w:rsidP="00503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4DA8B" w14:textId="77777777" w:rsidR="00C31A0E" w:rsidRPr="00C31A0E" w:rsidRDefault="00C31A0E" w:rsidP="00C31A0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23659-04-22</w:t>
    </w:r>
    <w:r>
      <w:rPr>
        <w:rFonts w:ascii="David" w:hAnsi="David"/>
        <w:color w:val="000000"/>
        <w:sz w:val="22"/>
        <w:szCs w:val="22"/>
        <w:rtl/>
      </w:rPr>
      <w:tab/>
      <w:t xml:space="preserve"> מדינת ישראל נ' אור נחום רז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2A6F7" w14:textId="77777777" w:rsidR="00C31A0E" w:rsidRPr="00C31A0E" w:rsidRDefault="00C31A0E" w:rsidP="00C31A0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23659-04-22</w:t>
    </w:r>
    <w:r>
      <w:rPr>
        <w:rFonts w:ascii="David" w:hAnsi="David"/>
        <w:color w:val="000000"/>
        <w:sz w:val="22"/>
        <w:szCs w:val="22"/>
        <w:rtl/>
      </w:rPr>
      <w:tab/>
      <w:t xml:space="preserve"> מדינת ישראל נ' אור נחום רז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B275B6"/>
    <w:multiLevelType w:val="hybridMultilevel"/>
    <w:tmpl w:val="A3E2B4CA"/>
    <w:lvl w:ilvl="0" w:tplc="3FFCFA8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9F6780"/>
    <w:multiLevelType w:val="hybridMultilevel"/>
    <w:tmpl w:val="78CEFD6A"/>
    <w:lvl w:ilvl="0" w:tplc="3DC4F09E">
      <w:start w:val="1"/>
      <w:numFmt w:val="decimal"/>
      <w:lvlText w:val="%1."/>
      <w:lvlJc w:val="left"/>
      <w:pPr>
        <w:tabs>
          <w:tab w:val="num" w:pos="567"/>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6097948">
    <w:abstractNumId w:val="1"/>
  </w:num>
  <w:num w:numId="2" w16cid:durableId="978653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D01A9"/>
    <w:rsid w:val="000523A5"/>
    <w:rsid w:val="000D7F09"/>
    <w:rsid w:val="00152BBC"/>
    <w:rsid w:val="001B5A3B"/>
    <w:rsid w:val="002048D3"/>
    <w:rsid w:val="00503294"/>
    <w:rsid w:val="009D01A9"/>
    <w:rsid w:val="00A40EA5"/>
    <w:rsid w:val="00C31A0E"/>
    <w:rsid w:val="00F160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CC81C6"/>
  <w15:chartTrackingRefBased/>
  <w15:docId w15:val="{3EF2CFA8-6C72-4BA1-9D54-23493EA00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01A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D01A9"/>
    <w:pPr>
      <w:tabs>
        <w:tab w:val="center" w:pos="4153"/>
        <w:tab w:val="right" w:pos="8306"/>
      </w:tabs>
    </w:pPr>
  </w:style>
  <w:style w:type="character" w:customStyle="1" w:styleId="a4">
    <w:name w:val="כותרת עליונה תו"/>
    <w:link w:val="a3"/>
    <w:rsid w:val="009D01A9"/>
    <w:rPr>
      <w:rFonts w:ascii="Times New Roman" w:eastAsia="Times New Roman" w:hAnsi="Times New Roman" w:cs="David"/>
      <w:sz w:val="24"/>
      <w:szCs w:val="24"/>
    </w:rPr>
  </w:style>
  <w:style w:type="paragraph" w:styleId="a5">
    <w:name w:val="footer"/>
    <w:basedOn w:val="a"/>
    <w:link w:val="a6"/>
    <w:rsid w:val="009D01A9"/>
    <w:pPr>
      <w:tabs>
        <w:tab w:val="center" w:pos="4153"/>
        <w:tab w:val="right" w:pos="8306"/>
      </w:tabs>
    </w:pPr>
  </w:style>
  <w:style w:type="character" w:customStyle="1" w:styleId="a6">
    <w:name w:val="כותרת תחתונה תו"/>
    <w:link w:val="a5"/>
    <w:rsid w:val="009D01A9"/>
    <w:rPr>
      <w:rFonts w:ascii="Times New Roman" w:eastAsia="Times New Roman" w:hAnsi="Times New Roman" w:cs="David"/>
      <w:sz w:val="24"/>
      <w:szCs w:val="24"/>
    </w:rPr>
  </w:style>
  <w:style w:type="table" w:styleId="a7">
    <w:name w:val="Table Grid"/>
    <w:basedOn w:val="a1"/>
    <w:rsid w:val="009D01A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D01A9"/>
  </w:style>
  <w:style w:type="paragraph" w:styleId="a9">
    <w:name w:val="List Paragraph"/>
    <w:basedOn w:val="a"/>
    <w:qFormat/>
    <w:rsid w:val="009D01A9"/>
    <w:pPr>
      <w:ind w:left="720"/>
      <w:contextualSpacing/>
    </w:pPr>
  </w:style>
  <w:style w:type="character" w:styleId="Hyperlink">
    <w:name w:val="Hyperlink"/>
    <w:rsid w:val="00C31A0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26991436" TargetMode="External"/><Relationship Id="rId26" Type="http://schemas.openxmlformats.org/officeDocument/2006/relationships/hyperlink" Target="http://www.nevo.co.il/case/28113879" TargetMode="External"/><Relationship Id="rId39" Type="http://schemas.openxmlformats.org/officeDocument/2006/relationships/footer" Target="footer2.xml"/><Relationship Id="rId21" Type="http://schemas.openxmlformats.org/officeDocument/2006/relationships/hyperlink" Target="http://www.nevo.co.il/case/20402486" TargetMode="External"/><Relationship Id="rId34" Type="http://schemas.openxmlformats.org/officeDocument/2006/relationships/hyperlink" Target="http://www.nevo.co.il/case/27372060"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0" TargetMode="External"/><Relationship Id="rId20" Type="http://schemas.openxmlformats.org/officeDocument/2006/relationships/hyperlink" Target="http://www.nevo.co.il/case/21644133" TargetMode="External"/><Relationship Id="rId29" Type="http://schemas.openxmlformats.org/officeDocument/2006/relationships/hyperlink" Target="http://www.nevo.co.il/case/24923082"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5580841" TargetMode="External"/><Relationship Id="rId32" Type="http://schemas.openxmlformats.org/officeDocument/2006/relationships/hyperlink" Target="http://www.nevo.co.il/case/11206078"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0" TargetMode="External"/><Relationship Id="rId23" Type="http://schemas.openxmlformats.org/officeDocument/2006/relationships/hyperlink" Target="http://www.nevo.co.il/case/28075551" TargetMode="External"/><Relationship Id="rId28" Type="http://schemas.openxmlformats.org/officeDocument/2006/relationships/hyperlink" Target="http://www.nevo.co.il/case/26696786" TargetMode="External"/><Relationship Id="rId36" Type="http://schemas.openxmlformats.org/officeDocument/2006/relationships/header" Target="header1.xml"/><Relationship Id="rId10" Type="http://schemas.openxmlformats.org/officeDocument/2006/relationships/hyperlink" Target="http://www.nevo.co.il/law/4216/10" TargetMode="External"/><Relationship Id="rId19" Type="http://schemas.openxmlformats.org/officeDocument/2006/relationships/hyperlink" Target="http://www.nevo.co.il/case/23827604" TargetMode="External"/><Relationship Id="rId31" Type="http://schemas.openxmlformats.org/officeDocument/2006/relationships/hyperlink" Target="http://www.nevo.co.il/case/293072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698919" TargetMode="External"/><Relationship Id="rId27" Type="http://schemas.openxmlformats.org/officeDocument/2006/relationships/hyperlink" Target="http://www.nevo.co.il/case/24320245" TargetMode="External"/><Relationship Id="rId30" Type="http://schemas.openxmlformats.org/officeDocument/2006/relationships/hyperlink" Target="http://www.nevo.co.il/case/26908354"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0"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1799035" TargetMode="External"/><Relationship Id="rId33" Type="http://schemas.openxmlformats.org/officeDocument/2006/relationships/hyperlink" Target="http://www.nevo.co.il/case/2894643"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1668</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9994</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3473524</vt:i4>
      </vt:variant>
      <vt:variant>
        <vt:i4>81</vt:i4>
      </vt:variant>
      <vt:variant>
        <vt:i4>0</vt:i4>
      </vt:variant>
      <vt:variant>
        <vt:i4>5</vt:i4>
      </vt:variant>
      <vt:variant>
        <vt:lpwstr>http://www.nevo.co.il/case/27372060</vt:lpwstr>
      </vt:variant>
      <vt:variant>
        <vt:lpwstr/>
      </vt:variant>
      <vt:variant>
        <vt:i4>4063356</vt:i4>
      </vt:variant>
      <vt:variant>
        <vt:i4>78</vt:i4>
      </vt:variant>
      <vt:variant>
        <vt:i4>0</vt:i4>
      </vt:variant>
      <vt:variant>
        <vt:i4>5</vt:i4>
      </vt:variant>
      <vt:variant>
        <vt:lpwstr>http://www.nevo.co.il/case/2894643</vt:lpwstr>
      </vt:variant>
      <vt:variant>
        <vt:lpwstr/>
      </vt:variant>
      <vt:variant>
        <vt:i4>3276917</vt:i4>
      </vt:variant>
      <vt:variant>
        <vt:i4>75</vt:i4>
      </vt:variant>
      <vt:variant>
        <vt:i4>0</vt:i4>
      </vt:variant>
      <vt:variant>
        <vt:i4>5</vt:i4>
      </vt:variant>
      <vt:variant>
        <vt:lpwstr>http://www.nevo.co.il/case/11206078</vt:lpwstr>
      </vt:variant>
      <vt:variant>
        <vt:lpwstr/>
      </vt:variant>
      <vt:variant>
        <vt:i4>3539071</vt:i4>
      </vt:variant>
      <vt:variant>
        <vt:i4>72</vt:i4>
      </vt:variant>
      <vt:variant>
        <vt:i4>0</vt:i4>
      </vt:variant>
      <vt:variant>
        <vt:i4>5</vt:i4>
      </vt:variant>
      <vt:variant>
        <vt:lpwstr>http://www.nevo.co.il/case/29307201</vt:lpwstr>
      </vt:variant>
      <vt:variant>
        <vt:lpwstr/>
      </vt:variant>
      <vt:variant>
        <vt:i4>3539057</vt:i4>
      </vt:variant>
      <vt:variant>
        <vt:i4>69</vt:i4>
      </vt:variant>
      <vt:variant>
        <vt:i4>0</vt:i4>
      </vt:variant>
      <vt:variant>
        <vt:i4>5</vt:i4>
      </vt:variant>
      <vt:variant>
        <vt:lpwstr>http://www.nevo.co.il/case/26908354</vt:lpwstr>
      </vt:variant>
      <vt:variant>
        <vt:lpwstr/>
      </vt:variant>
      <vt:variant>
        <vt:i4>3145842</vt:i4>
      </vt:variant>
      <vt:variant>
        <vt:i4>66</vt:i4>
      </vt:variant>
      <vt:variant>
        <vt:i4>0</vt:i4>
      </vt:variant>
      <vt:variant>
        <vt:i4>5</vt:i4>
      </vt:variant>
      <vt:variant>
        <vt:lpwstr>http://www.nevo.co.il/case/24923082</vt:lpwstr>
      </vt:variant>
      <vt:variant>
        <vt:lpwstr/>
      </vt:variant>
      <vt:variant>
        <vt:i4>3801212</vt:i4>
      </vt:variant>
      <vt:variant>
        <vt:i4>63</vt:i4>
      </vt:variant>
      <vt:variant>
        <vt:i4>0</vt:i4>
      </vt:variant>
      <vt:variant>
        <vt:i4>5</vt:i4>
      </vt:variant>
      <vt:variant>
        <vt:lpwstr>http://www.nevo.co.il/case/26696786</vt:lpwstr>
      </vt:variant>
      <vt:variant>
        <vt:lpwstr/>
      </vt:variant>
      <vt:variant>
        <vt:i4>3473520</vt:i4>
      </vt:variant>
      <vt:variant>
        <vt:i4>60</vt:i4>
      </vt:variant>
      <vt:variant>
        <vt:i4>0</vt:i4>
      </vt:variant>
      <vt:variant>
        <vt:i4>5</vt:i4>
      </vt:variant>
      <vt:variant>
        <vt:lpwstr>http://www.nevo.co.il/case/24320245</vt:lpwstr>
      </vt:variant>
      <vt:variant>
        <vt:lpwstr/>
      </vt:variant>
      <vt:variant>
        <vt:i4>3604597</vt:i4>
      </vt:variant>
      <vt:variant>
        <vt:i4>57</vt:i4>
      </vt:variant>
      <vt:variant>
        <vt:i4>0</vt:i4>
      </vt:variant>
      <vt:variant>
        <vt:i4>5</vt:i4>
      </vt:variant>
      <vt:variant>
        <vt:lpwstr>http://www.nevo.co.il/case/28113879</vt:lpwstr>
      </vt:variant>
      <vt:variant>
        <vt:lpwstr/>
      </vt:variant>
      <vt:variant>
        <vt:i4>4128892</vt:i4>
      </vt:variant>
      <vt:variant>
        <vt:i4>54</vt:i4>
      </vt:variant>
      <vt:variant>
        <vt:i4>0</vt:i4>
      </vt:variant>
      <vt:variant>
        <vt:i4>5</vt:i4>
      </vt:variant>
      <vt:variant>
        <vt:lpwstr>http://www.nevo.co.il/case/21799035</vt:lpwstr>
      </vt:variant>
      <vt:variant>
        <vt:lpwstr/>
      </vt:variant>
      <vt:variant>
        <vt:i4>3407989</vt:i4>
      </vt:variant>
      <vt:variant>
        <vt:i4>51</vt:i4>
      </vt:variant>
      <vt:variant>
        <vt:i4>0</vt:i4>
      </vt:variant>
      <vt:variant>
        <vt:i4>5</vt:i4>
      </vt:variant>
      <vt:variant>
        <vt:lpwstr>http://www.nevo.co.il/case/5580841</vt:lpwstr>
      </vt:variant>
      <vt:variant>
        <vt:lpwstr/>
      </vt:variant>
      <vt:variant>
        <vt:i4>3276926</vt:i4>
      </vt:variant>
      <vt:variant>
        <vt:i4>48</vt:i4>
      </vt:variant>
      <vt:variant>
        <vt:i4>0</vt:i4>
      </vt:variant>
      <vt:variant>
        <vt:i4>5</vt:i4>
      </vt:variant>
      <vt:variant>
        <vt:lpwstr>http://www.nevo.co.il/case/28075551</vt:lpwstr>
      </vt:variant>
      <vt:variant>
        <vt:lpwstr/>
      </vt:variant>
      <vt:variant>
        <vt:i4>3932283</vt:i4>
      </vt:variant>
      <vt:variant>
        <vt:i4>45</vt:i4>
      </vt:variant>
      <vt:variant>
        <vt:i4>0</vt:i4>
      </vt:variant>
      <vt:variant>
        <vt:i4>5</vt:i4>
      </vt:variant>
      <vt:variant>
        <vt:lpwstr>http://www.nevo.co.il/case/5698919</vt:lpwstr>
      </vt:variant>
      <vt:variant>
        <vt:lpwstr/>
      </vt:variant>
      <vt:variant>
        <vt:i4>3932272</vt:i4>
      </vt:variant>
      <vt:variant>
        <vt:i4>42</vt:i4>
      </vt:variant>
      <vt:variant>
        <vt:i4>0</vt:i4>
      </vt:variant>
      <vt:variant>
        <vt:i4>5</vt:i4>
      </vt:variant>
      <vt:variant>
        <vt:lpwstr>http://www.nevo.co.il/case/20402486</vt:lpwstr>
      </vt:variant>
      <vt:variant>
        <vt:lpwstr/>
      </vt:variant>
      <vt:variant>
        <vt:i4>3342448</vt:i4>
      </vt:variant>
      <vt:variant>
        <vt:i4>39</vt:i4>
      </vt:variant>
      <vt:variant>
        <vt:i4>0</vt:i4>
      </vt:variant>
      <vt:variant>
        <vt:i4>5</vt:i4>
      </vt:variant>
      <vt:variant>
        <vt:lpwstr>http://www.nevo.co.il/case/21644133</vt:lpwstr>
      </vt:variant>
      <vt:variant>
        <vt:lpwstr/>
      </vt:variant>
      <vt:variant>
        <vt:i4>3997811</vt:i4>
      </vt:variant>
      <vt:variant>
        <vt:i4>36</vt:i4>
      </vt:variant>
      <vt:variant>
        <vt:i4>0</vt:i4>
      </vt:variant>
      <vt:variant>
        <vt:i4>5</vt:i4>
      </vt:variant>
      <vt:variant>
        <vt:lpwstr>http://www.nevo.co.il/case/23827604</vt:lpwstr>
      </vt:variant>
      <vt:variant>
        <vt:lpwstr/>
      </vt:variant>
      <vt:variant>
        <vt:i4>3735679</vt:i4>
      </vt:variant>
      <vt:variant>
        <vt:i4>33</vt:i4>
      </vt:variant>
      <vt:variant>
        <vt:i4>0</vt:i4>
      </vt:variant>
      <vt:variant>
        <vt:i4>5</vt:i4>
      </vt:variant>
      <vt:variant>
        <vt:lpwstr>http://www.nevo.co.il/case/26991436</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http://www.nevo.co.il/law/70301/400</vt:lpwstr>
      </vt:variant>
      <vt:variant>
        <vt:lpwstr/>
      </vt:variant>
      <vt:variant>
        <vt:i4>5177418</vt:i4>
      </vt:variant>
      <vt:variant>
        <vt:i4>24</vt:i4>
      </vt:variant>
      <vt:variant>
        <vt:i4>0</vt:i4>
      </vt:variant>
      <vt:variant>
        <vt:i4>5</vt:i4>
      </vt:variant>
      <vt:variant>
        <vt:lpwstr>http://www.nevo.co.il/law/4216/10</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6619233</vt:i4>
      </vt:variant>
      <vt:variant>
        <vt:i4>15</vt:i4>
      </vt:variant>
      <vt:variant>
        <vt:i4>0</vt:i4>
      </vt:variant>
      <vt:variant>
        <vt:i4>5</vt:i4>
      </vt:variant>
      <vt:variant>
        <vt:lpwstr>http://www.nevo.co.il/law/70301/400</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2025-04-23T01:25:00Z</dcterms:created>
  <dcterms:modified xsi:type="dcterms:W3CDTF">2025-04-23T01:25:00Z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23659</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אור נחום רז</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20241103</vt:lpwstr>
  </property>
  <property fmtid="{D5CDD505-2E9C-101B-9397-08002B2CF9AE}" pid="13" name="TYPE_N_DATE">
    <vt:lpwstr>38020241103</vt:lpwstr>
  </property>
  <property fmtid="{D5CDD505-2E9C-101B-9397-08002B2CF9AE}" pid="14" name="CASESLISTTMP1">
    <vt:lpwstr>26991436;23827604;21644133;20402486;5698919;28075551;5580841;21799035;28113879;24320245;26696786;24923082;26908354;29307201;11206078;2894643;27372060</vt:lpwstr>
  </property>
  <property fmtid="{D5CDD505-2E9C-101B-9397-08002B2CF9AE}" pid="15" name="WORDNUMPAGES">
    <vt:lpwstr>5</vt:lpwstr>
  </property>
  <property fmtid="{D5CDD505-2E9C-101B-9397-08002B2CF9AE}" pid="16" name="TYPE_ABS_DATE">
    <vt:lpwstr>380020241103</vt:lpwstr>
  </property>
  <property fmtid="{D5CDD505-2E9C-101B-9397-08002B2CF9AE}" pid="17" name="ISABSTRACT">
    <vt:lpwstr>Y</vt:lpwstr>
  </property>
  <property fmtid="{D5CDD505-2E9C-101B-9397-08002B2CF9AE}" pid="18" name="LAWLISTTMP1">
    <vt:lpwstr>4216/007.a;007.c;010</vt:lpwstr>
  </property>
  <property fmtid="{D5CDD505-2E9C-101B-9397-08002B2CF9AE}" pid="19" name="LAWLISTTMP2">
    <vt:lpwstr>70301/400</vt:lpwstr>
  </property>
</Properties>
</file>