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9106D" w:rsidRPr="00D42C9B" w14:paraId="5DA9487A" w14:textId="77777777" w:rsidTr="00235CD1">
        <w:trPr>
          <w:trHeight w:hRule="exact" w:val="418"/>
          <w:jc w:val="center"/>
        </w:trPr>
        <w:tc>
          <w:tcPr>
            <w:tcW w:w="8721" w:type="dxa"/>
            <w:gridSpan w:val="2"/>
          </w:tcPr>
          <w:p w14:paraId="531B6973" w14:textId="77777777" w:rsidR="00E9106D" w:rsidRPr="00D42C9B" w:rsidRDefault="00E9106D" w:rsidP="0086726B">
            <w:pPr>
              <w:pStyle w:val="a3"/>
              <w:jc w:val="center"/>
              <w:rPr>
                <w:rFonts w:ascii="Tahoma" w:hAnsi="Tahoma" w:cs="Tahoma"/>
                <w:color w:val="000080"/>
                <w:rtl/>
              </w:rPr>
            </w:pPr>
            <w:bookmarkStart w:id="0" w:name="LastJudge"/>
            <w:r w:rsidRPr="00D42C9B">
              <w:rPr>
                <w:rFonts w:ascii="Tahoma" w:hAnsi="Tahoma" w:cs="Tahoma"/>
                <w:b/>
                <w:bCs/>
                <w:color w:val="000080"/>
                <w:rtl/>
              </w:rPr>
              <w:t>בית משפט השלום בבאר שבע</w:t>
            </w:r>
          </w:p>
        </w:tc>
      </w:tr>
      <w:tr w:rsidR="00E9106D" w:rsidRPr="00D42C9B" w14:paraId="6B0E5EF4" w14:textId="77777777" w:rsidTr="00235CD1">
        <w:trPr>
          <w:trHeight w:val="337"/>
          <w:jc w:val="center"/>
        </w:trPr>
        <w:tc>
          <w:tcPr>
            <w:tcW w:w="5060" w:type="dxa"/>
          </w:tcPr>
          <w:p w14:paraId="424E5925" w14:textId="77777777" w:rsidR="00E9106D" w:rsidRPr="00D42C9B" w:rsidRDefault="00E9106D" w:rsidP="0086726B">
            <w:pPr>
              <w:rPr>
                <w:rFonts w:cs="FrankRuehl"/>
                <w:sz w:val="28"/>
                <w:szCs w:val="28"/>
                <w:rtl/>
              </w:rPr>
            </w:pPr>
            <w:r w:rsidRPr="00D42C9B">
              <w:rPr>
                <w:rFonts w:cs="FrankRuehl"/>
                <w:sz w:val="28"/>
                <w:szCs w:val="28"/>
                <w:rtl/>
              </w:rPr>
              <w:t>ת"פ</w:t>
            </w:r>
            <w:r w:rsidRPr="00D42C9B">
              <w:rPr>
                <w:rFonts w:cs="FrankRuehl" w:hint="cs"/>
                <w:sz w:val="28"/>
                <w:szCs w:val="28"/>
                <w:rtl/>
              </w:rPr>
              <w:t xml:space="preserve"> </w:t>
            </w:r>
            <w:r w:rsidRPr="00D42C9B">
              <w:rPr>
                <w:rFonts w:cs="FrankRuehl"/>
                <w:sz w:val="28"/>
                <w:szCs w:val="28"/>
                <w:rtl/>
              </w:rPr>
              <w:t>28766-04-22</w:t>
            </w:r>
            <w:r w:rsidRPr="00D42C9B">
              <w:rPr>
                <w:rFonts w:cs="FrankRuehl" w:hint="cs"/>
                <w:sz w:val="28"/>
                <w:szCs w:val="28"/>
                <w:rtl/>
              </w:rPr>
              <w:t xml:space="preserve"> </w:t>
            </w:r>
            <w:r w:rsidRPr="00D42C9B">
              <w:rPr>
                <w:rFonts w:cs="FrankRuehl"/>
                <w:sz w:val="28"/>
                <w:szCs w:val="28"/>
                <w:rtl/>
              </w:rPr>
              <w:t>מדינת ישראל נ' אלאעסם(עציר)</w:t>
            </w:r>
          </w:p>
          <w:p w14:paraId="52BEBEB3" w14:textId="77777777" w:rsidR="00E9106D" w:rsidRPr="00D42C9B" w:rsidRDefault="00E9106D" w:rsidP="0086726B">
            <w:pPr>
              <w:pStyle w:val="a3"/>
              <w:rPr>
                <w:rFonts w:cs="FrankRuehl"/>
                <w:sz w:val="28"/>
                <w:szCs w:val="28"/>
                <w:rtl/>
              </w:rPr>
            </w:pPr>
          </w:p>
        </w:tc>
        <w:tc>
          <w:tcPr>
            <w:tcW w:w="3661" w:type="dxa"/>
          </w:tcPr>
          <w:p w14:paraId="7AA6C632" w14:textId="77777777" w:rsidR="00E9106D" w:rsidRPr="00D42C9B" w:rsidRDefault="00E9106D" w:rsidP="0086726B">
            <w:pPr>
              <w:pStyle w:val="a3"/>
              <w:jc w:val="right"/>
              <w:rPr>
                <w:rFonts w:cs="FrankRuehl"/>
                <w:sz w:val="28"/>
                <w:szCs w:val="28"/>
                <w:rtl/>
              </w:rPr>
            </w:pPr>
          </w:p>
        </w:tc>
      </w:tr>
    </w:tbl>
    <w:p w14:paraId="215D9AF9" w14:textId="77777777" w:rsidR="00E9106D" w:rsidRPr="00D42C9B" w:rsidRDefault="00E9106D" w:rsidP="00E9106D">
      <w:pPr>
        <w:pStyle w:val="a3"/>
        <w:rPr>
          <w:rtl/>
        </w:rPr>
      </w:pPr>
      <w:r w:rsidRPr="00D42C9B">
        <w:rPr>
          <w:rFonts w:hint="cs"/>
          <w:rtl/>
        </w:rPr>
        <w:t xml:space="preserve"> </w:t>
      </w:r>
    </w:p>
    <w:p w14:paraId="1F0EFE54" w14:textId="77777777" w:rsidR="00E9106D" w:rsidRPr="00D42C9B" w:rsidRDefault="00E9106D" w:rsidP="00E9106D">
      <w:pPr>
        <w:rPr>
          <w:sz w:val="26"/>
          <w:szCs w:val="26"/>
          <w:rtl/>
        </w:rPr>
      </w:pPr>
    </w:p>
    <w:p w14:paraId="1D3F9504" w14:textId="77777777" w:rsidR="00E9106D" w:rsidRPr="00D42C9B" w:rsidRDefault="00E9106D" w:rsidP="00E9106D">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2796"/>
        <w:gridCol w:w="5383"/>
      </w:tblGrid>
      <w:tr w:rsidR="00E9106D" w:rsidRPr="00D42C9B" w14:paraId="6E5D2DC1" w14:textId="77777777" w:rsidTr="00E9106D">
        <w:trPr>
          <w:trHeight w:val="295"/>
          <w:jc w:val="center"/>
        </w:trPr>
        <w:tc>
          <w:tcPr>
            <w:tcW w:w="641" w:type="dxa"/>
            <w:tcBorders>
              <w:top w:val="nil"/>
              <w:left w:val="nil"/>
              <w:bottom w:val="nil"/>
              <w:right w:val="nil"/>
            </w:tcBorders>
            <w:shd w:val="clear" w:color="auto" w:fill="auto"/>
          </w:tcPr>
          <w:p w14:paraId="2B446C48" w14:textId="77777777" w:rsidR="00E9106D" w:rsidRPr="00D42C9B" w:rsidRDefault="00E9106D" w:rsidP="00E9106D">
            <w:pPr>
              <w:jc w:val="both"/>
              <w:rPr>
                <w:rFonts w:ascii="David" w:hAnsi="David"/>
                <w:b/>
                <w:bCs/>
                <w:sz w:val="26"/>
                <w:szCs w:val="26"/>
              </w:rPr>
            </w:pPr>
            <w:r w:rsidRPr="00D42C9B">
              <w:rPr>
                <w:rFonts w:ascii="David" w:hAnsi="David"/>
                <w:b/>
                <w:bCs/>
                <w:sz w:val="26"/>
                <w:szCs w:val="26"/>
                <w:rtl/>
              </w:rPr>
              <w:t xml:space="preserve">בפני </w:t>
            </w:r>
          </w:p>
        </w:tc>
        <w:tc>
          <w:tcPr>
            <w:tcW w:w="8179" w:type="dxa"/>
            <w:gridSpan w:val="2"/>
            <w:tcBorders>
              <w:top w:val="nil"/>
              <w:left w:val="nil"/>
              <w:bottom w:val="nil"/>
              <w:right w:val="nil"/>
            </w:tcBorders>
            <w:shd w:val="clear" w:color="auto" w:fill="auto"/>
          </w:tcPr>
          <w:p w14:paraId="7AFAD7FA" w14:textId="77777777" w:rsidR="00E9106D" w:rsidRPr="00D42C9B" w:rsidRDefault="00E9106D" w:rsidP="0086726B">
            <w:pPr>
              <w:rPr>
                <w:rFonts w:ascii="David" w:hAnsi="David"/>
                <w:b/>
                <w:bCs/>
                <w:sz w:val="26"/>
                <w:szCs w:val="26"/>
                <w:rtl/>
              </w:rPr>
            </w:pPr>
            <w:r w:rsidRPr="00D42C9B">
              <w:rPr>
                <w:rFonts w:ascii="David" w:hAnsi="David"/>
                <w:b/>
                <w:bCs/>
                <w:sz w:val="26"/>
                <w:szCs w:val="26"/>
                <w:rtl/>
              </w:rPr>
              <w:t>כבוד השופטת שוש שטרית</w:t>
            </w:r>
          </w:p>
          <w:p w14:paraId="043C7927" w14:textId="77777777" w:rsidR="00E9106D" w:rsidRPr="00D42C9B" w:rsidRDefault="00E9106D" w:rsidP="0086726B">
            <w:pPr>
              <w:rPr>
                <w:rFonts w:ascii="David" w:hAnsi="David"/>
                <w:sz w:val="26"/>
                <w:szCs w:val="26"/>
                <w:rtl/>
              </w:rPr>
            </w:pPr>
          </w:p>
          <w:p w14:paraId="1F006CDD" w14:textId="77777777" w:rsidR="00E9106D" w:rsidRPr="00D42C9B" w:rsidRDefault="00E9106D" w:rsidP="00E9106D">
            <w:pPr>
              <w:jc w:val="both"/>
              <w:rPr>
                <w:rFonts w:ascii="David" w:hAnsi="David"/>
                <w:sz w:val="26"/>
                <w:szCs w:val="26"/>
              </w:rPr>
            </w:pPr>
          </w:p>
        </w:tc>
      </w:tr>
      <w:tr w:rsidR="00E9106D" w:rsidRPr="00D42C9B" w14:paraId="6AA4299C" w14:textId="77777777" w:rsidTr="00E9106D">
        <w:trPr>
          <w:trHeight w:val="355"/>
          <w:jc w:val="center"/>
        </w:trPr>
        <w:tc>
          <w:tcPr>
            <w:tcW w:w="641" w:type="dxa"/>
            <w:tcBorders>
              <w:top w:val="nil"/>
              <w:left w:val="nil"/>
              <w:bottom w:val="nil"/>
              <w:right w:val="nil"/>
            </w:tcBorders>
            <w:shd w:val="clear" w:color="auto" w:fill="auto"/>
          </w:tcPr>
          <w:p w14:paraId="07B12C4B" w14:textId="77777777" w:rsidR="00E9106D" w:rsidRPr="00D42C9B" w:rsidRDefault="00E9106D" w:rsidP="00E9106D">
            <w:pPr>
              <w:jc w:val="both"/>
              <w:rPr>
                <w:rFonts w:ascii="David" w:hAnsi="David"/>
                <w:sz w:val="26"/>
                <w:szCs w:val="26"/>
              </w:rPr>
            </w:pPr>
            <w:bookmarkStart w:id="1" w:name="FirstAppellant"/>
            <w:bookmarkStart w:id="2" w:name="FirstLawyer"/>
          </w:p>
        </w:tc>
        <w:tc>
          <w:tcPr>
            <w:tcW w:w="2796" w:type="dxa"/>
            <w:tcBorders>
              <w:top w:val="nil"/>
              <w:left w:val="nil"/>
              <w:bottom w:val="nil"/>
              <w:right w:val="nil"/>
            </w:tcBorders>
            <w:shd w:val="clear" w:color="auto" w:fill="auto"/>
          </w:tcPr>
          <w:p w14:paraId="32FCF15E" w14:textId="77777777" w:rsidR="00E9106D" w:rsidRPr="00D42C9B" w:rsidRDefault="00E9106D" w:rsidP="00E9106D">
            <w:pPr>
              <w:suppressLineNumbers/>
            </w:pPr>
            <w:r w:rsidRPr="00D42C9B">
              <w:rPr>
                <w:rFonts w:ascii="Arial" w:hAnsi="Arial" w:hint="cs"/>
                <w:b/>
                <w:bCs/>
                <w:sz w:val="26"/>
                <w:szCs w:val="26"/>
                <w:rtl/>
              </w:rPr>
              <w:t>ה</w:t>
            </w:r>
            <w:r w:rsidRPr="00D42C9B">
              <w:rPr>
                <w:rFonts w:ascii="Arial" w:hAnsi="Arial"/>
                <w:b/>
                <w:bCs/>
                <w:sz w:val="26"/>
                <w:szCs w:val="26"/>
                <w:rtl/>
              </w:rPr>
              <w:t>מאשימה</w:t>
            </w:r>
          </w:p>
          <w:p w14:paraId="2CC47EDD" w14:textId="77777777" w:rsidR="00E9106D" w:rsidRPr="00D42C9B" w:rsidRDefault="00E9106D" w:rsidP="0086726B">
            <w:pPr>
              <w:rPr>
                <w:rFonts w:ascii="David" w:hAnsi="David"/>
                <w:sz w:val="26"/>
                <w:szCs w:val="26"/>
              </w:rPr>
            </w:pPr>
          </w:p>
        </w:tc>
        <w:tc>
          <w:tcPr>
            <w:tcW w:w="5383" w:type="dxa"/>
            <w:tcBorders>
              <w:top w:val="nil"/>
              <w:left w:val="nil"/>
              <w:bottom w:val="nil"/>
              <w:right w:val="nil"/>
            </w:tcBorders>
            <w:shd w:val="clear" w:color="auto" w:fill="auto"/>
            <w:vAlign w:val="center"/>
          </w:tcPr>
          <w:p w14:paraId="0943A45A" w14:textId="77777777" w:rsidR="00E9106D" w:rsidRPr="00D42C9B" w:rsidRDefault="00E9106D" w:rsidP="00E9106D">
            <w:pPr>
              <w:suppressLineNumbers/>
              <w:rPr>
                <w:rFonts w:ascii="Arial" w:hAnsi="Arial"/>
                <w:b/>
                <w:bCs/>
                <w:sz w:val="26"/>
                <w:szCs w:val="26"/>
                <w:rtl/>
              </w:rPr>
            </w:pPr>
            <w:r w:rsidRPr="00D42C9B">
              <w:rPr>
                <w:rFonts w:ascii="Arial" w:hAnsi="Arial"/>
                <w:b/>
                <w:bCs/>
                <w:sz w:val="26"/>
                <w:szCs w:val="26"/>
                <w:rtl/>
              </w:rPr>
              <w:t>מדינת ישראל</w:t>
            </w:r>
            <w:r w:rsidRPr="00D42C9B">
              <w:rPr>
                <w:rFonts w:ascii="Arial" w:hAnsi="Arial" w:hint="cs"/>
                <w:b/>
                <w:bCs/>
                <w:sz w:val="26"/>
                <w:szCs w:val="26"/>
                <w:rtl/>
              </w:rPr>
              <w:t xml:space="preserve"> </w:t>
            </w:r>
            <w:r w:rsidRPr="00D42C9B">
              <w:rPr>
                <w:rFonts w:ascii="Arial" w:hAnsi="Arial"/>
                <w:b/>
                <w:bCs/>
                <w:sz w:val="26"/>
                <w:szCs w:val="26"/>
                <w:rtl/>
              </w:rPr>
              <w:t>–</w:t>
            </w:r>
            <w:r w:rsidRPr="00D42C9B">
              <w:rPr>
                <w:rFonts w:ascii="Arial" w:hAnsi="Arial" w:hint="cs"/>
                <w:b/>
                <w:bCs/>
                <w:sz w:val="26"/>
                <w:szCs w:val="26"/>
                <w:rtl/>
              </w:rPr>
              <w:t xml:space="preserve"> תביעות נגב</w:t>
            </w:r>
          </w:p>
          <w:p w14:paraId="0304CFCA" w14:textId="77777777" w:rsidR="00E9106D" w:rsidRPr="00D42C9B" w:rsidRDefault="00E9106D" w:rsidP="00E9106D">
            <w:pPr>
              <w:suppressLineNumbers/>
            </w:pPr>
            <w:r w:rsidRPr="00D42C9B">
              <w:rPr>
                <w:rFonts w:ascii="Arial" w:hAnsi="Arial"/>
                <w:b/>
                <w:bCs/>
                <w:sz w:val="26"/>
                <w:szCs w:val="26"/>
                <w:rtl/>
              </w:rPr>
              <w:t>ע"י ב"כ עו"ד</w:t>
            </w:r>
            <w:r w:rsidRPr="00D42C9B">
              <w:rPr>
                <w:rFonts w:hint="cs"/>
                <w:rtl/>
              </w:rPr>
              <w:t xml:space="preserve"> </w:t>
            </w:r>
            <w:r w:rsidRPr="00D42C9B">
              <w:rPr>
                <w:rFonts w:hint="cs"/>
                <w:b/>
                <w:bCs/>
                <w:rtl/>
              </w:rPr>
              <w:t>לבנת רחמים בנני</w:t>
            </w:r>
            <w:r w:rsidRPr="00D42C9B">
              <w:rPr>
                <w:rFonts w:hint="cs"/>
                <w:rtl/>
              </w:rPr>
              <w:t xml:space="preserve"> </w:t>
            </w:r>
          </w:p>
        </w:tc>
      </w:tr>
      <w:bookmarkEnd w:id="1"/>
      <w:bookmarkEnd w:id="2"/>
      <w:tr w:rsidR="00E9106D" w:rsidRPr="00D42C9B" w14:paraId="4B9E76BB" w14:textId="77777777" w:rsidTr="00E9106D">
        <w:trPr>
          <w:trHeight w:val="355"/>
          <w:jc w:val="center"/>
        </w:trPr>
        <w:tc>
          <w:tcPr>
            <w:tcW w:w="641" w:type="dxa"/>
            <w:tcBorders>
              <w:top w:val="nil"/>
              <w:left w:val="nil"/>
              <w:bottom w:val="nil"/>
              <w:right w:val="nil"/>
            </w:tcBorders>
            <w:shd w:val="clear" w:color="auto" w:fill="auto"/>
          </w:tcPr>
          <w:p w14:paraId="36DD2C7A" w14:textId="77777777" w:rsidR="00E9106D" w:rsidRPr="00D42C9B" w:rsidRDefault="00E9106D" w:rsidP="00E9106D">
            <w:pPr>
              <w:jc w:val="both"/>
              <w:rPr>
                <w:rFonts w:ascii="David" w:hAnsi="David"/>
                <w:sz w:val="26"/>
                <w:szCs w:val="26"/>
                <w:rtl/>
              </w:rPr>
            </w:pPr>
          </w:p>
        </w:tc>
        <w:tc>
          <w:tcPr>
            <w:tcW w:w="8179" w:type="dxa"/>
            <w:gridSpan w:val="2"/>
            <w:tcBorders>
              <w:top w:val="nil"/>
              <w:left w:val="nil"/>
              <w:bottom w:val="nil"/>
              <w:right w:val="nil"/>
            </w:tcBorders>
            <w:shd w:val="clear" w:color="auto" w:fill="auto"/>
          </w:tcPr>
          <w:p w14:paraId="5E0016E4" w14:textId="77777777" w:rsidR="00E9106D" w:rsidRPr="00D42C9B" w:rsidRDefault="00E9106D" w:rsidP="00E9106D">
            <w:pPr>
              <w:jc w:val="center"/>
              <w:rPr>
                <w:rFonts w:ascii="David" w:hAnsi="David"/>
                <w:b/>
                <w:bCs/>
                <w:sz w:val="26"/>
                <w:szCs w:val="26"/>
                <w:rtl/>
              </w:rPr>
            </w:pPr>
          </w:p>
          <w:p w14:paraId="447B091C" w14:textId="77777777" w:rsidR="00E9106D" w:rsidRPr="00D42C9B" w:rsidRDefault="00E9106D" w:rsidP="00E9106D">
            <w:pPr>
              <w:jc w:val="center"/>
              <w:rPr>
                <w:rFonts w:ascii="David" w:hAnsi="David"/>
                <w:b/>
                <w:bCs/>
                <w:sz w:val="26"/>
                <w:szCs w:val="26"/>
                <w:rtl/>
              </w:rPr>
            </w:pPr>
            <w:r w:rsidRPr="00D42C9B">
              <w:rPr>
                <w:rFonts w:ascii="David" w:hAnsi="David"/>
                <w:b/>
                <w:bCs/>
                <w:sz w:val="26"/>
                <w:szCs w:val="26"/>
                <w:rtl/>
              </w:rPr>
              <w:t>נגד</w:t>
            </w:r>
          </w:p>
          <w:p w14:paraId="3F1960AC" w14:textId="77777777" w:rsidR="00E9106D" w:rsidRPr="00D42C9B" w:rsidRDefault="00E9106D" w:rsidP="00E9106D">
            <w:pPr>
              <w:jc w:val="both"/>
              <w:rPr>
                <w:rFonts w:ascii="David" w:hAnsi="David"/>
                <w:sz w:val="26"/>
                <w:szCs w:val="26"/>
              </w:rPr>
            </w:pPr>
          </w:p>
        </w:tc>
      </w:tr>
      <w:tr w:rsidR="00E9106D" w:rsidRPr="00D42C9B" w14:paraId="5D9E41D2" w14:textId="77777777" w:rsidTr="00E9106D">
        <w:trPr>
          <w:trHeight w:val="355"/>
          <w:jc w:val="center"/>
        </w:trPr>
        <w:tc>
          <w:tcPr>
            <w:tcW w:w="641" w:type="dxa"/>
            <w:tcBorders>
              <w:top w:val="nil"/>
              <w:left w:val="nil"/>
              <w:bottom w:val="nil"/>
              <w:right w:val="nil"/>
            </w:tcBorders>
            <w:shd w:val="clear" w:color="auto" w:fill="auto"/>
          </w:tcPr>
          <w:p w14:paraId="193DD261" w14:textId="77777777" w:rsidR="00E9106D" w:rsidRPr="00D42C9B" w:rsidRDefault="00E9106D" w:rsidP="0086726B">
            <w:pPr>
              <w:rPr>
                <w:rFonts w:ascii="David" w:hAnsi="David"/>
                <w:sz w:val="26"/>
                <w:szCs w:val="26"/>
                <w:rtl/>
              </w:rPr>
            </w:pPr>
          </w:p>
        </w:tc>
        <w:tc>
          <w:tcPr>
            <w:tcW w:w="2796" w:type="dxa"/>
            <w:tcBorders>
              <w:top w:val="nil"/>
              <w:left w:val="nil"/>
              <w:bottom w:val="nil"/>
              <w:right w:val="nil"/>
            </w:tcBorders>
            <w:shd w:val="clear" w:color="auto" w:fill="auto"/>
          </w:tcPr>
          <w:p w14:paraId="73BCA309" w14:textId="77777777" w:rsidR="00E9106D" w:rsidRPr="00D42C9B" w:rsidRDefault="00E9106D" w:rsidP="0086726B">
            <w:pPr>
              <w:rPr>
                <w:rFonts w:ascii="Arial" w:hAnsi="Arial"/>
                <w:b/>
                <w:bCs/>
                <w:sz w:val="26"/>
                <w:szCs w:val="26"/>
                <w:rtl/>
              </w:rPr>
            </w:pPr>
            <w:r w:rsidRPr="00D42C9B">
              <w:rPr>
                <w:rFonts w:ascii="Arial" w:hAnsi="Arial"/>
                <w:b/>
                <w:bCs/>
                <w:sz w:val="26"/>
                <w:szCs w:val="26"/>
                <w:rtl/>
              </w:rPr>
              <w:t>הנאשם</w:t>
            </w:r>
          </w:p>
        </w:tc>
        <w:tc>
          <w:tcPr>
            <w:tcW w:w="5383" w:type="dxa"/>
            <w:tcBorders>
              <w:top w:val="nil"/>
              <w:left w:val="nil"/>
              <w:bottom w:val="nil"/>
              <w:right w:val="nil"/>
            </w:tcBorders>
            <w:shd w:val="clear" w:color="auto" w:fill="auto"/>
            <w:vAlign w:val="center"/>
          </w:tcPr>
          <w:p w14:paraId="26C77B45" w14:textId="77777777" w:rsidR="00E9106D" w:rsidRPr="00D42C9B" w:rsidRDefault="00E9106D" w:rsidP="00E9106D">
            <w:pPr>
              <w:suppressLineNumbers/>
              <w:rPr>
                <w:rFonts w:ascii="Arial" w:hAnsi="Arial"/>
                <w:b/>
                <w:bCs/>
                <w:sz w:val="26"/>
                <w:szCs w:val="26"/>
                <w:rtl/>
              </w:rPr>
            </w:pPr>
            <w:r w:rsidRPr="00D42C9B">
              <w:rPr>
                <w:rFonts w:ascii="Arial" w:hAnsi="Arial"/>
                <w:b/>
                <w:bCs/>
                <w:sz w:val="26"/>
                <w:szCs w:val="26"/>
                <w:rtl/>
              </w:rPr>
              <w:t>מוחמד אלאעסם (עציר)</w:t>
            </w:r>
            <w:r w:rsidRPr="00D42C9B">
              <w:rPr>
                <w:rFonts w:ascii="Arial" w:hAnsi="Arial" w:hint="cs"/>
                <w:b/>
                <w:bCs/>
                <w:sz w:val="26"/>
                <w:szCs w:val="26"/>
                <w:rtl/>
              </w:rPr>
              <w:t xml:space="preserve"> - הובא ע"י שב"ס</w:t>
            </w:r>
          </w:p>
          <w:p w14:paraId="4DD0C83A" w14:textId="77777777" w:rsidR="00E9106D" w:rsidRPr="00D42C9B" w:rsidRDefault="00E9106D" w:rsidP="00E9106D">
            <w:pPr>
              <w:suppressLineNumbers/>
            </w:pPr>
            <w:r w:rsidRPr="00D42C9B">
              <w:rPr>
                <w:rFonts w:ascii="Arial" w:hAnsi="Arial"/>
                <w:b/>
                <w:bCs/>
                <w:sz w:val="26"/>
                <w:szCs w:val="26"/>
                <w:rtl/>
              </w:rPr>
              <w:t>ע"י ב"כ עו"ד</w:t>
            </w:r>
            <w:r w:rsidRPr="00D42C9B">
              <w:rPr>
                <w:rFonts w:ascii="Arial" w:hAnsi="Arial" w:hint="cs"/>
                <w:b/>
                <w:bCs/>
                <w:sz w:val="26"/>
                <w:szCs w:val="26"/>
                <w:rtl/>
              </w:rPr>
              <w:t xml:space="preserve"> נאסר מוסטפא</w:t>
            </w:r>
          </w:p>
        </w:tc>
      </w:tr>
      <w:tr w:rsidR="00E9106D" w:rsidRPr="00D42C9B" w14:paraId="059F085B" w14:textId="77777777" w:rsidTr="00E9106D">
        <w:trPr>
          <w:trHeight w:val="355"/>
          <w:jc w:val="center"/>
        </w:trPr>
        <w:tc>
          <w:tcPr>
            <w:tcW w:w="641" w:type="dxa"/>
            <w:tcBorders>
              <w:top w:val="nil"/>
              <w:left w:val="nil"/>
              <w:bottom w:val="nil"/>
              <w:right w:val="nil"/>
            </w:tcBorders>
            <w:shd w:val="clear" w:color="auto" w:fill="auto"/>
          </w:tcPr>
          <w:p w14:paraId="1B4FEC95" w14:textId="77777777" w:rsidR="00E9106D" w:rsidRPr="00D42C9B" w:rsidRDefault="00E9106D" w:rsidP="00E9106D">
            <w:pPr>
              <w:jc w:val="both"/>
              <w:rPr>
                <w:rFonts w:ascii="David" w:hAnsi="David"/>
                <w:sz w:val="26"/>
                <w:szCs w:val="26"/>
                <w:rtl/>
              </w:rPr>
            </w:pPr>
          </w:p>
        </w:tc>
        <w:tc>
          <w:tcPr>
            <w:tcW w:w="2796" w:type="dxa"/>
            <w:tcBorders>
              <w:top w:val="nil"/>
              <w:left w:val="nil"/>
              <w:bottom w:val="nil"/>
              <w:right w:val="nil"/>
            </w:tcBorders>
            <w:shd w:val="clear" w:color="auto" w:fill="auto"/>
          </w:tcPr>
          <w:p w14:paraId="6433DB0E" w14:textId="77777777" w:rsidR="00E9106D" w:rsidRPr="00D42C9B" w:rsidRDefault="00E9106D" w:rsidP="00E9106D">
            <w:pPr>
              <w:jc w:val="both"/>
              <w:rPr>
                <w:rFonts w:ascii="David" w:hAnsi="David"/>
                <w:sz w:val="26"/>
                <w:szCs w:val="26"/>
                <w:rtl/>
              </w:rPr>
            </w:pPr>
          </w:p>
        </w:tc>
        <w:tc>
          <w:tcPr>
            <w:tcW w:w="5383" w:type="dxa"/>
            <w:tcBorders>
              <w:top w:val="nil"/>
              <w:left w:val="nil"/>
              <w:bottom w:val="nil"/>
              <w:right w:val="nil"/>
            </w:tcBorders>
            <w:shd w:val="clear" w:color="auto" w:fill="auto"/>
          </w:tcPr>
          <w:p w14:paraId="34679A81" w14:textId="77777777" w:rsidR="00E9106D" w:rsidRPr="00D42C9B" w:rsidRDefault="00E9106D" w:rsidP="00E9106D">
            <w:pPr>
              <w:jc w:val="right"/>
              <w:rPr>
                <w:rFonts w:ascii="David" w:hAnsi="David"/>
                <w:sz w:val="26"/>
                <w:szCs w:val="26"/>
              </w:rPr>
            </w:pPr>
          </w:p>
        </w:tc>
      </w:tr>
    </w:tbl>
    <w:p w14:paraId="41103518" w14:textId="77777777" w:rsidR="00235CD1" w:rsidRPr="00235CD1" w:rsidRDefault="00235CD1" w:rsidP="00235CD1">
      <w:pPr>
        <w:spacing w:before="120" w:after="120" w:line="240" w:lineRule="exact"/>
        <w:ind w:left="283" w:hanging="283"/>
        <w:jc w:val="both"/>
        <w:rPr>
          <w:rFonts w:ascii="FrankRuehl" w:hAnsi="FrankRuehl" w:cs="FrankRuehl"/>
          <w:rtl/>
        </w:rPr>
      </w:pPr>
    </w:p>
    <w:p w14:paraId="25D1AFBD" w14:textId="77777777" w:rsidR="00C13815" w:rsidRPr="00C13815" w:rsidRDefault="00C13815" w:rsidP="00C13815">
      <w:pPr>
        <w:spacing w:before="120" w:after="120" w:line="240" w:lineRule="exact"/>
        <w:ind w:left="283" w:hanging="283"/>
        <w:jc w:val="both"/>
        <w:rPr>
          <w:rFonts w:ascii="FrankRuehl" w:hAnsi="FrankRuehl" w:cs="FrankRuehl"/>
          <w:rtl/>
        </w:rPr>
      </w:pPr>
    </w:p>
    <w:p w14:paraId="784FAD37" w14:textId="77777777" w:rsidR="00DD1CA2" w:rsidRDefault="00DD1CA2" w:rsidP="00DD1CA2">
      <w:pPr>
        <w:rPr>
          <w:rFonts w:ascii="Arial" w:hAnsi="Arial"/>
          <w:sz w:val="26"/>
          <w:szCs w:val="26"/>
          <w:rtl/>
        </w:rPr>
      </w:pPr>
      <w:bookmarkStart w:id="3" w:name="LawTable"/>
      <w:bookmarkEnd w:id="3"/>
    </w:p>
    <w:p w14:paraId="23B502BB" w14:textId="77777777" w:rsidR="00DD1CA2" w:rsidRPr="00DD1CA2" w:rsidRDefault="00DD1CA2" w:rsidP="00DD1CA2">
      <w:pPr>
        <w:spacing w:before="120" w:after="120" w:line="240" w:lineRule="exact"/>
        <w:ind w:left="283" w:hanging="283"/>
        <w:jc w:val="both"/>
        <w:rPr>
          <w:rFonts w:ascii="FrankRuehl" w:hAnsi="FrankRuehl" w:cs="FrankRuehl"/>
          <w:rtl/>
        </w:rPr>
      </w:pPr>
    </w:p>
    <w:p w14:paraId="72367B33" w14:textId="77777777" w:rsidR="00DD1CA2" w:rsidRPr="00DD1CA2" w:rsidRDefault="00DD1CA2" w:rsidP="00DD1CA2">
      <w:pPr>
        <w:spacing w:before="120" w:after="120" w:line="240" w:lineRule="exact"/>
        <w:ind w:left="283" w:hanging="283"/>
        <w:jc w:val="both"/>
        <w:rPr>
          <w:rFonts w:ascii="FrankRuehl" w:hAnsi="FrankRuehl" w:cs="FrankRuehl"/>
          <w:rtl/>
        </w:rPr>
      </w:pPr>
    </w:p>
    <w:p w14:paraId="2F21475E" w14:textId="77777777" w:rsidR="00DD1CA2" w:rsidRPr="00DD1CA2" w:rsidRDefault="00DD1CA2" w:rsidP="00DD1CA2">
      <w:pPr>
        <w:spacing w:before="120" w:after="120" w:line="240" w:lineRule="exact"/>
        <w:ind w:left="283" w:hanging="283"/>
        <w:jc w:val="both"/>
        <w:rPr>
          <w:rFonts w:ascii="FrankRuehl" w:hAnsi="FrankRuehl" w:cs="FrankRuehl"/>
          <w:rtl/>
        </w:rPr>
      </w:pPr>
      <w:r w:rsidRPr="00DD1CA2">
        <w:rPr>
          <w:rFonts w:ascii="FrankRuehl" w:hAnsi="FrankRuehl" w:cs="FrankRuehl"/>
          <w:rtl/>
        </w:rPr>
        <w:t xml:space="preserve">חקיקה שאוזכרה: </w:t>
      </w:r>
    </w:p>
    <w:p w14:paraId="2ABBB418" w14:textId="77777777" w:rsidR="00DD1CA2" w:rsidRPr="00DD1CA2" w:rsidRDefault="00DD1CA2" w:rsidP="00DD1CA2">
      <w:pPr>
        <w:spacing w:before="120" w:after="120" w:line="240" w:lineRule="exact"/>
        <w:ind w:left="283" w:hanging="283"/>
        <w:jc w:val="both"/>
        <w:rPr>
          <w:rFonts w:ascii="FrankRuehl" w:hAnsi="FrankRuehl" w:cs="FrankRuehl"/>
          <w:rtl/>
        </w:rPr>
      </w:pPr>
      <w:hyperlink r:id="rId7" w:history="1">
        <w:r w:rsidRPr="00DD1CA2">
          <w:rPr>
            <w:rFonts w:ascii="FrankRuehl" w:hAnsi="FrankRuehl" w:cs="FrankRuehl"/>
            <w:color w:val="0000FF"/>
            <w:rtl/>
          </w:rPr>
          <w:t>פקודת הסמים המסוכנים [נוסח חדש], תשל"ג-1973</w:t>
        </w:r>
      </w:hyperlink>
      <w:r w:rsidRPr="00DD1CA2">
        <w:rPr>
          <w:rFonts w:ascii="FrankRuehl" w:hAnsi="FrankRuehl" w:cs="FrankRuehl"/>
          <w:rtl/>
        </w:rPr>
        <w:t xml:space="preserve">: סע'  </w:t>
      </w:r>
      <w:hyperlink r:id="rId8" w:history="1">
        <w:r w:rsidRPr="00DD1CA2">
          <w:rPr>
            <w:rFonts w:ascii="FrankRuehl" w:hAnsi="FrankRuehl" w:cs="FrankRuehl"/>
            <w:color w:val="0000FF"/>
            <w:rtl/>
          </w:rPr>
          <w:t>13</w:t>
        </w:r>
      </w:hyperlink>
      <w:r w:rsidRPr="00DD1CA2">
        <w:rPr>
          <w:rFonts w:ascii="FrankRuehl" w:hAnsi="FrankRuehl" w:cs="FrankRuehl"/>
          <w:rtl/>
        </w:rPr>
        <w:t xml:space="preserve">, </w:t>
      </w:r>
      <w:hyperlink r:id="rId9" w:history="1">
        <w:r w:rsidRPr="00DD1CA2">
          <w:rPr>
            <w:rFonts w:ascii="FrankRuehl" w:hAnsi="FrankRuehl" w:cs="FrankRuehl"/>
            <w:color w:val="0000FF"/>
            <w:rtl/>
          </w:rPr>
          <w:t>19א</w:t>
        </w:r>
      </w:hyperlink>
    </w:p>
    <w:p w14:paraId="7DF8D97A" w14:textId="77777777" w:rsidR="00DD1CA2" w:rsidRPr="00DD1CA2" w:rsidRDefault="00DD1CA2" w:rsidP="00DD1CA2">
      <w:pPr>
        <w:spacing w:before="120" w:after="120" w:line="240" w:lineRule="exact"/>
        <w:ind w:left="283" w:hanging="283"/>
        <w:jc w:val="both"/>
        <w:rPr>
          <w:rFonts w:ascii="FrankRuehl" w:hAnsi="FrankRuehl" w:cs="FrankRuehl"/>
          <w:rtl/>
        </w:rPr>
      </w:pPr>
      <w:hyperlink r:id="rId10" w:history="1">
        <w:r w:rsidRPr="00DD1CA2">
          <w:rPr>
            <w:rFonts w:ascii="FrankRuehl" w:hAnsi="FrankRuehl" w:cs="FrankRuehl"/>
            <w:color w:val="0000FF"/>
            <w:rtl/>
          </w:rPr>
          <w:t>חוק העונשין, תשל"ז-1977</w:t>
        </w:r>
      </w:hyperlink>
      <w:r w:rsidRPr="00DD1CA2">
        <w:rPr>
          <w:rFonts w:ascii="FrankRuehl" w:hAnsi="FrankRuehl" w:cs="FrankRuehl"/>
          <w:rtl/>
        </w:rPr>
        <w:t xml:space="preserve">: סע'  </w:t>
      </w:r>
      <w:hyperlink r:id="rId11" w:history="1">
        <w:r w:rsidRPr="00DD1CA2">
          <w:rPr>
            <w:rFonts w:ascii="FrankRuehl" w:hAnsi="FrankRuehl" w:cs="FrankRuehl"/>
            <w:color w:val="0000FF"/>
            <w:rtl/>
          </w:rPr>
          <w:t>40 יא'</w:t>
        </w:r>
      </w:hyperlink>
    </w:p>
    <w:p w14:paraId="4EBC1894" w14:textId="77777777" w:rsidR="00DD1CA2" w:rsidRPr="00DD1CA2" w:rsidRDefault="00DD1CA2" w:rsidP="00DD1CA2">
      <w:pPr>
        <w:rPr>
          <w:rFonts w:ascii="Arial" w:hAnsi="Arial"/>
          <w:sz w:val="26"/>
          <w:szCs w:val="26"/>
          <w:rtl/>
        </w:rPr>
      </w:pPr>
      <w:bookmarkStart w:id="4" w:name="LawTable_End"/>
      <w:bookmarkEnd w:id="4"/>
    </w:p>
    <w:p w14:paraId="2107B7F7" w14:textId="77777777" w:rsidR="00E9106D" w:rsidRPr="00C13815" w:rsidRDefault="00E9106D" w:rsidP="00C13815">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106D" w14:paraId="695E1CF1" w14:textId="77777777" w:rsidTr="00E9106D">
        <w:trPr>
          <w:trHeight w:val="355"/>
          <w:jc w:val="center"/>
        </w:trPr>
        <w:tc>
          <w:tcPr>
            <w:tcW w:w="8820" w:type="dxa"/>
            <w:tcBorders>
              <w:top w:val="nil"/>
              <w:left w:val="nil"/>
              <w:bottom w:val="nil"/>
              <w:right w:val="nil"/>
            </w:tcBorders>
            <w:shd w:val="clear" w:color="auto" w:fill="auto"/>
          </w:tcPr>
          <w:p w14:paraId="40293C2C" w14:textId="77777777" w:rsidR="00D42C9B" w:rsidRPr="00D42C9B" w:rsidRDefault="00D42C9B" w:rsidP="00D42C9B">
            <w:pPr>
              <w:jc w:val="center"/>
              <w:rPr>
                <w:rFonts w:ascii="David" w:hAnsi="David"/>
                <w:b/>
                <w:bCs/>
                <w:sz w:val="32"/>
                <w:szCs w:val="32"/>
                <w:u w:val="single"/>
                <w:rtl/>
              </w:rPr>
            </w:pPr>
            <w:bookmarkStart w:id="5" w:name="PsakDin" w:colFirst="0" w:colLast="0"/>
            <w:bookmarkEnd w:id="0"/>
            <w:r w:rsidRPr="00D42C9B">
              <w:rPr>
                <w:rFonts w:ascii="David" w:hAnsi="David"/>
                <w:b/>
                <w:bCs/>
                <w:sz w:val="32"/>
                <w:szCs w:val="32"/>
                <w:u w:val="single"/>
                <w:rtl/>
              </w:rPr>
              <w:t>גזר דין</w:t>
            </w:r>
          </w:p>
          <w:p w14:paraId="08F63BBB" w14:textId="77777777" w:rsidR="00E9106D" w:rsidRPr="00D42C9B" w:rsidRDefault="00E9106D" w:rsidP="00D42C9B">
            <w:pPr>
              <w:jc w:val="center"/>
              <w:rPr>
                <w:rFonts w:ascii="David" w:hAnsi="David"/>
                <w:bCs/>
                <w:sz w:val="32"/>
                <w:szCs w:val="32"/>
                <w:u w:val="single"/>
                <w:rtl/>
              </w:rPr>
            </w:pPr>
          </w:p>
        </w:tc>
      </w:tr>
      <w:bookmarkEnd w:id="5"/>
    </w:tbl>
    <w:p w14:paraId="5A89499A" w14:textId="77777777" w:rsidR="00E9106D" w:rsidRPr="000F2247" w:rsidRDefault="00E9106D" w:rsidP="00E9106D">
      <w:pPr>
        <w:rPr>
          <w:rFonts w:ascii="Arial" w:hAnsi="Arial"/>
          <w:b/>
          <w:bCs/>
          <w:sz w:val="26"/>
          <w:szCs w:val="26"/>
          <w:rtl/>
        </w:rPr>
      </w:pPr>
    </w:p>
    <w:p w14:paraId="5FD9830B" w14:textId="77777777" w:rsidR="00E9106D" w:rsidRDefault="00E9106D" w:rsidP="00E9106D">
      <w:pPr>
        <w:spacing w:line="360" w:lineRule="auto"/>
        <w:jc w:val="both"/>
      </w:pPr>
      <w:bookmarkStart w:id="6" w:name="ABSTRACT_START"/>
      <w:bookmarkEnd w:id="6"/>
      <w:r>
        <w:rPr>
          <w:rFonts w:ascii="Arial" w:hAnsi="Arial" w:hint="cs"/>
          <w:rtl/>
        </w:rPr>
        <w:t>במסגרת  הסדר טיעון אליו הגיעו הצדדים ו</w:t>
      </w:r>
      <w:r>
        <w:rPr>
          <w:rFonts w:ascii="Arial" w:hAnsi="Arial"/>
          <w:rtl/>
        </w:rPr>
        <w:t>על יסוד הודאתו בעובדות כתב האישום המתוקן</w:t>
      </w:r>
      <w:r>
        <w:rPr>
          <w:rFonts w:ascii="Arial" w:hAnsi="Arial" w:hint="cs"/>
          <w:rtl/>
        </w:rPr>
        <w:t xml:space="preserve">, </w:t>
      </w:r>
      <w:r>
        <w:rPr>
          <w:rFonts w:ascii="Arial" w:hAnsi="Arial"/>
          <w:rtl/>
        </w:rPr>
        <w:t xml:space="preserve"> הורשע הנאשם ב</w:t>
      </w:r>
      <w:r>
        <w:rPr>
          <w:rFonts w:hint="cs"/>
          <w:rtl/>
        </w:rPr>
        <w:t>סחר בסמים (</w:t>
      </w:r>
      <w:r>
        <w:rPr>
          <w:rtl/>
        </w:rPr>
        <w:t>3 עבירות</w:t>
      </w:r>
      <w:r>
        <w:rPr>
          <w:rFonts w:hint="cs"/>
          <w:rtl/>
        </w:rPr>
        <w:t>)</w:t>
      </w:r>
      <w:r>
        <w:rPr>
          <w:rtl/>
        </w:rPr>
        <w:t xml:space="preserve">, לפי </w:t>
      </w:r>
      <w:hyperlink r:id="rId12" w:history="1">
        <w:r w:rsidR="00235CD1" w:rsidRPr="00235CD1">
          <w:rPr>
            <w:rStyle w:val="Hyperlink"/>
            <w:rtl/>
          </w:rPr>
          <w:t>סעיף 13</w:t>
        </w:r>
      </w:hyperlink>
      <w:r>
        <w:rPr>
          <w:rtl/>
        </w:rPr>
        <w:t xml:space="preserve"> + </w:t>
      </w:r>
      <w:hyperlink r:id="rId13" w:history="1">
        <w:r w:rsidR="00235CD1" w:rsidRPr="00235CD1">
          <w:rPr>
            <w:rStyle w:val="Hyperlink"/>
            <w:rtl/>
          </w:rPr>
          <w:t xml:space="preserve">19א </w:t>
        </w:r>
      </w:hyperlink>
      <w:r>
        <w:rPr>
          <w:rtl/>
        </w:rPr>
        <w:t xml:space="preserve">  ל</w:t>
      </w:r>
      <w:hyperlink r:id="rId14" w:history="1">
        <w:r w:rsidR="00D42C9B" w:rsidRPr="00D42C9B">
          <w:rPr>
            <w:color w:val="0000FF"/>
            <w:u w:val="single"/>
            <w:rtl/>
          </w:rPr>
          <w:t>פקודת הסמים המסוכנים</w:t>
        </w:r>
      </w:hyperlink>
      <w:r>
        <w:rPr>
          <w:rtl/>
        </w:rPr>
        <w:t xml:space="preserve"> [נוסח חדש] תשל"ג – 1973.</w:t>
      </w:r>
    </w:p>
    <w:p w14:paraId="36851EA1" w14:textId="77777777" w:rsidR="00E9106D" w:rsidRDefault="00E9106D" w:rsidP="00E9106D">
      <w:pPr>
        <w:spacing w:line="360" w:lineRule="auto"/>
        <w:jc w:val="both"/>
        <w:rPr>
          <w:rFonts w:ascii="Arial" w:hAnsi="Arial"/>
        </w:rPr>
      </w:pPr>
      <w:bookmarkStart w:id="7" w:name="ABSTRACT_END"/>
      <w:bookmarkEnd w:id="7"/>
    </w:p>
    <w:p w14:paraId="2BF4D3F7" w14:textId="77777777" w:rsidR="00E9106D" w:rsidRDefault="00E9106D" w:rsidP="00E9106D">
      <w:pPr>
        <w:spacing w:line="360" w:lineRule="auto"/>
        <w:jc w:val="both"/>
        <w:rPr>
          <w:rFonts w:ascii="Arial" w:hAnsi="Arial"/>
          <w:b/>
          <w:bCs/>
          <w:u w:val="single"/>
          <w:rtl/>
        </w:rPr>
      </w:pPr>
      <w:r>
        <w:rPr>
          <w:rFonts w:ascii="Arial" w:hAnsi="Arial"/>
          <w:b/>
          <w:bCs/>
          <w:u w:val="single"/>
          <w:rtl/>
        </w:rPr>
        <w:t>כתב אישום מתוקן</w:t>
      </w:r>
    </w:p>
    <w:p w14:paraId="6A747D86" w14:textId="77777777" w:rsidR="00E9106D" w:rsidRDefault="00E9106D" w:rsidP="00E9106D">
      <w:pPr>
        <w:spacing w:line="360" w:lineRule="auto"/>
        <w:jc w:val="both"/>
        <w:rPr>
          <w:rFonts w:ascii="Arial" w:hAnsi="Arial"/>
          <w:rtl/>
        </w:rPr>
      </w:pPr>
      <w:r>
        <w:rPr>
          <w:rFonts w:ascii="Arial" w:hAnsi="Arial"/>
          <w:rtl/>
        </w:rPr>
        <w:t>1.</w:t>
      </w:r>
      <w:r>
        <w:rPr>
          <w:rFonts w:ascii="Arial" w:hAnsi="Arial"/>
          <w:rtl/>
        </w:rPr>
        <w:tab/>
        <w:t xml:space="preserve">על פי החלק הכללי של כתב האישום המתוקן, שימש השוטר נתנאל לייבוביץ' כסוכן משטרה בפעילות כנגד סוחרי סמים בעיר באר שבע.  על פי העובדות באישום הראשון, ביום 04.02.2022 התקשר הסוכן לטלפון המבצעי והם שוחחו על קניה ומכירה של סם מסוכן מסוג קוקאין בסך של 400 ₪.  בהמשך היום, הגיע הנאשם ברכב יחד עם אחר שזהותו אינה ידועה למקום מפגש שקבעו והנאשם מסר לסוכן 2 שקיות ובהן הסם במשקל כולל של 0.3850 גרם נטו תמורת 400 </w:t>
      </w:r>
      <w:r>
        <w:rPr>
          <w:rFonts w:ascii="Arial" w:hAnsi="Arial"/>
          <w:rtl/>
        </w:rPr>
        <w:lastRenderedPageBreak/>
        <w:t xml:space="preserve">₪ . </w:t>
      </w:r>
      <w:r>
        <w:rPr>
          <w:rFonts w:ascii="Arial" w:hAnsi="Arial"/>
          <w:b/>
          <w:bCs/>
          <w:rtl/>
        </w:rPr>
        <w:t>מהאישום השני</w:t>
      </w:r>
      <w:r>
        <w:rPr>
          <w:rFonts w:ascii="Arial" w:hAnsi="Arial"/>
          <w:rtl/>
        </w:rPr>
        <w:t xml:space="preserve"> עולה כי ביום 23.02.2022 לאחר ששוחחו השניים בקשר עם עסקה נוספת, זו התבקשה במקום מפגש אותו קבעו, ואליו הגיע הנאשם ברכב בו נהג אחר שזהותו אינה ידועה למאשימה כשלצדו ישב הנאשם שמסר לסוכן סם  מסוג קוקאין במשקל 0.3336 גרם נטו בתמורה ל 200 ₪. במעמד זה, אמר הסוכן " </w:t>
      </w:r>
      <w:r>
        <w:rPr>
          <w:rFonts w:ascii="Arial" w:hAnsi="Arial"/>
          <w:b/>
          <w:bCs/>
          <w:rtl/>
        </w:rPr>
        <w:t>אני צריך כיוון למריחואנה יקר אצלנו</w:t>
      </w:r>
      <w:r>
        <w:rPr>
          <w:rFonts w:ascii="Arial" w:hAnsi="Arial"/>
          <w:rtl/>
        </w:rPr>
        <w:t>" בתגובה ענו לו הנאשם והאחר "</w:t>
      </w:r>
      <w:r>
        <w:rPr>
          <w:rFonts w:ascii="Arial" w:hAnsi="Arial"/>
          <w:b/>
          <w:bCs/>
          <w:rtl/>
        </w:rPr>
        <w:t>יש דברים טובים כמה אתה משלם</w:t>
      </w:r>
      <w:r>
        <w:rPr>
          <w:rFonts w:ascii="Arial" w:hAnsi="Arial"/>
          <w:rtl/>
        </w:rPr>
        <w:t xml:space="preserve">" וכי יעדכנו אותו בהמשך. </w:t>
      </w:r>
    </w:p>
    <w:p w14:paraId="120072DF" w14:textId="77777777" w:rsidR="00E9106D" w:rsidRDefault="00E9106D" w:rsidP="00E9106D">
      <w:pPr>
        <w:spacing w:line="360" w:lineRule="auto"/>
        <w:jc w:val="both"/>
        <w:rPr>
          <w:rFonts w:ascii="Arial" w:hAnsi="Arial"/>
          <w:rtl/>
        </w:rPr>
      </w:pPr>
      <w:r>
        <w:rPr>
          <w:rFonts w:ascii="Arial" w:hAnsi="Arial"/>
          <w:b/>
          <w:bCs/>
          <w:rtl/>
        </w:rPr>
        <w:t>מהאישום השלישי</w:t>
      </w:r>
      <w:r>
        <w:rPr>
          <w:rFonts w:ascii="Arial" w:hAnsi="Arial"/>
          <w:rtl/>
        </w:rPr>
        <w:t xml:space="preserve"> עולה כי בתאריך 03.03.2022 קיבל הסוכן שיחת טלפון אך לא ענה לשיחה. לאחר מכן חזר הסוכן לטלפון וענה לו גבר שכינה עצמו "אדם", אשר אמר לסוכן כי יש דברים טובים מ"הגבוה והירוק", הסוכן בתגובה ענה לו כי הוא לא נמצא בעיר, הוא ידבר איתו כשיצטרך והשניים נתקו את השיחה. בהמשך, ביום 23.03.2021 התקשר הסוכן לטלפון ושוחח עם אדם על קניית סם מסוכן מסוג קוקאין בכך שאמר לו "אני צריך ב-400 ₪ מבושל", והוא התבקש לשלוח מיקום אליו יגיע תוך מחצית השעה מאוחר יותר, הגיע רכב למקום המפגש בו נהג אחר שזהותו אינה ידועה למאשימה ולצדו ישב הנאשם. בתוך כך, ניגש הסוכן לחלון הרכב מסר לנאשם 400 ₪ שמסר תמורתם לסוכן שתי מנות של סם קוקאין במשקל כולל של 0.4202 גרם נטו.  </w:t>
      </w:r>
    </w:p>
    <w:p w14:paraId="36438BC9" w14:textId="77777777" w:rsidR="00E9106D" w:rsidRPr="006B6113" w:rsidRDefault="00E9106D" w:rsidP="00E9106D">
      <w:pPr>
        <w:spacing w:line="360" w:lineRule="auto"/>
        <w:jc w:val="both"/>
        <w:rPr>
          <w:rFonts w:ascii="Arial" w:hAnsi="Arial"/>
          <w:b/>
          <w:bCs/>
          <w:sz w:val="26"/>
          <w:szCs w:val="26"/>
          <w:u w:val="single"/>
          <w:rtl/>
        </w:rPr>
      </w:pPr>
      <w:r w:rsidRPr="006B6113">
        <w:rPr>
          <w:rFonts w:ascii="Arial" w:hAnsi="Arial"/>
          <w:b/>
          <w:bCs/>
          <w:sz w:val="26"/>
          <w:szCs w:val="26"/>
          <w:u w:val="single"/>
          <w:rtl/>
        </w:rPr>
        <w:t>טיעוני הצדדים לעונש</w:t>
      </w:r>
    </w:p>
    <w:p w14:paraId="58566F64" w14:textId="77777777" w:rsidR="00E9106D" w:rsidRDefault="00E9106D" w:rsidP="00E9106D">
      <w:pPr>
        <w:spacing w:line="360" w:lineRule="auto"/>
        <w:jc w:val="both"/>
        <w:rPr>
          <w:noProof/>
          <w:rtl/>
        </w:rPr>
      </w:pPr>
      <w:r>
        <w:rPr>
          <w:rtl/>
        </w:rPr>
        <w:t>2.</w:t>
      </w:r>
      <w:r>
        <w:rPr>
          <w:rtl/>
        </w:rPr>
        <w:tab/>
        <w:t>ב</w:t>
      </w:r>
      <w:r>
        <w:rPr>
          <w:b/>
          <w:bCs/>
          <w:rtl/>
        </w:rPr>
        <w:t>"כ התביעה</w:t>
      </w:r>
      <w:r>
        <w:rPr>
          <w:rtl/>
        </w:rPr>
        <w:t xml:space="preserve">, הגישה כראיה לעונש את הרישום הפלילי של הנאשם. בטיעוניה בכתב ועל פה עמדה על הערכים המוגנים ומידת פגיעת הנאשם בהם ועתרה לקבוע מתחם עונש נפרד לכל אישום שינוע בין  8 ל – 18 חודשי מאסר בפועל. הדגישה כי כל העסקאות בוצעו במהלך חודש אחד ובתוך כך בקשה ללמד על הנאשם המעורב היטב בעולם הסמים. אשר לעונשו של הנאשם עתרה להעמידו ברף התחתון של כל מתחם אם כי לא בתחתיתו ולצד זאת </w:t>
      </w:r>
      <w:r>
        <w:rPr>
          <w:rFonts w:hint="cs"/>
          <w:rtl/>
        </w:rPr>
        <w:t xml:space="preserve">להשית עליו </w:t>
      </w:r>
      <w:r>
        <w:rPr>
          <w:rtl/>
        </w:rPr>
        <w:t>מאסרים על תנאי ממושכים,  פסילה של רישיון נהיגה בפועל ועל תנאי</w:t>
      </w:r>
      <w:r>
        <w:rPr>
          <w:rFonts w:hint="cs"/>
          <w:rtl/>
        </w:rPr>
        <w:t>,</w:t>
      </w:r>
      <w:r>
        <w:rPr>
          <w:rtl/>
        </w:rPr>
        <w:t xml:space="preserve"> וקנס משמעותי. </w:t>
      </w:r>
    </w:p>
    <w:p w14:paraId="06FC3336" w14:textId="77777777" w:rsidR="00E9106D" w:rsidRDefault="00E9106D" w:rsidP="00E9106D">
      <w:pPr>
        <w:spacing w:line="360" w:lineRule="auto"/>
        <w:jc w:val="both"/>
        <w:rPr>
          <w:rtl/>
        </w:rPr>
      </w:pPr>
    </w:p>
    <w:p w14:paraId="144556F7" w14:textId="77777777" w:rsidR="00E9106D" w:rsidRDefault="00E9106D" w:rsidP="00E9106D">
      <w:pPr>
        <w:spacing w:line="360" w:lineRule="auto"/>
        <w:jc w:val="both"/>
        <w:rPr>
          <w:rtl/>
        </w:rPr>
      </w:pPr>
      <w:r>
        <w:rPr>
          <w:b/>
          <w:bCs/>
          <w:rtl/>
        </w:rPr>
        <w:t>3.</w:t>
      </w:r>
      <w:r>
        <w:rPr>
          <w:b/>
          <w:bCs/>
          <w:rtl/>
        </w:rPr>
        <w:tab/>
        <w:t>ב"כ הנאשם</w:t>
      </w:r>
      <w:r>
        <w:rPr>
          <w:rtl/>
        </w:rPr>
        <w:t xml:space="preserve">, </w:t>
      </w:r>
      <w:r>
        <w:rPr>
          <w:b/>
          <w:bCs/>
          <w:rtl/>
        </w:rPr>
        <w:t>עו"ד נאסר מוצטפא</w:t>
      </w:r>
      <w:r>
        <w:rPr>
          <w:rtl/>
        </w:rPr>
        <w:t>, טען לקביעת מתחם עונש אחד לכלל העבירות בהן הורשע הנאשם. בתימוכין הפנה ל</w:t>
      </w:r>
      <w:hyperlink r:id="rId15" w:history="1">
        <w:r w:rsidR="00D42C9B" w:rsidRPr="00D42C9B">
          <w:rPr>
            <w:color w:val="0000FF"/>
            <w:u w:val="single"/>
            <w:rtl/>
          </w:rPr>
          <w:t>ת"פ 4179-06-20</w:t>
        </w:r>
      </w:hyperlink>
      <w:r>
        <w:rPr>
          <w:rtl/>
        </w:rPr>
        <w:t xml:space="preserve">21, גז"ד שנתן מותב זה ביום 13.06.2022, שם לכלל העבירות בהן הורשע הנאשם (בשלושה אישומים שונים) ב 3 עבירות סחר בסם קוקאין, 3 עבירות של הסתייעות ברכב, החזקת סמים שלא לצריכה עצמית והחזקת סכין שלא  כדין – נקבע מתחם עונש הולם שבין  16 ל– 28 חודשי מאסר בפועל, ועונשו נגזר ל 17 חודשי מאסר בפועל. נטען כי נסיבות מקרה דנן אינן כוללות עבירות של הסתייעות ברכב והחזקת סכין, ועל כן, נכון והולם כי מתחם העונש ינוע בין  12 ל– 22 חודשי מאסר בפועל, גם בשים לב כי הנאשם במקרה הנדון הודה בראשית ההליך המשפטי נגדו בעוד הנאשמים בתיק הנ"ל הודו רק לאחר ישיבת הוכחות שנייה.  </w:t>
      </w:r>
    </w:p>
    <w:p w14:paraId="43260BFC" w14:textId="77777777" w:rsidR="00E9106D" w:rsidRDefault="00E9106D" w:rsidP="00E9106D">
      <w:pPr>
        <w:spacing w:line="360" w:lineRule="auto"/>
        <w:jc w:val="both"/>
        <w:rPr>
          <w:rtl/>
        </w:rPr>
      </w:pPr>
    </w:p>
    <w:p w14:paraId="25A69C9D" w14:textId="77777777" w:rsidR="00E9106D" w:rsidRDefault="00E9106D" w:rsidP="00E9106D">
      <w:pPr>
        <w:spacing w:line="360" w:lineRule="auto"/>
        <w:jc w:val="both"/>
        <w:rPr>
          <w:rtl/>
        </w:rPr>
      </w:pPr>
      <w:r>
        <w:rPr>
          <w:rtl/>
        </w:rPr>
        <w:t>ההגנה עתרה לנהוג ברחמים בנאשם ולא להכביד בעונשו, ובין היתר ציין ב"כ כי זו הרשעתו הראשונה בעבירות סמים. אשר לנסיבותיו של הנאשם ציין בגילו הצעיר וכוונתו להתחיל חיים חדשים, בדרך הישר, להינשא, לסייע לבני משפחתו להתפרנס בכבוד</w:t>
      </w:r>
      <w:r>
        <w:rPr>
          <w:rFonts w:hint="cs"/>
          <w:rtl/>
        </w:rPr>
        <w:t>.</w:t>
      </w:r>
    </w:p>
    <w:p w14:paraId="03D2F341" w14:textId="77777777" w:rsidR="00E9106D" w:rsidRDefault="00E9106D" w:rsidP="00E9106D">
      <w:pPr>
        <w:spacing w:line="360" w:lineRule="auto"/>
        <w:jc w:val="both"/>
        <w:rPr>
          <w:rtl/>
        </w:rPr>
      </w:pPr>
    </w:p>
    <w:p w14:paraId="4ECAAB47" w14:textId="77777777" w:rsidR="00E9106D" w:rsidRDefault="00E9106D" w:rsidP="00E9106D">
      <w:pPr>
        <w:spacing w:line="360" w:lineRule="auto"/>
        <w:jc w:val="both"/>
        <w:rPr>
          <w:rtl/>
        </w:rPr>
      </w:pPr>
      <w:r>
        <w:rPr>
          <w:b/>
          <w:bCs/>
          <w:rtl/>
        </w:rPr>
        <w:lastRenderedPageBreak/>
        <w:t>הנאשם בדבריו</w:t>
      </w:r>
      <w:r>
        <w:rPr>
          <w:rtl/>
        </w:rPr>
        <w:t xml:space="preserve">, מסר כי הוא מצטער על מעשיו והבטיח כי אלה לא ישנו שכן הוא מבקש לעצמו חיים חדשים. </w:t>
      </w:r>
    </w:p>
    <w:p w14:paraId="50199224" w14:textId="77777777" w:rsidR="00E9106D" w:rsidRDefault="00E9106D" w:rsidP="00E9106D">
      <w:pPr>
        <w:spacing w:line="360" w:lineRule="auto"/>
        <w:jc w:val="both"/>
        <w:rPr>
          <w:rtl/>
        </w:rPr>
      </w:pPr>
    </w:p>
    <w:p w14:paraId="000856A2" w14:textId="77777777" w:rsidR="00E9106D" w:rsidRDefault="00E9106D" w:rsidP="00E9106D">
      <w:pPr>
        <w:spacing w:line="360" w:lineRule="auto"/>
        <w:jc w:val="both"/>
        <w:rPr>
          <w:rtl/>
        </w:rPr>
      </w:pPr>
    </w:p>
    <w:p w14:paraId="5AF03960" w14:textId="77777777" w:rsidR="00E9106D" w:rsidRDefault="00E9106D" w:rsidP="00E9106D">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4CD5FE61" w14:textId="77777777" w:rsidR="00E9106D" w:rsidRPr="00204251" w:rsidRDefault="00E9106D" w:rsidP="00E9106D">
      <w:pPr>
        <w:spacing w:line="360" w:lineRule="auto"/>
        <w:jc w:val="both"/>
        <w:rPr>
          <w:rFonts w:ascii="Arial" w:hAnsi="Arial"/>
          <w:b/>
          <w:bCs/>
          <w:sz w:val="14"/>
          <w:szCs w:val="14"/>
          <w:u w:val="single"/>
          <w:rtl/>
        </w:rPr>
      </w:pPr>
    </w:p>
    <w:p w14:paraId="488CA2EF" w14:textId="77777777" w:rsidR="00E9106D" w:rsidRDefault="00E9106D" w:rsidP="00E9106D">
      <w:pPr>
        <w:spacing w:line="360" w:lineRule="auto"/>
        <w:jc w:val="both"/>
        <w:rPr>
          <w:rFonts w:ascii="Arial" w:hAnsi="Arial"/>
          <w:b/>
          <w:bCs/>
          <w:sz w:val="26"/>
          <w:szCs w:val="26"/>
          <w:u w:val="single"/>
          <w:rtl/>
        </w:rPr>
      </w:pPr>
      <w:r>
        <w:rPr>
          <w:rFonts w:ascii="Arial" w:hAnsi="Arial"/>
          <w:b/>
          <w:bCs/>
          <w:sz w:val="26"/>
          <w:szCs w:val="26"/>
          <w:u w:val="single"/>
          <w:rtl/>
        </w:rPr>
        <w:t>מתחם העונש ההולם</w:t>
      </w:r>
    </w:p>
    <w:p w14:paraId="5653808B" w14:textId="77777777" w:rsidR="00E9106D" w:rsidRDefault="00E9106D" w:rsidP="00E9106D">
      <w:pPr>
        <w:spacing w:line="360" w:lineRule="auto"/>
        <w:jc w:val="both"/>
        <w:rPr>
          <w:rtl/>
        </w:rPr>
      </w:pPr>
      <w:r>
        <w:rPr>
          <w:rtl/>
        </w:rPr>
        <w:t>4.</w:t>
      </w:r>
      <w:r>
        <w:rPr>
          <w:rtl/>
        </w:rPr>
        <w:tab/>
        <w:t xml:space="preserve">בכתב האישום המתוקן שלושה אירועים של מכירת סם מסוג קוקאין שהתרחשו במועדים שונים. עם זאת, נמצא סמיכות זמנים של ממש ( טווח של חודש) בין העסקאות אשר גובשו ובוצעו כמסכת עבריינית אחת, בין הסוכן הסמוי לנאשם,  באותו אופן ומקום, ומכאן כי מתקיים קשר הדוק בין העבירות וראוי לקבוע מתחם עונש אחד לכלל האירועים באישומים השונים, שיביא בחשבון כי מדובר במספר עבירות (ראה </w:t>
      </w:r>
      <w:hyperlink r:id="rId16" w:history="1">
        <w:r w:rsidR="00D42C9B" w:rsidRPr="00D42C9B">
          <w:rPr>
            <w:color w:val="0000FF"/>
            <w:u w:val="single"/>
            <w:rtl/>
          </w:rPr>
          <w:t>ע"פ 4910/13</w:t>
        </w:r>
      </w:hyperlink>
      <w:r w:rsidR="00D42C9B">
        <w:t xml:space="preserve"> </w:t>
      </w:r>
      <w:r>
        <w:rPr>
          <w:b/>
          <w:bCs/>
          <w:rtl/>
        </w:rPr>
        <w:t>ג'אבר נ' מדינת ישראל,</w:t>
      </w:r>
      <w:r>
        <w:rPr>
          <w:rtl/>
        </w:rPr>
        <w:t xml:space="preserve"> 29.10.14; </w:t>
      </w:r>
      <w:hyperlink r:id="rId17" w:history="1">
        <w:r w:rsidR="00D42C9B" w:rsidRPr="00D42C9B">
          <w:rPr>
            <w:color w:val="0000FF"/>
            <w:u w:val="single"/>
            <w:rtl/>
          </w:rPr>
          <w:t>רע"פ 4760/14</w:t>
        </w:r>
      </w:hyperlink>
      <w:r w:rsidR="00D42C9B">
        <w:t xml:space="preserve"> </w:t>
      </w:r>
      <w:r>
        <w:rPr>
          <w:b/>
          <w:bCs/>
          <w:rtl/>
        </w:rPr>
        <w:t>קיסלמן ואח' נ' מדינת ישראל</w:t>
      </w:r>
      <w:r>
        <w:rPr>
          <w:rtl/>
        </w:rPr>
        <w:t xml:space="preserve"> 07.05.15; </w:t>
      </w:r>
      <w:hyperlink r:id="rId18" w:history="1">
        <w:r w:rsidR="00D42C9B" w:rsidRPr="00D42C9B">
          <w:rPr>
            <w:color w:val="0000FF"/>
            <w:u w:val="single"/>
            <w:rtl/>
          </w:rPr>
          <w:t>דנ"פ 2999/16</w:t>
        </w:r>
      </w:hyperlink>
      <w:r w:rsidR="00D42C9B">
        <w:t xml:space="preserve"> </w:t>
      </w:r>
      <w:r>
        <w:rPr>
          <w:b/>
          <w:bCs/>
          <w:rtl/>
        </w:rPr>
        <w:t>מזרחי נ' מדינת ישראל</w:t>
      </w:r>
      <w:r>
        <w:rPr>
          <w:rtl/>
        </w:rPr>
        <w:t xml:space="preserve"> 22.05.16). </w:t>
      </w:r>
    </w:p>
    <w:p w14:paraId="5C77268B" w14:textId="77777777" w:rsidR="00E9106D" w:rsidRDefault="00E9106D" w:rsidP="00E9106D">
      <w:pPr>
        <w:spacing w:line="360" w:lineRule="auto"/>
        <w:jc w:val="both"/>
        <w:rPr>
          <w:rFonts w:ascii="David" w:hAnsi="David"/>
          <w:noProof/>
        </w:rPr>
      </w:pPr>
      <w:r>
        <w:rPr>
          <w:rtl/>
        </w:rPr>
        <w:t xml:space="preserve">קביעת מתחם העונש ההולם למעשי העבירות תעשה בהתאם לעקרון ההלימה, ולשם כך יש להתחשב בערך החברתי שנפגע, במידת הפגיעה בו, במדיניות הענישה הנוהגת ובנסיבות הקשורות בביצוע העבירה. </w:t>
      </w:r>
    </w:p>
    <w:p w14:paraId="620E785D" w14:textId="77777777" w:rsidR="00E9106D" w:rsidRDefault="00E9106D" w:rsidP="00E9106D">
      <w:pPr>
        <w:spacing w:line="360" w:lineRule="auto"/>
        <w:jc w:val="both"/>
        <w:rPr>
          <w:rtl/>
        </w:rPr>
      </w:pPr>
      <w:r>
        <w:rPr>
          <w:b/>
          <w:bCs/>
          <w:rtl/>
        </w:rPr>
        <w:t>הערכים החברתיים הנפגעים בעבירות סמים</w:t>
      </w:r>
      <w:r>
        <w:rPr>
          <w:rtl/>
        </w:rPr>
        <w:t xml:space="preserve"> בכללותן, ובראשן עבירת הסחר בסמים, הן הגנה על שלום הציבור, ביטחונו ובריאותו מפני הפגיעה הכרוכה בשימוש בסמים. בנוסף נמצא פגיעה ונזקים  כלכליים וחברתיים עקיפים הנגרמים עקב הפצת סמים והשימוש בהם, בניהם משתמשי סמים שהופכים לנטל על החברה, בין היתר כי עבירות סמים הן מחוללי פשיעה בתחומים רבים, בין אם לצורך מימון הסמים ובין לצורך הפצתם. </w:t>
      </w:r>
    </w:p>
    <w:p w14:paraId="602C67C4" w14:textId="77777777" w:rsidR="00E9106D" w:rsidRDefault="00E9106D" w:rsidP="00E9106D">
      <w:pPr>
        <w:spacing w:line="360" w:lineRule="auto"/>
        <w:jc w:val="both"/>
        <w:rPr>
          <w:rFonts w:ascii="Arial" w:hAnsi="Arial"/>
          <w:b/>
          <w:bCs/>
          <w:u w:val="single"/>
          <w:rtl/>
        </w:rPr>
      </w:pPr>
      <w:r>
        <w:rPr>
          <w:rtl/>
        </w:rPr>
        <w:t xml:space="preserve">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w:t>
      </w:r>
    </w:p>
    <w:p w14:paraId="2295BE32" w14:textId="77777777" w:rsidR="00E9106D" w:rsidRDefault="00E9106D" w:rsidP="00E9106D">
      <w:pPr>
        <w:spacing w:line="360" w:lineRule="auto"/>
        <w:jc w:val="both"/>
        <w:rPr>
          <w:rtl/>
        </w:rPr>
      </w:pPr>
      <w:r>
        <w:rPr>
          <w:b/>
          <w:bCs/>
          <w:rtl/>
        </w:rPr>
        <w:t xml:space="preserve">מידת פגיעת הנאשם בערכים המוגנים משמעותית נוכח </w:t>
      </w:r>
      <w:r>
        <w:rPr>
          <w:rtl/>
        </w:rPr>
        <w:t>שמדובר בשלוש עסקאות של מכירת סם מסוכן מסוג קוקאין, לסוכן המשטרתי</w:t>
      </w:r>
      <w:r>
        <w:rPr>
          <w:rFonts w:hint="cs"/>
          <w:rtl/>
        </w:rPr>
        <w:t xml:space="preserve">, </w:t>
      </w:r>
      <w:r>
        <w:rPr>
          <w:rtl/>
        </w:rPr>
        <w:t xml:space="preserve"> </w:t>
      </w:r>
      <w:r>
        <w:rPr>
          <w:rFonts w:hint="cs"/>
          <w:rtl/>
        </w:rPr>
        <w:t>ש</w:t>
      </w:r>
      <w:r>
        <w:rPr>
          <w:rFonts w:ascii="Arial" w:hAnsi="Arial"/>
          <w:rtl/>
        </w:rPr>
        <w:t>הגם ש</w:t>
      </w:r>
      <w:r>
        <w:rPr>
          <w:rFonts w:ascii="Arial" w:hAnsi="Arial" w:hint="cs"/>
          <w:rtl/>
        </w:rPr>
        <w:t xml:space="preserve">הכמויות קטנות, </w:t>
      </w:r>
      <w:r>
        <w:rPr>
          <w:rFonts w:ascii="Arial" w:hAnsi="Arial"/>
          <w:rtl/>
        </w:rPr>
        <w:t xml:space="preserve">לא ניתן להתעלם </w:t>
      </w:r>
      <w:r>
        <w:rPr>
          <w:rFonts w:ascii="Arial" w:hAnsi="Arial" w:hint="cs"/>
          <w:rtl/>
        </w:rPr>
        <w:t>מסוג הסם הנמנה בין המסוכנים שב</w:t>
      </w:r>
      <w:hyperlink r:id="rId19" w:history="1">
        <w:r w:rsidR="00D42C9B" w:rsidRPr="00D42C9B">
          <w:rPr>
            <w:rFonts w:ascii="Arial" w:hAnsi="Arial"/>
            <w:color w:val="0000FF"/>
            <w:u w:val="single"/>
            <w:rtl/>
          </w:rPr>
          <w:t>פקודת הסמים המסוכנים</w:t>
        </w:r>
      </w:hyperlink>
      <w:r>
        <w:rPr>
          <w:rFonts w:ascii="Arial" w:hAnsi="Arial" w:hint="cs"/>
          <w:rtl/>
        </w:rPr>
        <w:t xml:space="preserve"> </w:t>
      </w:r>
      <w:r>
        <w:rPr>
          <w:rtl/>
        </w:rPr>
        <w:t>אשר כידוע נזקיו הפוטנציאליים חמורים ורחבי היקף.</w:t>
      </w:r>
      <w:r>
        <w:rPr>
          <w:rFonts w:ascii="Arial" w:hAnsi="Arial" w:hint="cs"/>
          <w:rtl/>
        </w:rPr>
        <w:t>; ה</w:t>
      </w:r>
      <w:r>
        <w:rPr>
          <w:rFonts w:ascii="Arial" w:hAnsi="Arial"/>
          <w:rtl/>
        </w:rPr>
        <w:t xml:space="preserve">מהירות שבאספקת הנאשם את הסם </w:t>
      </w:r>
      <w:r>
        <w:rPr>
          <w:rFonts w:ascii="Arial" w:hAnsi="Arial" w:hint="cs"/>
          <w:rtl/>
        </w:rPr>
        <w:t>לסכן;</w:t>
      </w:r>
      <w:r>
        <w:rPr>
          <w:rFonts w:ascii="Arial" w:hAnsi="Arial"/>
          <w:rtl/>
        </w:rPr>
        <w:t xml:space="preserve"> אופן ההתקשרות בניהם באמצעות טלפון מבצעי המלמד על מעורבים נוספים בביצוע העסקאות, ולרבות השיח המקצועני סביב סוגי הסמים, מחירם ואיכותם, </w:t>
      </w:r>
      <w:r>
        <w:rPr>
          <w:rFonts w:ascii="Arial" w:hAnsi="Arial" w:hint="cs"/>
          <w:rtl/>
        </w:rPr>
        <w:t>ו</w:t>
      </w:r>
      <w:r>
        <w:rPr>
          <w:rFonts w:ascii="Arial" w:hAnsi="Arial"/>
          <w:rtl/>
        </w:rPr>
        <w:t>שכטענת המאשימה מלמדים כי אין מדובר במכירה בודדת מזדמנת</w:t>
      </w:r>
      <w:r>
        <w:rPr>
          <w:rFonts w:ascii="Arial" w:hAnsi="Arial" w:hint="cs"/>
          <w:rtl/>
        </w:rPr>
        <w:t xml:space="preserve"> כי אם לחבירת </w:t>
      </w:r>
      <w:r>
        <w:rPr>
          <w:rFonts w:ascii="Arial" w:hAnsi="Arial"/>
          <w:rtl/>
        </w:rPr>
        <w:t xml:space="preserve"> הנאשם לעבריינים אחרים בתחום הסמים. </w:t>
      </w:r>
      <w:r>
        <w:rPr>
          <w:rtl/>
        </w:rPr>
        <w:t xml:space="preserve">חומרת המעשים מתעצמת בהינתן חלקו של הנאשם בהיערכות הפלילית וביצוע לפחות שתיים מתוך שלוש העסקאות באופן מלא ומרכזי.  עוד בבחינת מתחם העונש יינתן משקל כי ברקע העבירות בצע כסף והשגת רווחים קלים ומהירים על חשבון בריאות הציבור. </w:t>
      </w:r>
    </w:p>
    <w:p w14:paraId="65AE3E88" w14:textId="77777777" w:rsidR="00E9106D" w:rsidRDefault="00E9106D" w:rsidP="00E9106D">
      <w:pPr>
        <w:spacing w:line="360" w:lineRule="auto"/>
        <w:jc w:val="both"/>
        <w:rPr>
          <w:rtl/>
        </w:rPr>
      </w:pPr>
      <w:r>
        <w:rPr>
          <w:rtl/>
        </w:rPr>
        <w:t>לצד האמור, יש להביא בחשבון ולקולא במסגרת שיקולי הענישה את הכמויות הקטנות שנסחרו ותמורתן</w:t>
      </w:r>
      <w:r>
        <w:rPr>
          <w:rFonts w:hint="cs"/>
          <w:rtl/>
        </w:rPr>
        <w:t>;</w:t>
      </w:r>
      <w:r>
        <w:rPr>
          <w:rtl/>
        </w:rPr>
        <w:t xml:space="preserve"> </w:t>
      </w:r>
      <w:r>
        <w:rPr>
          <w:rFonts w:hint="cs"/>
          <w:rtl/>
        </w:rPr>
        <w:t xml:space="preserve"> </w:t>
      </w:r>
      <w:r>
        <w:rPr>
          <w:rtl/>
        </w:rPr>
        <w:t>כי</w:t>
      </w:r>
      <w:r>
        <w:rPr>
          <w:rFonts w:hint="cs"/>
          <w:rtl/>
        </w:rPr>
        <w:t xml:space="preserve"> הנאשם לא נהג בעצמו ברכב ולא נטען כי הרכב בבעלותו;</w:t>
      </w:r>
      <w:r>
        <w:rPr>
          <w:rtl/>
        </w:rPr>
        <w:t xml:space="preserve"> לא מדובר בעבירות שבוצעו בתכנון מוקדם של הנאשם אלא שתחילתם בפניית הסוכן לנאשם למכור לו את הסמים (ראו ב</w:t>
      </w:r>
      <w:hyperlink r:id="rId20" w:history="1">
        <w:r w:rsidR="00D42C9B" w:rsidRPr="00D42C9B">
          <w:rPr>
            <w:color w:val="0000FF"/>
            <w:u w:val="single"/>
            <w:rtl/>
          </w:rPr>
          <w:t>ע"פ 1224/07</w:t>
        </w:r>
      </w:hyperlink>
      <w:r>
        <w:rPr>
          <w:rtl/>
        </w:rPr>
        <w:t xml:space="preserve"> בלדב נ' מדינת ישראל (10.2.10); </w:t>
      </w:r>
      <w:hyperlink r:id="rId21" w:history="1">
        <w:r w:rsidR="00D42C9B" w:rsidRPr="00D42C9B">
          <w:rPr>
            <w:color w:val="0000FF"/>
            <w:u w:val="single"/>
            <w:rtl/>
          </w:rPr>
          <w:t>ע"פ 307-17</w:t>
        </w:r>
      </w:hyperlink>
      <w:r w:rsidR="00D42C9B">
        <w:rPr>
          <w:rtl/>
        </w:rPr>
        <w:t xml:space="preserve"> </w:t>
      </w:r>
      <w:r>
        <w:rPr>
          <w:rtl/>
        </w:rPr>
        <w:t>יחזקאל גבריאל זוננישוילי</w:t>
      </w:r>
      <w:r w:rsidR="00D42C9B">
        <w:rPr>
          <w:rtl/>
        </w:rPr>
        <w:t xml:space="preserve"> </w:t>
      </w:r>
      <w:r>
        <w:rPr>
          <w:rtl/>
        </w:rPr>
        <w:t>נ</w:t>
      </w:r>
      <w:r>
        <w:t>'</w:t>
      </w:r>
      <w:r w:rsidR="00D42C9B">
        <w:t xml:space="preserve"> </w:t>
      </w:r>
      <w:r>
        <w:rPr>
          <w:rtl/>
        </w:rPr>
        <w:t xml:space="preserve">מדינת ישראל, 21.3.17). </w:t>
      </w:r>
    </w:p>
    <w:p w14:paraId="68A1D45A" w14:textId="77777777" w:rsidR="00E9106D" w:rsidRDefault="00E9106D" w:rsidP="00E9106D">
      <w:pPr>
        <w:spacing w:line="360" w:lineRule="auto"/>
        <w:jc w:val="both"/>
        <w:rPr>
          <w:rFonts w:ascii="David" w:hAnsi="David"/>
          <w:noProof/>
          <w:rtl/>
        </w:rPr>
      </w:pPr>
    </w:p>
    <w:p w14:paraId="235C5E95" w14:textId="77777777" w:rsidR="00E9106D" w:rsidRDefault="00E9106D" w:rsidP="00E9106D">
      <w:pPr>
        <w:spacing w:line="360" w:lineRule="auto"/>
        <w:jc w:val="both"/>
        <w:rPr>
          <w:rFonts w:ascii="Arial" w:hAnsi="Arial"/>
          <w:b/>
          <w:bCs/>
          <w:sz w:val="26"/>
          <w:szCs w:val="26"/>
          <w:rtl/>
        </w:rPr>
      </w:pPr>
      <w:r>
        <w:rPr>
          <w:rFonts w:ascii="Arial" w:hAnsi="Arial"/>
          <w:b/>
          <w:bCs/>
          <w:sz w:val="26"/>
          <w:szCs w:val="26"/>
          <w:rtl/>
        </w:rPr>
        <w:t xml:space="preserve">ענישה נוהגת </w:t>
      </w:r>
    </w:p>
    <w:p w14:paraId="29A54476" w14:textId="77777777" w:rsidR="00E9106D" w:rsidRDefault="00E9106D" w:rsidP="00E9106D">
      <w:pPr>
        <w:spacing w:line="360" w:lineRule="auto"/>
        <w:jc w:val="both"/>
        <w:rPr>
          <w:noProof/>
          <w:rtl/>
        </w:rPr>
      </w:pPr>
      <w:r>
        <w:rPr>
          <w:b/>
          <w:bCs/>
          <w:rtl/>
        </w:rPr>
        <w:t>5.</w:t>
      </w:r>
      <w:r>
        <w:rPr>
          <w:b/>
          <w:bCs/>
          <w:rtl/>
        </w:rPr>
        <w:tab/>
        <w:t>ב</w:t>
      </w:r>
      <w:hyperlink r:id="rId22" w:history="1">
        <w:r w:rsidR="00D42C9B" w:rsidRPr="00D42C9B">
          <w:rPr>
            <w:b/>
            <w:bCs/>
            <w:color w:val="0000FF"/>
            <w:u w:val="single"/>
            <w:rtl/>
          </w:rPr>
          <w:t>רע"פ 7275/11</w:t>
        </w:r>
      </w:hyperlink>
      <w:r>
        <w:rPr>
          <w:b/>
          <w:bCs/>
          <w:rtl/>
        </w:rPr>
        <w:t xml:space="preserve"> נאסר נ' מדינת ישראל</w:t>
      </w:r>
      <w:r>
        <w:rPr>
          <w:rtl/>
        </w:rPr>
        <w:t xml:space="preserve"> (11.10.11) דחה בית-המשפט העליון, בקשת רשות ערעור של נאשם שהורשע בעבירות של סחר בסמים לסוכן משטרתי במספר מקרים, ונדון ל- 5 חודשי מאסר בפועל. הנאשם ללא עבר פלילי, נעתר לבקשת הסוכן לרכוש ממנו סמים שוב ושוב. </w:t>
      </w:r>
    </w:p>
    <w:p w14:paraId="44401D89" w14:textId="77777777" w:rsidR="00E9106D" w:rsidRDefault="00D42C9B" w:rsidP="00E9106D">
      <w:pPr>
        <w:spacing w:line="360" w:lineRule="auto"/>
        <w:jc w:val="both"/>
        <w:rPr>
          <w:rFonts w:ascii="David" w:hAnsi="David"/>
          <w:noProof/>
        </w:rPr>
      </w:pPr>
      <w:hyperlink r:id="rId23" w:history="1">
        <w:r w:rsidRPr="00D42C9B">
          <w:rPr>
            <w:b/>
            <w:bCs/>
            <w:color w:val="0000FF"/>
            <w:u w:val="single"/>
            <w:rtl/>
          </w:rPr>
          <w:t>רע"פ 126/15</w:t>
        </w:r>
      </w:hyperlink>
      <w:r w:rsidR="00E9106D">
        <w:rPr>
          <w:b/>
          <w:bCs/>
          <w:rtl/>
        </w:rPr>
        <w:t xml:space="preserve"> חביף נגד מדינת ישראל</w:t>
      </w:r>
      <w:r w:rsidR="00E9106D">
        <w:rPr>
          <w:rtl/>
        </w:rPr>
        <w:t xml:space="preserve"> (13.1.15), הנאשם הורשע במכירת סם מסוג קוקאין בשלוש הזדמנויות, במשקלים של 0.3901 גרם,  0.8179 גרם ו - 2.5056 גרם. בית המשפט קבע מתחם ענישה הנע בין 8-18 חודשי מאסר בפועל והשית על הנאשם 16 חודשי מאסר בפועל, מאסרים על תנאי, קנס בסך של 2,000 ₪, התחייבות ופסילה על תנאי מלהחזיק ברישיון. ערעורו למחוזי נדחה ובקשה למתן רשות לערער לעליון נדחתה. </w:t>
      </w:r>
    </w:p>
    <w:p w14:paraId="6AB9F339" w14:textId="77777777" w:rsidR="00E9106D" w:rsidRDefault="00E9106D" w:rsidP="00E9106D">
      <w:pPr>
        <w:spacing w:line="360" w:lineRule="auto"/>
        <w:jc w:val="both"/>
        <w:rPr>
          <w:rtl/>
        </w:rPr>
      </w:pPr>
      <w:r>
        <w:rPr>
          <w:b/>
          <w:bCs/>
          <w:rtl/>
        </w:rPr>
        <w:t>ב</w:t>
      </w:r>
      <w:hyperlink r:id="rId24" w:history="1">
        <w:r w:rsidR="00D42C9B" w:rsidRPr="00D42C9B">
          <w:rPr>
            <w:b/>
            <w:bCs/>
            <w:color w:val="0000FF"/>
            <w:u w:val="single"/>
            <w:rtl/>
          </w:rPr>
          <w:t>רע"פ 6871/19</w:t>
        </w:r>
      </w:hyperlink>
      <w:r>
        <w:rPr>
          <w:b/>
          <w:bCs/>
          <w:rtl/>
        </w:rPr>
        <w:t xml:space="preserve"> אבו טאיע</w:t>
      </w:r>
      <w:r>
        <w:rPr>
          <w:rtl/>
        </w:rPr>
        <w:t xml:space="preserve"> (18.11.19), הנאשם הורשע בסחר בקוקאין, מכירה לסוכן בשתי הזדמנויות שונות, בכמות של 20 גרם בכל הפעם. </w:t>
      </w:r>
      <w:r>
        <w:rPr>
          <w:b/>
          <w:bCs/>
          <w:rtl/>
        </w:rPr>
        <w:t>בית משפט השלום קבע מתחם ענישה בגין אירוע בודד של סחר בקוקאין במשקל שבין 9 גר' ל 40 גר', מאסר בפועל 12 עד 40 חודשים</w:t>
      </w:r>
      <w:r>
        <w:rPr>
          <w:rtl/>
        </w:rPr>
        <w:t xml:space="preserve">. בית משפט השלום השית על הנאשם 24 חודשי מאסר בפועל, 6 חודשי מאסר על תנאי, 3 חודשי מאסר על תנאי, קנס בסך 15,000 ₪ וחילוט כסף מזומן.  ערעורו לבית המשפט המחוזי נדחה וכן בקשה למתן רשות ערעור לעליון, נדחתה גם כן. </w:t>
      </w:r>
    </w:p>
    <w:p w14:paraId="7AB4C578" w14:textId="77777777" w:rsidR="00E9106D" w:rsidRDefault="00E9106D" w:rsidP="00E9106D">
      <w:pPr>
        <w:spacing w:line="360" w:lineRule="auto"/>
        <w:jc w:val="both"/>
        <w:rPr>
          <w:b/>
          <w:bCs/>
        </w:rPr>
      </w:pPr>
    </w:p>
    <w:p w14:paraId="04087ECA" w14:textId="77777777" w:rsidR="00E9106D" w:rsidRDefault="00D42C9B" w:rsidP="00E9106D">
      <w:pPr>
        <w:spacing w:line="360" w:lineRule="auto"/>
        <w:jc w:val="both"/>
        <w:rPr>
          <w:b/>
          <w:bCs/>
          <w:rtl/>
        </w:rPr>
      </w:pPr>
      <w:hyperlink r:id="rId25" w:history="1">
        <w:r w:rsidRPr="00D42C9B">
          <w:rPr>
            <w:b/>
            <w:bCs/>
            <w:color w:val="0000FF"/>
            <w:u w:val="single"/>
            <w:rtl/>
          </w:rPr>
          <w:t>עפ"ג (י"ם) 35505-10-19</w:t>
        </w:r>
      </w:hyperlink>
      <w:r w:rsidR="00E9106D">
        <w:rPr>
          <w:b/>
          <w:bCs/>
          <w:rtl/>
        </w:rPr>
        <w:t xml:space="preserve"> מדינת ישראל נ' כטיב (31.05.20) – </w:t>
      </w:r>
      <w:r w:rsidR="00E9106D">
        <w:rPr>
          <w:rtl/>
        </w:rPr>
        <w:t>הנאשם הורשע ב5 עבירות של סחר בסם מסוכן מסוג קוקאין במשקלים שונים שבין 1.355-1.49 גר' מכירה לסוכן משטרתי, בעסקה אחת היו מעורבים שני קטינים, עסקה אחת כלל גם מכירת סם מסוג חשיש במשקל 97.47 גר', ולכן הורשע בעבירה של הדחת קטין לסם. בית משפט השלום קבע מתחם לעבירות הסחר בין  5 חודשי מאסר ל-12 חודשים</w:t>
      </w:r>
      <w:r w:rsidR="00E9106D">
        <w:rPr>
          <w:u w:val="single"/>
          <w:rtl/>
        </w:rPr>
        <w:t xml:space="preserve"> </w:t>
      </w:r>
      <w:r w:rsidR="00E9106D">
        <w:rPr>
          <w:rtl/>
        </w:rPr>
        <w:t>ולעבירת הסחר והדחת קטין לסם מתחם ענישה הנע בין חודשי מאסר בודדים ועד</w:t>
      </w:r>
      <w:r>
        <w:rPr>
          <w:rtl/>
        </w:rPr>
        <w:t xml:space="preserve"> </w:t>
      </w:r>
      <w:r w:rsidR="00E9106D">
        <w:rPr>
          <w:rtl/>
        </w:rPr>
        <w:t xml:space="preserve"> 15 חודשים מאסר בפועל, ואת עונשו של הנאשם גזר ל 6 חודשי מאסר בפועל וענישה נלווית, ערעור המדינה התקבל ובית המשפט המחוזי החמיר עונשו של הנאשם והשית עליו 8 חודשי מאסר בפועל בצירוף ענישה נלווית. </w:t>
      </w:r>
    </w:p>
    <w:p w14:paraId="54F4B7F7" w14:textId="77777777" w:rsidR="00E9106D" w:rsidRDefault="00E9106D" w:rsidP="00E9106D">
      <w:pPr>
        <w:spacing w:line="360" w:lineRule="auto"/>
        <w:jc w:val="both"/>
        <w:rPr>
          <w:b/>
          <w:bCs/>
          <w:rtl/>
        </w:rPr>
      </w:pPr>
    </w:p>
    <w:p w14:paraId="4B425B7E" w14:textId="77777777" w:rsidR="00E9106D" w:rsidRDefault="00E9106D" w:rsidP="00E9106D">
      <w:pPr>
        <w:spacing w:line="360" w:lineRule="auto"/>
        <w:jc w:val="both"/>
        <w:rPr>
          <w:b/>
          <w:bCs/>
          <w:u w:val="single"/>
          <w:rtl/>
        </w:rPr>
      </w:pPr>
      <w:r>
        <w:rPr>
          <w:b/>
          <w:bCs/>
          <w:rtl/>
        </w:rPr>
        <w:t>ב</w:t>
      </w:r>
      <w:hyperlink r:id="rId26" w:history="1">
        <w:r w:rsidR="00D42C9B" w:rsidRPr="00D42C9B">
          <w:rPr>
            <w:b/>
            <w:bCs/>
            <w:color w:val="0000FF"/>
            <w:u w:val="single"/>
            <w:rtl/>
          </w:rPr>
          <w:t>עפ"ג (י"ם) 1434-12-18</w:t>
        </w:r>
      </w:hyperlink>
      <w:r>
        <w:rPr>
          <w:b/>
          <w:bCs/>
          <w:rtl/>
        </w:rPr>
        <w:t xml:space="preserve"> מדינת ישראל נ'  נתנאל נסים, ( </w:t>
      </w:r>
      <w:r>
        <w:rPr>
          <w:rtl/>
        </w:rPr>
        <w:t xml:space="preserve">13.03.19), הנאשם הורשע בסחר בסם מסוכן מסוג קוקאין, מכירה לסוכן משטרתי בשלוש הזדמנויות: במשקל 2.47 גר, במשקל 2.35 גר ובמשקל 2.37 גרם. </w:t>
      </w:r>
      <w:r>
        <w:rPr>
          <w:b/>
          <w:bCs/>
          <w:rtl/>
        </w:rPr>
        <w:t>בית משפט השלום קבע את מתחם העונש ההולם בין 5 חודשי מאסר בפועל שיכול וירוצו בעבודות שירות לבין 12 חודשי מאסר בפועל</w:t>
      </w:r>
      <w:r>
        <w:rPr>
          <w:rtl/>
        </w:rPr>
        <w:t xml:space="preserve">, ערעור המדינה התקבל ובית המשפט המחוזי קבע כי מתחם העונש שנקבע אינו תואם מדיניות הענישה הנוהגת וכי בעבירות סחר בסמים קשים סוג קוקאין מתחם העונש ההולם נכון שיחל ממאסר בפועל ולא על דרך עבודות שירות, ועד 24 חודשי מאסר בפועל, </w:t>
      </w:r>
      <w:r>
        <w:rPr>
          <w:b/>
          <w:bCs/>
          <w:rtl/>
        </w:rPr>
        <w:t>ואת עונשו של הנאשם, בעל עבר פלילי שאינו מכביד גזר ל 8 חודשי מאסר בפועל.</w:t>
      </w:r>
      <w:r>
        <w:rPr>
          <w:b/>
          <w:bCs/>
          <w:u w:val="single"/>
          <w:rtl/>
        </w:rPr>
        <w:t xml:space="preserve"> </w:t>
      </w:r>
    </w:p>
    <w:p w14:paraId="4BBCC5AB" w14:textId="77777777" w:rsidR="00E9106D" w:rsidRDefault="00E9106D" w:rsidP="00E9106D">
      <w:pPr>
        <w:spacing w:line="360" w:lineRule="auto"/>
        <w:jc w:val="both"/>
        <w:rPr>
          <w:b/>
          <w:bCs/>
          <w:rtl/>
        </w:rPr>
      </w:pPr>
    </w:p>
    <w:p w14:paraId="23F8033F" w14:textId="77777777" w:rsidR="00E9106D" w:rsidRDefault="00E9106D" w:rsidP="00E9106D">
      <w:pPr>
        <w:spacing w:line="360" w:lineRule="auto"/>
        <w:jc w:val="both"/>
        <w:rPr>
          <w:rtl/>
        </w:rPr>
      </w:pPr>
      <w:r w:rsidRPr="00E06EEB">
        <w:rPr>
          <w:rFonts w:ascii="Arial" w:hAnsi="Arial"/>
          <w:rtl/>
        </w:rPr>
        <w:t xml:space="preserve">כן ראו </w:t>
      </w:r>
      <w:hyperlink r:id="rId27" w:history="1">
        <w:r w:rsidR="00D42C9B" w:rsidRPr="00D42C9B">
          <w:rPr>
            <w:color w:val="0000FF"/>
            <w:u w:val="single"/>
            <w:rtl/>
          </w:rPr>
          <w:t>ת"פ 4179-06-20</w:t>
        </w:r>
      </w:hyperlink>
      <w:r w:rsidRPr="00E06EEB">
        <w:rPr>
          <w:rtl/>
        </w:rPr>
        <w:t xml:space="preserve">21, </w:t>
      </w:r>
      <w:r w:rsidRPr="00E06EEB">
        <w:rPr>
          <w:rFonts w:hint="cs"/>
          <w:b/>
          <w:bCs/>
          <w:rtl/>
        </w:rPr>
        <w:t>מדינת ישראל נ' אבו עסא</w:t>
      </w:r>
      <w:r w:rsidRPr="00E06EEB">
        <w:rPr>
          <w:rFonts w:hint="cs"/>
          <w:rtl/>
        </w:rPr>
        <w:t xml:space="preserve"> </w:t>
      </w:r>
      <w:r w:rsidRPr="00E06EEB">
        <w:rPr>
          <w:rtl/>
        </w:rPr>
        <w:t>(ניתן ב 13.06.2022) אליו הפנה ב"כ הנאשם, שם כאמור נקבע מתחם אחד בנסיבות בהן דובר בשלושה אירועים שכל אחד מהם כלל עבירה של סחר בסם קוקאין במשקלים גבוהים במעט מהמקרה הנדון, ועבירה</w:t>
      </w:r>
      <w:r>
        <w:rPr>
          <w:rtl/>
        </w:rPr>
        <w:t xml:space="preserve"> של הסתייעות ברכב לבצע עבירה, החזקת סמים שלא לצריכה עצמית ובאישום השלישי, החזקת סכין שלא  כדין –  ואשר מתחם עונש הכולל לכל העבירות נקבע בין  16 ל– 28 חודשי מאסר בפועל, ועונשו של הנאשם ( נאשם 1) נגזר ל 17 חודשי מאסר בפועל. </w:t>
      </w:r>
    </w:p>
    <w:p w14:paraId="7CA13E5B" w14:textId="77777777" w:rsidR="00E9106D" w:rsidRDefault="00E9106D" w:rsidP="00E9106D">
      <w:pPr>
        <w:spacing w:line="360" w:lineRule="auto"/>
        <w:jc w:val="both"/>
        <w:rPr>
          <w:rtl/>
        </w:rPr>
      </w:pPr>
      <w:r w:rsidRPr="006B6113">
        <w:rPr>
          <w:b/>
          <w:bCs/>
          <w:rtl/>
        </w:rPr>
        <w:t>לציין כי במקרה הנ"ל, אשר נדון לפני כ 4 חודשים בלבד, עתרה המאשימה לאותו מתחם לו עתרה במקרה הנדון, בין 8 ל-18 חודשים, לשניים מהאירועים, זאת בעוד שבמקרה הנ"ל דובר בעבירות נוספות משמעותיות ( החזקת סמים שלא לצריכה עצמית והסתייעות ברכב לעבור עבירה ) בכל אחד מהאישומים ואילו במקרה דנן, כל אחד מהאישומים כולל עבירה אחת בלבד, סחר בסם</w:t>
      </w:r>
      <w:r>
        <w:rPr>
          <w:rtl/>
        </w:rPr>
        <w:t xml:space="preserve">.  </w:t>
      </w:r>
    </w:p>
    <w:p w14:paraId="50E22B49" w14:textId="77777777" w:rsidR="00E9106D" w:rsidRDefault="00E9106D" w:rsidP="00E9106D">
      <w:pPr>
        <w:spacing w:line="360" w:lineRule="auto"/>
        <w:jc w:val="both"/>
      </w:pPr>
    </w:p>
    <w:p w14:paraId="0FA35DAC" w14:textId="77777777" w:rsidR="00E9106D" w:rsidRDefault="00E9106D" w:rsidP="00E9106D">
      <w:pPr>
        <w:tabs>
          <w:tab w:val="left" w:pos="6612"/>
        </w:tabs>
        <w:spacing w:line="360" w:lineRule="auto"/>
        <w:jc w:val="both"/>
        <w:rPr>
          <w:rFonts w:ascii="Arial" w:hAnsi="Arial"/>
          <w:rtl/>
        </w:rPr>
      </w:pPr>
      <w:r>
        <w:rPr>
          <w:rtl/>
        </w:rPr>
        <w:t>ב</w:t>
      </w:r>
      <w:hyperlink r:id="rId28" w:history="1">
        <w:r w:rsidR="00D42C9B" w:rsidRPr="00D42C9B">
          <w:rPr>
            <w:color w:val="0000FF"/>
            <w:u w:val="single"/>
            <w:rtl/>
          </w:rPr>
          <w:t>ת"פ 4179-06-21</w:t>
        </w:r>
      </w:hyperlink>
      <w:r>
        <w:rPr>
          <w:b/>
          <w:bCs/>
          <w:sz w:val="26"/>
          <w:szCs w:val="26"/>
          <w:rtl/>
        </w:rPr>
        <w:t xml:space="preserve"> </w:t>
      </w:r>
      <w:r>
        <w:rPr>
          <w:rFonts w:ascii="Arial" w:hAnsi="Arial"/>
          <w:b/>
          <w:bCs/>
          <w:rtl/>
        </w:rPr>
        <w:t>מדינת ישראל נגד אבו עסא ואח'</w:t>
      </w:r>
      <w:r>
        <w:rPr>
          <w:rFonts w:ascii="Arial" w:hAnsi="Arial"/>
          <w:rtl/>
        </w:rPr>
        <w:t>, דובר נאשם ( נאשם 1) אשר הודה בעובדות כתב האישום בישיבת הוכחות שנייה, והורשעה  ב 3 עבירות של סחר בסמים מסוג קוקאין בשלוש עסקאות נפרדות ובמשקלים של  0.4128 גרם נטו תמורת 400 ₪ , 0.2942 גרם נטו תמורת 200 ₪ ובמשקל 4149 0. גרם נטו תמורת 400 ₪. כמו כן הורשע הנאשם ב 3 עבירות של הסתייעות ברכב לעבור עבירה, החזקה ברכב בצוותא בצו</w:t>
      </w:r>
      <w:r>
        <w:rPr>
          <w:rFonts w:ascii="Arial" w:hAnsi="Arial" w:hint="cs"/>
          <w:rtl/>
        </w:rPr>
        <w:t>ו</w:t>
      </w:r>
      <w:r>
        <w:rPr>
          <w:rFonts w:ascii="Arial" w:hAnsi="Arial"/>
          <w:rtl/>
        </w:rPr>
        <w:t>תא חדא  עם הנאשם האחר סם מסוג קוקאין במשקל 2.4917 גרם נטו, מחולק ל- 2 אריזות פלסטיק, משקל דיגיטלי, 8500 ₪ וסכין שלא מטרה כשרה.</w:t>
      </w:r>
    </w:p>
    <w:p w14:paraId="094D5446" w14:textId="77777777" w:rsidR="00E9106D" w:rsidRDefault="00E9106D" w:rsidP="00E9106D">
      <w:pPr>
        <w:spacing w:line="360" w:lineRule="auto"/>
        <w:jc w:val="both"/>
        <w:rPr>
          <w:b/>
          <w:bCs/>
          <w:noProof/>
        </w:rPr>
      </w:pPr>
    </w:p>
    <w:p w14:paraId="76A6AB29" w14:textId="77777777" w:rsidR="00E9106D" w:rsidRDefault="00E9106D" w:rsidP="00E9106D">
      <w:pPr>
        <w:spacing w:line="360" w:lineRule="auto"/>
        <w:jc w:val="both"/>
        <w:rPr>
          <w:b/>
          <w:bCs/>
          <w:rtl/>
        </w:rPr>
      </w:pPr>
      <w:r>
        <w:rPr>
          <w:b/>
          <w:bCs/>
          <w:rtl/>
        </w:rPr>
        <w:t xml:space="preserve">מכלל הדברים האמורים, לאחר ששבתי ועיינתי במקרים אליהם  הפנתה המאשימה ולאחר שנתתי דעתי למספר עבירות הסחר בהן הורשע הנאשם, סוג הסם וכמות המכירה, לענישה הנוהגת בעבירות מסוג זה, – סבורני כי מתחם העונש ההולם לכלל העבירות בהן הורשע צריך וינוע בין  12  ועד 24 חודשי מאסר בפועל.  </w:t>
      </w:r>
    </w:p>
    <w:p w14:paraId="73014AC3" w14:textId="77777777" w:rsidR="00E9106D" w:rsidRDefault="00E9106D" w:rsidP="00E9106D">
      <w:pPr>
        <w:spacing w:line="360" w:lineRule="auto"/>
        <w:jc w:val="both"/>
        <w:rPr>
          <w:rFonts w:ascii="Arial" w:hAnsi="Arial"/>
          <w:b/>
          <w:bCs/>
          <w:noProof/>
          <w:u w:val="single"/>
        </w:rPr>
      </w:pPr>
    </w:p>
    <w:p w14:paraId="139E193F" w14:textId="77777777" w:rsidR="00E9106D" w:rsidRDefault="00E9106D" w:rsidP="00E9106D">
      <w:pPr>
        <w:spacing w:line="360" w:lineRule="auto"/>
        <w:jc w:val="both"/>
        <w:rPr>
          <w:rFonts w:ascii="Arial" w:hAnsi="Arial"/>
          <w:b/>
          <w:bCs/>
          <w:sz w:val="26"/>
          <w:szCs w:val="26"/>
          <w:u w:val="single"/>
          <w:rtl/>
        </w:rPr>
      </w:pPr>
      <w:r>
        <w:rPr>
          <w:rFonts w:ascii="Arial" w:hAnsi="Arial"/>
          <w:b/>
          <w:bCs/>
          <w:sz w:val="26"/>
          <w:szCs w:val="26"/>
          <w:u w:val="single"/>
          <w:rtl/>
        </w:rPr>
        <w:t>עונשו של הנאשם</w:t>
      </w:r>
    </w:p>
    <w:p w14:paraId="333B49D9" w14:textId="77777777" w:rsidR="00E9106D" w:rsidRDefault="00E9106D" w:rsidP="00E9106D">
      <w:pPr>
        <w:spacing w:line="360" w:lineRule="auto"/>
        <w:jc w:val="both"/>
        <w:rPr>
          <w:b/>
          <w:bCs/>
        </w:rPr>
      </w:pPr>
      <w:r>
        <w:rPr>
          <w:rtl/>
        </w:rPr>
        <w:t>6.</w:t>
      </w:r>
      <w:r>
        <w:rPr>
          <w:rtl/>
        </w:rPr>
        <w:tab/>
        <w:t xml:space="preserve">בעניין הנדון לא קיימים ולא נטען לשיקולים המצדיקים סטייה מהמתחם, לחומרה או לקולא. מכאן, בגזירת העונש המתאים גדרי מתחם העונש ההולם אותו קבעתי אביא בחשבון בין היתר גם נסיבות שאינן קשורות בביצוע העבירה כהוראת </w:t>
      </w:r>
      <w:hyperlink r:id="rId29" w:history="1">
        <w:r w:rsidR="00235CD1" w:rsidRPr="00235CD1">
          <w:rPr>
            <w:rStyle w:val="Hyperlink"/>
            <w:rtl/>
          </w:rPr>
          <w:t>סעיף 40 יא'</w:t>
        </w:r>
      </w:hyperlink>
      <w:r>
        <w:rPr>
          <w:rtl/>
        </w:rPr>
        <w:t xml:space="preserve"> ל</w:t>
      </w:r>
      <w:hyperlink r:id="rId30" w:history="1">
        <w:r w:rsidR="00D42C9B" w:rsidRPr="00D42C9B">
          <w:rPr>
            <w:color w:val="0000FF"/>
            <w:u w:val="single"/>
            <w:rtl/>
          </w:rPr>
          <w:t>חוק העונשין</w:t>
        </w:r>
      </w:hyperlink>
      <w:r>
        <w:rPr>
          <w:rtl/>
        </w:rPr>
        <w:t xml:space="preserve">. </w:t>
      </w:r>
    </w:p>
    <w:p w14:paraId="048CDA02" w14:textId="77777777" w:rsidR="00E9106D" w:rsidRDefault="00E9106D" w:rsidP="00E9106D">
      <w:pPr>
        <w:spacing w:line="360" w:lineRule="auto"/>
        <w:jc w:val="both"/>
        <w:rPr>
          <w:rFonts w:ascii="David" w:hAnsi="David"/>
          <w:highlight w:val="yellow"/>
          <w:rtl/>
        </w:rPr>
      </w:pPr>
      <w:r>
        <w:rPr>
          <w:rtl/>
        </w:rPr>
        <w:t xml:space="preserve">ראשית, בגדרו של המתחם ולחומרא, </w:t>
      </w:r>
      <w:r w:rsidRPr="006B6113">
        <w:rPr>
          <w:rtl/>
        </w:rPr>
        <w:t>יינתן משקל לשיקולי</w:t>
      </w:r>
      <w:r>
        <w:rPr>
          <w:rtl/>
        </w:rPr>
        <w:t xml:space="preserve"> הרתעת היחיד והרבים בשים לב לשכיחותן של עבירות הסמים, נפיצותן וחומרתן. </w:t>
      </w:r>
    </w:p>
    <w:p w14:paraId="2A943FD7" w14:textId="77777777" w:rsidR="00E9106D" w:rsidRDefault="00E9106D" w:rsidP="00E9106D">
      <w:pPr>
        <w:spacing w:line="360" w:lineRule="auto"/>
        <w:jc w:val="both"/>
        <w:rPr>
          <w:noProof/>
          <w:rtl/>
        </w:rPr>
      </w:pPr>
      <w:r>
        <w:rPr>
          <w:rtl/>
        </w:rPr>
        <w:t xml:space="preserve">לצד זאת, אביא בחשבון את גילו הצעיר של נאשם, 22 שנים, אשר עברו הפלילי כולל הרשעה אחת בעבירות אותן ביצע בשנים 2019 - 2020 -  הפרעת שוטר והחזקת סכין שלא למטרה כשרה  בגינה נגזר עליו מאסר על תנאי לתקופה של 3 חודשים. </w:t>
      </w:r>
    </w:p>
    <w:p w14:paraId="1461EF07" w14:textId="77777777" w:rsidR="00E9106D" w:rsidRDefault="00E9106D" w:rsidP="00E9106D">
      <w:pPr>
        <w:spacing w:line="360" w:lineRule="auto"/>
        <w:jc w:val="both"/>
        <w:rPr>
          <w:rtl/>
        </w:rPr>
      </w:pPr>
      <w:r>
        <w:rPr>
          <w:rtl/>
        </w:rPr>
        <w:t>יינתן משקל לכך שזהו מאסרו הראשון של הנאשם אשר נתון בתנאי מעצר מחודש אפריל  ועד היום לרבות את החרטה הכנה אותה הביע.</w:t>
      </w:r>
    </w:p>
    <w:p w14:paraId="0C1BA3CE" w14:textId="77777777" w:rsidR="00E9106D" w:rsidRDefault="00E9106D" w:rsidP="00E9106D">
      <w:pPr>
        <w:spacing w:line="360" w:lineRule="auto"/>
        <w:jc w:val="both"/>
        <w:rPr>
          <w:rtl/>
        </w:rPr>
      </w:pPr>
      <w:r>
        <w:rPr>
          <w:rtl/>
        </w:rPr>
        <w:t>עוד בגדרי השיקולים לקולא יינתן משקל להודאת הנאשם בהזדמנות הראשונה. המדובר בנאשם שלקח  אחריות על מעשיו הודה בהזדמנות הראשונה ובכך חסך זמן שיפוטי יקר ערך.</w:t>
      </w:r>
    </w:p>
    <w:p w14:paraId="1B67DB86" w14:textId="77777777" w:rsidR="00E9106D" w:rsidRDefault="00E9106D" w:rsidP="00E9106D">
      <w:pPr>
        <w:spacing w:line="360" w:lineRule="auto"/>
        <w:jc w:val="both"/>
        <w:rPr>
          <w:rtl/>
        </w:rPr>
      </w:pPr>
    </w:p>
    <w:p w14:paraId="7A5D544E" w14:textId="77777777" w:rsidR="00E9106D" w:rsidRDefault="00E9106D" w:rsidP="00E9106D">
      <w:pPr>
        <w:spacing w:line="360" w:lineRule="auto"/>
        <w:jc w:val="both"/>
        <w:rPr>
          <w:rtl/>
        </w:rPr>
      </w:pPr>
      <w:r>
        <w:rPr>
          <w:rtl/>
        </w:rPr>
        <w:t>אשר לרכיבי ענישה כלכליים בדמות קנס כספי, בהינתן כי ברקע ביצוע העב</w:t>
      </w:r>
      <w:r>
        <w:rPr>
          <w:rFonts w:hint="cs"/>
          <w:rtl/>
        </w:rPr>
        <w:t>י</w:t>
      </w:r>
      <w:r>
        <w:rPr>
          <w:rtl/>
        </w:rPr>
        <w:t xml:space="preserve">רות השגת רווח כספי קל ומהיר, ברי כי לא ניתן להוציא אותו פטור מעונש ברכיב זה, והכל בשים לב לתקופת מעצרו ומאסרו וגילו הצעיר.  </w:t>
      </w:r>
    </w:p>
    <w:p w14:paraId="6978301E" w14:textId="77777777" w:rsidR="00E9106D" w:rsidRDefault="00E9106D" w:rsidP="00E9106D">
      <w:pPr>
        <w:spacing w:line="360" w:lineRule="auto"/>
        <w:jc w:val="both"/>
        <w:rPr>
          <w:rtl/>
        </w:rPr>
      </w:pPr>
    </w:p>
    <w:p w14:paraId="42DACB6F" w14:textId="77777777" w:rsidR="00E9106D" w:rsidRDefault="00E9106D" w:rsidP="00E9106D">
      <w:pPr>
        <w:spacing w:line="360" w:lineRule="auto"/>
        <w:jc w:val="both"/>
        <w:rPr>
          <w:b/>
          <w:bCs/>
          <w:u w:val="single"/>
          <w:rtl/>
        </w:rPr>
      </w:pPr>
      <w:r>
        <w:rPr>
          <w:b/>
          <w:bCs/>
          <w:u w:val="single"/>
          <w:rtl/>
        </w:rPr>
        <w:t>סוף דבר</w:t>
      </w:r>
    </w:p>
    <w:p w14:paraId="5EBB47AD" w14:textId="77777777" w:rsidR="00E9106D" w:rsidRDefault="00E9106D" w:rsidP="00E9106D">
      <w:pPr>
        <w:spacing w:line="360" w:lineRule="auto"/>
        <w:jc w:val="both"/>
        <w:rPr>
          <w:rtl/>
        </w:rPr>
      </w:pPr>
      <w:r>
        <w:rPr>
          <w:rtl/>
        </w:rPr>
        <w:t xml:space="preserve">לאחר שחזרתי ושקלתי את מכלול השיקולים המתבקשים לבחינת עונשו של הנאשם בתוך המתחם אותו קבעתי, אני גוזרת עליו את העונשים הבאים: </w:t>
      </w:r>
    </w:p>
    <w:p w14:paraId="51B99655" w14:textId="77777777" w:rsidR="00E9106D" w:rsidRDefault="00E9106D" w:rsidP="00E9106D">
      <w:pPr>
        <w:spacing w:line="360" w:lineRule="auto"/>
        <w:jc w:val="both"/>
        <w:rPr>
          <w:rtl/>
        </w:rPr>
      </w:pPr>
    </w:p>
    <w:p w14:paraId="57C91697" w14:textId="77777777" w:rsidR="00E9106D" w:rsidRDefault="00E9106D" w:rsidP="00E9106D">
      <w:pPr>
        <w:pStyle w:val="aa"/>
        <w:numPr>
          <w:ilvl w:val="0"/>
          <w:numId w:val="1"/>
        </w:numPr>
        <w:spacing w:after="160" w:line="360" w:lineRule="auto"/>
        <w:jc w:val="both"/>
        <w:rPr>
          <w:rtl/>
        </w:rPr>
      </w:pPr>
      <w:r>
        <w:rPr>
          <w:rtl/>
        </w:rPr>
        <w:t xml:space="preserve"> 12 חודשי מאסר בפועל, החל מיום מעצרו על פי רישומי שב"ס. </w:t>
      </w:r>
    </w:p>
    <w:p w14:paraId="58748548" w14:textId="77777777" w:rsidR="00E9106D" w:rsidRDefault="00E9106D" w:rsidP="00E9106D">
      <w:pPr>
        <w:pStyle w:val="aa"/>
        <w:numPr>
          <w:ilvl w:val="0"/>
          <w:numId w:val="1"/>
        </w:numPr>
        <w:spacing w:after="160" w:line="360" w:lineRule="auto"/>
        <w:jc w:val="both"/>
        <w:rPr>
          <w:rtl/>
        </w:rPr>
      </w:pPr>
      <w:r>
        <w:rPr>
          <w:rtl/>
        </w:rPr>
        <w:t xml:space="preserve">8 חודשי מאסר על תנאי, לבל יעבור הנאשם במשך שלוש שנים מיום שחרורו </w:t>
      </w:r>
      <w:r>
        <w:rPr>
          <w:rFonts w:hint="cs"/>
          <w:rtl/>
        </w:rPr>
        <w:t xml:space="preserve"> </w:t>
      </w:r>
      <w:r>
        <w:rPr>
          <w:rtl/>
        </w:rPr>
        <w:t xml:space="preserve">מן המאסר כל עבירה לפי פקודת הסמים מסוג פשע. </w:t>
      </w:r>
    </w:p>
    <w:p w14:paraId="092A009D" w14:textId="77777777" w:rsidR="00E9106D" w:rsidRPr="00AB661D" w:rsidRDefault="00E9106D" w:rsidP="00E9106D">
      <w:pPr>
        <w:pStyle w:val="aa"/>
        <w:numPr>
          <w:ilvl w:val="0"/>
          <w:numId w:val="1"/>
        </w:numPr>
        <w:spacing w:after="160" w:line="360" w:lineRule="auto"/>
        <w:jc w:val="both"/>
      </w:pPr>
      <w:r>
        <w:rPr>
          <w:rtl/>
        </w:rPr>
        <w:t xml:space="preserve">קנס כספי בסך של </w:t>
      </w:r>
      <w:r>
        <w:rPr>
          <w:rFonts w:hint="cs"/>
          <w:rtl/>
        </w:rPr>
        <w:t>4</w:t>
      </w:r>
      <w:r>
        <w:rPr>
          <w:rtl/>
        </w:rPr>
        <w:t xml:space="preserve">,000 </w:t>
      </w:r>
      <w:r>
        <w:rPr>
          <w:rFonts w:hint="cs"/>
          <w:rtl/>
        </w:rPr>
        <w:t xml:space="preserve"> </w:t>
      </w:r>
      <w:r>
        <w:rPr>
          <w:rtl/>
        </w:rPr>
        <w:t xml:space="preserve">₪ או 30 ימי </w:t>
      </w:r>
      <w:r w:rsidRPr="00AB661D">
        <w:rPr>
          <w:rtl/>
        </w:rPr>
        <w:t>מאסר תמורתו. הקנס ישולם ב-</w:t>
      </w:r>
      <w:r>
        <w:rPr>
          <w:rFonts w:hint="cs"/>
          <w:rtl/>
        </w:rPr>
        <w:t>4</w:t>
      </w:r>
      <w:r w:rsidRPr="00AB661D">
        <w:rPr>
          <w:rtl/>
        </w:rPr>
        <w:t xml:space="preserve"> תשלומים חודשיים שווים ורצופים, </w:t>
      </w:r>
      <w:r>
        <w:rPr>
          <w:rFonts w:hint="cs"/>
          <w:rtl/>
        </w:rPr>
        <w:t xml:space="preserve">החל מיום 10.03.2023 ובכל 10 לחודש שלאחריו. </w:t>
      </w:r>
      <w:r w:rsidRPr="00AB661D">
        <w:rPr>
          <w:rtl/>
        </w:rPr>
        <w:t xml:space="preserve">לא ישולם תשלום כלשהו במועדו, תעמוד היתרה לפירעון מידי. </w:t>
      </w:r>
    </w:p>
    <w:p w14:paraId="2B663844" w14:textId="77777777" w:rsidR="00E9106D" w:rsidRDefault="00E9106D" w:rsidP="00E9106D">
      <w:pPr>
        <w:pStyle w:val="aa"/>
        <w:numPr>
          <w:ilvl w:val="0"/>
          <w:numId w:val="1"/>
        </w:numPr>
        <w:spacing w:after="160" w:line="360" w:lineRule="auto"/>
        <w:jc w:val="both"/>
        <w:rPr>
          <w:rtl/>
        </w:rPr>
      </w:pPr>
      <w:r w:rsidRPr="00AB661D">
        <w:rPr>
          <w:rtl/>
        </w:rPr>
        <w:t>4 חודשי פסילה</w:t>
      </w:r>
      <w:r w:rsidRPr="00AB661D">
        <w:rPr>
          <w:rFonts w:hint="cs"/>
          <w:rtl/>
        </w:rPr>
        <w:t xml:space="preserve"> על תנאי </w:t>
      </w:r>
      <w:r w:rsidRPr="00AB661D">
        <w:rPr>
          <w:rtl/>
        </w:rPr>
        <w:t>מלנהוג / להחזיק רישיון נהיגה</w:t>
      </w:r>
      <w:r w:rsidRPr="00AB661D">
        <w:rPr>
          <w:rFonts w:hint="cs"/>
          <w:rtl/>
        </w:rPr>
        <w:t>, ל</w:t>
      </w:r>
      <w:r>
        <w:rPr>
          <w:rFonts w:hint="cs"/>
          <w:rtl/>
        </w:rPr>
        <w:t>משך 3 שנים מיום שחרורו מהמאסר.</w:t>
      </w:r>
    </w:p>
    <w:p w14:paraId="0B894925" w14:textId="77777777" w:rsidR="00E9106D" w:rsidRDefault="00E9106D" w:rsidP="00E9106D">
      <w:pPr>
        <w:spacing w:line="360" w:lineRule="auto"/>
        <w:jc w:val="both"/>
        <w:rPr>
          <w:rtl/>
        </w:rPr>
      </w:pPr>
      <w:r>
        <w:rPr>
          <w:rtl/>
        </w:rPr>
        <w:t xml:space="preserve"> </w:t>
      </w:r>
    </w:p>
    <w:p w14:paraId="2CC7CC03" w14:textId="77777777" w:rsidR="00E9106D" w:rsidRPr="006B6113" w:rsidRDefault="00E9106D" w:rsidP="00E9106D">
      <w:pPr>
        <w:spacing w:line="360" w:lineRule="auto"/>
        <w:jc w:val="both"/>
        <w:rPr>
          <w:b/>
          <w:bCs/>
          <w:rtl/>
        </w:rPr>
      </w:pPr>
      <w:r w:rsidRPr="006B6113">
        <w:rPr>
          <w:b/>
          <w:bCs/>
          <w:rtl/>
        </w:rPr>
        <w:t>את הקנס ניתן לשלם כעבור 3 ימים מהיום באחת מהדרכים הבאות:</w:t>
      </w:r>
    </w:p>
    <w:p w14:paraId="07EA5214" w14:textId="77777777" w:rsidR="00E9106D" w:rsidRPr="006B6113" w:rsidRDefault="00E9106D" w:rsidP="00E9106D">
      <w:pPr>
        <w:spacing w:line="360" w:lineRule="auto"/>
        <w:jc w:val="both"/>
        <w:rPr>
          <w:b/>
          <w:bCs/>
          <w:rtl/>
        </w:rPr>
      </w:pPr>
      <w:r w:rsidRPr="006B6113">
        <w:rPr>
          <w:b/>
          <w:bCs/>
          <w:rtl/>
        </w:rPr>
        <w:t>•</w:t>
      </w:r>
      <w:r w:rsidRPr="006B6113">
        <w:rPr>
          <w:b/>
          <w:bCs/>
          <w:rtl/>
        </w:rPr>
        <w:tab/>
        <w:t xml:space="preserve">בכרטיס אשראי – באתר המקוון של רשות האכיפה והגבייה </w:t>
      </w:r>
      <w:r w:rsidRPr="006B6113">
        <w:rPr>
          <w:b/>
          <w:bCs/>
        </w:rPr>
        <w:t>WWW.eca.gov.il</w:t>
      </w:r>
    </w:p>
    <w:p w14:paraId="435B8B94" w14:textId="77777777" w:rsidR="00E9106D" w:rsidRPr="006B6113" w:rsidRDefault="00E9106D" w:rsidP="00E9106D">
      <w:pPr>
        <w:spacing w:line="360" w:lineRule="auto"/>
        <w:jc w:val="both"/>
        <w:rPr>
          <w:b/>
          <w:bCs/>
          <w:rtl/>
        </w:rPr>
      </w:pPr>
      <w:r w:rsidRPr="006B6113">
        <w:rPr>
          <w:b/>
          <w:bCs/>
          <w:rtl/>
        </w:rPr>
        <w:t>•</w:t>
      </w:r>
      <w:r w:rsidRPr="006B6113">
        <w:rPr>
          <w:b/>
          <w:bCs/>
          <w:rtl/>
        </w:rPr>
        <w:tab/>
        <w:t xml:space="preserve">מוקד שירות טלפוני בשרות עצמי (מרכב גבייה) – בטלפון 35592* או בטלפון 073-2055000. </w:t>
      </w:r>
    </w:p>
    <w:p w14:paraId="2A067D17" w14:textId="77777777" w:rsidR="00E9106D" w:rsidRPr="006B6113" w:rsidRDefault="00E9106D" w:rsidP="00E9106D">
      <w:pPr>
        <w:spacing w:line="360" w:lineRule="auto"/>
        <w:ind w:left="720" w:hanging="720"/>
        <w:jc w:val="both"/>
        <w:rPr>
          <w:b/>
          <w:bCs/>
          <w:rtl/>
        </w:rPr>
      </w:pPr>
      <w:r w:rsidRPr="006B6113">
        <w:rPr>
          <w:b/>
          <w:bCs/>
          <w:rtl/>
        </w:rPr>
        <w:t>•</w:t>
      </w:r>
      <w:r w:rsidRPr="006B6113">
        <w:rPr>
          <w:b/>
          <w:bCs/>
          <w:rtl/>
        </w:rPr>
        <w:tab/>
        <w:t>במזומן בכל סניף של בנק הדואר – בהצגת תעודת זהות בלבד (אין צורך בהצגת שוברי תשלום).</w:t>
      </w:r>
    </w:p>
    <w:p w14:paraId="55F9AA67" w14:textId="77777777" w:rsidR="00E9106D" w:rsidRPr="00D42C9B" w:rsidRDefault="00D42C9B" w:rsidP="00E9106D">
      <w:pPr>
        <w:spacing w:line="360" w:lineRule="auto"/>
        <w:jc w:val="both"/>
        <w:rPr>
          <w:color w:val="FFFFFF"/>
          <w:sz w:val="2"/>
          <w:szCs w:val="2"/>
          <w:rtl/>
        </w:rPr>
      </w:pPr>
      <w:r w:rsidRPr="00D42C9B">
        <w:rPr>
          <w:color w:val="FFFFFF"/>
          <w:sz w:val="2"/>
          <w:szCs w:val="2"/>
          <w:rtl/>
        </w:rPr>
        <w:t>5129371</w:t>
      </w:r>
    </w:p>
    <w:p w14:paraId="660B2375" w14:textId="77777777" w:rsidR="00E9106D" w:rsidRDefault="00D42C9B" w:rsidP="00E9106D">
      <w:pPr>
        <w:spacing w:line="360" w:lineRule="auto"/>
        <w:jc w:val="both"/>
        <w:rPr>
          <w:rtl/>
        </w:rPr>
      </w:pPr>
      <w:r w:rsidRPr="00D42C9B">
        <w:rPr>
          <w:color w:val="FFFFFF"/>
          <w:sz w:val="2"/>
          <w:szCs w:val="2"/>
          <w:rtl/>
        </w:rPr>
        <w:t>54678313</w:t>
      </w:r>
      <w:r w:rsidR="00E9106D">
        <w:rPr>
          <w:rFonts w:hint="cs"/>
          <w:rtl/>
        </w:rPr>
        <w:t xml:space="preserve">הודעה זכות הערעור. </w:t>
      </w:r>
    </w:p>
    <w:p w14:paraId="545C2AE0" w14:textId="77777777" w:rsidR="00E9106D" w:rsidRPr="000F2247" w:rsidRDefault="00E9106D" w:rsidP="00E9106D">
      <w:pPr>
        <w:rPr>
          <w:rFonts w:ascii="Arial" w:hAnsi="Arial"/>
          <w:b/>
          <w:bCs/>
          <w:sz w:val="26"/>
          <w:szCs w:val="26"/>
          <w:rtl/>
        </w:rPr>
      </w:pPr>
    </w:p>
    <w:p w14:paraId="6EE5B860" w14:textId="77777777" w:rsidR="00E9106D" w:rsidRPr="000F2247" w:rsidRDefault="00D42C9B" w:rsidP="00E9106D">
      <w:pPr>
        <w:rPr>
          <w:rFonts w:ascii="Arial" w:hAnsi="Arial"/>
          <w:b/>
          <w:bCs/>
          <w:sz w:val="26"/>
          <w:szCs w:val="26"/>
          <w:rtl/>
        </w:rPr>
      </w:pPr>
      <w:bookmarkStart w:id="8" w:name="Nitan"/>
      <w:r>
        <w:rPr>
          <w:rFonts w:ascii="Arial" w:hAnsi="Arial"/>
          <w:b/>
          <w:bCs/>
          <w:sz w:val="26"/>
          <w:szCs w:val="26"/>
          <w:rtl/>
        </w:rPr>
        <w:t xml:space="preserve">ניתן היום,  ט' חשוון תשפ"ג, 03 נובמבר 2022, בהעדר הצדדים. </w:t>
      </w:r>
      <w:bookmarkEnd w:id="8"/>
    </w:p>
    <w:p w14:paraId="7DDF3561" w14:textId="77777777" w:rsidR="00E9106D" w:rsidRPr="000F2247" w:rsidRDefault="00E9106D" w:rsidP="00D42C9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0FC9D7" w14:textId="77777777" w:rsidR="00E9106D" w:rsidRPr="00235CD1" w:rsidRDefault="00235CD1" w:rsidP="00E9106D">
      <w:pPr>
        <w:jc w:val="center"/>
        <w:rPr>
          <w:rFonts w:ascii="Arial" w:hAnsi="Arial"/>
          <w:b/>
          <w:bCs/>
          <w:color w:val="FFFFFF"/>
          <w:sz w:val="2"/>
          <w:szCs w:val="2"/>
          <w:rtl/>
        </w:rPr>
      </w:pPr>
      <w:r w:rsidRPr="00235CD1">
        <w:rPr>
          <w:rFonts w:ascii="Arial" w:hAnsi="Arial"/>
          <w:b/>
          <w:bCs/>
          <w:color w:val="FFFFFF"/>
          <w:sz w:val="2"/>
          <w:szCs w:val="2"/>
          <w:rtl/>
        </w:rPr>
        <w:t>5129371</w:t>
      </w:r>
    </w:p>
    <w:p w14:paraId="33BF23D5" w14:textId="77777777" w:rsidR="00F04B8D" w:rsidRPr="00235CD1" w:rsidRDefault="00235CD1" w:rsidP="00D42C9B">
      <w:pPr>
        <w:keepNext/>
        <w:rPr>
          <w:rFonts w:ascii="David" w:hAnsi="David"/>
          <w:color w:val="FFFFFF"/>
          <w:sz w:val="2"/>
          <w:szCs w:val="2"/>
          <w:rtl/>
        </w:rPr>
      </w:pPr>
      <w:r w:rsidRPr="00235CD1">
        <w:rPr>
          <w:rFonts w:ascii="David" w:hAnsi="David"/>
          <w:color w:val="FFFFFF"/>
          <w:sz w:val="2"/>
          <w:szCs w:val="2"/>
          <w:rtl/>
        </w:rPr>
        <w:t>54678313</w:t>
      </w:r>
    </w:p>
    <w:p w14:paraId="46CE7D6B" w14:textId="77777777" w:rsidR="00D42C9B" w:rsidRPr="00D42C9B" w:rsidRDefault="00D42C9B" w:rsidP="00D42C9B">
      <w:pPr>
        <w:keepNext/>
        <w:rPr>
          <w:rFonts w:ascii="David" w:hAnsi="David"/>
          <w:color w:val="000000"/>
          <w:sz w:val="22"/>
          <w:szCs w:val="22"/>
          <w:rtl/>
        </w:rPr>
      </w:pPr>
      <w:r w:rsidRPr="00D42C9B">
        <w:rPr>
          <w:rFonts w:ascii="David" w:hAnsi="David"/>
          <w:color w:val="000000"/>
          <w:sz w:val="22"/>
          <w:szCs w:val="22"/>
          <w:rtl/>
        </w:rPr>
        <w:t>שוש שטרית 54678313</w:t>
      </w:r>
    </w:p>
    <w:p w14:paraId="7AAE3FF1" w14:textId="77777777" w:rsidR="00D42C9B" w:rsidRDefault="00D42C9B" w:rsidP="00D42C9B">
      <w:r w:rsidRPr="00D42C9B">
        <w:rPr>
          <w:color w:val="000000"/>
          <w:rtl/>
        </w:rPr>
        <w:t>נוסח מסמך זה כפוף לשינויי ניסוח ועריכה</w:t>
      </w:r>
    </w:p>
    <w:p w14:paraId="09D80B19" w14:textId="77777777" w:rsidR="00D42C9B" w:rsidRDefault="00D42C9B" w:rsidP="00D42C9B">
      <w:pPr>
        <w:rPr>
          <w:rtl/>
        </w:rPr>
      </w:pPr>
    </w:p>
    <w:p w14:paraId="402E6C03" w14:textId="77777777" w:rsidR="00D42C9B" w:rsidRDefault="00D42C9B" w:rsidP="00D42C9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FF29631" w14:textId="77777777" w:rsidR="00235CD1" w:rsidRPr="00235CD1" w:rsidRDefault="00235CD1" w:rsidP="00235CD1">
      <w:pPr>
        <w:keepNext/>
        <w:rPr>
          <w:rFonts w:ascii="David" w:hAnsi="David"/>
          <w:color w:val="000000"/>
          <w:sz w:val="22"/>
          <w:szCs w:val="22"/>
          <w:rtl/>
        </w:rPr>
      </w:pPr>
    </w:p>
    <w:sectPr w:rsidR="00235CD1" w:rsidRPr="00235CD1" w:rsidSect="00235CD1">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2A2E6" w14:textId="77777777" w:rsidR="00511C90" w:rsidRDefault="00511C90" w:rsidP="00183868">
      <w:r>
        <w:separator/>
      </w:r>
    </w:p>
  </w:endnote>
  <w:endnote w:type="continuationSeparator" w:id="0">
    <w:p w14:paraId="0C5AFE5D" w14:textId="77777777" w:rsidR="00511C90" w:rsidRDefault="00511C90" w:rsidP="0018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EE744" w14:textId="77777777" w:rsidR="00235CD1" w:rsidRDefault="00235CD1" w:rsidP="00235C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5AF997" w14:textId="77777777" w:rsidR="0086726B" w:rsidRPr="00235CD1" w:rsidRDefault="00235CD1" w:rsidP="00235CD1">
    <w:pPr>
      <w:pStyle w:val="a5"/>
      <w:pBdr>
        <w:top w:val="single" w:sz="4" w:space="1" w:color="auto"/>
        <w:between w:val="single" w:sz="4" w:space="0" w:color="auto"/>
      </w:pBdr>
      <w:spacing w:after="60"/>
      <w:jc w:val="center"/>
      <w:rPr>
        <w:rFonts w:ascii="FrankRuehl" w:hAnsi="FrankRuehl" w:cs="FrankRuehl"/>
        <w:color w:val="000000"/>
      </w:rPr>
    </w:pPr>
    <w:r w:rsidRPr="00235C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4C1C" w14:textId="77777777" w:rsidR="00235CD1" w:rsidRDefault="00235CD1" w:rsidP="00235C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713D">
      <w:rPr>
        <w:rFonts w:ascii="FrankRuehl" w:hAnsi="FrankRuehl" w:cs="FrankRuehl"/>
        <w:noProof/>
        <w:rtl/>
      </w:rPr>
      <w:t>1</w:t>
    </w:r>
    <w:r>
      <w:rPr>
        <w:rFonts w:ascii="FrankRuehl" w:hAnsi="FrankRuehl" w:cs="FrankRuehl"/>
        <w:rtl/>
      </w:rPr>
      <w:fldChar w:fldCharType="end"/>
    </w:r>
  </w:p>
  <w:p w14:paraId="12728A44" w14:textId="77777777" w:rsidR="0086726B" w:rsidRPr="00235CD1" w:rsidRDefault="00235CD1" w:rsidP="00235CD1">
    <w:pPr>
      <w:pStyle w:val="a5"/>
      <w:pBdr>
        <w:top w:val="single" w:sz="4" w:space="1" w:color="auto"/>
        <w:between w:val="single" w:sz="4" w:space="0" w:color="auto"/>
      </w:pBdr>
      <w:spacing w:after="60"/>
      <w:jc w:val="center"/>
      <w:rPr>
        <w:rFonts w:ascii="FrankRuehl" w:hAnsi="FrankRuehl" w:cs="FrankRuehl"/>
        <w:color w:val="000000"/>
      </w:rPr>
    </w:pPr>
    <w:r w:rsidRPr="00235CD1">
      <w:rPr>
        <w:rFonts w:ascii="FrankRuehl" w:hAnsi="FrankRuehl" w:cs="FrankRuehl"/>
        <w:color w:val="000000"/>
      </w:rPr>
      <w:pict w14:anchorId="46CD7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AFC64" w14:textId="77777777" w:rsidR="00511C90" w:rsidRDefault="00511C90" w:rsidP="00183868">
      <w:r>
        <w:separator/>
      </w:r>
    </w:p>
  </w:footnote>
  <w:footnote w:type="continuationSeparator" w:id="0">
    <w:p w14:paraId="7462C350" w14:textId="77777777" w:rsidR="00511C90" w:rsidRDefault="00511C90" w:rsidP="00183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593B1" w14:textId="77777777" w:rsidR="00D42C9B" w:rsidRPr="00235CD1" w:rsidRDefault="00235CD1" w:rsidP="00235C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28766-04-22</w:t>
    </w:r>
    <w:r>
      <w:rPr>
        <w:rFonts w:ascii="David" w:hAnsi="David"/>
        <w:color w:val="000000"/>
        <w:sz w:val="22"/>
        <w:szCs w:val="22"/>
        <w:rtl/>
      </w:rPr>
      <w:tab/>
      <w:t xml:space="preserve"> מדינת ישראל תביעות נגב נ' מוחמד אלאעסם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766CC" w14:textId="77777777" w:rsidR="00D42C9B" w:rsidRPr="00235CD1" w:rsidRDefault="00235CD1" w:rsidP="00235C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28766-04-22</w:t>
    </w:r>
    <w:r>
      <w:rPr>
        <w:rFonts w:ascii="David" w:hAnsi="David"/>
        <w:color w:val="000000"/>
        <w:sz w:val="22"/>
        <w:szCs w:val="22"/>
        <w:rtl/>
      </w:rPr>
      <w:tab/>
      <w:t xml:space="preserve"> מדינת ישראל תביעות נגב נ' מוחמד אלאעסם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A09A2"/>
    <w:multiLevelType w:val="hybridMultilevel"/>
    <w:tmpl w:val="B5504920"/>
    <w:lvl w:ilvl="0" w:tplc="6D48CF2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818565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106D"/>
    <w:rsid w:val="00080BE6"/>
    <w:rsid w:val="00183868"/>
    <w:rsid w:val="001B5A3B"/>
    <w:rsid w:val="00235CD1"/>
    <w:rsid w:val="0029385D"/>
    <w:rsid w:val="002C3C36"/>
    <w:rsid w:val="00511C90"/>
    <w:rsid w:val="0062326A"/>
    <w:rsid w:val="007F76D0"/>
    <w:rsid w:val="0085713D"/>
    <w:rsid w:val="0086726B"/>
    <w:rsid w:val="00985FF6"/>
    <w:rsid w:val="00C13815"/>
    <w:rsid w:val="00D42C9B"/>
    <w:rsid w:val="00DD1CA2"/>
    <w:rsid w:val="00E9106D"/>
    <w:rsid w:val="00F04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57F1ED"/>
  <w15:chartTrackingRefBased/>
  <w15:docId w15:val="{971536B5-6C47-46BC-B99E-9458AD30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10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106D"/>
    <w:pPr>
      <w:tabs>
        <w:tab w:val="center" w:pos="4153"/>
        <w:tab w:val="right" w:pos="8306"/>
      </w:tabs>
    </w:pPr>
  </w:style>
  <w:style w:type="character" w:customStyle="1" w:styleId="a4">
    <w:name w:val="כותרת עליונה תו"/>
    <w:link w:val="a3"/>
    <w:rsid w:val="00E9106D"/>
    <w:rPr>
      <w:rFonts w:ascii="Times New Roman" w:eastAsia="Times New Roman" w:hAnsi="Times New Roman" w:cs="David"/>
      <w:sz w:val="24"/>
      <w:szCs w:val="24"/>
    </w:rPr>
  </w:style>
  <w:style w:type="paragraph" w:styleId="a5">
    <w:name w:val="footer"/>
    <w:basedOn w:val="a"/>
    <w:link w:val="a6"/>
    <w:rsid w:val="00E9106D"/>
    <w:pPr>
      <w:tabs>
        <w:tab w:val="center" w:pos="4153"/>
        <w:tab w:val="right" w:pos="8306"/>
      </w:tabs>
    </w:pPr>
  </w:style>
  <w:style w:type="character" w:customStyle="1" w:styleId="a6">
    <w:name w:val="כותרת תחתונה תו"/>
    <w:link w:val="a5"/>
    <w:rsid w:val="00E9106D"/>
    <w:rPr>
      <w:rFonts w:ascii="Times New Roman" w:eastAsia="Times New Roman" w:hAnsi="Times New Roman" w:cs="David"/>
      <w:sz w:val="24"/>
      <w:szCs w:val="24"/>
    </w:rPr>
  </w:style>
  <w:style w:type="table" w:styleId="a7">
    <w:name w:val="Table Grid"/>
    <w:basedOn w:val="a1"/>
    <w:rsid w:val="00E910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106D"/>
  </w:style>
  <w:style w:type="character" w:customStyle="1" w:styleId="a9">
    <w:name w:val="פיסקת רשימה תו"/>
    <w:link w:val="aa"/>
    <w:locked/>
    <w:rsid w:val="00E9106D"/>
    <w:rPr>
      <w:rFonts w:ascii="David" w:hAnsi="David" w:cs="David"/>
      <w:noProof/>
      <w:sz w:val="24"/>
      <w:szCs w:val="24"/>
    </w:rPr>
  </w:style>
  <w:style w:type="paragraph" w:styleId="aa">
    <w:name w:val="List Paragraph"/>
    <w:basedOn w:val="a"/>
    <w:link w:val="a9"/>
    <w:qFormat/>
    <w:rsid w:val="00E9106D"/>
    <w:pPr>
      <w:ind w:left="720"/>
      <w:contextualSpacing/>
    </w:pPr>
    <w:rPr>
      <w:rFonts w:ascii="David" w:eastAsia="Calibri" w:hAnsi="David"/>
      <w:noProof/>
    </w:rPr>
  </w:style>
  <w:style w:type="character" w:styleId="Hyperlink">
    <w:name w:val="Hyperlink"/>
    <w:rsid w:val="00D42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21473042" TargetMode="External"/><Relationship Id="rId26" Type="http://schemas.openxmlformats.org/officeDocument/2006/relationships/hyperlink" Target="http://www.nevo.co.il/case/25193405" TargetMode="External"/><Relationship Id="rId21" Type="http://schemas.openxmlformats.org/officeDocument/2006/relationships/hyperlink" Target="http://www.nevo.co.il/case/22116530"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7023776" TargetMode="External"/><Relationship Id="rId25" Type="http://schemas.openxmlformats.org/officeDocument/2006/relationships/hyperlink" Target="http://www.nevo.co.il/case/2612008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3093721" TargetMode="External"/><Relationship Id="rId20" Type="http://schemas.openxmlformats.org/officeDocument/2006/relationships/hyperlink" Target="http://www.nevo.co.il/case/5704648"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612208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721417"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case/27670645"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00751" TargetMode="External"/><Relationship Id="rId27" Type="http://schemas.openxmlformats.org/officeDocument/2006/relationships/hyperlink" Target="http://www.nevo.co.il/case/26721417"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2188</Words>
  <Characters>10945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13107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3145842</vt:i4>
      </vt:variant>
      <vt:variant>
        <vt:i4>63</vt:i4>
      </vt:variant>
      <vt:variant>
        <vt:i4>0</vt:i4>
      </vt:variant>
      <vt:variant>
        <vt:i4>5</vt:i4>
      </vt:variant>
      <vt:variant>
        <vt:lpwstr>http://www.nevo.co.il/case/27670645</vt:lpwstr>
      </vt:variant>
      <vt:variant>
        <vt:lpwstr/>
      </vt:variant>
      <vt:variant>
        <vt:i4>3473524</vt:i4>
      </vt:variant>
      <vt:variant>
        <vt:i4>60</vt:i4>
      </vt:variant>
      <vt:variant>
        <vt:i4>0</vt:i4>
      </vt:variant>
      <vt:variant>
        <vt:i4>5</vt:i4>
      </vt:variant>
      <vt:variant>
        <vt:lpwstr>http://www.nevo.co.il/case/26721417</vt:lpwstr>
      </vt:variant>
      <vt:variant>
        <vt:lpwstr/>
      </vt:variant>
      <vt:variant>
        <vt:i4>3145852</vt:i4>
      </vt:variant>
      <vt:variant>
        <vt:i4>57</vt:i4>
      </vt:variant>
      <vt:variant>
        <vt:i4>0</vt:i4>
      </vt:variant>
      <vt:variant>
        <vt:i4>5</vt:i4>
      </vt:variant>
      <vt:variant>
        <vt:lpwstr>http://www.nevo.co.il/case/25193405</vt:lpwstr>
      </vt:variant>
      <vt:variant>
        <vt:lpwstr/>
      </vt:variant>
      <vt:variant>
        <vt:i4>3866736</vt:i4>
      </vt:variant>
      <vt:variant>
        <vt:i4>54</vt:i4>
      </vt:variant>
      <vt:variant>
        <vt:i4>0</vt:i4>
      </vt:variant>
      <vt:variant>
        <vt:i4>5</vt:i4>
      </vt:variant>
      <vt:variant>
        <vt:lpwstr>http://www.nevo.co.il/case/26120082</vt:lpwstr>
      </vt:variant>
      <vt:variant>
        <vt:lpwstr/>
      </vt:variant>
      <vt:variant>
        <vt:i4>3735664</vt:i4>
      </vt:variant>
      <vt:variant>
        <vt:i4>51</vt:i4>
      </vt:variant>
      <vt:variant>
        <vt:i4>0</vt:i4>
      </vt:variant>
      <vt:variant>
        <vt:i4>5</vt:i4>
      </vt:variant>
      <vt:variant>
        <vt:lpwstr>http://www.nevo.co.il/case/26122083</vt:lpwstr>
      </vt:variant>
      <vt:variant>
        <vt:lpwstr/>
      </vt:variant>
      <vt:variant>
        <vt:i4>3342454</vt:i4>
      </vt:variant>
      <vt:variant>
        <vt:i4>48</vt:i4>
      </vt:variant>
      <vt:variant>
        <vt:i4>0</vt:i4>
      </vt:variant>
      <vt:variant>
        <vt:i4>5</vt:i4>
      </vt:variant>
      <vt:variant>
        <vt:lpwstr>http://www.nevo.co.il/case/18793360</vt:lpwstr>
      </vt:variant>
      <vt:variant>
        <vt:lpwstr/>
      </vt:variant>
      <vt:variant>
        <vt:i4>3342455</vt:i4>
      </vt:variant>
      <vt:variant>
        <vt:i4>45</vt:i4>
      </vt:variant>
      <vt:variant>
        <vt:i4>0</vt:i4>
      </vt:variant>
      <vt:variant>
        <vt:i4>5</vt:i4>
      </vt:variant>
      <vt:variant>
        <vt:lpwstr>http://www.nevo.co.il/case/5600751</vt:lpwstr>
      </vt:variant>
      <vt:variant>
        <vt:lpwstr/>
      </vt:variant>
      <vt:variant>
        <vt:i4>3539058</vt:i4>
      </vt:variant>
      <vt:variant>
        <vt:i4>42</vt:i4>
      </vt:variant>
      <vt:variant>
        <vt:i4>0</vt:i4>
      </vt:variant>
      <vt:variant>
        <vt:i4>5</vt:i4>
      </vt:variant>
      <vt:variant>
        <vt:lpwstr>http://www.nevo.co.il/case/22116530</vt:lpwstr>
      </vt:variant>
      <vt:variant>
        <vt:lpwstr/>
      </vt:variant>
      <vt:variant>
        <vt:i4>3866739</vt:i4>
      </vt:variant>
      <vt:variant>
        <vt:i4>39</vt:i4>
      </vt:variant>
      <vt:variant>
        <vt:i4>0</vt:i4>
      </vt:variant>
      <vt:variant>
        <vt:i4>5</vt:i4>
      </vt:variant>
      <vt:variant>
        <vt:lpwstr>http://www.nevo.co.il/case/5704648</vt:lpwstr>
      </vt:variant>
      <vt:variant>
        <vt:lpwstr/>
      </vt:variant>
      <vt:variant>
        <vt:i4>8257637</vt:i4>
      </vt:variant>
      <vt:variant>
        <vt:i4>36</vt:i4>
      </vt:variant>
      <vt:variant>
        <vt:i4>0</vt:i4>
      </vt:variant>
      <vt:variant>
        <vt:i4>5</vt:i4>
      </vt:variant>
      <vt:variant>
        <vt:lpwstr>http://www.nevo.co.il/law/4216</vt:lpwstr>
      </vt:variant>
      <vt:variant>
        <vt:lpwstr/>
      </vt:variant>
      <vt:variant>
        <vt:i4>3211378</vt:i4>
      </vt:variant>
      <vt:variant>
        <vt:i4>33</vt:i4>
      </vt:variant>
      <vt:variant>
        <vt:i4>0</vt:i4>
      </vt:variant>
      <vt:variant>
        <vt:i4>5</vt:i4>
      </vt:variant>
      <vt:variant>
        <vt:lpwstr>http://www.nevo.co.il/case/21473042</vt:lpwstr>
      </vt:variant>
      <vt:variant>
        <vt:lpwstr/>
      </vt:variant>
      <vt:variant>
        <vt:i4>3473526</vt:i4>
      </vt:variant>
      <vt:variant>
        <vt:i4>30</vt:i4>
      </vt:variant>
      <vt:variant>
        <vt:i4>0</vt:i4>
      </vt:variant>
      <vt:variant>
        <vt:i4>5</vt:i4>
      </vt:variant>
      <vt:variant>
        <vt:lpwstr>http://www.nevo.co.il/case/17023776</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3473524</vt:i4>
      </vt:variant>
      <vt:variant>
        <vt:i4>24</vt:i4>
      </vt:variant>
      <vt:variant>
        <vt:i4>0</vt:i4>
      </vt:variant>
      <vt:variant>
        <vt:i4>5</vt:i4>
      </vt:variant>
      <vt:variant>
        <vt:lpwstr>http://www.nevo.co.il/case/26721417</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28766</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מוחמד אלאעסם </vt:lpwstr>
  </property>
  <property fmtid="{D5CDD505-2E9C-101B-9397-08002B2CF9AE}" pid="10" name="LAWYER">
    <vt:lpwstr>לבנת רחמים בנני;נאסר מוסטפא</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20221103</vt:lpwstr>
  </property>
  <property fmtid="{D5CDD505-2E9C-101B-9397-08002B2CF9AE}" pid="14" name="TYPE_N_DATE">
    <vt:lpwstr>38020221103</vt:lpwstr>
  </property>
  <property fmtid="{D5CDD505-2E9C-101B-9397-08002B2CF9AE}" pid="15" name="WORDNUMPAGES">
    <vt:lpwstr>6</vt:lpwstr>
  </property>
  <property fmtid="{D5CDD505-2E9C-101B-9397-08002B2CF9AE}" pid="16" name="TYPE_ABS_DATE">
    <vt:lpwstr>380020221103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26721417:2;13093721;17023776;21473042;5704648;22116530;5600751;18793360;26122083;26120082;25193405;27670645</vt:lpwstr>
  </property>
  <property fmtid="{D5CDD505-2E9C-101B-9397-08002B2CF9AE}" pid="36" name="LAWLISTTMP1">
    <vt:lpwstr>4216/013;019a</vt:lpwstr>
  </property>
  <property fmtid="{D5CDD505-2E9C-101B-9397-08002B2CF9AE}" pid="37" name="LAWLISTTMP2">
    <vt:lpwstr>70301/40ja</vt:lpwstr>
  </property>
</Properties>
</file>