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6B029B" w:rsidRPr="006008E1" w14:paraId="3B618D71" w14:textId="77777777" w:rsidTr="00CC75D5">
        <w:trPr>
          <w:trHeight w:hRule="exact" w:val="704"/>
          <w:jc w:val="center"/>
        </w:trPr>
        <w:tc>
          <w:tcPr>
            <w:tcW w:w="8523" w:type="dxa"/>
          </w:tcPr>
          <w:p w14:paraId="3847F3D2" w14:textId="77777777" w:rsidR="006B029B" w:rsidRPr="006008E1" w:rsidRDefault="006B029B" w:rsidP="00F713CD">
            <w:pPr>
              <w:pStyle w:val="a3"/>
              <w:jc w:val="center"/>
              <w:rPr>
                <w:rFonts w:ascii="Tahoma" w:hAnsi="Tahoma"/>
                <w:noProof w:val="0"/>
                <w:color w:val="000080"/>
                <w:sz w:val="32"/>
                <w:szCs w:val="32"/>
                <w:rtl/>
              </w:rPr>
            </w:pPr>
            <w:bookmarkStart w:id="0" w:name="FirstLawyer"/>
            <w:bookmarkStart w:id="1" w:name="LastJudge"/>
            <w:r w:rsidRPr="006008E1">
              <w:rPr>
                <w:rFonts w:ascii="Tahoma" w:hAnsi="Tahoma"/>
                <w:color w:val="000080"/>
                <w:sz w:val="32"/>
                <w:szCs w:val="32"/>
                <w:rtl/>
              </w:rPr>
              <w:t>בית משפט השלום בבאר שבע</w:t>
            </w:r>
          </w:p>
        </w:tc>
      </w:tr>
      <w:tr w:rsidR="006B029B" w:rsidRPr="006008E1" w14:paraId="5A482F39" w14:textId="77777777" w:rsidTr="00CC75D5">
        <w:trPr>
          <w:trHeight w:val="337"/>
          <w:jc w:val="center"/>
        </w:trPr>
        <w:tc>
          <w:tcPr>
            <w:tcW w:w="8523" w:type="dxa"/>
          </w:tcPr>
          <w:p w14:paraId="287BECD6" w14:textId="77777777" w:rsidR="006B029B" w:rsidRPr="006008E1" w:rsidRDefault="006B029B" w:rsidP="00F713CD">
            <w:pPr>
              <w:rPr>
                <w:b/>
                <w:bCs/>
                <w:noProof w:val="0"/>
                <w:sz w:val="26"/>
                <w:szCs w:val="26"/>
                <w:rtl/>
              </w:rPr>
            </w:pPr>
            <w:r w:rsidRPr="006008E1">
              <w:rPr>
                <w:b/>
                <w:bCs/>
                <w:noProof w:val="0"/>
                <w:sz w:val="26"/>
                <w:szCs w:val="26"/>
                <w:rtl/>
              </w:rPr>
              <w:t xml:space="preserve">ת"פ 29877-04-22 מדינת ישראל נ' רגפורקר </w:t>
            </w:r>
          </w:p>
          <w:p w14:paraId="35399DD7" w14:textId="77777777" w:rsidR="006B029B" w:rsidRPr="006008E1" w:rsidRDefault="006B029B" w:rsidP="00F713CD">
            <w:pPr>
              <w:rPr>
                <w:b/>
                <w:bCs/>
                <w:noProof w:val="0"/>
                <w:sz w:val="2"/>
                <w:szCs w:val="2"/>
                <w:rtl/>
              </w:rPr>
            </w:pPr>
          </w:p>
          <w:p w14:paraId="7E69219C" w14:textId="77777777" w:rsidR="006B029B" w:rsidRPr="006008E1" w:rsidRDefault="006B029B" w:rsidP="00F713CD">
            <w:pPr>
              <w:rPr>
                <w:sz w:val="20"/>
                <w:szCs w:val="20"/>
                <w:rtl/>
              </w:rPr>
            </w:pPr>
            <w:r w:rsidRPr="006008E1">
              <w:rPr>
                <w:rFonts w:hint="cs"/>
                <w:rtl/>
              </w:rPr>
              <w:t xml:space="preserve">                           </w:t>
            </w:r>
            <w:r w:rsidRPr="006008E1">
              <w:rPr>
                <w:rFonts w:hint="cs"/>
                <w:sz w:val="20"/>
                <w:szCs w:val="20"/>
                <w:rtl/>
              </w:rPr>
              <w:t xml:space="preserve">                                       </w:t>
            </w:r>
          </w:p>
          <w:p w14:paraId="223B5C14" w14:textId="77777777" w:rsidR="006B029B" w:rsidRPr="006008E1" w:rsidRDefault="006B029B" w:rsidP="00F713CD">
            <w:pPr>
              <w:rPr>
                <w:sz w:val="20"/>
                <w:szCs w:val="20"/>
                <w:rtl/>
              </w:rPr>
            </w:pPr>
            <w:r w:rsidRPr="006008E1">
              <w:rPr>
                <w:rFonts w:hint="cs"/>
                <w:sz w:val="20"/>
                <w:szCs w:val="20"/>
                <w:rtl/>
              </w:rPr>
              <w:t xml:space="preserve">תיק חיצוני: </w:t>
            </w:r>
            <w:r w:rsidRPr="006008E1">
              <w:rPr>
                <w:rFonts w:hint="eastAsia"/>
                <w:sz w:val="20"/>
                <w:szCs w:val="20"/>
              </w:rPr>
              <w:t>457218/2021</w:t>
            </w:r>
            <w:r w:rsidRPr="006008E1">
              <w:rPr>
                <w:rFonts w:hint="cs"/>
                <w:sz w:val="20"/>
                <w:szCs w:val="20"/>
                <w:rtl/>
              </w:rPr>
              <w:t xml:space="preserve"> </w:t>
            </w:r>
            <w:r w:rsidRPr="006008E1">
              <w:rPr>
                <w:sz w:val="20"/>
                <w:szCs w:val="20"/>
                <w:rtl/>
              </w:rPr>
              <w:t xml:space="preserve">  </w:t>
            </w:r>
          </w:p>
        </w:tc>
      </w:tr>
    </w:tbl>
    <w:p w14:paraId="1E48943F" w14:textId="77777777" w:rsidR="006B029B" w:rsidRPr="006008E1" w:rsidRDefault="006B029B" w:rsidP="00CC75D5">
      <w:pPr>
        <w:pStyle w:val="a3"/>
        <w:rPr>
          <w:rtl/>
        </w:rPr>
      </w:pPr>
      <w:r w:rsidRPr="006008E1">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6B029B" w:rsidRPr="006008E1" w14:paraId="43B97252" w14:textId="77777777" w:rsidTr="006B029B">
        <w:trPr>
          <w:jc w:val="center"/>
        </w:trPr>
        <w:tc>
          <w:tcPr>
            <w:tcW w:w="743" w:type="dxa"/>
            <w:shd w:val="clear" w:color="auto" w:fill="auto"/>
          </w:tcPr>
          <w:p w14:paraId="616BF5FF" w14:textId="77777777" w:rsidR="006B029B" w:rsidRPr="006008E1" w:rsidRDefault="006B029B" w:rsidP="006B029B">
            <w:pPr>
              <w:suppressLineNumbers/>
              <w:jc w:val="both"/>
              <w:rPr>
                <w:rFonts w:ascii="Arial" w:hAnsi="Arial"/>
                <w:b/>
                <w:bCs/>
                <w:sz w:val="26"/>
                <w:szCs w:val="26"/>
                <w:rtl/>
              </w:rPr>
            </w:pPr>
            <w:r w:rsidRPr="006008E1">
              <w:rPr>
                <w:rFonts w:ascii="Arial" w:hAnsi="Arial" w:hint="cs"/>
                <w:b/>
                <w:bCs/>
                <w:sz w:val="26"/>
                <w:szCs w:val="26"/>
                <w:rtl/>
              </w:rPr>
              <w:t>ל</w:t>
            </w:r>
            <w:r w:rsidRPr="006008E1">
              <w:rPr>
                <w:rFonts w:ascii="Arial" w:hAnsi="Arial"/>
                <w:b/>
                <w:bCs/>
                <w:sz w:val="26"/>
                <w:szCs w:val="26"/>
                <w:rtl/>
              </w:rPr>
              <w:t xml:space="preserve">פני </w:t>
            </w:r>
          </w:p>
        </w:tc>
        <w:tc>
          <w:tcPr>
            <w:tcW w:w="8077" w:type="dxa"/>
            <w:gridSpan w:val="2"/>
            <w:shd w:val="clear" w:color="auto" w:fill="auto"/>
          </w:tcPr>
          <w:p w14:paraId="05C931EC" w14:textId="77777777" w:rsidR="006B029B" w:rsidRPr="006008E1" w:rsidRDefault="006B029B" w:rsidP="006B029B">
            <w:pPr>
              <w:suppressLineNumbers/>
              <w:rPr>
                <w:rFonts w:ascii="Arial" w:hAnsi="Arial"/>
                <w:b/>
                <w:bCs/>
                <w:sz w:val="26"/>
                <w:szCs w:val="26"/>
                <w:rtl/>
              </w:rPr>
            </w:pPr>
            <w:r w:rsidRPr="006008E1">
              <w:rPr>
                <w:rFonts w:ascii="Arial" w:hAnsi="Arial" w:hint="cs"/>
                <w:b/>
                <w:bCs/>
                <w:sz w:val="26"/>
                <w:szCs w:val="26"/>
                <w:rtl/>
              </w:rPr>
              <w:t>כבוד ה</w:t>
            </w:r>
            <w:r w:rsidRPr="006008E1">
              <w:rPr>
                <w:rFonts w:ascii="Arial" w:hAnsi="Arial"/>
                <w:b/>
                <w:bCs/>
                <w:sz w:val="26"/>
                <w:szCs w:val="26"/>
                <w:rtl/>
              </w:rPr>
              <w:t>שופט</w:t>
            </w:r>
            <w:r w:rsidRPr="006008E1">
              <w:rPr>
                <w:rFonts w:ascii="Arial" w:hAnsi="Arial" w:hint="cs"/>
                <w:b/>
                <w:bCs/>
                <w:sz w:val="26"/>
                <w:szCs w:val="26"/>
                <w:rtl/>
              </w:rPr>
              <w:t xml:space="preserve"> </w:t>
            </w:r>
            <w:r w:rsidRPr="006008E1">
              <w:rPr>
                <w:rFonts w:ascii="Arial" w:hAnsi="Arial"/>
                <w:b/>
                <w:bCs/>
                <w:sz w:val="26"/>
                <w:szCs w:val="26"/>
                <w:rtl/>
              </w:rPr>
              <w:t>יניב בן הרוש</w:t>
            </w:r>
          </w:p>
          <w:p w14:paraId="128CEEFF" w14:textId="77777777" w:rsidR="006B029B" w:rsidRPr="006008E1" w:rsidRDefault="006B029B" w:rsidP="006B029B">
            <w:pPr>
              <w:suppressLineNumbers/>
              <w:rPr>
                <w:sz w:val="26"/>
                <w:szCs w:val="26"/>
              </w:rPr>
            </w:pPr>
          </w:p>
        </w:tc>
      </w:tr>
      <w:tr w:rsidR="006B029B" w:rsidRPr="006008E1" w14:paraId="46C8609C" w14:textId="77777777" w:rsidTr="006B029B">
        <w:trPr>
          <w:jc w:val="center"/>
        </w:trPr>
        <w:tc>
          <w:tcPr>
            <w:tcW w:w="3249" w:type="dxa"/>
            <w:gridSpan w:val="2"/>
            <w:shd w:val="clear" w:color="auto" w:fill="auto"/>
          </w:tcPr>
          <w:p w14:paraId="3C638AC8" w14:textId="77777777" w:rsidR="006B029B" w:rsidRPr="006008E1" w:rsidRDefault="006B029B" w:rsidP="006B029B">
            <w:pPr>
              <w:suppressLineNumbers/>
              <w:rPr>
                <w:rtl/>
              </w:rPr>
            </w:pPr>
            <w:bookmarkStart w:id="2" w:name="FirstAppellant"/>
          </w:p>
          <w:p w14:paraId="51CFF013" w14:textId="77777777" w:rsidR="006B029B" w:rsidRPr="006008E1" w:rsidRDefault="006B029B" w:rsidP="006B029B">
            <w:pPr>
              <w:suppressLineNumbers/>
              <w:rPr>
                <w:rFonts w:ascii="Arial" w:hAnsi="Arial"/>
                <w:b/>
                <w:bCs/>
                <w:noProof w:val="0"/>
                <w:sz w:val="26"/>
                <w:szCs w:val="26"/>
                <w:rtl/>
              </w:rPr>
            </w:pPr>
            <w:r w:rsidRPr="006008E1">
              <w:rPr>
                <w:rFonts w:ascii="Arial" w:hAnsi="Arial"/>
                <w:b/>
                <w:bCs/>
                <w:noProof w:val="0"/>
                <w:sz w:val="26"/>
                <w:szCs w:val="26"/>
                <w:rtl/>
              </w:rPr>
              <w:t>מאשימה</w:t>
            </w:r>
          </w:p>
        </w:tc>
        <w:tc>
          <w:tcPr>
            <w:tcW w:w="5571" w:type="dxa"/>
            <w:shd w:val="clear" w:color="auto" w:fill="auto"/>
          </w:tcPr>
          <w:p w14:paraId="3139E571" w14:textId="77777777" w:rsidR="006B029B" w:rsidRPr="006008E1" w:rsidRDefault="006B029B" w:rsidP="006B029B">
            <w:pPr>
              <w:suppressLineNumbers/>
              <w:rPr>
                <w:rtl/>
              </w:rPr>
            </w:pPr>
          </w:p>
          <w:p w14:paraId="1523E00B" w14:textId="77777777" w:rsidR="006B029B" w:rsidRPr="006008E1" w:rsidRDefault="006B029B" w:rsidP="006B029B">
            <w:pPr>
              <w:suppressLineNumbers/>
              <w:rPr>
                <w:b/>
                <w:bCs/>
                <w:noProof w:val="0"/>
                <w:sz w:val="26"/>
                <w:szCs w:val="26"/>
                <w:rtl/>
              </w:rPr>
            </w:pPr>
            <w:r w:rsidRPr="006008E1">
              <w:rPr>
                <w:rFonts w:ascii="Arial" w:hAnsi="Arial"/>
                <w:b/>
                <w:bCs/>
                <w:noProof w:val="0"/>
                <w:sz w:val="26"/>
                <w:szCs w:val="26"/>
                <w:rtl/>
              </w:rPr>
              <w:t>מדינת ישראל</w:t>
            </w:r>
          </w:p>
          <w:p w14:paraId="1C56BE1F" w14:textId="77777777" w:rsidR="006B029B" w:rsidRPr="006008E1" w:rsidRDefault="006B029B" w:rsidP="006B029B">
            <w:pPr>
              <w:suppressLineNumbers/>
              <w:rPr>
                <w:b/>
                <w:bCs/>
                <w:noProof w:val="0"/>
                <w:sz w:val="26"/>
                <w:szCs w:val="26"/>
              </w:rPr>
            </w:pPr>
            <w:r w:rsidRPr="006008E1">
              <w:rPr>
                <w:rFonts w:hint="cs"/>
                <w:b/>
                <w:bCs/>
                <w:noProof w:val="0"/>
                <w:sz w:val="26"/>
                <w:szCs w:val="26"/>
                <w:rtl/>
              </w:rPr>
              <w:t xml:space="preserve">באמצעות יחידת תביעות דרום </w:t>
            </w:r>
            <w:r w:rsidRPr="006008E1">
              <w:rPr>
                <w:b/>
                <w:bCs/>
                <w:noProof w:val="0"/>
                <w:sz w:val="26"/>
                <w:szCs w:val="26"/>
                <w:rtl/>
              </w:rPr>
              <w:t>–</w:t>
            </w:r>
            <w:r w:rsidRPr="006008E1">
              <w:rPr>
                <w:rFonts w:hint="cs"/>
                <w:b/>
                <w:bCs/>
                <w:noProof w:val="0"/>
                <w:sz w:val="26"/>
                <w:szCs w:val="26"/>
                <w:rtl/>
              </w:rPr>
              <w:t xml:space="preserve"> שלוחת נגב</w:t>
            </w:r>
          </w:p>
        </w:tc>
      </w:tr>
      <w:bookmarkEnd w:id="2"/>
      <w:tr w:rsidR="006B029B" w:rsidRPr="006008E1" w14:paraId="1BDCBA4D" w14:textId="77777777" w:rsidTr="006B029B">
        <w:trPr>
          <w:jc w:val="center"/>
        </w:trPr>
        <w:tc>
          <w:tcPr>
            <w:tcW w:w="8820" w:type="dxa"/>
            <w:gridSpan w:val="3"/>
            <w:shd w:val="clear" w:color="auto" w:fill="auto"/>
          </w:tcPr>
          <w:p w14:paraId="102F271A" w14:textId="77777777" w:rsidR="006B029B" w:rsidRPr="006008E1" w:rsidRDefault="006B029B" w:rsidP="006B029B">
            <w:pPr>
              <w:suppressLineNumbers/>
              <w:rPr>
                <w:rFonts w:ascii="Arial" w:hAnsi="Arial"/>
                <w:b/>
                <w:bCs/>
                <w:noProof w:val="0"/>
                <w:sz w:val="26"/>
                <w:szCs w:val="26"/>
                <w:rtl/>
              </w:rPr>
            </w:pPr>
          </w:p>
          <w:p w14:paraId="7BFBCF88" w14:textId="77777777" w:rsidR="006B029B" w:rsidRPr="006008E1" w:rsidRDefault="006B029B" w:rsidP="006B029B">
            <w:pPr>
              <w:suppressLineNumbers/>
              <w:jc w:val="center"/>
              <w:rPr>
                <w:rFonts w:ascii="Arial" w:hAnsi="Arial"/>
                <w:b/>
                <w:bCs/>
                <w:noProof w:val="0"/>
                <w:sz w:val="26"/>
                <w:szCs w:val="26"/>
                <w:rtl/>
              </w:rPr>
            </w:pPr>
            <w:r w:rsidRPr="006008E1">
              <w:rPr>
                <w:rFonts w:ascii="Arial" w:hAnsi="Arial"/>
                <w:b/>
                <w:bCs/>
                <w:noProof w:val="0"/>
                <w:sz w:val="26"/>
                <w:szCs w:val="26"/>
                <w:rtl/>
              </w:rPr>
              <w:t>נגד</w:t>
            </w:r>
          </w:p>
          <w:p w14:paraId="0655925D" w14:textId="77777777" w:rsidR="006B029B" w:rsidRPr="006008E1" w:rsidRDefault="006B029B" w:rsidP="006B029B">
            <w:pPr>
              <w:suppressLineNumbers/>
              <w:rPr>
                <w:rFonts w:ascii="Arial" w:hAnsi="Arial"/>
                <w:b/>
                <w:bCs/>
                <w:noProof w:val="0"/>
                <w:sz w:val="26"/>
                <w:szCs w:val="26"/>
              </w:rPr>
            </w:pPr>
          </w:p>
        </w:tc>
      </w:tr>
      <w:tr w:rsidR="006B029B" w:rsidRPr="006008E1" w14:paraId="78F07943" w14:textId="77777777" w:rsidTr="006B029B">
        <w:trPr>
          <w:jc w:val="center"/>
        </w:trPr>
        <w:tc>
          <w:tcPr>
            <w:tcW w:w="3249" w:type="dxa"/>
            <w:gridSpan w:val="2"/>
            <w:shd w:val="clear" w:color="auto" w:fill="auto"/>
          </w:tcPr>
          <w:p w14:paraId="7DE3DE81" w14:textId="77777777" w:rsidR="006B029B" w:rsidRPr="006008E1" w:rsidRDefault="006B029B" w:rsidP="006B029B">
            <w:pPr>
              <w:suppressLineNumbers/>
              <w:rPr>
                <w:rFonts w:ascii="Arial" w:hAnsi="Arial"/>
                <w:b/>
                <w:bCs/>
                <w:noProof w:val="0"/>
                <w:sz w:val="26"/>
                <w:szCs w:val="26"/>
              </w:rPr>
            </w:pPr>
            <w:r w:rsidRPr="006008E1">
              <w:rPr>
                <w:rFonts w:ascii="Arial" w:hAnsi="Arial"/>
                <w:b/>
                <w:bCs/>
                <w:noProof w:val="0"/>
                <w:sz w:val="26"/>
                <w:szCs w:val="26"/>
                <w:rtl/>
              </w:rPr>
              <w:t>נאשמים</w:t>
            </w:r>
          </w:p>
        </w:tc>
        <w:tc>
          <w:tcPr>
            <w:tcW w:w="5571" w:type="dxa"/>
            <w:shd w:val="clear" w:color="auto" w:fill="auto"/>
          </w:tcPr>
          <w:p w14:paraId="29DC0675" w14:textId="77777777" w:rsidR="006B029B" w:rsidRPr="006008E1" w:rsidRDefault="006B029B" w:rsidP="006B029B">
            <w:pPr>
              <w:suppressLineNumbers/>
              <w:rPr>
                <w:rFonts w:ascii="Arial" w:hAnsi="Arial"/>
                <w:b/>
                <w:bCs/>
                <w:noProof w:val="0"/>
                <w:sz w:val="26"/>
                <w:szCs w:val="26"/>
                <w:rtl/>
              </w:rPr>
            </w:pPr>
            <w:r w:rsidRPr="006008E1">
              <w:rPr>
                <w:rFonts w:ascii="Arial" w:hAnsi="Arial"/>
                <w:b/>
                <w:bCs/>
                <w:noProof w:val="0"/>
                <w:sz w:val="26"/>
                <w:szCs w:val="26"/>
                <w:rtl/>
              </w:rPr>
              <w:t>נתנאל יוסף רגפורקר</w:t>
            </w:r>
            <w:r w:rsidRPr="006008E1">
              <w:rPr>
                <w:rFonts w:ascii="Arial" w:hAnsi="Arial"/>
                <w:b/>
                <w:bCs/>
                <w:noProof w:val="0"/>
                <w:sz w:val="26"/>
                <w:szCs w:val="26"/>
                <w:rtl/>
              </w:rPr>
              <w:br/>
            </w:r>
            <w:r w:rsidRPr="006008E1">
              <w:rPr>
                <w:rFonts w:ascii="Arial" w:hAnsi="Arial" w:hint="cs"/>
                <w:b/>
                <w:bCs/>
                <w:noProof w:val="0"/>
                <w:sz w:val="26"/>
                <w:szCs w:val="26"/>
                <w:rtl/>
              </w:rPr>
              <w:t>באמצעות ב"כ עו"ד ליאור כהן</w:t>
            </w:r>
          </w:p>
        </w:tc>
      </w:tr>
    </w:tbl>
    <w:p w14:paraId="3C68F979" w14:textId="77777777" w:rsidR="006008E1" w:rsidRPr="006008E1" w:rsidRDefault="006008E1" w:rsidP="006008E1">
      <w:pPr>
        <w:widowControl w:val="0"/>
        <w:spacing w:before="120" w:after="120" w:line="240" w:lineRule="exact"/>
        <w:ind w:left="283" w:hanging="283"/>
        <w:jc w:val="both"/>
        <w:rPr>
          <w:rFonts w:ascii="FrankRuehl" w:hAnsi="FrankRuehl" w:cs="FrankRuehl"/>
          <w:rtl/>
        </w:rPr>
      </w:pPr>
      <w:bookmarkStart w:id="3" w:name="NGCSBookmark"/>
      <w:bookmarkEnd w:id="3"/>
    </w:p>
    <w:p w14:paraId="223773CC" w14:textId="77777777" w:rsidR="006008E1" w:rsidRPr="006008E1" w:rsidRDefault="006008E1" w:rsidP="006008E1">
      <w:pPr>
        <w:widowControl w:val="0"/>
        <w:spacing w:before="240" w:line="360" w:lineRule="auto"/>
        <w:jc w:val="center"/>
        <w:rPr>
          <w:rFonts w:ascii="David" w:hAnsi="David"/>
          <w:sz w:val="36"/>
          <w:szCs w:val="36"/>
          <w:rtl/>
        </w:rPr>
      </w:pPr>
    </w:p>
    <w:p w14:paraId="44620E9C" w14:textId="77777777" w:rsidR="00CC75D5" w:rsidRPr="00CC75D5" w:rsidRDefault="00CC75D5" w:rsidP="00CC75D5">
      <w:pPr>
        <w:widowControl w:val="0"/>
        <w:spacing w:before="120" w:after="120" w:line="240" w:lineRule="exact"/>
        <w:ind w:left="283" w:hanging="283"/>
        <w:jc w:val="both"/>
        <w:rPr>
          <w:rFonts w:ascii="FrankRuehl" w:hAnsi="FrankRuehl" w:cs="FrankRuehl"/>
          <w:rtl/>
        </w:rPr>
      </w:pPr>
      <w:bookmarkStart w:id="4" w:name="LawTable"/>
      <w:bookmarkEnd w:id="4"/>
    </w:p>
    <w:p w14:paraId="00D744AD" w14:textId="77777777" w:rsidR="00CC75D5" w:rsidRPr="00CC75D5" w:rsidRDefault="00CC75D5" w:rsidP="00CC75D5">
      <w:pPr>
        <w:widowControl w:val="0"/>
        <w:spacing w:before="120" w:after="120" w:line="240" w:lineRule="exact"/>
        <w:ind w:left="283" w:hanging="283"/>
        <w:jc w:val="both"/>
        <w:rPr>
          <w:rFonts w:ascii="FrankRuehl" w:hAnsi="FrankRuehl" w:cs="FrankRuehl"/>
          <w:rtl/>
        </w:rPr>
      </w:pPr>
      <w:r w:rsidRPr="00CC75D5">
        <w:rPr>
          <w:rFonts w:ascii="FrankRuehl" w:hAnsi="FrankRuehl" w:cs="FrankRuehl"/>
          <w:rtl/>
        </w:rPr>
        <w:t xml:space="preserve">חקיקה שאוזכרה: </w:t>
      </w:r>
    </w:p>
    <w:p w14:paraId="5D7257B2"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7" w:history="1">
        <w:r w:rsidRPr="00CC75D5">
          <w:rPr>
            <w:rStyle w:val="Hyperlink"/>
            <w:rFonts w:ascii="FrankRuehl" w:hAnsi="FrankRuehl" w:cs="FrankRuehl"/>
            <w:u w:val="none"/>
            <w:rtl/>
          </w:rPr>
          <w:t>פקודת הסמים המסוכנים [נוסח חדש], תשל"ג-1973</w:t>
        </w:r>
      </w:hyperlink>
      <w:r w:rsidRPr="00CC75D5">
        <w:rPr>
          <w:rFonts w:ascii="FrankRuehl" w:hAnsi="FrankRuehl" w:cs="FrankRuehl"/>
          <w:color w:val="0000FF"/>
          <w:rtl/>
        </w:rPr>
        <w:t xml:space="preserve">: סע'  </w:t>
      </w:r>
      <w:hyperlink r:id="rId8" w:history="1">
        <w:r w:rsidRPr="00CC75D5">
          <w:rPr>
            <w:rStyle w:val="Hyperlink"/>
            <w:rFonts w:ascii="FrankRuehl" w:hAnsi="FrankRuehl" w:cs="FrankRuehl"/>
            <w:u w:val="none"/>
          </w:rPr>
          <w:t xml:space="preserve">7 </w:t>
        </w:r>
      </w:hyperlink>
      <w:r w:rsidRPr="00CC75D5">
        <w:rPr>
          <w:rFonts w:ascii="FrankRuehl" w:hAnsi="FrankRuehl" w:cs="FrankRuehl"/>
          <w:color w:val="0000FF"/>
          <w:rtl/>
        </w:rPr>
        <w:t xml:space="preserve">(א), </w:t>
      </w:r>
      <w:hyperlink r:id="rId9" w:history="1">
        <w:r w:rsidRPr="00CC75D5">
          <w:rPr>
            <w:rStyle w:val="Hyperlink"/>
            <w:rFonts w:ascii="FrankRuehl" w:hAnsi="FrankRuehl" w:cs="FrankRuehl"/>
            <w:u w:val="none"/>
          </w:rPr>
          <w:t xml:space="preserve">7 </w:t>
        </w:r>
      </w:hyperlink>
      <w:r w:rsidRPr="00CC75D5">
        <w:rPr>
          <w:rFonts w:ascii="FrankRuehl" w:hAnsi="FrankRuehl" w:cs="FrankRuehl"/>
          <w:color w:val="0000FF"/>
          <w:rtl/>
        </w:rPr>
        <w:t>(ג)</w:t>
      </w:r>
    </w:p>
    <w:p w14:paraId="069B2002"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10" w:history="1">
        <w:r w:rsidRPr="00CC75D5">
          <w:rPr>
            <w:rStyle w:val="Hyperlink"/>
            <w:rFonts w:ascii="FrankRuehl" w:hAnsi="FrankRuehl" w:cs="FrankRuehl"/>
            <w:u w:val="none"/>
            <w:rtl/>
          </w:rPr>
          <w:t>תקנות העבירות המינהליות (קנס מינהלי – החזקת קנאביס ושימוש בו לצריכה עצמית), תשפ"ב-2022</w:t>
        </w:r>
      </w:hyperlink>
    </w:p>
    <w:p w14:paraId="0827B197"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11" w:history="1">
        <w:r w:rsidRPr="00CC75D5">
          <w:rPr>
            <w:rStyle w:val="Hyperlink"/>
            <w:rFonts w:ascii="FrankRuehl" w:hAnsi="FrankRuehl" w:cs="FrankRuehl"/>
            <w:u w:val="none"/>
            <w:rtl/>
          </w:rPr>
          <w:t>חוק העבירות המינהליות, תשמ"ו-1985</w:t>
        </w:r>
      </w:hyperlink>
      <w:r w:rsidRPr="00CC75D5">
        <w:rPr>
          <w:rFonts w:ascii="FrankRuehl" w:hAnsi="FrankRuehl" w:cs="FrankRuehl"/>
          <w:color w:val="0000FF"/>
          <w:rtl/>
        </w:rPr>
        <w:t xml:space="preserve">: סע'  </w:t>
      </w:r>
      <w:hyperlink r:id="rId12" w:history="1">
        <w:r w:rsidRPr="00CC75D5">
          <w:rPr>
            <w:rStyle w:val="Hyperlink"/>
            <w:rFonts w:ascii="FrankRuehl" w:hAnsi="FrankRuehl" w:cs="FrankRuehl"/>
            <w:u w:val="none"/>
          </w:rPr>
          <w:t>1</w:t>
        </w:r>
      </w:hyperlink>
      <w:r w:rsidRPr="00CC75D5">
        <w:rPr>
          <w:rFonts w:ascii="FrankRuehl" w:hAnsi="FrankRuehl" w:cs="FrankRuehl"/>
          <w:color w:val="0000FF"/>
          <w:rtl/>
        </w:rPr>
        <w:t xml:space="preserve">(ג), </w:t>
      </w:r>
      <w:hyperlink r:id="rId13" w:history="1">
        <w:r w:rsidRPr="00CC75D5">
          <w:rPr>
            <w:rStyle w:val="Hyperlink"/>
            <w:rFonts w:ascii="FrankRuehl" w:hAnsi="FrankRuehl" w:cs="FrankRuehl"/>
            <w:u w:val="none"/>
          </w:rPr>
          <w:t>15</w:t>
        </w:r>
      </w:hyperlink>
      <w:r w:rsidRPr="00CC75D5">
        <w:rPr>
          <w:rFonts w:ascii="FrankRuehl" w:hAnsi="FrankRuehl" w:cs="FrankRuehl"/>
          <w:color w:val="0000FF"/>
          <w:rtl/>
        </w:rPr>
        <w:t xml:space="preserve">, </w:t>
      </w:r>
      <w:hyperlink r:id="rId14" w:history="1">
        <w:r w:rsidRPr="00CC75D5">
          <w:rPr>
            <w:rStyle w:val="Hyperlink"/>
            <w:rFonts w:ascii="FrankRuehl" w:hAnsi="FrankRuehl" w:cs="FrankRuehl"/>
            <w:u w:val="none"/>
          </w:rPr>
          <w:t>23</w:t>
        </w:r>
      </w:hyperlink>
    </w:p>
    <w:p w14:paraId="75D49E8E"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15" w:history="1">
        <w:r w:rsidRPr="00CC75D5">
          <w:rPr>
            <w:rStyle w:val="Hyperlink"/>
            <w:rFonts w:ascii="FrankRuehl" w:hAnsi="FrankRuehl" w:cs="FrankRuehl"/>
            <w:u w:val="none"/>
            <w:rtl/>
          </w:rPr>
          <w:t>תקנות העבירות המינהליות, תשמ"ו-1986</w:t>
        </w:r>
      </w:hyperlink>
    </w:p>
    <w:p w14:paraId="78D3B055"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16" w:history="1">
        <w:r w:rsidRPr="00CC75D5">
          <w:rPr>
            <w:rStyle w:val="Hyperlink"/>
            <w:rFonts w:ascii="FrankRuehl" w:hAnsi="FrankRuehl" w:cs="FrankRuehl"/>
            <w:u w:val="none"/>
            <w:rtl/>
          </w:rPr>
          <w:t>חוק העונשין, תשל"ז-1977</w:t>
        </w:r>
      </w:hyperlink>
      <w:r w:rsidRPr="00CC75D5">
        <w:rPr>
          <w:rFonts w:ascii="FrankRuehl" w:hAnsi="FrankRuehl" w:cs="FrankRuehl"/>
          <w:color w:val="0000FF"/>
          <w:rtl/>
        </w:rPr>
        <w:t xml:space="preserve">: סע'  </w:t>
      </w:r>
      <w:hyperlink r:id="rId17" w:history="1">
        <w:r w:rsidRPr="00CC75D5">
          <w:rPr>
            <w:rStyle w:val="Hyperlink"/>
            <w:rFonts w:ascii="FrankRuehl" w:hAnsi="FrankRuehl" w:cs="FrankRuehl"/>
            <w:u w:val="none"/>
          </w:rPr>
          <w:t>5</w:t>
        </w:r>
      </w:hyperlink>
      <w:r w:rsidRPr="00CC75D5">
        <w:rPr>
          <w:rFonts w:ascii="FrankRuehl" w:hAnsi="FrankRuehl" w:cs="FrankRuehl"/>
          <w:color w:val="0000FF"/>
          <w:rtl/>
        </w:rPr>
        <w:t xml:space="preserve">, </w:t>
      </w:r>
      <w:hyperlink r:id="rId18" w:history="1">
        <w:r w:rsidRPr="00CC75D5">
          <w:rPr>
            <w:rStyle w:val="Hyperlink"/>
            <w:rFonts w:ascii="FrankRuehl" w:hAnsi="FrankRuehl" w:cs="FrankRuehl"/>
            <w:u w:val="none"/>
          </w:rPr>
          <w:t>5</w:t>
        </w:r>
      </w:hyperlink>
      <w:r w:rsidRPr="00CC75D5">
        <w:rPr>
          <w:rFonts w:ascii="FrankRuehl" w:hAnsi="FrankRuehl" w:cs="FrankRuehl"/>
          <w:color w:val="0000FF"/>
          <w:rtl/>
        </w:rPr>
        <w:t xml:space="preserve">(א), </w:t>
      </w:r>
      <w:hyperlink r:id="rId19" w:history="1">
        <w:r w:rsidRPr="00CC75D5">
          <w:rPr>
            <w:rStyle w:val="Hyperlink"/>
            <w:rFonts w:ascii="FrankRuehl" w:hAnsi="FrankRuehl" w:cs="FrankRuehl"/>
            <w:u w:val="none"/>
          </w:rPr>
          <w:t>25</w:t>
        </w:r>
      </w:hyperlink>
      <w:r w:rsidRPr="00CC75D5">
        <w:rPr>
          <w:rFonts w:ascii="FrankRuehl" w:hAnsi="FrankRuehl" w:cs="FrankRuehl"/>
          <w:color w:val="0000FF"/>
          <w:rtl/>
        </w:rPr>
        <w:t>(א)</w:t>
      </w:r>
    </w:p>
    <w:p w14:paraId="6C20ABBB" w14:textId="77777777" w:rsidR="00CC75D5" w:rsidRPr="00CC75D5" w:rsidRDefault="00CC75D5" w:rsidP="00CC75D5">
      <w:pPr>
        <w:widowControl w:val="0"/>
        <w:spacing w:before="120" w:after="120" w:line="240" w:lineRule="exact"/>
        <w:ind w:left="283" w:hanging="283"/>
        <w:jc w:val="both"/>
        <w:rPr>
          <w:rFonts w:ascii="FrankRuehl" w:hAnsi="FrankRuehl" w:cs="FrankRuehl"/>
          <w:color w:val="0000FF"/>
          <w:rtl/>
        </w:rPr>
      </w:pPr>
      <w:hyperlink r:id="rId20" w:history="1">
        <w:r w:rsidRPr="00CC75D5">
          <w:rPr>
            <w:rStyle w:val="Hyperlink"/>
            <w:rFonts w:ascii="FrankRuehl" w:hAnsi="FrankRuehl" w:cs="FrankRuehl"/>
            <w:u w:val="none"/>
            <w:rtl/>
          </w:rPr>
          <w:t>חוק סדר הדין הפלילי [נוסח משולב], תשמ"ב-1982</w:t>
        </w:r>
      </w:hyperlink>
      <w:r w:rsidRPr="00CC75D5">
        <w:rPr>
          <w:rFonts w:ascii="FrankRuehl" w:hAnsi="FrankRuehl" w:cs="FrankRuehl"/>
          <w:color w:val="0000FF"/>
          <w:rtl/>
        </w:rPr>
        <w:t xml:space="preserve">: סע'  </w:t>
      </w:r>
      <w:hyperlink r:id="rId21" w:history="1">
        <w:r w:rsidRPr="00CC75D5">
          <w:rPr>
            <w:rStyle w:val="Hyperlink"/>
            <w:rFonts w:ascii="FrankRuehl" w:hAnsi="FrankRuehl" w:cs="FrankRuehl"/>
            <w:u w:val="none"/>
          </w:rPr>
          <w:t>192</w:t>
        </w:r>
        <w:r w:rsidRPr="00CC75D5">
          <w:rPr>
            <w:rStyle w:val="Hyperlink"/>
            <w:rFonts w:ascii="FrankRuehl" w:hAnsi="FrankRuehl" w:cs="FrankRuehl"/>
            <w:u w:val="none"/>
            <w:rtl/>
          </w:rPr>
          <w:t>א</w:t>
        </w:r>
      </w:hyperlink>
    </w:p>
    <w:p w14:paraId="3C6912B4" w14:textId="77777777" w:rsidR="006008E1" w:rsidRPr="00CC75D5" w:rsidRDefault="006008E1" w:rsidP="00CC75D5">
      <w:pPr>
        <w:widowControl w:val="0"/>
        <w:spacing w:before="240" w:line="360" w:lineRule="auto"/>
        <w:jc w:val="center"/>
        <w:rPr>
          <w:rFonts w:ascii="David" w:hAnsi="David"/>
          <w:sz w:val="36"/>
          <w:szCs w:val="36"/>
          <w:rtl/>
        </w:rPr>
      </w:pPr>
      <w:bookmarkStart w:id="5" w:name="LawTable_End"/>
      <w:bookmarkEnd w:id="5"/>
    </w:p>
    <w:p w14:paraId="25FF6147" w14:textId="77777777" w:rsidR="006008E1" w:rsidRPr="006008E1" w:rsidRDefault="006008E1" w:rsidP="006008E1">
      <w:pPr>
        <w:widowControl w:val="0"/>
        <w:spacing w:before="240" w:line="360" w:lineRule="auto"/>
        <w:jc w:val="center"/>
        <w:rPr>
          <w:rFonts w:ascii="David" w:hAnsi="David"/>
          <w:b/>
          <w:bCs/>
          <w:sz w:val="36"/>
          <w:szCs w:val="36"/>
          <w:u w:val="single"/>
          <w:rtl/>
        </w:rPr>
      </w:pPr>
      <w:bookmarkStart w:id="6" w:name="PsakDin"/>
      <w:bookmarkEnd w:id="0"/>
      <w:bookmarkEnd w:id="1"/>
      <w:r w:rsidRPr="006008E1">
        <w:rPr>
          <w:rFonts w:ascii="David" w:hAnsi="David"/>
          <w:b/>
          <w:bCs/>
          <w:sz w:val="36"/>
          <w:szCs w:val="36"/>
          <w:u w:val="single"/>
          <w:rtl/>
        </w:rPr>
        <w:t>גזר דין</w:t>
      </w:r>
    </w:p>
    <w:bookmarkEnd w:id="6"/>
    <w:p w14:paraId="5143AB1F" w14:textId="77777777" w:rsidR="006B029B" w:rsidRDefault="006B029B" w:rsidP="006B029B">
      <w:pPr>
        <w:widowControl w:val="0"/>
        <w:spacing w:before="240" w:line="360" w:lineRule="auto"/>
        <w:jc w:val="both"/>
        <w:rPr>
          <w:rFonts w:ascii="David" w:hAnsi="David"/>
          <w:b/>
          <w:bCs/>
          <w:sz w:val="28"/>
          <w:szCs w:val="28"/>
          <w:u w:val="single"/>
          <w:rtl/>
        </w:rPr>
      </w:pPr>
      <w:r>
        <w:rPr>
          <w:rFonts w:ascii="David" w:hAnsi="David"/>
          <w:b/>
          <w:bCs/>
          <w:sz w:val="28"/>
          <w:szCs w:val="28"/>
          <w:u w:val="single"/>
          <w:rtl/>
        </w:rPr>
        <w:t xml:space="preserve">רקע עובדתי </w:t>
      </w:r>
    </w:p>
    <w:p w14:paraId="2C08A54C" w14:textId="77777777" w:rsidR="006B029B" w:rsidRDefault="006B029B" w:rsidP="006B029B">
      <w:pPr>
        <w:pStyle w:val="1"/>
        <w:spacing w:line="360" w:lineRule="auto"/>
        <w:ind w:left="360"/>
        <w:jc w:val="both"/>
        <w:rPr>
          <w:rFonts w:ascii="David" w:hAnsi="David" w:cs="David"/>
          <w:sz w:val="24"/>
          <w:szCs w:val="24"/>
          <w:rtl/>
        </w:rPr>
      </w:pPr>
    </w:p>
    <w:p w14:paraId="62BA10B3" w14:textId="77777777" w:rsidR="006B029B" w:rsidRDefault="006B029B" w:rsidP="006B029B">
      <w:pPr>
        <w:pStyle w:val="1"/>
        <w:numPr>
          <w:ilvl w:val="0"/>
          <w:numId w:val="1"/>
        </w:numPr>
        <w:spacing w:line="360" w:lineRule="auto"/>
        <w:ind w:left="360"/>
        <w:jc w:val="both"/>
        <w:rPr>
          <w:rFonts w:ascii="David" w:hAnsi="David" w:cs="David"/>
          <w:sz w:val="24"/>
          <w:szCs w:val="24"/>
        </w:rPr>
      </w:pPr>
      <w:bookmarkStart w:id="7" w:name="ABSTRACT_START"/>
      <w:bookmarkEnd w:id="7"/>
      <w:r>
        <w:rPr>
          <w:rFonts w:ascii="David" w:hAnsi="David" w:cs="David"/>
          <w:sz w:val="24"/>
          <w:szCs w:val="24"/>
          <w:rtl/>
        </w:rPr>
        <w:t>הנאשם הודה והורשע במסגרת הסדר בעבירת</w:t>
      </w:r>
      <w:r>
        <w:rPr>
          <w:rFonts w:ascii="David" w:hAnsi="David" w:cs="David"/>
          <w:b/>
          <w:bCs/>
          <w:sz w:val="24"/>
          <w:szCs w:val="24"/>
          <w:rtl/>
        </w:rPr>
        <w:t xml:space="preserve"> החזקת סם מסוכן לצריכה עצמית</w:t>
      </w:r>
      <w:r>
        <w:rPr>
          <w:rFonts w:ascii="David" w:hAnsi="David" w:cs="David"/>
          <w:sz w:val="24"/>
          <w:szCs w:val="24"/>
          <w:rtl/>
        </w:rPr>
        <w:t xml:space="preserve"> -  עבירה לפי סעיף </w:t>
      </w:r>
      <w:hyperlink r:id="rId22" w:history="1">
        <w:r w:rsidR="00CC75D5" w:rsidRPr="00CC75D5">
          <w:rPr>
            <w:rStyle w:val="Hyperlink"/>
            <w:rFonts w:ascii="David" w:hAnsi="David" w:cs="David"/>
            <w:sz w:val="24"/>
            <w:szCs w:val="24"/>
            <w:rtl/>
          </w:rPr>
          <w:t>7 (א)</w:t>
        </w:r>
      </w:hyperlink>
      <w:r>
        <w:rPr>
          <w:rFonts w:ascii="David" w:hAnsi="David" w:cs="David"/>
          <w:sz w:val="24"/>
          <w:szCs w:val="24"/>
          <w:rtl/>
        </w:rPr>
        <w:t xml:space="preserve"> יחד עם סעיף </w:t>
      </w:r>
      <w:hyperlink r:id="rId23" w:history="1">
        <w:r w:rsidR="00CC75D5" w:rsidRPr="00CC75D5">
          <w:rPr>
            <w:rStyle w:val="Hyperlink"/>
            <w:rFonts w:ascii="David" w:hAnsi="David" w:cs="David"/>
            <w:sz w:val="24"/>
            <w:szCs w:val="24"/>
            <w:rtl/>
          </w:rPr>
          <w:t>7 (ג)</w:t>
        </w:r>
      </w:hyperlink>
      <w:r w:rsidRPr="006008E1">
        <w:rPr>
          <w:rFonts w:ascii="David" w:hAnsi="David" w:cs="David"/>
          <w:color w:val="000000"/>
          <w:sz w:val="24"/>
          <w:szCs w:val="24"/>
          <w:rtl/>
        </w:rPr>
        <w:t xml:space="preserve"> </w:t>
      </w:r>
      <w:r>
        <w:rPr>
          <w:rFonts w:ascii="David" w:hAnsi="David" w:cs="David"/>
          <w:sz w:val="24"/>
          <w:szCs w:val="24"/>
          <w:rtl/>
        </w:rPr>
        <w:t>סיפא ל</w:t>
      </w:r>
      <w:hyperlink r:id="rId24" w:history="1">
        <w:r w:rsidR="006008E1" w:rsidRPr="006008E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מכתב האישום המתוקן עולה כי ביום 26.6.21 החזיק הנאשם בביתו שתיל קנאביס במשקל 0.87 גרם נטו לצריכתו העצמית.  </w:t>
      </w:r>
    </w:p>
    <w:p w14:paraId="171F96CB" w14:textId="77777777" w:rsidR="006B029B" w:rsidRDefault="006B029B" w:rsidP="006B029B">
      <w:pPr>
        <w:pStyle w:val="1"/>
        <w:spacing w:line="360" w:lineRule="auto"/>
        <w:ind w:left="360"/>
        <w:jc w:val="both"/>
        <w:rPr>
          <w:rFonts w:ascii="David" w:hAnsi="David" w:cs="David"/>
          <w:sz w:val="24"/>
          <w:szCs w:val="24"/>
        </w:rPr>
      </w:pPr>
    </w:p>
    <w:p w14:paraId="31E8B593" w14:textId="77777777" w:rsidR="006B029B" w:rsidRDefault="006B029B" w:rsidP="006B029B">
      <w:pPr>
        <w:pStyle w:val="1"/>
        <w:numPr>
          <w:ilvl w:val="0"/>
          <w:numId w:val="1"/>
        </w:numPr>
        <w:spacing w:line="360" w:lineRule="auto"/>
        <w:ind w:left="360"/>
        <w:jc w:val="both"/>
        <w:rPr>
          <w:rFonts w:ascii="David" w:hAnsi="David" w:cs="David"/>
          <w:sz w:val="24"/>
          <w:szCs w:val="24"/>
        </w:rPr>
      </w:pPr>
      <w:bookmarkStart w:id="8" w:name="ABSTRACT_END"/>
      <w:bookmarkEnd w:id="8"/>
      <w:r>
        <w:rPr>
          <w:rFonts w:ascii="David" w:hAnsi="David" w:cs="David"/>
          <w:sz w:val="24"/>
          <w:szCs w:val="24"/>
          <w:rtl/>
        </w:rPr>
        <w:t>במסגרת ההסדר הוסכם כי הצדדים יטענו לעונש באופן פתוח, לאחר קבלת תסקיר.</w:t>
      </w:r>
    </w:p>
    <w:p w14:paraId="478A9B59" w14:textId="77777777" w:rsidR="006B029B" w:rsidRDefault="006B029B" w:rsidP="006B029B">
      <w:pPr>
        <w:spacing w:line="360" w:lineRule="auto"/>
        <w:rPr>
          <w:rFonts w:ascii="David" w:hAnsi="David"/>
          <w:b/>
          <w:bCs/>
          <w:sz w:val="28"/>
          <w:szCs w:val="28"/>
          <w:u w:val="single"/>
        </w:rPr>
      </w:pPr>
    </w:p>
    <w:p w14:paraId="2B768218" w14:textId="77777777" w:rsidR="006B029B" w:rsidRDefault="006B029B" w:rsidP="006B029B">
      <w:pPr>
        <w:spacing w:line="360" w:lineRule="auto"/>
        <w:rPr>
          <w:rFonts w:ascii="David" w:hAnsi="David"/>
          <w:sz w:val="28"/>
          <w:szCs w:val="28"/>
          <w:rtl/>
        </w:rPr>
      </w:pPr>
      <w:r>
        <w:rPr>
          <w:rFonts w:ascii="David" w:hAnsi="David"/>
          <w:b/>
          <w:bCs/>
          <w:sz w:val="28"/>
          <w:szCs w:val="28"/>
          <w:u w:val="single"/>
          <w:rtl/>
        </w:rPr>
        <w:lastRenderedPageBreak/>
        <w:t xml:space="preserve">תסקיר שירות המבחן  </w:t>
      </w:r>
    </w:p>
    <w:p w14:paraId="7C69A79C" w14:textId="77777777" w:rsidR="006B029B" w:rsidRDefault="006B029B" w:rsidP="006B029B">
      <w:pPr>
        <w:pStyle w:val="1"/>
        <w:spacing w:line="360" w:lineRule="auto"/>
        <w:rPr>
          <w:rFonts w:ascii="David" w:hAnsi="David" w:cs="David"/>
          <w:b/>
          <w:bCs/>
          <w:sz w:val="24"/>
          <w:szCs w:val="24"/>
          <w:u w:val="single"/>
        </w:rPr>
      </w:pPr>
    </w:p>
    <w:p w14:paraId="7C500427"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בעניינו של הנאשם התקבל תסקיר ביום 22.9.24 ממנו עלה כי הנאשם צעיר ללא עבר פלילי, משפחתו מהווה גורם תמיכה משמעותי עבורו והוא לוקח בכובד ראש את מחויבותו למקום העבודה והוא בעל שאיפות נורמטיביות. בצד האמור, אף עלה כי הנאשם השתמש בסמים לאורך השנים, על אף ניסיונות טיפול וכי קיימת אצלו אמביוולנטיות ביחס להשתלבות בהליך טיפולי. לאור האמור שירות המבחן לא בא בהמלצה טיפולית ואף לא בא בהמלצה על ביטול הרשעתו.</w:t>
      </w:r>
    </w:p>
    <w:p w14:paraId="24BC4F5F" w14:textId="77777777" w:rsidR="006B029B" w:rsidRDefault="006B029B" w:rsidP="006B029B">
      <w:pPr>
        <w:pStyle w:val="1"/>
        <w:spacing w:line="360" w:lineRule="auto"/>
        <w:ind w:left="360"/>
        <w:jc w:val="both"/>
        <w:rPr>
          <w:rFonts w:ascii="David" w:hAnsi="David" w:cs="David"/>
          <w:sz w:val="24"/>
          <w:szCs w:val="24"/>
          <w:rtl/>
        </w:rPr>
      </w:pPr>
    </w:p>
    <w:p w14:paraId="673DA515" w14:textId="77777777" w:rsidR="006B029B" w:rsidRDefault="006B029B" w:rsidP="006B029B">
      <w:pPr>
        <w:spacing w:line="360" w:lineRule="auto"/>
        <w:jc w:val="both"/>
        <w:rPr>
          <w:rFonts w:ascii="David" w:hAnsi="David"/>
          <w:bCs/>
          <w:sz w:val="28"/>
          <w:szCs w:val="28"/>
          <w:u w:val="single"/>
        </w:rPr>
      </w:pPr>
      <w:r>
        <w:rPr>
          <w:rFonts w:ascii="David" w:hAnsi="David"/>
          <w:bCs/>
          <w:sz w:val="28"/>
          <w:szCs w:val="28"/>
          <w:u w:val="single"/>
          <w:rtl/>
        </w:rPr>
        <w:t>טיעוני הצדדים</w:t>
      </w:r>
    </w:p>
    <w:p w14:paraId="42F311F6"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ב"כ המאשימה הגישה ראיה לעונש – רישום תעבורתי יחיד של הנאשם משנת 2021 בגין עבירה של עצירה המפריעה לתנועה בגינה הוטל על הנאשם קנס בסך 250 ₪. (ת/1) </w:t>
      </w:r>
    </w:p>
    <w:p w14:paraId="0204E376" w14:textId="77777777" w:rsidR="006B029B" w:rsidRDefault="006B029B" w:rsidP="006B029B">
      <w:pPr>
        <w:pStyle w:val="1"/>
        <w:spacing w:line="360" w:lineRule="auto"/>
        <w:ind w:left="360"/>
        <w:jc w:val="both"/>
        <w:rPr>
          <w:rFonts w:ascii="David" w:hAnsi="David" w:cs="David"/>
          <w:sz w:val="24"/>
          <w:szCs w:val="24"/>
        </w:rPr>
      </w:pPr>
    </w:p>
    <w:p w14:paraId="1096D839"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ב"כ המאשימה הגישה טיעונים לעונש בכתב בהם פירטה את הפגיעה בערכים המוגנים . עתרה למתחם ענישה שבין מאסר על תנאי ועד 8 חודשי מאסר. הגם שלא תמכה עתירתה בפסיקה כלשהי. הפנתה לתסקיר השלילי, ועתרה לעונש בתחתית המתחם, וכן קנס, התחייבות, פסילה בפועל ופסילה על תנאי. </w:t>
      </w:r>
      <w:r>
        <w:rPr>
          <w:rFonts w:ascii="David" w:hAnsi="David" w:cs="David"/>
          <w:sz w:val="24"/>
          <w:szCs w:val="24"/>
        </w:rPr>
        <w:t xml:space="preserve"> </w:t>
      </w:r>
    </w:p>
    <w:p w14:paraId="05F1B896" w14:textId="77777777" w:rsidR="006B029B" w:rsidRDefault="006B029B" w:rsidP="006B029B">
      <w:pPr>
        <w:pStyle w:val="1"/>
        <w:spacing w:line="360" w:lineRule="auto"/>
        <w:ind w:left="360"/>
        <w:jc w:val="both"/>
        <w:rPr>
          <w:rFonts w:ascii="David" w:hAnsi="David" w:cs="David"/>
          <w:sz w:val="24"/>
          <w:szCs w:val="24"/>
          <w:rtl/>
        </w:rPr>
      </w:pPr>
    </w:p>
    <w:p w14:paraId="25430D9D"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ב"כ הנאשם, עתר לביטול הרשעת הנאשם, ולהסתפק בעיצום כספי בגובה 500 ₪, בשים לב לכך שמדובר בנאשם נעדר עבר פלילי אשר ובשים לב לכך שכיום ממילא העונש המקסימלי שניתן להטיל בגין החזקת סם מסוג קנאביס לצריכה עצמית הוא קנס מנהלי בסך 500 ₪. </w:t>
      </w:r>
    </w:p>
    <w:p w14:paraId="186DFF94" w14:textId="77777777" w:rsidR="006B029B" w:rsidRDefault="006B029B" w:rsidP="006B029B">
      <w:pPr>
        <w:spacing w:line="360" w:lineRule="auto"/>
        <w:jc w:val="both"/>
        <w:rPr>
          <w:rFonts w:ascii="David" w:hAnsi="David"/>
          <w:bCs/>
          <w:sz w:val="28"/>
          <w:szCs w:val="28"/>
          <w:u w:val="single"/>
          <w:rtl/>
        </w:rPr>
      </w:pPr>
    </w:p>
    <w:p w14:paraId="4EF28571" w14:textId="77777777" w:rsidR="006B029B" w:rsidRPr="00243219" w:rsidRDefault="006B029B" w:rsidP="006B029B">
      <w:pPr>
        <w:spacing w:line="360" w:lineRule="auto"/>
        <w:jc w:val="both"/>
        <w:rPr>
          <w:rFonts w:ascii="David" w:hAnsi="David"/>
          <w:bCs/>
          <w:sz w:val="28"/>
          <w:szCs w:val="28"/>
          <w:u w:val="single"/>
        </w:rPr>
      </w:pPr>
      <w:r w:rsidRPr="00243219">
        <w:rPr>
          <w:rFonts w:ascii="David" w:hAnsi="David"/>
          <w:bCs/>
          <w:sz w:val="28"/>
          <w:szCs w:val="28"/>
          <w:u w:val="single"/>
          <w:rtl/>
        </w:rPr>
        <w:t xml:space="preserve">דיון </w:t>
      </w:r>
    </w:p>
    <w:p w14:paraId="48F60E20"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בתיק זה, טרם גזירת העונש, מן הראוי להידרש לשלוש סוגיות משפטיות הנחוצות לעניין. בסוגיות אלו דנתי ב</w:t>
      </w:r>
      <w:hyperlink r:id="rId25" w:history="1">
        <w:r w:rsidR="006008E1" w:rsidRPr="006008E1">
          <w:rPr>
            <w:rFonts w:ascii="David" w:hAnsi="David" w:cs="David"/>
            <w:color w:val="0000FF"/>
            <w:sz w:val="24"/>
            <w:szCs w:val="24"/>
            <w:u w:val="single"/>
            <w:rtl/>
          </w:rPr>
          <w:t>ת"פ 43480-02-21</w:t>
        </w:r>
      </w:hyperlink>
      <w:r>
        <w:rPr>
          <w:rFonts w:ascii="David" w:hAnsi="David" w:cs="David"/>
          <w:sz w:val="24"/>
          <w:szCs w:val="24"/>
          <w:rtl/>
        </w:rPr>
        <w:t xml:space="preserve"> </w:t>
      </w:r>
      <w:r>
        <w:rPr>
          <w:rFonts w:ascii="David" w:hAnsi="David" w:cs="David"/>
          <w:b/>
          <w:bCs/>
          <w:sz w:val="24"/>
          <w:szCs w:val="24"/>
          <w:rtl/>
        </w:rPr>
        <w:t>מדינת ישראל נ' סבן</w:t>
      </w:r>
      <w:r>
        <w:rPr>
          <w:rFonts w:ascii="David" w:hAnsi="David" w:cs="David"/>
          <w:sz w:val="24"/>
          <w:szCs w:val="24"/>
          <w:rtl/>
        </w:rPr>
        <w:t>. אך נראה, כי מעת לעת יש צורך לחזור על הדברים.</w:t>
      </w:r>
    </w:p>
    <w:p w14:paraId="2288C5CE" w14:textId="77777777" w:rsidR="006B029B" w:rsidRDefault="006B029B" w:rsidP="006B029B">
      <w:pPr>
        <w:pStyle w:val="1"/>
        <w:spacing w:line="360" w:lineRule="auto"/>
        <w:ind w:left="360"/>
        <w:jc w:val="both"/>
        <w:rPr>
          <w:rFonts w:ascii="David" w:hAnsi="David" w:cs="David"/>
          <w:sz w:val="24"/>
          <w:szCs w:val="24"/>
          <w:rtl/>
        </w:rPr>
      </w:pPr>
    </w:p>
    <w:p w14:paraId="7419440D"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הסוגיה</w:t>
      </w:r>
      <w:r>
        <w:rPr>
          <w:rFonts w:ascii="David" w:hAnsi="David" w:cs="David"/>
          <w:b/>
          <w:bCs/>
          <w:sz w:val="24"/>
          <w:szCs w:val="24"/>
          <w:rtl/>
        </w:rPr>
        <w:t xml:space="preserve"> </w:t>
      </w:r>
      <w:r>
        <w:rPr>
          <w:rFonts w:ascii="David" w:hAnsi="David" w:cs="David"/>
          <w:sz w:val="24"/>
          <w:szCs w:val="24"/>
          <w:rtl/>
        </w:rPr>
        <w:t>הראשונה</w:t>
      </w:r>
      <w:r>
        <w:rPr>
          <w:rFonts w:ascii="David" w:hAnsi="David" w:cs="David"/>
          <w:b/>
          <w:bCs/>
          <w:sz w:val="24"/>
          <w:szCs w:val="24"/>
          <w:rtl/>
        </w:rPr>
        <w:t xml:space="preserve">, </w:t>
      </w:r>
      <w:r>
        <w:rPr>
          <w:rFonts w:ascii="David" w:hAnsi="David" w:cs="David"/>
          <w:sz w:val="24"/>
          <w:szCs w:val="24"/>
          <w:rtl/>
        </w:rPr>
        <w:t xml:space="preserve">עניינה סמכות התביעה להמשיך בניהול ההליך הפלילי לאחר התקנת </w:t>
      </w:r>
      <w:hyperlink r:id="rId26" w:history="1">
        <w:r w:rsidR="00CC75D5" w:rsidRPr="00CC75D5">
          <w:rPr>
            <w:rStyle w:val="Hyperlink"/>
            <w:rFonts w:ascii="David" w:hAnsi="David" w:cs="David"/>
            <w:sz w:val="24"/>
            <w:szCs w:val="24"/>
            <w:rtl/>
          </w:rPr>
          <w:t>תקנות העבירות המנהליות (קנס מינהלי – החזקת קנאביס ושימוש בו לצריכה עצמית), תשפ"ב-</w:t>
        </w:r>
      </w:hyperlink>
      <w:r>
        <w:rPr>
          <w:rFonts w:ascii="David" w:hAnsi="David" w:cs="David"/>
          <w:sz w:val="24"/>
          <w:szCs w:val="24"/>
          <w:rtl/>
        </w:rPr>
        <w:t xml:space="preserve">2022. (להלן: "התקנות"). </w:t>
      </w:r>
    </w:p>
    <w:p w14:paraId="0854AD39" w14:textId="77777777" w:rsidR="006B029B" w:rsidRDefault="006B029B" w:rsidP="006B029B">
      <w:pPr>
        <w:pStyle w:val="a9"/>
        <w:rPr>
          <w:rFonts w:ascii="David" w:hAnsi="David"/>
        </w:rPr>
      </w:pPr>
    </w:p>
    <w:p w14:paraId="338618FB"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 xml:space="preserve">בהתאם לתקנות, שנכנסו לתוקף ביום 1.4.22, החזקת סם קנאביס לצריכה עצמית הינה עבירה מנהלית שדינה קנס בסך 500 ₪. תקנות אלו משקפות אבן דרך נוספת במעבר המחוקק לעמדה נורמטיבית שונה ביחס להחזקת סמים מסוג קנאביס לצריכה עצמית. </w:t>
      </w:r>
      <w:r>
        <w:rPr>
          <w:rFonts w:cs="David"/>
          <w:sz w:val="24"/>
          <w:szCs w:val="24"/>
          <w:rtl/>
        </w:rPr>
        <w:t>המלצת הצוות הבין-משרדי שפעל במשרד המשפטים לבחינת המדיניות בנוגע לאיסור על צריכת קנאביס בתזכיר תקנות וצו – עבירות מנהליות (החזקת קנאביס ושימוש בו) הייתה כי: "</w:t>
      </w:r>
      <w:r>
        <w:rPr>
          <w:rFonts w:ascii="David" w:hAnsi="David" w:cs="David"/>
          <w:b/>
          <w:bCs/>
          <w:sz w:val="24"/>
          <w:szCs w:val="24"/>
          <w:rtl/>
        </w:rPr>
        <w:t xml:space="preserve">בהינתן טיבו של החומר והשפעתו, ובהשוואה לחומרים אחרים המותרים היום לשימוש, ספק אם קיים </w:t>
      </w:r>
      <w:r>
        <w:rPr>
          <w:rFonts w:ascii="David" w:hAnsi="David" w:cs="David"/>
          <w:b/>
          <w:bCs/>
          <w:sz w:val="24"/>
          <w:szCs w:val="24"/>
          <w:rtl/>
        </w:rPr>
        <w:lastRenderedPageBreak/>
        <w:t>ערך מוגן שיצדיק קיומה של עבירה של שימוש עצמי ברשות היחיד ובאופן שאינו מזיק לזולת</w:t>
      </w:r>
      <w:r>
        <w:rPr>
          <w:rFonts w:ascii="David" w:hAnsi="David" w:cs="David"/>
          <w:sz w:val="24"/>
          <w:szCs w:val="24"/>
          <w:rtl/>
        </w:rPr>
        <w:t xml:space="preserve">." לאור זאת, קבעה הוועדה כי יש </w:t>
      </w:r>
      <w:r>
        <w:rPr>
          <w:rFonts w:cs="David"/>
          <w:sz w:val="24"/>
          <w:szCs w:val="24"/>
          <w:rtl/>
        </w:rPr>
        <w:t xml:space="preserve">להסדיר את שוק הקנאביס בישראל, תוך אימוץ גישת מזעור הפגיעה בבריאות הציבור. עוד נקבע כי עד לאסדרה המלאה של השוק, יש לנקוט בהליך ביניים של דה-קרימינלזיציה של החזקת סם קנאביס לצריכה עצמית ולשם כך בדיוק הותקנו התקנות. ראו בעניין זה דו"ח הצוות הבין-משרדי לבחינת המדיניות בנוגע לאיסור על צריכת קנביס בישראל 93 (2020) - </w:t>
      </w:r>
      <w:hyperlink r:id="rId27" w:history="1">
        <w:r>
          <w:rPr>
            <w:rStyle w:val="Hyperlink"/>
            <w:rFonts w:ascii="David" w:hAnsi="David" w:cs="David"/>
            <w:sz w:val="24"/>
            <w:szCs w:val="24"/>
            <w:rtl/>
          </w:rPr>
          <w:t>הצוות הבין-משרדי לבחינת המדיניות בנוגע לאיסור על צריכת קנאביס בישראל - דין וחשבון</w:t>
        </w:r>
        <w:r>
          <w:rPr>
            <w:rStyle w:val="Hyperlink"/>
            <w:rFonts w:ascii="David" w:hAnsi="David" w:cs="David"/>
            <w:sz w:val="24"/>
            <w:szCs w:val="24"/>
          </w:rPr>
          <w:t xml:space="preserve"> (www.gov.il)</w:t>
        </w:r>
      </w:hyperlink>
      <w:r w:rsidRPr="003B15C9">
        <w:rPr>
          <w:rStyle w:val="Hyperlink"/>
          <w:rFonts w:ascii="David" w:hAnsi="David" w:cs="David"/>
          <w:b/>
          <w:bCs/>
          <w:sz w:val="24"/>
          <w:szCs w:val="24"/>
          <w:rtl/>
        </w:rPr>
        <w:t xml:space="preserve">. </w:t>
      </w:r>
      <w:r w:rsidRPr="003B15C9">
        <w:rPr>
          <w:rFonts w:ascii="David" w:hAnsi="David" w:cs="David"/>
          <w:sz w:val="24"/>
          <w:szCs w:val="24"/>
          <w:rtl/>
        </w:rPr>
        <w:t xml:space="preserve">אם כן, ניתן לראות כי ההתפתחות במצב הנורמטיבי מלמדת על מעבר ממצב של קרימינליזציה מלאה, לדה-קרימינליזציה חלקית, </w:t>
      </w:r>
      <w:r>
        <w:rPr>
          <w:rFonts w:ascii="David" w:hAnsi="David" w:cs="David" w:hint="cs"/>
          <w:sz w:val="24"/>
          <w:szCs w:val="24"/>
          <w:rtl/>
        </w:rPr>
        <w:t xml:space="preserve">ובשים לב למגמות בארץ ובעולם, סביר להניח כי </w:t>
      </w:r>
      <w:r w:rsidRPr="003B15C9">
        <w:rPr>
          <w:rFonts w:ascii="David" w:hAnsi="David" w:cs="David"/>
          <w:sz w:val="24"/>
          <w:szCs w:val="24"/>
          <w:rtl/>
        </w:rPr>
        <w:t xml:space="preserve">יתרחשו שינויים נוספים </w:t>
      </w:r>
      <w:r>
        <w:rPr>
          <w:rFonts w:ascii="David" w:hAnsi="David" w:cs="David" w:hint="cs"/>
          <w:sz w:val="24"/>
          <w:szCs w:val="24"/>
          <w:rtl/>
        </w:rPr>
        <w:t xml:space="preserve">בעתיד </w:t>
      </w:r>
      <w:r w:rsidRPr="003B15C9">
        <w:rPr>
          <w:rFonts w:ascii="David" w:hAnsi="David" w:cs="David"/>
          <w:sz w:val="24"/>
          <w:szCs w:val="24"/>
          <w:rtl/>
        </w:rPr>
        <w:t xml:space="preserve">בדרך ללגליזציה. להבחנה בין הגישות השונות ולהצגת המגמות בארץ ובעולם ראו למשל: עמית דויטשר, "השינוי באיסור הפלילי על שימוש בקנאביס", </w:t>
      </w:r>
      <w:r w:rsidRPr="003B15C9">
        <w:rPr>
          <w:rFonts w:ascii="David" w:hAnsi="David" w:cs="David"/>
          <w:b/>
          <w:bCs/>
          <w:sz w:val="24"/>
          <w:szCs w:val="24"/>
          <w:rtl/>
        </w:rPr>
        <w:t>הסנגור</w:t>
      </w:r>
      <w:r w:rsidRPr="003B15C9">
        <w:rPr>
          <w:rFonts w:ascii="David" w:hAnsi="David" w:cs="David"/>
          <w:sz w:val="24"/>
          <w:szCs w:val="24"/>
          <w:rtl/>
        </w:rPr>
        <w:t xml:space="preserve"> 275, ע' 4. </w:t>
      </w:r>
    </w:p>
    <w:p w14:paraId="3A7934A5" w14:textId="77777777" w:rsidR="006B029B" w:rsidRDefault="006B029B" w:rsidP="006B029B">
      <w:pPr>
        <w:pStyle w:val="1"/>
        <w:spacing w:line="360" w:lineRule="auto"/>
        <w:ind w:left="360"/>
        <w:jc w:val="both"/>
        <w:rPr>
          <w:rFonts w:ascii="David" w:hAnsi="David" w:cs="David"/>
          <w:sz w:val="24"/>
          <w:szCs w:val="24"/>
          <w:rtl/>
        </w:rPr>
      </w:pPr>
    </w:p>
    <w:p w14:paraId="56E56127"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 xml:space="preserve">כתב האישום נגד הנאשם הוגש ביום 14.4.22, מספר ימים </w:t>
      </w:r>
      <w:r>
        <w:rPr>
          <w:rFonts w:ascii="David" w:hAnsi="David" w:cs="David"/>
          <w:b/>
          <w:bCs/>
          <w:sz w:val="24"/>
          <w:szCs w:val="24"/>
          <w:rtl/>
        </w:rPr>
        <w:t>לאחר</w:t>
      </w:r>
      <w:r>
        <w:rPr>
          <w:rFonts w:ascii="David" w:hAnsi="David" w:cs="David"/>
          <w:sz w:val="24"/>
          <w:szCs w:val="24"/>
          <w:rtl/>
        </w:rPr>
        <w:t xml:space="preserve"> כניסת התקנות לתוקפן. אולם באותה העת העבירה המקורית בה הואשם הנאשם הייתה עבירה של גידול סם מסוכן. עבירה אשר אף היום ניתן להגיש כתב אישום בגינה. בסופו של יום כתב האישום תוקן לעבירה של החזקה לצריכה עצמית, ומכאן ואילך לא ניתן לזקוף לחובת הנאשם, אלא עבירה של החזקה לצריכה עצמית. ודוק, לו כתב האישום היה מוגש ביום 14.4.22 בעבירה של החזקה לצריכה עצמית, לאחר כניסת התקנות לתוקפן, נראה כי ניתן היה בנקל למחוק את כתב האישום מטעמי הגנה מן הצדק. זאת משום שבהיעדר כל טעם מיוחד, בהתאם </w:t>
      </w:r>
      <w:hyperlink r:id="rId28" w:history="1">
        <w:r w:rsidR="00CC75D5" w:rsidRPr="00CC75D5">
          <w:rPr>
            <w:rStyle w:val="Hyperlink"/>
            <w:rFonts w:ascii="David" w:hAnsi="David" w:cs="David"/>
            <w:sz w:val="24"/>
            <w:szCs w:val="24"/>
            <w:rtl/>
          </w:rPr>
          <w:t>לסעיף 15</w:t>
        </w:r>
      </w:hyperlink>
      <w:r>
        <w:rPr>
          <w:rFonts w:ascii="David" w:hAnsi="David" w:cs="David"/>
          <w:sz w:val="24"/>
          <w:szCs w:val="24"/>
          <w:rtl/>
        </w:rPr>
        <w:t xml:space="preserve"> </w:t>
      </w:r>
      <w:r>
        <w:rPr>
          <w:rFonts w:ascii="David" w:hAnsi="David" w:cs="David"/>
          <w:b/>
          <w:bCs/>
          <w:sz w:val="24"/>
          <w:szCs w:val="24"/>
          <w:rtl/>
        </w:rPr>
        <w:t>ל</w:t>
      </w:r>
      <w:hyperlink r:id="rId29" w:history="1">
        <w:r w:rsidR="006008E1" w:rsidRPr="006008E1">
          <w:rPr>
            <w:rFonts w:ascii="David" w:hAnsi="David" w:cs="David"/>
            <w:b/>
            <w:bCs/>
            <w:color w:val="0000FF"/>
            <w:sz w:val="24"/>
            <w:szCs w:val="24"/>
            <w:u w:val="single"/>
            <w:rtl/>
          </w:rPr>
          <w:t>חוק העבירות המנהליות</w:t>
        </w:r>
      </w:hyperlink>
      <w:r>
        <w:rPr>
          <w:rFonts w:ascii="David" w:hAnsi="David" w:cs="David"/>
          <w:sz w:val="24"/>
          <w:szCs w:val="24"/>
          <w:rtl/>
        </w:rPr>
        <w:t xml:space="preserve"> תשמ"ו-1985, היה מקום לנקוט בהליך מנהלי, ולא בהליך פלילי. ייתכן ומטעמי הגינות היה לפעול בעניינו של הנאשם כאילו ביום הגשת כתב האישום, 14.4.22, העבירה שיוחסה לו הייתה עבירת החזקה סמים לצריכה עצמית. אם כך, הרי </w:t>
      </w:r>
      <w:r>
        <w:rPr>
          <w:rFonts w:ascii="David" w:hAnsi="David" w:cs="David" w:hint="cs"/>
          <w:sz w:val="24"/>
          <w:szCs w:val="24"/>
          <w:rtl/>
        </w:rPr>
        <w:t>ש</w:t>
      </w:r>
      <w:r>
        <w:rPr>
          <w:rFonts w:ascii="David" w:hAnsi="David" w:cs="David"/>
          <w:sz w:val="24"/>
          <w:szCs w:val="24"/>
          <w:rtl/>
        </w:rPr>
        <w:t xml:space="preserve">היה </w:t>
      </w:r>
      <w:r>
        <w:rPr>
          <w:rFonts w:ascii="David" w:hAnsi="David" w:cs="David" w:hint="cs"/>
          <w:sz w:val="24"/>
          <w:szCs w:val="24"/>
          <w:rtl/>
        </w:rPr>
        <w:t>מצופה</w:t>
      </w:r>
      <w:r>
        <w:rPr>
          <w:rFonts w:ascii="David" w:hAnsi="David" w:cs="David"/>
          <w:sz w:val="24"/>
          <w:szCs w:val="24"/>
          <w:rtl/>
        </w:rPr>
        <w:t xml:space="preserve"> </w:t>
      </w:r>
      <w:r>
        <w:rPr>
          <w:rFonts w:ascii="David" w:hAnsi="David" w:cs="David" w:hint="cs"/>
          <w:sz w:val="24"/>
          <w:szCs w:val="24"/>
          <w:rtl/>
        </w:rPr>
        <w:t>מ</w:t>
      </w:r>
      <w:r>
        <w:rPr>
          <w:rFonts w:ascii="David" w:hAnsi="David" w:cs="David"/>
          <w:sz w:val="24"/>
          <w:szCs w:val="24"/>
          <w:rtl/>
        </w:rPr>
        <w:t>המאשימה לנקוט בהליך מנהלי</w:t>
      </w:r>
      <w:r>
        <w:rPr>
          <w:rFonts w:ascii="David" w:hAnsi="David" w:cs="David" w:hint="cs"/>
          <w:sz w:val="24"/>
          <w:szCs w:val="24"/>
          <w:rtl/>
        </w:rPr>
        <w:t xml:space="preserve"> נגד הנאשם</w:t>
      </w:r>
      <w:r>
        <w:rPr>
          <w:rFonts w:ascii="David" w:hAnsi="David" w:cs="David"/>
          <w:sz w:val="24"/>
          <w:szCs w:val="24"/>
          <w:rtl/>
        </w:rPr>
        <w:t xml:space="preserve">, משום שבאותה העת התקנות </w:t>
      </w:r>
      <w:r>
        <w:rPr>
          <w:rFonts w:ascii="David" w:hAnsi="David" w:cs="David" w:hint="cs"/>
          <w:sz w:val="24"/>
          <w:szCs w:val="24"/>
          <w:rtl/>
        </w:rPr>
        <w:t xml:space="preserve">כבר </w:t>
      </w:r>
      <w:r>
        <w:rPr>
          <w:rFonts w:ascii="David" w:hAnsi="David" w:cs="David"/>
          <w:sz w:val="24"/>
          <w:szCs w:val="24"/>
          <w:rtl/>
        </w:rPr>
        <w:t xml:space="preserve">היו בתוקף. </w:t>
      </w:r>
      <w:r>
        <w:rPr>
          <w:rFonts w:ascii="David" w:hAnsi="David" w:cs="David" w:hint="cs"/>
          <w:sz w:val="24"/>
          <w:szCs w:val="24"/>
          <w:rtl/>
        </w:rPr>
        <w:t>בין היתר אף</w:t>
      </w:r>
      <w:r>
        <w:rPr>
          <w:rFonts w:ascii="David" w:hAnsi="David" w:cs="David"/>
          <w:sz w:val="24"/>
          <w:szCs w:val="24"/>
          <w:rtl/>
        </w:rPr>
        <w:t xml:space="preserve"> בשים לב לשיקולי הפליה בין הנאשם לבין יתר האחרים שנמצאו ברשותם סמים לצריכה עצמית לאחר 1.4.22 והמדינה </w:t>
      </w:r>
      <w:r>
        <w:rPr>
          <w:rFonts w:ascii="David" w:hAnsi="David" w:cs="David" w:hint="cs"/>
          <w:sz w:val="24"/>
          <w:szCs w:val="24"/>
          <w:rtl/>
        </w:rPr>
        <w:t xml:space="preserve">אמורה הייתה לנקוט </w:t>
      </w:r>
      <w:r>
        <w:rPr>
          <w:rFonts w:ascii="David" w:hAnsi="David" w:cs="David"/>
          <w:sz w:val="24"/>
          <w:szCs w:val="24"/>
          <w:rtl/>
        </w:rPr>
        <w:t>בעניינם בהליך מנהלי בהתאם לתקנות.</w:t>
      </w:r>
      <w:r>
        <w:rPr>
          <w:rFonts w:ascii="David" w:hAnsi="David" w:cs="David" w:hint="cs"/>
          <w:sz w:val="24"/>
          <w:szCs w:val="24"/>
          <w:rtl/>
        </w:rPr>
        <w:t xml:space="preserve"> </w:t>
      </w:r>
    </w:p>
    <w:p w14:paraId="38CCEC63" w14:textId="77777777" w:rsidR="006B029B" w:rsidRDefault="006B029B" w:rsidP="006B029B">
      <w:pPr>
        <w:pStyle w:val="1"/>
        <w:spacing w:line="360" w:lineRule="auto"/>
        <w:ind w:left="360"/>
        <w:jc w:val="both"/>
        <w:rPr>
          <w:rFonts w:ascii="David" w:hAnsi="David" w:cs="David"/>
          <w:sz w:val="24"/>
          <w:szCs w:val="24"/>
          <w:rtl/>
        </w:rPr>
      </w:pPr>
    </w:p>
    <w:p w14:paraId="289555ED" w14:textId="77777777" w:rsidR="006B029B" w:rsidRDefault="00CC75D5" w:rsidP="006B029B">
      <w:pPr>
        <w:pStyle w:val="1"/>
        <w:spacing w:line="360" w:lineRule="auto"/>
        <w:ind w:left="360"/>
        <w:jc w:val="both"/>
        <w:rPr>
          <w:rFonts w:ascii="David" w:hAnsi="David" w:cs="David"/>
          <w:sz w:val="24"/>
          <w:szCs w:val="24"/>
          <w:rtl/>
        </w:rPr>
      </w:pPr>
      <w:hyperlink r:id="rId30" w:history="1">
        <w:r w:rsidRPr="00CC75D5">
          <w:rPr>
            <w:rStyle w:val="Hyperlink"/>
            <w:rFonts w:ascii="David" w:hAnsi="David" w:cs="David"/>
            <w:sz w:val="24"/>
            <w:szCs w:val="24"/>
            <w:rtl/>
          </w:rPr>
          <w:t>סעיף 1(ג)</w:t>
        </w:r>
      </w:hyperlink>
      <w:r w:rsidR="006B029B">
        <w:rPr>
          <w:rFonts w:ascii="David" w:hAnsi="David" w:cs="David"/>
          <w:sz w:val="24"/>
          <w:szCs w:val="24"/>
          <w:rtl/>
        </w:rPr>
        <w:t xml:space="preserve"> ל</w:t>
      </w:r>
      <w:hyperlink r:id="rId31" w:history="1">
        <w:r w:rsidR="006008E1" w:rsidRPr="006008E1">
          <w:rPr>
            <w:rFonts w:ascii="David" w:hAnsi="David" w:cs="David"/>
            <w:color w:val="0000FF"/>
            <w:sz w:val="24"/>
            <w:szCs w:val="24"/>
            <w:u w:val="single"/>
            <w:rtl/>
          </w:rPr>
          <w:t>חוק העבירות המנהליות</w:t>
        </w:r>
      </w:hyperlink>
      <w:r w:rsidR="006B029B">
        <w:rPr>
          <w:rFonts w:ascii="David" w:hAnsi="David" w:cs="David"/>
          <w:sz w:val="24"/>
          <w:szCs w:val="24"/>
          <w:rtl/>
        </w:rPr>
        <w:t xml:space="preserve">, מורה כי משנקבע בתקנות כי עבירה פלונית היא עבירה מנהלית, יחולו הוראות חוק העבירות המנהליות גם לגבי עבירה שנעברה לפני תחילתן של התקנות ובלבד שאם הוגש כתב אישום - טרם החל המשפט. בהיעדר התייחסות מפורשת בהצעת החוק, ניתן להניח, כי בין השיקולים שהנחו את המחוקק להחריג </w:t>
      </w:r>
      <w:hyperlink r:id="rId32" w:history="1">
        <w:r w:rsidRPr="00CC75D5">
          <w:rPr>
            <w:rStyle w:val="Hyperlink"/>
            <w:rFonts w:ascii="David" w:hAnsi="David" w:cs="David"/>
            <w:sz w:val="24"/>
            <w:szCs w:val="24"/>
            <w:rtl/>
          </w:rPr>
          <w:t>בסעיף 1(ג)</w:t>
        </w:r>
      </w:hyperlink>
      <w:r w:rsidR="006B029B">
        <w:rPr>
          <w:rFonts w:ascii="David" w:hAnsi="David" w:cs="David"/>
          <w:sz w:val="24"/>
          <w:szCs w:val="24"/>
          <w:rtl/>
        </w:rPr>
        <w:t xml:space="preserve"> ל</w:t>
      </w:r>
      <w:hyperlink r:id="rId33" w:history="1">
        <w:r w:rsidR="006008E1" w:rsidRPr="006008E1">
          <w:rPr>
            <w:rFonts w:ascii="David" w:hAnsi="David" w:cs="David"/>
            <w:color w:val="0000FF"/>
            <w:sz w:val="24"/>
            <w:szCs w:val="24"/>
            <w:u w:val="single"/>
            <w:rtl/>
          </w:rPr>
          <w:t>חוק העבירות המנהליות</w:t>
        </w:r>
      </w:hyperlink>
      <w:r w:rsidR="006B029B">
        <w:rPr>
          <w:rFonts w:ascii="David" w:hAnsi="David" w:cs="David"/>
          <w:sz w:val="24"/>
          <w:szCs w:val="24"/>
          <w:rtl/>
        </w:rPr>
        <w:t xml:space="preserve"> מצב בו "החל המשפט", עמדו שני טעמים עיקריים: </w:t>
      </w:r>
      <w:r w:rsidR="006B029B">
        <w:rPr>
          <w:rFonts w:ascii="David" w:hAnsi="David" w:cs="David"/>
          <w:b/>
          <w:bCs/>
          <w:sz w:val="24"/>
          <w:szCs w:val="24"/>
          <w:rtl/>
        </w:rPr>
        <w:t>האחד</w:t>
      </w:r>
      <w:r w:rsidR="006B029B">
        <w:rPr>
          <w:rFonts w:ascii="David" w:hAnsi="David" w:cs="David"/>
          <w:sz w:val="24"/>
          <w:szCs w:val="24"/>
          <w:rtl/>
        </w:rPr>
        <w:t xml:space="preserve">, הוא שאם המשפט החל, מחיקת כתב האישום תוביל לזיכוי הנאשם ואז לא ניתן יהיה לנקוט בהליך המנהלי תחת ההליך הפלילי. </w:t>
      </w:r>
      <w:r w:rsidR="006B029B">
        <w:rPr>
          <w:rFonts w:ascii="David" w:hAnsi="David" w:cs="David"/>
          <w:b/>
          <w:bCs/>
          <w:sz w:val="24"/>
          <w:szCs w:val="24"/>
          <w:rtl/>
        </w:rPr>
        <w:t>השני</w:t>
      </w:r>
      <w:r w:rsidR="006B029B">
        <w:rPr>
          <w:rFonts w:ascii="David" w:hAnsi="David" w:cs="David"/>
          <w:sz w:val="24"/>
          <w:szCs w:val="24"/>
          <w:rtl/>
        </w:rPr>
        <w:t xml:space="preserve">, הוא שאם החל המשפט ומתבררת אחריות הנאשם, יש בכך כמעין מצב מקביל לבקשה להישפט וממילא יש לסיים את הליך הבירור שהחל במסלול הפלילי.  המשך ניהול ההליך הפלילי בעניינו של הנאשם לא עונה על אף אחד מן הטעמים האמורים, משום שהנאשם הודה במיוחס לו, כך שלא היה כל צורך בניהול הליך פלילי ובתוך כך הנאשם אף היה מוכן לשלם עיצום כספי בסך 500 ₪, כך שלא היה חשש שמחיקה של האישום תוביל לזיכוי ואי תשלום עיצום כספי.   </w:t>
      </w:r>
    </w:p>
    <w:p w14:paraId="040E3546" w14:textId="77777777" w:rsidR="006B029B" w:rsidRDefault="006B029B" w:rsidP="006B029B">
      <w:pPr>
        <w:pStyle w:val="1"/>
        <w:spacing w:line="360" w:lineRule="auto"/>
        <w:ind w:left="360"/>
        <w:jc w:val="both"/>
        <w:rPr>
          <w:rFonts w:ascii="David" w:hAnsi="David" w:cs="David"/>
          <w:sz w:val="24"/>
          <w:szCs w:val="24"/>
          <w:rtl/>
        </w:rPr>
      </w:pPr>
    </w:p>
    <w:p w14:paraId="301E7F8B"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משזה נאמר, מצאתי כי הייתה סמכות לתביעה להמשיך ולנהל את ההליך הפלילי כנגד הנאשם לאחר תיקון כתב האישום, משום שעל פני הדברים "החל המשפט". זאת, גם אם התנהלותה של המאשימה בבירור אינה עולה בקנה אחד עם תכלית</w:t>
      </w:r>
      <w:r>
        <w:rPr>
          <w:rFonts w:ascii="David" w:hAnsi="David" w:cs="David" w:hint="cs"/>
          <w:sz w:val="24"/>
          <w:szCs w:val="24"/>
          <w:rtl/>
        </w:rPr>
        <w:t>ו הרחבה של</w:t>
      </w:r>
      <w:r>
        <w:rPr>
          <w:rFonts w:ascii="David" w:hAnsi="David" w:cs="David"/>
          <w:sz w:val="24"/>
          <w:szCs w:val="24"/>
          <w:rtl/>
        </w:rPr>
        <w:t xml:space="preserve"> החוק והאינטרס הציבורי. </w:t>
      </w:r>
    </w:p>
    <w:p w14:paraId="1D0FCB6B" w14:textId="77777777" w:rsidR="006B029B" w:rsidRDefault="006B029B" w:rsidP="006B029B">
      <w:pPr>
        <w:pStyle w:val="1"/>
        <w:spacing w:line="360" w:lineRule="auto"/>
        <w:ind w:left="360"/>
        <w:jc w:val="both"/>
        <w:rPr>
          <w:rFonts w:ascii="David" w:hAnsi="David" w:cs="David"/>
          <w:sz w:val="24"/>
          <w:szCs w:val="24"/>
          <w:rtl/>
        </w:rPr>
      </w:pPr>
    </w:p>
    <w:p w14:paraId="01FB8C23"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הסוגיה השנייה, עניינה הפעלת שיקול הדעת של התביעה להמשיך בניהול ההליך הפלילי. אין לבלבל בין סמכות הרשות המנהלית לבין הפעלת שיקול דעת על ידה. סמכות אינה הרשאה אוטומטית לפעולה עבור הרשות המנהלית, מקום בו לא הופעל כל שיקול דעת מצידה טרם הפעלת הסמכות, או מקום בו הופעל שיקול דעת כזה המצוי מחוץ למתחם הסבירות, או כזה המנוגד לעקרונות צדק. ראו למשל יצחק זמיר, "שיקולי צדק בהחלטות מנהליות", </w:t>
      </w:r>
      <w:r>
        <w:rPr>
          <w:rFonts w:ascii="David" w:hAnsi="David" w:cs="David"/>
          <w:b/>
          <w:bCs/>
          <w:sz w:val="24"/>
          <w:szCs w:val="24"/>
          <w:rtl/>
        </w:rPr>
        <w:t>משפט וממשל ז'</w:t>
      </w:r>
      <w:r>
        <w:rPr>
          <w:rFonts w:ascii="David" w:hAnsi="David" w:cs="David"/>
          <w:sz w:val="24"/>
          <w:szCs w:val="24"/>
          <w:rtl/>
        </w:rPr>
        <w:t xml:space="preserve"> תשס"ה. 623. בתוך כך, יש לזכור כי שיקול הדעת הרחב של המדינה אינו יכול לשמש תרוץ לאי הפעלת שיקול דעת, או להימנעות מקבלת החלטה. ראו למשל </w:t>
      </w:r>
      <w:hyperlink r:id="rId34" w:history="1">
        <w:r w:rsidR="006008E1" w:rsidRPr="006008E1">
          <w:rPr>
            <w:rFonts w:ascii="David" w:hAnsi="David" w:cs="David"/>
            <w:color w:val="0000FF"/>
            <w:sz w:val="24"/>
            <w:szCs w:val="24"/>
            <w:u w:val="single"/>
            <w:rtl/>
          </w:rPr>
          <w:t>בג"ץ 5435/14</w:t>
        </w:r>
      </w:hyperlink>
      <w:r>
        <w:rPr>
          <w:rFonts w:ascii="David" w:hAnsi="David" w:cs="David"/>
          <w:sz w:val="24"/>
          <w:szCs w:val="24"/>
          <w:rtl/>
        </w:rPr>
        <w:t xml:space="preserve"> </w:t>
      </w:r>
      <w:r>
        <w:rPr>
          <w:rFonts w:ascii="David" w:hAnsi="David" w:cs="David"/>
          <w:b/>
          <w:bCs/>
          <w:sz w:val="24"/>
          <w:szCs w:val="24"/>
          <w:rtl/>
        </w:rPr>
        <w:t>עמותת כפר דהמש נ' מדינת ישראל</w:t>
      </w:r>
      <w:r>
        <w:rPr>
          <w:rFonts w:ascii="David" w:hAnsi="David" w:cs="David"/>
          <w:sz w:val="24"/>
          <w:szCs w:val="24"/>
          <w:rtl/>
        </w:rPr>
        <w:t xml:space="preserve"> [פורסם בנבו](28.4.21)  </w:t>
      </w:r>
    </w:p>
    <w:p w14:paraId="2A3BBA09" w14:textId="77777777" w:rsidR="006B029B" w:rsidRDefault="006B029B" w:rsidP="006B029B">
      <w:pPr>
        <w:pStyle w:val="1"/>
        <w:spacing w:line="360" w:lineRule="auto"/>
        <w:ind w:left="360"/>
        <w:jc w:val="both"/>
        <w:rPr>
          <w:rFonts w:ascii="David" w:hAnsi="David" w:cs="David"/>
          <w:sz w:val="24"/>
          <w:szCs w:val="24"/>
          <w:rtl/>
        </w:rPr>
      </w:pPr>
    </w:p>
    <w:p w14:paraId="505CC243"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עיון בהנחיית היועץ המשפטי לממשלה 4.3041 "</w:t>
      </w:r>
      <w:r>
        <w:rPr>
          <w:rFonts w:ascii="David" w:hAnsi="David" w:cs="David"/>
          <w:b/>
          <w:bCs/>
          <w:sz w:val="24"/>
          <w:szCs w:val="24"/>
          <w:rtl/>
        </w:rPr>
        <w:t xml:space="preserve">נוהל והנחיות להפעלת </w:t>
      </w:r>
      <w:hyperlink r:id="rId35" w:history="1">
        <w:r w:rsidR="006008E1" w:rsidRPr="006008E1">
          <w:rPr>
            <w:rFonts w:ascii="David" w:hAnsi="David" w:cs="David"/>
            <w:b/>
            <w:bCs/>
            <w:color w:val="0000FF"/>
            <w:sz w:val="24"/>
            <w:szCs w:val="24"/>
            <w:u w:val="single"/>
            <w:rtl/>
          </w:rPr>
          <w:t>חוק העבירות המנהליות</w:t>
        </w:r>
      </w:hyperlink>
      <w:r>
        <w:rPr>
          <w:rFonts w:ascii="David" w:hAnsi="David" w:cs="David"/>
          <w:sz w:val="24"/>
          <w:szCs w:val="24"/>
          <w:rtl/>
        </w:rPr>
        <w:t xml:space="preserve">" מלמד על שלושה שיקולים המצדיקים הגשת כתב אישום נוכח קיומה של חלופה מנהלית: השיקול הראשון הוא שהטלת קנס מנהלי על אותו אדם אין בה משום גורם מרתיע במידה מספקת. השיקול השני הוא שאותו אדם לא שילם את הקנסות המנהליים שהוטלו עליו בעבר. השיקול השלישי הוא שנסיבות עבירת העבירה חמורות במיוחד. </w:t>
      </w:r>
    </w:p>
    <w:p w14:paraId="119570C4" w14:textId="77777777" w:rsidR="006B029B" w:rsidRDefault="006B029B" w:rsidP="006B029B">
      <w:pPr>
        <w:pStyle w:val="1"/>
        <w:spacing w:line="360" w:lineRule="auto"/>
        <w:ind w:left="360"/>
        <w:jc w:val="both"/>
        <w:rPr>
          <w:rFonts w:ascii="David" w:hAnsi="David" w:cs="David"/>
          <w:sz w:val="24"/>
          <w:szCs w:val="24"/>
        </w:rPr>
      </w:pPr>
    </w:p>
    <w:p w14:paraId="2D13BC50"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 xml:space="preserve">השיקולים הללו, אשר ברגיל משמשים שיקול להגשת כתב אישום, יפים לא פחות, כקווים מנחים לבחינת הצורך בהמשך ההליך הפלילי, מקום בו העבירה נשוא אותו הליך פלילי הפכה להיות עבירה מנהלית תוך כדי ניהול ההליך הפלילי. זאת משום שחובתה של המאשימה לבחון מחדש את עמדתה כל אימת שחל שינוי נסיבות לאורך ההליך הפלילי. התביעה מחויבת להפעיל שיקול דעת, באשר לאופן הפעלת הסמכות גם כשהסמכות כשלעצמה קיימת לה, ועליה לעשות כן תוך מתן המשקל הנדרש לשיקולי צדק. ראו למשל יצחק זמיר, "שיקולי צדק בהחלטות מנהליות", </w:t>
      </w:r>
      <w:r>
        <w:rPr>
          <w:rFonts w:ascii="David" w:hAnsi="David" w:cs="David"/>
          <w:b/>
          <w:bCs/>
          <w:sz w:val="24"/>
          <w:szCs w:val="24"/>
          <w:rtl/>
        </w:rPr>
        <w:t>משפט וממשל ז'</w:t>
      </w:r>
      <w:r>
        <w:rPr>
          <w:rFonts w:ascii="David" w:hAnsi="David" w:cs="David"/>
          <w:sz w:val="24"/>
          <w:szCs w:val="24"/>
          <w:rtl/>
        </w:rPr>
        <w:t xml:space="preserve"> תשס"ה. 623. הגשת כתב אישום, וודאי אינה בבחינת "שגר ושכח" ולא אחת התביעה בוחנת מחדש את עמדתה וחוזרת בה מכתבי אישום שהגישה. אלא, שבענייננו, לא הוצגה על ידי המדינה כל החלטה מטעמה או תהליך של שקילה מחדש של ניהול ההליך הפלילי, מרגע שהעבירה הפכה למנהלית. ודוק, משתוקן כתב האישום לעבירה של החזקה לצריכה עצמית, </w:t>
      </w:r>
    </w:p>
    <w:p w14:paraId="692C09E0" w14:textId="77777777" w:rsidR="006B029B" w:rsidRDefault="006B029B" w:rsidP="006B029B">
      <w:pPr>
        <w:pStyle w:val="1"/>
        <w:spacing w:line="360" w:lineRule="auto"/>
        <w:ind w:left="360"/>
        <w:jc w:val="both"/>
        <w:rPr>
          <w:rFonts w:ascii="David" w:hAnsi="David" w:cs="David"/>
          <w:sz w:val="24"/>
          <w:szCs w:val="24"/>
          <w:rtl/>
        </w:rPr>
      </w:pPr>
    </w:p>
    <w:p w14:paraId="5983B4C9" w14:textId="77777777" w:rsidR="006B029B" w:rsidRDefault="006B029B" w:rsidP="006B029B">
      <w:pPr>
        <w:pStyle w:val="1"/>
        <w:spacing w:line="360" w:lineRule="auto"/>
        <w:ind w:left="360"/>
        <w:jc w:val="both"/>
        <w:rPr>
          <w:rFonts w:ascii="David" w:hAnsi="David" w:cs="David"/>
          <w:sz w:val="24"/>
          <w:szCs w:val="24"/>
          <w:rtl/>
        </w:rPr>
      </w:pPr>
      <w:r>
        <w:rPr>
          <w:rFonts w:ascii="David" w:hAnsi="David" w:cs="David"/>
          <w:sz w:val="24"/>
          <w:szCs w:val="24"/>
          <w:rtl/>
        </w:rPr>
        <w:t xml:space="preserve">סוף דבר, מלוא הנימוקים מובילים למסקנה שהמשך ניהול ההליך הפלילי, ביחס לעבירה שכיום היא עבירה מנהלית, לא עולה בקנה אחד עם כוונת המחוקק והאינטרס הציבורי. מדובר בנאשם צעיר נעדר עבר פלילי, לא ננקטו נגדו בעבר הליכים מנהליים דומים, נסיבות העבירה שביצע אינן חמורות, והכמות שהחזיק בביתו קטנה מגרם אחד של קנאביס. אשר על כן, גם אם הייתה לתביעה סמכות להמשיך לנהל הליך פלילי כנגד הנאשם, עמדתה </w:t>
      </w:r>
      <w:r>
        <w:rPr>
          <w:rFonts w:ascii="David" w:hAnsi="David" w:cs="David" w:hint="cs"/>
          <w:sz w:val="24"/>
          <w:szCs w:val="24"/>
          <w:rtl/>
        </w:rPr>
        <w:t xml:space="preserve">הדווקנית </w:t>
      </w:r>
      <w:r>
        <w:rPr>
          <w:rFonts w:ascii="David" w:hAnsi="David" w:cs="David"/>
          <w:sz w:val="24"/>
          <w:szCs w:val="24"/>
          <w:rtl/>
        </w:rPr>
        <w:t xml:space="preserve">לא מתיישבת עם הרציונל שבבסיס </w:t>
      </w:r>
      <w:hyperlink r:id="rId36" w:history="1">
        <w:r w:rsidR="006008E1" w:rsidRPr="006008E1">
          <w:rPr>
            <w:rFonts w:ascii="David" w:hAnsi="David" w:cs="David"/>
            <w:color w:val="0000FF"/>
            <w:sz w:val="24"/>
            <w:szCs w:val="24"/>
            <w:u w:val="single"/>
            <w:rtl/>
          </w:rPr>
          <w:t>תקנות העבירות המנהליות</w:t>
        </w:r>
      </w:hyperlink>
      <w:r>
        <w:rPr>
          <w:rFonts w:ascii="David" w:hAnsi="David" w:cs="David"/>
          <w:sz w:val="24"/>
          <w:szCs w:val="24"/>
          <w:rtl/>
        </w:rPr>
        <w:t xml:space="preserve"> (קנס מינהלי – החזקת קנאביס ושימוש בו לצריכה עצמית), תשפ"ב-2022, והמציאות הנורמטיבית החדשה מאז כניסתן לתוקף, וממילא אף לא מקדמת את האינטרס הציבורי. ביחס להתפתחות ערכית, מגבלותיה והתאמות המשפט ראו למשל: אסף הרדוף "צדק – עניין של זמן: דין פלילי מקל, שלטון החוק ושלטון הערכים הזמן(ה) לשינוי", </w:t>
      </w:r>
      <w:r>
        <w:rPr>
          <w:rFonts w:ascii="David" w:hAnsi="David" w:cs="David"/>
          <w:b/>
          <w:bCs/>
          <w:sz w:val="24"/>
          <w:szCs w:val="24"/>
          <w:rtl/>
        </w:rPr>
        <w:t>משפטים נ"ב</w:t>
      </w:r>
      <w:r>
        <w:rPr>
          <w:rFonts w:ascii="David" w:hAnsi="David" w:cs="David"/>
          <w:sz w:val="24"/>
          <w:szCs w:val="24"/>
          <w:rtl/>
        </w:rPr>
        <w:t xml:space="preserve"> תשפ"ד. הדברים נכונים ביתר שאת בשים לב לעקרון השיוריות, שמקבל משנה תוקף עת קיימת בפני המאשימה חלופת אכיפה מנהלית עדיפה על פני המשך ניהול ההליך הפלילי. ראו למשל: </w:t>
      </w:r>
      <w:r>
        <w:rPr>
          <w:rFonts w:ascii="David" w:hAnsi="David" w:cs="David"/>
          <w:smallCaps/>
        </w:rPr>
        <w:t xml:space="preserve">.Jonathan Schonsheck, </w:t>
      </w:r>
      <w:r>
        <w:rPr>
          <w:rFonts w:ascii="David" w:hAnsi="David" w:cs="David"/>
          <w:b/>
          <w:bCs/>
          <w:smallCaps/>
        </w:rPr>
        <w:t>On Criminalization</w:t>
      </w:r>
      <w:r>
        <w:rPr>
          <w:rFonts w:ascii="David" w:hAnsi="David" w:cs="David"/>
          <w:smallCaps/>
        </w:rPr>
        <w:t xml:space="preserve"> 64–70 (1994)</w:t>
      </w:r>
      <w:r>
        <w:rPr>
          <w:smallCaps/>
        </w:rPr>
        <w:t xml:space="preserve"> </w:t>
      </w:r>
      <w:r>
        <w:rPr>
          <w:rtl/>
        </w:rPr>
        <w:t xml:space="preserve"> </w:t>
      </w:r>
    </w:p>
    <w:p w14:paraId="2CBB57C4" w14:textId="77777777" w:rsidR="006B029B" w:rsidRDefault="006B029B" w:rsidP="006B029B">
      <w:pPr>
        <w:pStyle w:val="1"/>
        <w:spacing w:line="360" w:lineRule="auto"/>
        <w:rPr>
          <w:rFonts w:ascii="David" w:hAnsi="David" w:cs="David"/>
          <w:sz w:val="24"/>
          <w:szCs w:val="24"/>
          <w:rtl/>
        </w:rPr>
      </w:pPr>
    </w:p>
    <w:p w14:paraId="2A22BE64"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הסוגיה השלישית, היא השלכת עקרון הדין המקל על עניינו של הנאשם. משום, שבמנותק משאלת הסמכות ואף במנותק משאלת הפעלת שיקול הדעת המנהלי שנדונה לעיל, עולה השאלה מהו העונש המרבי לו יכולה הייתה המאשימה לעתור.  </w:t>
      </w:r>
    </w:p>
    <w:p w14:paraId="11EEC10C" w14:textId="77777777" w:rsidR="006B029B" w:rsidRDefault="006B029B" w:rsidP="006B029B">
      <w:pPr>
        <w:pStyle w:val="1"/>
        <w:spacing w:line="360" w:lineRule="auto"/>
        <w:ind w:left="360"/>
        <w:jc w:val="both"/>
        <w:rPr>
          <w:rFonts w:ascii="David" w:hAnsi="David" w:cs="David"/>
          <w:sz w:val="24"/>
          <w:szCs w:val="24"/>
        </w:rPr>
      </w:pPr>
    </w:p>
    <w:p w14:paraId="0F709E1D" w14:textId="77777777" w:rsidR="006B029B" w:rsidRDefault="00CC75D5" w:rsidP="006B029B">
      <w:pPr>
        <w:pStyle w:val="1"/>
        <w:spacing w:line="360" w:lineRule="auto"/>
        <w:ind w:left="360"/>
        <w:jc w:val="both"/>
        <w:rPr>
          <w:rFonts w:ascii="David" w:hAnsi="David" w:cs="David"/>
          <w:sz w:val="24"/>
          <w:szCs w:val="24"/>
        </w:rPr>
      </w:pPr>
      <w:hyperlink r:id="rId37" w:history="1">
        <w:r w:rsidRPr="00CC75D5">
          <w:rPr>
            <w:rStyle w:val="Hyperlink"/>
            <w:rFonts w:ascii="David" w:hAnsi="David" w:cs="David"/>
            <w:sz w:val="24"/>
            <w:szCs w:val="24"/>
            <w:rtl/>
          </w:rPr>
          <w:t>סעיף 5(א)</w:t>
        </w:r>
      </w:hyperlink>
      <w:r w:rsidR="006B029B">
        <w:rPr>
          <w:rFonts w:ascii="David" w:hAnsi="David" w:cs="David"/>
          <w:sz w:val="24"/>
          <w:szCs w:val="24"/>
          <w:rtl/>
        </w:rPr>
        <w:t xml:space="preserve"> ל</w:t>
      </w:r>
      <w:hyperlink r:id="rId38" w:history="1">
        <w:r w:rsidR="006008E1" w:rsidRPr="006008E1">
          <w:rPr>
            <w:rFonts w:ascii="David" w:hAnsi="David" w:cs="David"/>
            <w:color w:val="0000FF"/>
            <w:sz w:val="24"/>
            <w:szCs w:val="24"/>
            <w:u w:val="single"/>
            <w:rtl/>
          </w:rPr>
          <w:t>חוק  העונשין</w:t>
        </w:r>
      </w:hyperlink>
      <w:r w:rsidR="006B029B">
        <w:rPr>
          <w:rFonts w:ascii="David" w:hAnsi="David" w:cs="David"/>
          <w:sz w:val="24"/>
          <w:szCs w:val="24"/>
          <w:rtl/>
        </w:rPr>
        <w:t xml:space="preserve"> קובע כי: "</w:t>
      </w:r>
      <w:r w:rsidR="006B029B">
        <w:rPr>
          <w:rFonts w:ascii="David" w:hAnsi="David" w:cs="David"/>
          <w:b/>
          <w:bCs/>
          <w:color w:val="000000"/>
          <w:sz w:val="24"/>
          <w:szCs w:val="24"/>
          <w:rtl/>
        </w:rPr>
        <w:t>נעברה עבירה ובטרם ניתן פסק-דין חלוט לגביה, חל שינוי בנוגע להגדרתה או לאחריות לה, או בנוגע לעונש שנקבע לה, יחול על הענין החיקוק המקל עם העושה</w:t>
      </w:r>
      <w:r w:rsidR="006B029B">
        <w:rPr>
          <w:rFonts w:ascii="David" w:hAnsi="David" w:cs="David"/>
          <w:sz w:val="24"/>
          <w:szCs w:val="24"/>
          <w:rtl/>
        </w:rPr>
        <w:t xml:space="preserve">". ליישום פרטיקולרי של עקרון הדין המקל בעבירות המתה ראו </w:t>
      </w:r>
      <w:hyperlink r:id="rId39" w:history="1">
        <w:r w:rsidRPr="00CC75D5">
          <w:rPr>
            <w:rStyle w:val="Hyperlink"/>
            <w:rFonts w:ascii="David" w:hAnsi="David" w:cs="David"/>
            <w:sz w:val="24"/>
            <w:szCs w:val="24"/>
            <w:rtl/>
          </w:rPr>
          <w:t>סעיף 25(א)</w:t>
        </w:r>
      </w:hyperlink>
      <w:r w:rsidR="006B029B">
        <w:rPr>
          <w:rFonts w:ascii="David" w:hAnsi="David" w:cs="David"/>
          <w:sz w:val="24"/>
          <w:szCs w:val="24"/>
          <w:rtl/>
        </w:rPr>
        <w:t xml:space="preserve"> לתיקון 137 ל</w:t>
      </w:r>
      <w:hyperlink r:id="rId40" w:history="1">
        <w:r w:rsidR="006008E1" w:rsidRPr="006008E1">
          <w:rPr>
            <w:rFonts w:ascii="David" w:hAnsi="David" w:cs="David"/>
            <w:color w:val="0000FF"/>
            <w:sz w:val="24"/>
            <w:szCs w:val="24"/>
            <w:u w:val="single"/>
            <w:rtl/>
          </w:rPr>
          <w:t>חוק העונשין</w:t>
        </w:r>
      </w:hyperlink>
      <w:r w:rsidR="006B029B">
        <w:rPr>
          <w:rFonts w:ascii="David" w:hAnsi="David" w:cs="David"/>
          <w:sz w:val="24"/>
          <w:szCs w:val="24"/>
          <w:rtl/>
        </w:rPr>
        <w:t xml:space="preserve">. לדיון נוסף בסוגיית הדין המקל ראו </w:t>
      </w:r>
      <w:hyperlink r:id="rId41" w:history="1">
        <w:r w:rsidR="006008E1" w:rsidRPr="006008E1">
          <w:rPr>
            <w:rFonts w:ascii="David" w:hAnsi="David" w:cs="David"/>
            <w:color w:val="0000FF"/>
            <w:sz w:val="24"/>
            <w:szCs w:val="24"/>
            <w:u w:val="single"/>
            <w:rtl/>
          </w:rPr>
          <w:t>ע"פ 6095/20</w:t>
        </w:r>
      </w:hyperlink>
      <w:r w:rsidR="006B029B">
        <w:rPr>
          <w:rFonts w:ascii="David" w:hAnsi="David" w:cs="David"/>
          <w:sz w:val="24"/>
          <w:szCs w:val="24"/>
          <w:rtl/>
        </w:rPr>
        <w:t xml:space="preserve"> </w:t>
      </w:r>
      <w:r w:rsidR="006B029B">
        <w:rPr>
          <w:rFonts w:ascii="David" w:hAnsi="David" w:cs="David"/>
          <w:b/>
          <w:bCs/>
          <w:sz w:val="24"/>
          <w:szCs w:val="24"/>
          <w:rtl/>
        </w:rPr>
        <w:t>טאהא נ' מדינת ישראל</w:t>
      </w:r>
      <w:r w:rsidR="006B029B">
        <w:rPr>
          <w:rFonts w:ascii="David" w:hAnsi="David" w:cs="David"/>
          <w:sz w:val="24"/>
          <w:szCs w:val="24"/>
          <w:rtl/>
        </w:rPr>
        <w:t xml:space="preserve"> [פורסם בנבו] (31.10.24). </w:t>
      </w:r>
      <w:r w:rsidR="006B029B">
        <w:rPr>
          <w:rFonts w:ascii="David" w:hAnsi="David" w:cs="David"/>
          <w:sz w:val="24"/>
          <w:szCs w:val="24"/>
        </w:rPr>
        <w:t xml:space="preserve"> </w:t>
      </w:r>
    </w:p>
    <w:p w14:paraId="6E6E6D37" w14:textId="77777777" w:rsidR="006B029B" w:rsidRDefault="006B029B" w:rsidP="006B029B">
      <w:pPr>
        <w:pStyle w:val="1"/>
        <w:spacing w:line="360" w:lineRule="auto"/>
        <w:ind w:left="1080"/>
        <w:jc w:val="both"/>
        <w:rPr>
          <w:rFonts w:ascii="David" w:hAnsi="David" w:cs="David"/>
          <w:sz w:val="24"/>
          <w:szCs w:val="24"/>
        </w:rPr>
      </w:pPr>
    </w:p>
    <w:p w14:paraId="1D60B70A" w14:textId="77777777" w:rsidR="006B029B" w:rsidRDefault="006B029B" w:rsidP="006B029B">
      <w:pPr>
        <w:pStyle w:val="1"/>
        <w:spacing w:line="360" w:lineRule="auto"/>
        <w:ind w:left="360"/>
        <w:jc w:val="both"/>
        <w:rPr>
          <w:rFonts w:ascii="David" w:hAnsi="David" w:cs="David"/>
          <w:sz w:val="24"/>
          <w:szCs w:val="24"/>
        </w:rPr>
      </w:pPr>
      <w:r>
        <w:rPr>
          <w:rFonts w:ascii="David" w:hAnsi="David" w:cs="David"/>
          <w:sz w:val="24"/>
          <w:szCs w:val="24"/>
          <w:rtl/>
        </w:rPr>
        <w:t xml:space="preserve">הנה כי כן, כיום, בתיקים מסוג זה, בהם המדינה ממשיכה לנהל הליך הפלילי, עליה לעתור לכל היותר לעונש של עיצום כספי. הא ותו לא. בענייננו, מצב הדברים אף מובהק ביחס לכל מקרה טיפוסי אחר של החזקת סמים. זאת בשים לב למועד כניסת התקנות לתוקפן בסמוך לפני הגשת כתב האישום, בשים לכמות הסמים המזערית במיוחד, ובשים לב לכך שמדובר בצעיר נעדר עבר פלילי. לכן היה ראוי שהתביעה תעביר את התיק למסלול המנהלי, או לכל היותר תסתפק בעתירה להטלת עיצום כספי. המאשימה בטיעוניה לא התכחשה לכך, אולם טענה לקיומו של אינטרס ציבורי חשוב הנובע מהמידע המדאיג העולה מתסקיר שירות המבחן. על המאשימה לזכור, כי בזמן שמלחמה בפשיעה היא אחת מן המטלות החשובות בחברה המודרנית, עליה לפעול כל אותה העת בהתאם לדין. מה גם שבענייננו, החזקה של פחות מגרם קנביס בבית, לא רק שאינה עבירה חמורה, אלא אף אינה עבירה פלילית כלל. אם כן, החשש של התביעה שהנאשם ייסע ברכבו בעודו תחת השפעת הסמים כמוהו כחשש שכל אדם אחר ייסע ברכבו תחת השפעת אלכוהול. חשש זה לבדו אינו יכול לשנות מהעיקרון הבסיסי </w:t>
      </w:r>
      <w:hyperlink r:id="rId42" w:history="1">
        <w:r w:rsidR="00CC75D5" w:rsidRPr="00CC75D5">
          <w:rPr>
            <w:rStyle w:val="Hyperlink"/>
            <w:rFonts w:ascii="David" w:hAnsi="David" w:cs="David"/>
            <w:sz w:val="24"/>
            <w:szCs w:val="24"/>
            <w:rtl/>
          </w:rPr>
          <w:t>שבסעיף 5(א)</w:t>
        </w:r>
      </w:hyperlink>
      <w:r>
        <w:rPr>
          <w:rFonts w:ascii="David" w:hAnsi="David" w:cs="David"/>
          <w:sz w:val="24"/>
          <w:szCs w:val="24"/>
          <w:rtl/>
        </w:rPr>
        <w:t xml:space="preserve"> ל</w:t>
      </w:r>
      <w:hyperlink r:id="rId43" w:history="1">
        <w:r w:rsidR="006008E1" w:rsidRPr="006008E1">
          <w:rPr>
            <w:rFonts w:ascii="David" w:hAnsi="David" w:cs="David"/>
            <w:color w:val="0000FF"/>
            <w:sz w:val="24"/>
            <w:szCs w:val="24"/>
            <w:u w:val="single"/>
            <w:rtl/>
          </w:rPr>
          <w:t>חוק העונשין</w:t>
        </w:r>
      </w:hyperlink>
      <w:r>
        <w:rPr>
          <w:rFonts w:ascii="David" w:hAnsi="David" w:cs="David"/>
          <w:sz w:val="24"/>
          <w:szCs w:val="24"/>
          <w:rtl/>
        </w:rPr>
        <w:t>.</w:t>
      </w:r>
    </w:p>
    <w:p w14:paraId="225ACF61" w14:textId="77777777" w:rsidR="006B029B" w:rsidRDefault="006B029B" w:rsidP="006B029B">
      <w:pPr>
        <w:pStyle w:val="1"/>
        <w:spacing w:line="360" w:lineRule="auto"/>
        <w:ind w:left="1080"/>
        <w:jc w:val="both"/>
        <w:rPr>
          <w:rFonts w:ascii="David" w:hAnsi="David" w:cs="David"/>
          <w:sz w:val="24"/>
          <w:szCs w:val="24"/>
        </w:rPr>
      </w:pPr>
    </w:p>
    <w:p w14:paraId="10D2806D" w14:textId="77777777" w:rsidR="006B029B" w:rsidRDefault="006B029B" w:rsidP="006B029B">
      <w:pPr>
        <w:pStyle w:val="1"/>
        <w:spacing w:line="360" w:lineRule="auto"/>
        <w:ind w:left="360"/>
        <w:jc w:val="both"/>
        <w:rPr>
          <w:rFonts w:ascii="David" w:hAnsi="David" w:cs="David"/>
          <w:sz w:val="24"/>
          <w:szCs w:val="24"/>
        </w:rPr>
      </w:pPr>
      <w:r>
        <w:rPr>
          <w:rFonts w:ascii="David" w:hAnsi="David" w:cs="David"/>
          <w:sz w:val="24"/>
          <w:szCs w:val="24"/>
          <w:rtl/>
        </w:rPr>
        <w:t xml:space="preserve">אשר על כן, עתירת התביעה לעונש מאסר על תנאי, קנס, ופסילה הינה עתירה שאינה עולה בקנה אחד עם קביעת המחוקק. רוצה לומר, גם אם בחרה התביעה, משיקוליה, להמשיך את ההליך הפלילי כנגד הנאשם, היה עליה להסתפק בעתירתה לעונש בהטלת עיצום כספי בלבד.  </w:t>
      </w:r>
    </w:p>
    <w:p w14:paraId="7695944F" w14:textId="77777777" w:rsidR="006B029B" w:rsidRDefault="006B029B" w:rsidP="006B029B">
      <w:pPr>
        <w:pStyle w:val="1"/>
        <w:spacing w:line="360" w:lineRule="auto"/>
        <w:rPr>
          <w:rFonts w:ascii="David" w:hAnsi="David" w:cs="David"/>
          <w:sz w:val="24"/>
          <w:szCs w:val="24"/>
        </w:rPr>
      </w:pPr>
    </w:p>
    <w:p w14:paraId="63679C2C" w14:textId="77777777" w:rsidR="006B029B" w:rsidRDefault="006B029B" w:rsidP="006B029B">
      <w:pPr>
        <w:pStyle w:val="1"/>
        <w:numPr>
          <w:ilvl w:val="0"/>
          <w:numId w:val="1"/>
        </w:numPr>
        <w:spacing w:line="360" w:lineRule="auto"/>
        <w:ind w:left="360"/>
        <w:jc w:val="both"/>
        <w:rPr>
          <w:rFonts w:ascii="David" w:hAnsi="David" w:cs="David"/>
          <w:b/>
          <w:sz w:val="24"/>
          <w:szCs w:val="24"/>
        </w:rPr>
      </w:pPr>
      <w:r>
        <w:rPr>
          <w:rFonts w:ascii="David" w:hAnsi="David" w:cs="David" w:hint="cs"/>
          <w:b/>
          <w:sz w:val="24"/>
          <w:szCs w:val="24"/>
          <w:rtl/>
        </w:rPr>
        <w:t>סוף דבר</w:t>
      </w:r>
      <w:r>
        <w:rPr>
          <w:rFonts w:ascii="David" w:hAnsi="David" w:cs="David"/>
          <w:b/>
          <w:sz w:val="24"/>
          <w:szCs w:val="24"/>
          <w:rtl/>
        </w:rPr>
        <w:t xml:space="preserve">, אני קובע כי הייתה למאשימה סמכות, גם אם בדוחק, להמשיך את ההליך הפלילי נגד הנאשם. אולם, בשים לב לכמות המזערית, ולכך שמדובר בנאשם צעיר נעדר עבר פלילי, לא מצאתי כי הייתה למאשימה סיבה מוצדקת לעשות זאת, ואף לא מצאתי באיזה אופן יש בכך כדי לשרת את האינטרס הציבורי. משזה נאמר, וגם אם ייתכן ובהתנהגות המאשימה היה כדי להצדיק סעד כמחיקת כתב אישום, הרי שהכלל הוא שמחיקת כתב אישום שמורה למקרים קיצוניים. ראו למשל </w:t>
      </w:r>
      <w:hyperlink r:id="rId44" w:history="1">
        <w:r w:rsidR="006008E1" w:rsidRPr="006008E1">
          <w:rPr>
            <w:rFonts w:ascii="David" w:hAnsi="David" w:cs="David"/>
            <w:b/>
            <w:color w:val="0000FF"/>
            <w:sz w:val="24"/>
            <w:szCs w:val="24"/>
            <w:u w:val="single"/>
            <w:rtl/>
          </w:rPr>
          <w:t>ע"פ 6328/12</w:t>
        </w:r>
      </w:hyperlink>
      <w:r>
        <w:rPr>
          <w:rFonts w:ascii="David" w:hAnsi="David" w:cs="David"/>
          <w:b/>
          <w:sz w:val="24"/>
          <w:szCs w:val="24"/>
          <w:rtl/>
        </w:rPr>
        <w:t xml:space="preserve"> </w:t>
      </w:r>
      <w:r>
        <w:rPr>
          <w:rFonts w:ascii="David" w:hAnsi="David" w:cs="David"/>
          <w:bCs/>
          <w:sz w:val="24"/>
          <w:szCs w:val="24"/>
          <w:rtl/>
        </w:rPr>
        <w:t xml:space="preserve">פולדי פרץ נ' מדינת ישראל, </w:t>
      </w:r>
      <w:r>
        <w:rPr>
          <w:rFonts w:cs="David"/>
          <w:szCs w:val="24"/>
          <w:rtl/>
        </w:rPr>
        <w:t xml:space="preserve">[פורסם בנבו]. </w:t>
      </w:r>
      <w:r>
        <w:rPr>
          <w:rFonts w:cs="David" w:hint="cs"/>
          <w:szCs w:val="24"/>
          <w:rtl/>
        </w:rPr>
        <w:t>לא אכחד,</w:t>
      </w:r>
      <w:r>
        <w:rPr>
          <w:rFonts w:cs="David"/>
          <w:szCs w:val="24"/>
          <w:rtl/>
        </w:rPr>
        <w:t xml:space="preserve"> לא ברור</w:t>
      </w:r>
      <w:r>
        <w:rPr>
          <w:rFonts w:cs="David" w:hint="cs"/>
          <w:szCs w:val="24"/>
          <w:rtl/>
        </w:rPr>
        <w:t xml:space="preserve"> בעיניי </w:t>
      </w:r>
      <w:r>
        <w:rPr>
          <w:rFonts w:cs="David"/>
          <w:szCs w:val="24"/>
          <w:rtl/>
        </w:rPr>
        <w:t>איך התנהלות התביעה עולה בקנה אחד עם האינטרס הציבורי, ואף ניכר כי קיים עירוב בין תפל לעיקר,</w:t>
      </w:r>
      <w:r>
        <w:rPr>
          <w:rFonts w:cs="David" w:hint="cs"/>
          <w:szCs w:val="24"/>
          <w:rtl/>
        </w:rPr>
        <w:t xml:space="preserve"> אך</w:t>
      </w:r>
      <w:r>
        <w:rPr>
          <w:rFonts w:cs="David"/>
          <w:szCs w:val="24"/>
          <w:rtl/>
        </w:rPr>
        <w:t xml:space="preserve"> ספק אם זהו תפקידו של בית המשפט להחליף את שיקול דעת התביעה. </w:t>
      </w:r>
      <w:r>
        <w:rPr>
          <w:rFonts w:ascii="David" w:hAnsi="David" w:cs="David"/>
          <w:b/>
          <w:sz w:val="24"/>
          <w:szCs w:val="24"/>
          <w:rtl/>
        </w:rPr>
        <w:t xml:space="preserve">הדברים נכונים ביתר שאת לאחר </w:t>
      </w:r>
      <w:hyperlink r:id="rId45" w:history="1">
        <w:r w:rsidR="006008E1" w:rsidRPr="006008E1">
          <w:rPr>
            <w:rFonts w:ascii="David" w:hAnsi="David" w:cs="David"/>
            <w:b/>
            <w:color w:val="0000FF"/>
            <w:sz w:val="24"/>
            <w:szCs w:val="24"/>
            <w:u w:val="single"/>
            <w:rtl/>
          </w:rPr>
          <w:t>דנ"פ 5387/20</w:t>
        </w:r>
      </w:hyperlink>
      <w:r>
        <w:rPr>
          <w:rFonts w:ascii="David" w:hAnsi="David" w:cs="David"/>
          <w:b/>
          <w:sz w:val="24"/>
          <w:szCs w:val="24"/>
          <w:rtl/>
        </w:rPr>
        <w:t xml:space="preserve"> </w:t>
      </w:r>
      <w:r>
        <w:rPr>
          <w:rFonts w:ascii="David" w:hAnsi="David" w:cs="David"/>
          <w:bCs/>
          <w:sz w:val="24"/>
          <w:szCs w:val="24"/>
          <w:rtl/>
        </w:rPr>
        <w:t xml:space="preserve">רפי רותם נ' מדינת ישראל </w:t>
      </w:r>
      <w:r>
        <w:rPr>
          <w:rFonts w:cs="David"/>
          <w:szCs w:val="24"/>
          <w:rtl/>
        </w:rPr>
        <w:t xml:space="preserve">[פורסם בנבו] </w:t>
      </w:r>
      <w:r>
        <w:rPr>
          <w:rFonts w:ascii="David" w:hAnsi="David" w:cs="David"/>
          <w:b/>
          <w:sz w:val="24"/>
          <w:szCs w:val="24"/>
          <w:rtl/>
        </w:rPr>
        <w:t xml:space="preserve">שם דחה בית המשפט העליון את תורת הביקורת המנהלית בפלילים. עם זאת, תחת סעד של מחיקת האישום ניתן לשקול סעדים פחותים בעוצמתם וכך אעשה בשלב המתאים. בעניין זה, ראו למשל </w:t>
      </w:r>
      <w:hyperlink r:id="rId46" w:history="1">
        <w:r w:rsidR="006008E1" w:rsidRPr="006008E1">
          <w:rPr>
            <w:rFonts w:ascii="David" w:hAnsi="David" w:cs="David"/>
            <w:color w:val="0000FF"/>
            <w:sz w:val="24"/>
            <w:szCs w:val="24"/>
            <w:u w:val="single"/>
            <w:rtl/>
          </w:rPr>
          <w:t>ע"פ 4855/02</w:t>
        </w:r>
      </w:hyperlink>
      <w:r>
        <w:rPr>
          <w:rFonts w:ascii="David" w:hAnsi="David" w:cs="David"/>
          <w:sz w:val="24"/>
          <w:szCs w:val="24"/>
          <w:rtl/>
        </w:rPr>
        <w:t xml:space="preserve"> </w:t>
      </w:r>
      <w:r>
        <w:rPr>
          <w:rFonts w:ascii="David" w:hAnsi="David" w:cs="David"/>
          <w:b/>
          <w:bCs/>
          <w:sz w:val="24"/>
          <w:szCs w:val="24"/>
          <w:rtl/>
        </w:rPr>
        <w:t>מדינת ישראל נ' בורוביץ'</w:t>
      </w:r>
      <w:r>
        <w:rPr>
          <w:rFonts w:ascii="David" w:hAnsi="David" w:cs="David"/>
          <w:sz w:val="24"/>
          <w:szCs w:val="24"/>
          <w:rtl/>
        </w:rPr>
        <w:t xml:space="preserve"> פ"ד נט(6) 776. </w:t>
      </w:r>
      <w:r>
        <w:rPr>
          <w:rFonts w:ascii="David" w:hAnsi="David" w:cs="David"/>
          <w:b/>
          <w:sz w:val="24"/>
          <w:szCs w:val="24"/>
          <w:rtl/>
        </w:rPr>
        <w:t xml:space="preserve">  </w:t>
      </w:r>
    </w:p>
    <w:p w14:paraId="18DF3F65" w14:textId="77777777" w:rsidR="006B029B" w:rsidRDefault="006B029B" w:rsidP="006B029B">
      <w:pPr>
        <w:spacing w:line="360" w:lineRule="auto"/>
        <w:jc w:val="both"/>
        <w:rPr>
          <w:rFonts w:ascii="David" w:hAnsi="David"/>
          <w:bCs/>
          <w:sz w:val="28"/>
          <w:szCs w:val="28"/>
          <w:u w:val="single"/>
          <w:rtl/>
        </w:rPr>
      </w:pPr>
    </w:p>
    <w:p w14:paraId="478FBF63" w14:textId="77777777" w:rsidR="006B029B" w:rsidRPr="00243219" w:rsidRDefault="006B029B" w:rsidP="006B029B">
      <w:pPr>
        <w:spacing w:line="360" w:lineRule="auto"/>
        <w:jc w:val="both"/>
        <w:rPr>
          <w:rFonts w:ascii="David" w:hAnsi="David"/>
          <w:bCs/>
          <w:sz w:val="28"/>
          <w:szCs w:val="28"/>
          <w:u w:val="single"/>
          <w:rtl/>
        </w:rPr>
      </w:pPr>
      <w:r w:rsidRPr="00243219">
        <w:rPr>
          <w:rFonts w:ascii="David" w:hAnsi="David"/>
          <w:bCs/>
          <w:sz w:val="28"/>
          <w:szCs w:val="28"/>
          <w:u w:val="single"/>
          <w:rtl/>
        </w:rPr>
        <w:t xml:space="preserve">סוגיית ביטול ההרשעה </w:t>
      </w:r>
    </w:p>
    <w:p w14:paraId="70AE0D8E" w14:textId="77777777" w:rsidR="006B029B" w:rsidRPr="006B029B" w:rsidRDefault="006B029B" w:rsidP="006B029B">
      <w:pPr>
        <w:pStyle w:val="1"/>
        <w:numPr>
          <w:ilvl w:val="0"/>
          <w:numId w:val="1"/>
        </w:numPr>
        <w:spacing w:line="360" w:lineRule="auto"/>
        <w:ind w:left="360"/>
        <w:jc w:val="both"/>
        <w:rPr>
          <w:sz w:val="24"/>
          <w:szCs w:val="24"/>
          <w:rtl/>
        </w:rPr>
      </w:pPr>
      <w:r>
        <w:rPr>
          <w:rFonts w:ascii="David" w:hAnsi="David" w:cs="David"/>
          <w:sz w:val="24"/>
          <w:szCs w:val="24"/>
          <w:rtl/>
        </w:rPr>
        <w:t xml:space="preserve">סוגיית ביטול ההרשעה מעוגנת </w:t>
      </w:r>
      <w:hyperlink r:id="rId47" w:history="1">
        <w:r w:rsidR="00CC75D5" w:rsidRPr="00CC75D5">
          <w:rPr>
            <w:rStyle w:val="Hyperlink"/>
            <w:rFonts w:ascii="David" w:hAnsi="David" w:cs="David"/>
            <w:sz w:val="24"/>
            <w:szCs w:val="24"/>
            <w:rtl/>
          </w:rPr>
          <w:t>בסעיף 192א</w:t>
        </w:r>
      </w:hyperlink>
      <w:r>
        <w:rPr>
          <w:rFonts w:ascii="David" w:hAnsi="David" w:cs="David"/>
          <w:sz w:val="24"/>
          <w:szCs w:val="24"/>
          <w:rtl/>
        </w:rPr>
        <w:t xml:space="preserve"> ל</w:t>
      </w:r>
      <w:hyperlink r:id="rId48" w:history="1">
        <w:r w:rsidR="006008E1" w:rsidRPr="006008E1">
          <w:rPr>
            <w:rFonts w:ascii="David" w:hAnsi="David" w:cs="David"/>
            <w:color w:val="0000FF"/>
            <w:sz w:val="24"/>
            <w:szCs w:val="24"/>
            <w:u w:val="single"/>
            <w:rtl/>
          </w:rPr>
          <w:t>חוק סדר הדין הפלילי</w:t>
        </w:r>
      </w:hyperlink>
      <w:r>
        <w:rPr>
          <w:rFonts w:ascii="David" w:hAnsi="David" w:cs="David"/>
          <w:sz w:val="24"/>
          <w:szCs w:val="24"/>
          <w:rtl/>
        </w:rPr>
        <w:t>.</w:t>
      </w:r>
    </w:p>
    <w:p w14:paraId="604B038F" w14:textId="77777777" w:rsidR="006B029B" w:rsidRDefault="006B029B" w:rsidP="006B029B">
      <w:pPr>
        <w:pStyle w:val="1"/>
        <w:spacing w:after="0" w:line="360" w:lineRule="auto"/>
        <w:jc w:val="both"/>
        <w:rPr>
          <w:sz w:val="24"/>
          <w:szCs w:val="24"/>
          <w:rtl/>
        </w:rPr>
      </w:pPr>
    </w:p>
    <w:p w14:paraId="38D47245"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ב</w:t>
      </w:r>
      <w:hyperlink r:id="rId49" w:history="1">
        <w:r w:rsidR="006008E1" w:rsidRPr="006008E1">
          <w:rPr>
            <w:rFonts w:ascii="David" w:hAnsi="David" w:cs="David"/>
            <w:color w:val="0000FF"/>
            <w:sz w:val="24"/>
            <w:szCs w:val="24"/>
            <w:u w:val="single"/>
            <w:rtl/>
          </w:rPr>
          <w:t>ע"פ 2083/96</w:t>
        </w:r>
      </w:hyperlink>
      <w:r>
        <w:rPr>
          <w:rFonts w:ascii="David" w:hAnsi="David" w:cs="David"/>
          <w:sz w:val="24"/>
          <w:szCs w:val="24"/>
          <w:rtl/>
        </w:rPr>
        <w:t xml:space="preserve"> </w:t>
      </w:r>
      <w:r>
        <w:rPr>
          <w:rFonts w:ascii="David" w:hAnsi="David" w:cs="David"/>
          <w:b/>
          <w:bCs/>
          <w:sz w:val="24"/>
          <w:szCs w:val="24"/>
          <w:rtl/>
        </w:rPr>
        <w:t>כתב נ' מדינת ישראל</w:t>
      </w:r>
      <w:r>
        <w:rPr>
          <w:rFonts w:ascii="David" w:hAnsi="David" w:cs="David"/>
          <w:sz w:val="24"/>
          <w:szCs w:val="24"/>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50" w:history="1">
        <w:r w:rsidR="006008E1" w:rsidRPr="006008E1">
          <w:rPr>
            <w:rFonts w:ascii="David" w:hAnsi="David" w:cs="David"/>
            <w:color w:val="0000FF"/>
            <w:sz w:val="24"/>
            <w:szCs w:val="24"/>
            <w:u w:val="single"/>
            <w:rtl/>
          </w:rPr>
          <w:t>ע״פ 2669/00</w:t>
        </w:r>
      </w:hyperlink>
      <w:r>
        <w:rPr>
          <w:rFonts w:ascii="David" w:hAnsi="David" w:cs="David"/>
          <w:sz w:val="24"/>
          <w:szCs w:val="24"/>
          <w:rtl/>
        </w:rPr>
        <w:t xml:space="preserve"> </w:t>
      </w:r>
      <w:r>
        <w:rPr>
          <w:rFonts w:ascii="David" w:hAnsi="David" w:cs="David"/>
          <w:b/>
          <w:bCs/>
          <w:sz w:val="24"/>
          <w:szCs w:val="24"/>
          <w:rtl/>
        </w:rPr>
        <w:t xml:space="preserve">מדינת ישראל נ׳ פלוני </w:t>
      </w:r>
      <w:r>
        <w:rPr>
          <w:rFonts w:cs="David"/>
          <w:szCs w:val="24"/>
          <w:rtl/>
        </w:rPr>
        <w:t>[פורסם בנבו])</w:t>
      </w:r>
      <w:r>
        <w:rPr>
          <w:rFonts w:ascii="David" w:hAnsi="David" w:cs="David"/>
          <w:sz w:val="24"/>
          <w:szCs w:val="24"/>
          <w:rtl/>
        </w:rPr>
        <w:t xml:space="preserve">, ועל מנת שלא לגרום לפגיעה מהותית בעקרון השוויון בפני החוק ובשיקולי ענישה אחרים. (ראו ע"פ 1082/06 </w:t>
      </w:r>
      <w:r>
        <w:rPr>
          <w:rFonts w:ascii="David" w:hAnsi="David" w:cs="David"/>
          <w:b/>
          <w:bCs/>
          <w:sz w:val="24"/>
          <w:szCs w:val="24"/>
          <w:rtl/>
        </w:rPr>
        <w:t>מיכאל שוראקי נ' מדינת ישראל</w:t>
      </w:r>
      <w:r>
        <w:rPr>
          <w:rFonts w:ascii="David" w:hAnsi="David" w:cs="David"/>
          <w:sz w:val="24"/>
          <w:szCs w:val="24"/>
          <w:rtl/>
        </w:rPr>
        <w:t xml:space="preserve"> </w:t>
      </w:r>
      <w:r>
        <w:rPr>
          <w:rFonts w:cs="David"/>
          <w:szCs w:val="24"/>
          <w:rtl/>
        </w:rPr>
        <w:t xml:space="preserve">[פורסם בנבו]) </w:t>
      </w:r>
      <w:r>
        <w:rPr>
          <w:rFonts w:ascii="David" w:hAnsi="David" w:cs="David"/>
          <w:sz w:val="24"/>
          <w:szCs w:val="24"/>
          <w:rtl/>
        </w:rPr>
        <w:t xml:space="preserve"> </w:t>
      </w:r>
    </w:p>
    <w:p w14:paraId="49309B6E" w14:textId="77777777" w:rsidR="006B029B" w:rsidRDefault="006B029B" w:rsidP="006B029B">
      <w:pPr>
        <w:pStyle w:val="1"/>
        <w:rPr>
          <w:rFonts w:ascii="David" w:hAnsi="David" w:cs="David"/>
          <w:sz w:val="24"/>
          <w:szCs w:val="24"/>
        </w:rPr>
      </w:pPr>
    </w:p>
    <w:p w14:paraId="68C7A70C"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אפתח ואציין, כי זהו אינו מקרה רגיל של בחינת בקשה לביטול הרשעה בהתאם למבחני </w:t>
      </w:r>
      <w:r>
        <w:rPr>
          <w:rFonts w:ascii="David" w:hAnsi="David" w:cs="David"/>
          <w:b/>
          <w:bCs/>
          <w:sz w:val="24"/>
          <w:szCs w:val="24"/>
          <w:rtl/>
        </w:rPr>
        <w:t>הלכת כתב</w:t>
      </w:r>
      <w:r>
        <w:rPr>
          <w:rFonts w:ascii="David" w:hAnsi="David" w:cs="David"/>
          <w:sz w:val="24"/>
          <w:szCs w:val="24"/>
          <w:rtl/>
        </w:rPr>
        <w:t xml:space="preserve">, משום שהעבירה בה הורשע הנאשם אינה עוד עבירה פלילית. במציאות הנורמטיבית החדשה, בה החזקת סם מסוג קנביס לצריכה עצמית אינה עוד עבירה פלילית, הטעמים העיקריים בדבר הצורך שלא לבטל הרשעה, אלא במקרים חריגים, אינם מתקיימים עוד. </w:t>
      </w:r>
      <w:r>
        <w:rPr>
          <w:rFonts w:ascii="David" w:hAnsi="David" w:cs="David"/>
          <w:b/>
          <w:bCs/>
          <w:sz w:val="24"/>
          <w:szCs w:val="24"/>
          <w:rtl/>
        </w:rPr>
        <w:t>ראשית</w:t>
      </w:r>
      <w:r>
        <w:rPr>
          <w:rFonts w:ascii="David" w:hAnsi="David" w:cs="David"/>
          <w:sz w:val="24"/>
          <w:szCs w:val="24"/>
          <w:rtl/>
        </w:rPr>
        <w:t xml:space="preserve">, אין מדובר במקרה בו ביטול ההרשעה יפגע בחובת מיצוי הדין עם עבריינים. זאת משום שהמחוקק עצמו כבר אינו רואה במעשי הנאשם עבירה פלילית כי אם עבירה מנהלית בלבד. ממילא הדין אשר יש למצות עמו הינו דין מנהלי ולא דין פלילי. וזוהי ליבת העניין, הדין המנהלי לא מותיר חותמו במרשם הפלילי, זאת בשל רצונו של המחוקק שלא להכתים אנשים נורמטיביים אשר משתמשים בסמם מסוג קנאביס לצריכתם העצמית. </w:t>
      </w:r>
      <w:r>
        <w:rPr>
          <w:rFonts w:ascii="David" w:hAnsi="David" w:cs="David"/>
          <w:b/>
          <w:bCs/>
          <w:sz w:val="24"/>
          <w:szCs w:val="24"/>
          <w:rtl/>
        </w:rPr>
        <w:t>שנית</w:t>
      </w:r>
      <w:r>
        <w:rPr>
          <w:rFonts w:ascii="David" w:hAnsi="David" w:cs="David"/>
          <w:sz w:val="24"/>
          <w:szCs w:val="24"/>
          <w:rtl/>
        </w:rPr>
        <w:t xml:space="preserve">, ביטול הרשעת הנאשם לא תפגע בעקרון השוויון בפני החוק. ההיפך הוא הנכון. ביטול הרשעת הנאשם תשווה את מצבו של הנאשם ביחס לאחרים, שהחזיקו קנאביס לצריכתם העצמית ואשר ננקט נגדם הליך מנהלי ולא הליך פלילי. </w:t>
      </w:r>
      <w:r>
        <w:rPr>
          <w:rFonts w:ascii="David" w:hAnsi="David" w:cs="David"/>
          <w:b/>
          <w:bCs/>
          <w:sz w:val="24"/>
          <w:szCs w:val="24"/>
          <w:rtl/>
        </w:rPr>
        <w:t>שלישית</w:t>
      </w:r>
      <w:r>
        <w:rPr>
          <w:rFonts w:ascii="David" w:hAnsi="David" w:cs="David"/>
          <w:sz w:val="24"/>
          <w:szCs w:val="24"/>
          <w:rtl/>
        </w:rPr>
        <w:t>, ביטול ההרשעה לא תפגע בהרתעה משום שממילא כיום לא ננקטים הליכים פליליים כנגד מי שהחזיק קנאביס לשימושו העצמי.</w:t>
      </w:r>
    </w:p>
    <w:p w14:paraId="4E605A44" w14:textId="77777777" w:rsidR="006B029B" w:rsidRDefault="006B029B" w:rsidP="006B029B">
      <w:pPr>
        <w:pStyle w:val="a9"/>
        <w:rPr>
          <w:rFonts w:ascii="David" w:hAnsi="David"/>
        </w:rPr>
      </w:pPr>
    </w:p>
    <w:p w14:paraId="6173B38D"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אם כן, במקרים מסוג זה ספק אם יש צורך שהנאשם יעמוד במבחני </w:t>
      </w:r>
      <w:r>
        <w:rPr>
          <w:rFonts w:ascii="David" w:hAnsi="David" w:cs="David"/>
          <w:b/>
          <w:bCs/>
          <w:sz w:val="24"/>
          <w:szCs w:val="24"/>
          <w:rtl/>
        </w:rPr>
        <w:t>הלכת</w:t>
      </w:r>
      <w:r>
        <w:rPr>
          <w:rFonts w:ascii="David" w:hAnsi="David" w:cs="David"/>
          <w:sz w:val="24"/>
          <w:szCs w:val="24"/>
          <w:rtl/>
        </w:rPr>
        <w:t xml:space="preserve"> </w:t>
      </w:r>
      <w:r>
        <w:rPr>
          <w:rFonts w:ascii="David" w:hAnsi="David" w:cs="David"/>
          <w:b/>
          <w:bCs/>
          <w:sz w:val="24"/>
          <w:szCs w:val="24"/>
          <w:rtl/>
        </w:rPr>
        <w:t>כתב</w:t>
      </w:r>
      <w:r>
        <w:rPr>
          <w:rFonts w:ascii="David" w:hAnsi="David" w:cs="David"/>
          <w:sz w:val="24"/>
          <w:szCs w:val="24"/>
          <w:rtl/>
        </w:rPr>
        <w:t xml:space="preserve">. אולם, גם יישום מבחני הלכת כתב לא יועיל למאשימה. זאת משום שחומרת העבירה לא רק שאינה בעלת מסה סגולית המצדיקה הרשעה, אלא שנראה ואף אינה בעלת מסה סגולית המצדיקה העמדה לדין. למקרה שהדבר נשכח מזכרונו של הקורא; הנאשם שבפני החזיק סם מסוג קנאביס במשקל 0.87 גרם. אודה, כי גם טרם כניסת התקנות לתוקפן, היה מדובר בכמות מזערית, אשר כשלעצמה לא היה בה כדי להקים עניין לציבור, וודאי כאשר מדובר בנאשם צעיר נעדר עבר פלילי מכל סוג. בהקשר זה, גם אם מעבר לצורך, ראו פסקי דין בהם בוטלה הרשעה בכמויות גבוהות הרבה יותר ובסמים מסוכנים יותר, למשל </w:t>
      </w:r>
      <w:hyperlink r:id="rId51" w:history="1">
        <w:r w:rsidR="006008E1" w:rsidRPr="006008E1">
          <w:rPr>
            <w:rFonts w:ascii="David" w:hAnsi="David" w:cs="David"/>
            <w:color w:val="0000FF"/>
            <w:sz w:val="24"/>
            <w:szCs w:val="24"/>
            <w:u w:val="single"/>
            <w:rtl/>
          </w:rPr>
          <w:t>ת"פ (שלום ת"א) 65214-03-23</w:t>
        </w:r>
      </w:hyperlink>
      <w:r>
        <w:rPr>
          <w:rFonts w:ascii="David" w:hAnsi="David" w:cs="David"/>
          <w:sz w:val="24"/>
          <w:szCs w:val="24"/>
          <w:rtl/>
        </w:rPr>
        <w:t xml:space="preserve"> </w:t>
      </w:r>
      <w:r>
        <w:rPr>
          <w:rFonts w:ascii="David" w:hAnsi="David" w:cs="David"/>
          <w:b/>
          <w:bCs/>
          <w:sz w:val="24"/>
          <w:szCs w:val="24"/>
          <w:rtl/>
        </w:rPr>
        <w:t>מדינת ישראל נ' חייט</w:t>
      </w:r>
      <w:r>
        <w:rPr>
          <w:rFonts w:ascii="David" w:hAnsi="David" w:cs="David"/>
          <w:sz w:val="24"/>
          <w:szCs w:val="24"/>
          <w:rtl/>
        </w:rPr>
        <w:t xml:space="preserve"> [פורסם בנבו] (22.9.24) שם בוטלה הרשעתו של נאשם שהחזיק סמים מסוג קטמין, </w:t>
      </w:r>
      <w:r>
        <w:rPr>
          <w:rFonts w:ascii="David" w:hAnsi="David" w:cs="David"/>
          <w:sz w:val="24"/>
          <w:szCs w:val="24"/>
        </w:rPr>
        <w:t>MDMA</w:t>
      </w:r>
      <w:r>
        <w:rPr>
          <w:rFonts w:ascii="David" w:hAnsi="David" w:cs="David"/>
          <w:sz w:val="24"/>
          <w:szCs w:val="24"/>
          <w:rtl/>
        </w:rPr>
        <w:t xml:space="preserve">, וקוקאין במשקלים של גרמים בודדים, עבור חבריו לצורך מסיבה בביתו. </w:t>
      </w:r>
      <w:hyperlink r:id="rId52" w:history="1">
        <w:r w:rsidR="006008E1" w:rsidRPr="006008E1">
          <w:rPr>
            <w:rFonts w:ascii="David" w:hAnsi="David" w:cs="David"/>
            <w:color w:val="0000FF"/>
            <w:sz w:val="24"/>
            <w:szCs w:val="24"/>
            <w:u w:val="single"/>
            <w:rtl/>
          </w:rPr>
          <w:t>ת"פ (שלום אי') 72806-02-19</w:t>
        </w:r>
      </w:hyperlink>
      <w:r>
        <w:rPr>
          <w:rFonts w:ascii="David" w:hAnsi="David" w:cs="David"/>
          <w:sz w:val="24"/>
          <w:szCs w:val="24"/>
          <w:rtl/>
        </w:rPr>
        <w:t xml:space="preserve"> </w:t>
      </w:r>
      <w:r>
        <w:rPr>
          <w:rFonts w:ascii="David" w:hAnsi="David" w:cs="David"/>
          <w:b/>
          <w:bCs/>
          <w:sz w:val="24"/>
          <w:szCs w:val="24"/>
          <w:rtl/>
        </w:rPr>
        <w:t>מדינת ישראל נ' טובול</w:t>
      </w:r>
      <w:r>
        <w:rPr>
          <w:rFonts w:ascii="David" w:hAnsi="David" w:cs="David"/>
          <w:sz w:val="24"/>
          <w:szCs w:val="24"/>
          <w:rtl/>
        </w:rPr>
        <w:t xml:space="preserve"> [פורסם בנבו] (23.12.21) שם בוטלה הרשעתו של נאשם שהחזיק עם אחר סם סוכן מסוג קנביס במשקל של 253 גרם שלא לצריכתו העצמית.  </w:t>
      </w:r>
      <w:hyperlink r:id="rId53" w:history="1">
        <w:r w:rsidR="006008E1" w:rsidRPr="006008E1">
          <w:rPr>
            <w:rFonts w:ascii="David" w:hAnsi="David" w:cs="David"/>
            <w:color w:val="0000FF"/>
            <w:sz w:val="24"/>
            <w:szCs w:val="24"/>
            <w:u w:val="single"/>
            <w:rtl/>
          </w:rPr>
          <w:t>תפ (י-ם) 25936-08-19</w:t>
        </w:r>
      </w:hyperlink>
      <w:r w:rsidR="006008E1">
        <w:rPr>
          <w:rFonts w:ascii="David" w:hAnsi="David" w:cs="David"/>
          <w:sz w:val="24"/>
          <w:szCs w:val="24"/>
          <w:rtl/>
        </w:rPr>
        <w:t xml:space="preserve"> </w:t>
      </w:r>
      <w:r>
        <w:rPr>
          <w:rFonts w:ascii="David" w:hAnsi="David" w:cs="David"/>
          <w:sz w:val="24"/>
          <w:szCs w:val="24"/>
          <w:rtl/>
        </w:rPr>
        <w:t xml:space="preserve"> </w:t>
      </w:r>
      <w:r>
        <w:rPr>
          <w:rFonts w:ascii="David" w:hAnsi="David" w:cs="David"/>
          <w:b/>
          <w:bCs/>
          <w:sz w:val="24"/>
          <w:szCs w:val="24"/>
          <w:rtl/>
        </w:rPr>
        <w:t>מדינת ישראל נ' וענונו</w:t>
      </w:r>
      <w:r>
        <w:rPr>
          <w:rFonts w:ascii="David" w:hAnsi="David" w:cs="David"/>
          <w:sz w:val="24"/>
          <w:szCs w:val="24"/>
          <w:rtl/>
        </w:rPr>
        <w:t xml:space="preserve"> [פורסם בנבו] (2.6.24) בוטלה הרשעת הנאשם שהחזיק עם אחר סם מסוג קנביס במשקל 176 גרם וסם מסוג חשיש במשקל 120 גרם, וכן משקל, שני טלפונים ניידים, סכין וכסף מזומן בסך 2,070 ₪. לביטול הרשעה בעבירות סמים חמורות יותר ראו עפ"ג 33947-10-17 </w:t>
      </w:r>
      <w:r>
        <w:rPr>
          <w:rFonts w:ascii="David" w:hAnsi="David" w:cs="David"/>
          <w:b/>
          <w:bCs/>
          <w:sz w:val="24"/>
          <w:szCs w:val="24"/>
          <w:rtl/>
        </w:rPr>
        <w:t>מ"י נ' קרוקוצקי</w:t>
      </w:r>
      <w:r>
        <w:rPr>
          <w:rFonts w:ascii="David" w:hAnsi="David" w:cs="David"/>
          <w:sz w:val="24"/>
          <w:szCs w:val="24"/>
          <w:rtl/>
        </w:rPr>
        <w:t xml:space="preserve"> [פורסם בנבו] (20.3.18) שם אושר ביטול הרשעתו של מי שסחר שש פעמים בסמים מסוג קנבוס. ובעפ"ג 11045-09-18 </w:t>
      </w:r>
      <w:r>
        <w:rPr>
          <w:rFonts w:ascii="David" w:hAnsi="David" w:cs="David"/>
          <w:b/>
          <w:bCs/>
          <w:sz w:val="24"/>
          <w:szCs w:val="24"/>
          <w:rtl/>
        </w:rPr>
        <w:t>אליאסיאן נ' מ"י</w:t>
      </w:r>
      <w:r>
        <w:rPr>
          <w:rFonts w:ascii="David" w:hAnsi="David" w:cs="David"/>
          <w:sz w:val="24"/>
          <w:szCs w:val="24"/>
          <w:rtl/>
        </w:rPr>
        <w:t xml:space="preserve"> [פורסם בנבו] (3.3.19) שם ביטל בית המשפט המחוזי את הרשעתו של מי שתיאם עסקת סמים וביצע שתי עבירות סחר בסמים.</w:t>
      </w:r>
    </w:p>
    <w:p w14:paraId="2EBC01B0" w14:textId="77777777" w:rsidR="006B029B" w:rsidRDefault="006B029B" w:rsidP="006B029B">
      <w:pPr>
        <w:pStyle w:val="a9"/>
        <w:rPr>
          <w:rFonts w:ascii="David" w:hAnsi="David"/>
        </w:rPr>
      </w:pPr>
    </w:p>
    <w:p w14:paraId="7D999221"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כך או אחרת, שמשקבע המחוקק כי מדובר בעבירה מנהלית, הרי שעל פנים הדברים ובהיעדר ראיות אחרות לסתור, לא מדובר עוד בעבירה שחומרתה כשלעצמה מצדיקה הרשעה. משאלו הם פני הדברים, כאשר מדובר בעבירת החזקת סם מסוג קנאביס לצריכה עצמית, וודאי כאשר מדובר בכמות הנמוכה מגרם אחד, בעניינו של נעדר עבר פלילי, מוצדק להורות על ביטול הרשעה גם מבלי לערוך איזון עם הנזק הצפוי לנאשם מההרשעה. המחוקק גילה דעתו ביחס לעבירה זו באופן חד משמעי, משהמיר אותה מעבירה פלילית לעבירה מנהלית. בהיעדר כל טעם מיוחד אחר יש לקיים את כוונת המחוקק, בעבירות מסוג זה, אף ביחס לאי הכתמה ברישום פלילי.</w:t>
      </w:r>
    </w:p>
    <w:p w14:paraId="0787E9FD" w14:textId="77777777" w:rsidR="006B029B" w:rsidRDefault="006B029B" w:rsidP="006B029B">
      <w:pPr>
        <w:pStyle w:val="1"/>
        <w:rPr>
          <w:rFonts w:ascii="David" w:hAnsi="David" w:cs="David"/>
          <w:sz w:val="24"/>
          <w:szCs w:val="24"/>
          <w:rtl/>
        </w:rPr>
      </w:pPr>
    </w:p>
    <w:p w14:paraId="042834E7" w14:textId="77777777" w:rsidR="006B029B" w:rsidRDefault="006B029B" w:rsidP="006B029B">
      <w:pPr>
        <w:pStyle w:val="1"/>
        <w:numPr>
          <w:ilvl w:val="0"/>
          <w:numId w:val="1"/>
        </w:numPr>
        <w:spacing w:line="360" w:lineRule="auto"/>
        <w:ind w:left="360"/>
        <w:jc w:val="both"/>
        <w:rPr>
          <w:rFonts w:ascii="David" w:hAnsi="David" w:cs="David"/>
          <w:bCs/>
          <w:sz w:val="24"/>
          <w:szCs w:val="24"/>
        </w:rPr>
      </w:pPr>
      <w:r>
        <w:rPr>
          <w:rFonts w:ascii="David" w:hAnsi="David" w:cs="David"/>
          <w:sz w:val="24"/>
          <w:szCs w:val="24"/>
          <w:rtl/>
        </w:rPr>
        <w:t xml:space="preserve">כפי שהבהרתי קודם, בהתאם </w:t>
      </w:r>
      <w:hyperlink r:id="rId54" w:history="1">
        <w:r w:rsidR="00CC75D5" w:rsidRPr="00CC75D5">
          <w:rPr>
            <w:rStyle w:val="Hyperlink"/>
            <w:rFonts w:ascii="David" w:hAnsi="David" w:cs="David"/>
            <w:sz w:val="24"/>
            <w:szCs w:val="24"/>
            <w:rtl/>
          </w:rPr>
          <w:t>לסעיף 5</w:t>
        </w:r>
      </w:hyperlink>
      <w:r>
        <w:rPr>
          <w:rFonts w:ascii="David" w:hAnsi="David" w:cs="David"/>
          <w:sz w:val="24"/>
          <w:szCs w:val="24"/>
          <w:rtl/>
        </w:rPr>
        <w:t xml:space="preserve"> ל</w:t>
      </w:r>
      <w:hyperlink r:id="rId55" w:history="1">
        <w:r w:rsidR="006008E1" w:rsidRPr="006008E1">
          <w:rPr>
            <w:rFonts w:ascii="David" w:hAnsi="David" w:cs="David"/>
            <w:color w:val="0000FF"/>
            <w:sz w:val="24"/>
            <w:szCs w:val="24"/>
            <w:u w:val="single"/>
            <w:rtl/>
          </w:rPr>
          <w:t>חוק העונשין</w:t>
        </w:r>
      </w:hyperlink>
      <w:r>
        <w:rPr>
          <w:rFonts w:ascii="David" w:hAnsi="David" w:cs="David"/>
          <w:sz w:val="24"/>
          <w:szCs w:val="24"/>
          <w:rtl/>
        </w:rPr>
        <w:t xml:space="preserve">, אם שונתה עבירה וטרם ניתן פסק דין חלוט יחול על העניין החיקוק המקל עם העושה. הדין המקל כיום הינו קנס מנהלי ללא הרשעה בפלילים. לפיכך, נראה כי הקו המנחה הוא שבעבירות החזקת סם קנאביס לצריכה עצמית, בהן הוגש כתב אישום טרם כניסת התקנות לתוקפן, מצופה מהתביעה, לכל הפחות בנסיבות בהן מדובר במי שהינו נעדר עבר פלילי, ונעדר סנקציות מנהליות קודמות, להסכים כי הנאשם לא יורשע. </w:t>
      </w:r>
    </w:p>
    <w:p w14:paraId="158238EB" w14:textId="77777777" w:rsidR="006B029B" w:rsidRDefault="006B029B" w:rsidP="006B029B">
      <w:pPr>
        <w:pStyle w:val="1"/>
        <w:spacing w:line="360" w:lineRule="auto"/>
        <w:ind w:left="360"/>
        <w:jc w:val="both"/>
        <w:rPr>
          <w:rFonts w:ascii="David" w:hAnsi="David" w:cs="David"/>
          <w:bCs/>
          <w:sz w:val="24"/>
          <w:szCs w:val="24"/>
          <w:rtl/>
        </w:rPr>
      </w:pPr>
    </w:p>
    <w:p w14:paraId="3FCE4F49"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b/>
          <w:sz w:val="24"/>
          <w:szCs w:val="24"/>
          <w:rtl/>
        </w:rPr>
        <w:t>לאחרונה יצאו נשיא המדינה ושר המשפטים בקריאה נרגשת לציבור שכותרתה: "</w:t>
      </w:r>
      <w:r>
        <w:rPr>
          <w:rFonts w:ascii="David" w:hAnsi="David" w:cs="David"/>
          <w:bCs/>
          <w:sz w:val="24"/>
          <w:szCs w:val="24"/>
          <w:rtl/>
        </w:rPr>
        <w:t xml:space="preserve">קריאה מיוחדת להגשת בקשות למחיקת רישום פלילי בגין החזקה או שימוש בקנאביס לצריכה עצמית בלבד". </w:t>
      </w:r>
      <w:hyperlink r:id="rId56" w:history="1">
        <w:r>
          <w:rPr>
            <w:rStyle w:val="Hyperlink"/>
            <w:rFonts w:ascii="David" w:hAnsi="David" w:cs="David"/>
            <w:bCs/>
            <w:sz w:val="24"/>
            <w:szCs w:val="24"/>
          </w:rPr>
          <w:t>https://www.gov.il/he/pages/mish-news-06-03</w:t>
        </w:r>
      </w:hyperlink>
      <w:r>
        <w:rPr>
          <w:rFonts w:ascii="David" w:hAnsi="David" w:cs="David"/>
          <w:bCs/>
          <w:sz w:val="24"/>
          <w:szCs w:val="24"/>
          <w:rtl/>
        </w:rPr>
        <w:t xml:space="preserve">. </w:t>
      </w:r>
      <w:r>
        <w:rPr>
          <w:rFonts w:ascii="David" w:hAnsi="David" w:cs="David"/>
          <w:sz w:val="24"/>
          <w:szCs w:val="24"/>
          <w:rtl/>
        </w:rPr>
        <w:t>שם</w:t>
      </w:r>
      <w:r>
        <w:rPr>
          <w:rFonts w:ascii="David" w:hAnsi="David" w:cs="David"/>
          <w:b/>
          <w:sz w:val="24"/>
          <w:szCs w:val="24"/>
          <w:rtl/>
        </w:rPr>
        <w:t xml:space="preserve"> נכתב בין השאר כי: </w:t>
      </w:r>
      <w:r>
        <w:rPr>
          <w:rFonts w:ascii="David" w:hAnsi="David" w:cs="David"/>
          <w:bCs/>
          <w:sz w:val="24"/>
          <w:szCs w:val="24"/>
          <w:rtl/>
        </w:rPr>
        <w:t xml:space="preserve"> "</w:t>
      </w:r>
      <w:r>
        <w:rPr>
          <w:rFonts w:ascii="David" w:hAnsi="David" w:cs="David"/>
          <w:b/>
          <w:bCs/>
          <w:sz w:val="24"/>
          <w:szCs w:val="24"/>
          <w:shd w:val="clear" w:color="auto" w:fill="FFFFFF"/>
          <w:rtl/>
        </w:rPr>
        <w:t>כמהלך משלים</w:t>
      </w:r>
      <w:r>
        <w:rPr>
          <w:rFonts w:ascii="David" w:hAnsi="David" w:cs="David"/>
          <w:sz w:val="24"/>
          <w:szCs w:val="24"/>
          <w:shd w:val="clear" w:color="auto" w:fill="FFFFFF"/>
          <w:rtl/>
        </w:rPr>
        <w:t xml:space="preserve"> </w:t>
      </w:r>
      <w:r>
        <w:rPr>
          <w:rStyle w:val="aa"/>
          <w:rFonts w:ascii="David" w:hAnsi="David" w:cs="David"/>
          <w:sz w:val="24"/>
          <w:szCs w:val="24"/>
          <w:shd w:val="clear" w:color="auto" w:fill="FFFFFF"/>
          <w:rtl/>
        </w:rPr>
        <w:t>ומתוך רצון להסיר את התיוג הפלילי ואת הכתם הנלווה אליו, ממי שעבר בעברו עבירה של החזקה או שימוש עצמי בקנאביס יוצאים נשיא המדינה, יצחק הרצוג וסגן רה"מ ושר המשפטים, גדעון סער, בקריאה מיוחדת למי שנשפטו בעבר בבית משפט בגין עבירות שעניינן החזקה או שימוש בקנאביס לצריכה עצמית, ולא נשפטו בגין עבירות נוספות - להגיש בקשות למחיקת רישום פלילי, והכל כמפורט להלן</w:t>
      </w:r>
      <w:r>
        <w:rPr>
          <w:rStyle w:val="aa"/>
          <w:rFonts w:ascii="David" w:hAnsi="David" w:cs="David"/>
          <w:sz w:val="24"/>
          <w:szCs w:val="24"/>
          <w:shd w:val="clear" w:color="auto" w:fill="FFFFFF"/>
        </w:rPr>
        <w:t>.</w:t>
      </w:r>
      <w:r>
        <w:rPr>
          <w:rStyle w:val="aa"/>
          <w:rFonts w:ascii="David" w:hAnsi="David" w:cs="David"/>
          <w:sz w:val="24"/>
          <w:szCs w:val="24"/>
          <w:shd w:val="clear" w:color="auto" w:fill="FFFFFF"/>
          <w:rtl/>
        </w:rPr>
        <w:t>"</w:t>
      </w:r>
      <w:r>
        <w:rPr>
          <w:rFonts w:ascii="David" w:hAnsi="David" w:cs="David"/>
          <w:sz w:val="24"/>
          <w:szCs w:val="24"/>
          <w:rtl/>
        </w:rPr>
        <w:t xml:space="preserve"> הנה כי כן, לא ברור מדוע מבקשת המדינה בידה האחת להרשיע נאשם נעדר עבר פלילי, בעבירה של החזקת סם לצריכה עצמית, ואילו בידה השנייה, מזמינה את מי שכבר הורשע בעבירה של החזקת סם לצריכה עצמית להגיש בקשת חנינה. </w:t>
      </w:r>
    </w:p>
    <w:p w14:paraId="68C47B09" w14:textId="77777777" w:rsidR="006B029B" w:rsidRDefault="006B029B" w:rsidP="006B029B">
      <w:pPr>
        <w:pStyle w:val="1"/>
        <w:spacing w:line="360" w:lineRule="auto"/>
        <w:jc w:val="both"/>
        <w:rPr>
          <w:rFonts w:ascii="David" w:hAnsi="David" w:cs="David"/>
          <w:bCs/>
          <w:sz w:val="24"/>
          <w:szCs w:val="24"/>
          <w:rtl/>
        </w:rPr>
      </w:pPr>
    </w:p>
    <w:p w14:paraId="54B0E81A" w14:textId="77777777" w:rsidR="006B029B" w:rsidRDefault="00CC75D5" w:rsidP="006B029B">
      <w:pPr>
        <w:pStyle w:val="1"/>
        <w:numPr>
          <w:ilvl w:val="0"/>
          <w:numId w:val="1"/>
        </w:numPr>
        <w:spacing w:line="360" w:lineRule="auto"/>
        <w:ind w:left="360"/>
        <w:jc w:val="both"/>
        <w:rPr>
          <w:rFonts w:ascii="David" w:hAnsi="David" w:cs="David"/>
          <w:bCs/>
          <w:sz w:val="24"/>
          <w:szCs w:val="24"/>
          <w:rtl/>
        </w:rPr>
      </w:pPr>
      <w:hyperlink r:id="rId57" w:history="1">
        <w:r w:rsidRPr="00CC75D5">
          <w:rPr>
            <w:rStyle w:val="Hyperlink"/>
            <w:rFonts w:ascii="David" w:hAnsi="David" w:cs="David"/>
            <w:b/>
            <w:sz w:val="24"/>
            <w:szCs w:val="24"/>
            <w:rtl/>
          </w:rPr>
          <w:t>סעיף 23</w:t>
        </w:r>
      </w:hyperlink>
      <w:r w:rsidR="006B029B">
        <w:rPr>
          <w:rFonts w:ascii="David" w:hAnsi="David" w:cs="David"/>
          <w:b/>
          <w:sz w:val="24"/>
          <w:szCs w:val="24"/>
          <w:rtl/>
        </w:rPr>
        <w:t xml:space="preserve"> ל</w:t>
      </w:r>
      <w:hyperlink r:id="rId58" w:history="1">
        <w:r w:rsidR="006008E1" w:rsidRPr="006008E1">
          <w:rPr>
            <w:rFonts w:ascii="David" w:hAnsi="David" w:cs="David"/>
            <w:b/>
            <w:color w:val="0000FF"/>
            <w:sz w:val="24"/>
            <w:szCs w:val="24"/>
            <w:u w:val="single"/>
            <w:rtl/>
          </w:rPr>
          <w:t>חוק העבירות המנהליות</w:t>
        </w:r>
      </w:hyperlink>
      <w:r w:rsidR="006B029B">
        <w:rPr>
          <w:rFonts w:ascii="David" w:hAnsi="David" w:cs="David"/>
          <w:b/>
          <w:sz w:val="24"/>
          <w:szCs w:val="24"/>
          <w:rtl/>
        </w:rPr>
        <w:t xml:space="preserve"> קובע</w:t>
      </w:r>
      <w:r w:rsidR="006B029B">
        <w:rPr>
          <w:rFonts w:ascii="David" w:hAnsi="David" w:cs="David"/>
          <w:bCs/>
          <w:sz w:val="24"/>
          <w:szCs w:val="24"/>
          <w:rtl/>
        </w:rPr>
        <w:t xml:space="preserve"> </w:t>
      </w:r>
      <w:r w:rsidR="006B029B">
        <w:rPr>
          <w:rFonts w:ascii="David" w:hAnsi="David" w:cs="David"/>
          <w:b/>
          <w:sz w:val="24"/>
          <w:szCs w:val="24"/>
          <w:rtl/>
        </w:rPr>
        <w:t>כי</w:t>
      </w:r>
      <w:r w:rsidR="006B029B">
        <w:rPr>
          <w:rFonts w:ascii="David" w:hAnsi="David" w:cs="David"/>
          <w:bCs/>
          <w:sz w:val="24"/>
          <w:szCs w:val="24"/>
          <w:rtl/>
        </w:rPr>
        <w:t>:</w:t>
      </w:r>
      <w:r w:rsidR="006B029B">
        <w:rPr>
          <w:rFonts w:ascii="David" w:hAnsi="David" w:cs="David"/>
          <w:bCs/>
          <w:sz w:val="24"/>
          <w:szCs w:val="24"/>
        </w:rPr>
        <w:t xml:space="preserve"> </w:t>
      </w:r>
      <w:r w:rsidR="006B029B">
        <w:rPr>
          <w:rFonts w:ascii="David" w:hAnsi="David" w:cs="David"/>
          <w:bCs/>
          <w:sz w:val="24"/>
          <w:szCs w:val="24"/>
          <w:rtl/>
        </w:rPr>
        <w:t xml:space="preserve">" </w:t>
      </w:r>
      <w:r w:rsidR="006B029B">
        <w:rPr>
          <w:rFonts w:ascii="David" w:hAnsi="David" w:cs="David"/>
          <w:b/>
          <w:bCs/>
          <w:sz w:val="24"/>
          <w:szCs w:val="24"/>
          <w:rtl/>
        </w:rPr>
        <w:t>שילם אדם קנס מינהלי שהוטל עליו – כופרה העבירה</w:t>
      </w:r>
      <w:r w:rsidR="006B029B">
        <w:rPr>
          <w:rFonts w:ascii="David" w:hAnsi="David" w:cs="David"/>
          <w:bCs/>
          <w:sz w:val="24"/>
          <w:szCs w:val="24"/>
          <w:rtl/>
        </w:rPr>
        <w:t xml:space="preserve">". </w:t>
      </w:r>
      <w:r w:rsidR="006B029B">
        <w:rPr>
          <w:rFonts w:ascii="David" w:hAnsi="David" w:cs="David"/>
          <w:b/>
          <w:sz w:val="24"/>
          <w:szCs w:val="24"/>
          <w:rtl/>
        </w:rPr>
        <w:t>דהיינו</w:t>
      </w:r>
      <w:r w:rsidR="006B029B">
        <w:rPr>
          <w:rFonts w:ascii="David" w:hAnsi="David" w:cs="David"/>
          <w:bCs/>
          <w:sz w:val="24"/>
          <w:szCs w:val="24"/>
          <w:rtl/>
        </w:rPr>
        <w:t xml:space="preserve">, </w:t>
      </w:r>
      <w:hyperlink r:id="rId59" w:history="1">
        <w:r w:rsidR="006008E1" w:rsidRPr="006008E1">
          <w:rPr>
            <w:rFonts w:ascii="David" w:hAnsi="David" w:cs="David"/>
            <w:b/>
            <w:color w:val="0000FF"/>
            <w:sz w:val="24"/>
            <w:szCs w:val="24"/>
            <w:u w:val="single"/>
            <w:rtl/>
          </w:rPr>
          <w:t>חוק העבירות המנהליות</w:t>
        </w:r>
      </w:hyperlink>
      <w:r w:rsidR="006B029B">
        <w:rPr>
          <w:rFonts w:ascii="David" w:hAnsi="David" w:cs="David"/>
          <w:b/>
          <w:sz w:val="24"/>
          <w:szCs w:val="24"/>
          <w:rtl/>
        </w:rPr>
        <w:t xml:space="preserve"> מאפשר לאדם לכפר על מעשיו על ידי שילום הקנס ובכך להימנע מהכתמה בפלילים. ובעניין זה ראו למשל </w:t>
      </w:r>
      <w:hyperlink r:id="rId60" w:history="1">
        <w:r w:rsidR="006008E1" w:rsidRPr="006008E1">
          <w:rPr>
            <w:rFonts w:ascii="David" w:hAnsi="David" w:cs="David"/>
            <w:b/>
            <w:color w:val="0000FF"/>
            <w:sz w:val="24"/>
            <w:szCs w:val="24"/>
            <w:u w:val="single"/>
            <w:rtl/>
          </w:rPr>
          <w:t>בג"ץ 2126/99</w:t>
        </w:r>
      </w:hyperlink>
      <w:r w:rsidR="006B029B">
        <w:rPr>
          <w:rFonts w:ascii="David" w:hAnsi="David" w:cs="David"/>
          <w:bCs/>
          <w:sz w:val="24"/>
          <w:szCs w:val="24"/>
          <w:rtl/>
        </w:rPr>
        <w:t xml:space="preserve"> דה הס נ' עיריית תל אביב יפו </w:t>
      </w:r>
      <w:r w:rsidR="006B029B">
        <w:rPr>
          <w:rFonts w:cs="David"/>
          <w:szCs w:val="24"/>
          <w:rtl/>
        </w:rPr>
        <w:t>[פורסם בנבו]</w:t>
      </w:r>
      <w:r w:rsidR="006B029B">
        <w:rPr>
          <w:rFonts w:ascii="David" w:hAnsi="David" w:cs="David"/>
          <w:bCs/>
          <w:sz w:val="24"/>
          <w:szCs w:val="24"/>
          <w:rtl/>
        </w:rPr>
        <w:t xml:space="preserve">. </w:t>
      </w:r>
      <w:r w:rsidR="006B029B">
        <w:rPr>
          <w:rFonts w:ascii="David" w:hAnsi="David" w:cs="David"/>
          <w:b/>
          <w:sz w:val="24"/>
          <w:szCs w:val="24"/>
          <w:rtl/>
        </w:rPr>
        <w:t>באותו עניין הסביר בית המשפט את רציונל הכפרה הטמון בהליך המנהלי:</w:t>
      </w:r>
      <w:r w:rsidR="006B029B">
        <w:rPr>
          <w:rFonts w:ascii="David" w:hAnsi="David" w:cs="David"/>
          <w:bCs/>
          <w:sz w:val="24"/>
          <w:szCs w:val="24"/>
          <w:rtl/>
        </w:rPr>
        <w:t xml:space="preserve"> </w:t>
      </w:r>
      <w:r w:rsidR="006B029B">
        <w:rPr>
          <w:rFonts w:ascii="David" w:hAnsi="David" w:cs="David"/>
          <w:sz w:val="24"/>
          <w:szCs w:val="24"/>
          <w:rtl/>
        </w:rPr>
        <w:t>"</w:t>
      </w:r>
      <w:r w:rsidR="006B029B">
        <w:rPr>
          <w:rFonts w:ascii="David" w:hAnsi="David" w:cs="David"/>
          <w:b/>
          <w:bCs/>
          <w:sz w:val="24"/>
          <w:szCs w:val="24"/>
          <w:rtl/>
        </w:rPr>
        <w:t>אחת המטרות שביסוד קביעתן של עבירות כעבירות מינהליות היא להבדילן מעבירות פליליות. טעם הדבר הוא, מתן אפשרות למי שעבר עבירה מינהלית לשאת בתשלום קנס מתאים בלא שיוכתם בכתם של מי שעבר עבירה פלילית.</w:t>
      </w:r>
      <w:r w:rsidR="006B029B">
        <w:rPr>
          <w:rFonts w:ascii="David" w:hAnsi="David" w:cs="David"/>
          <w:sz w:val="24"/>
          <w:szCs w:val="24"/>
          <w:rtl/>
        </w:rPr>
        <w:t>". בענייננו הרים הנאשם תרומה בסך 500 ₪ לעמותת "אל סם", ונראה כי די בכך כדי לכפר על המעשה, שאינו מצדיק עוד לשיטת המחוקק הכתמה בפלילים.</w:t>
      </w:r>
      <w:r w:rsidR="006B029B">
        <w:rPr>
          <w:rFonts w:ascii="David" w:hAnsi="David" w:cs="David"/>
          <w:bCs/>
          <w:sz w:val="24"/>
          <w:szCs w:val="24"/>
          <w:rtl/>
        </w:rPr>
        <w:t xml:space="preserve"> </w:t>
      </w:r>
      <w:r w:rsidR="006B029B">
        <w:rPr>
          <w:rFonts w:ascii="David" w:hAnsi="David" w:cs="David"/>
          <w:b/>
          <w:sz w:val="24"/>
          <w:szCs w:val="24"/>
          <w:rtl/>
        </w:rPr>
        <w:t xml:space="preserve">אף בטעם זה יש כדי לחזק את המסקנה כי יש לבטל את הרשעתו של הנאשם. </w:t>
      </w:r>
    </w:p>
    <w:p w14:paraId="21C51380" w14:textId="77777777" w:rsidR="006B029B" w:rsidRDefault="006B029B" w:rsidP="006B029B">
      <w:pPr>
        <w:pStyle w:val="1"/>
        <w:rPr>
          <w:rFonts w:ascii="David" w:hAnsi="David" w:cs="David"/>
          <w:bCs/>
          <w:sz w:val="24"/>
          <w:szCs w:val="24"/>
        </w:rPr>
      </w:pPr>
    </w:p>
    <w:p w14:paraId="2089D81D" w14:textId="77777777" w:rsidR="006B029B" w:rsidRDefault="006B029B" w:rsidP="006B029B">
      <w:pPr>
        <w:spacing w:line="360" w:lineRule="auto"/>
        <w:jc w:val="both"/>
        <w:rPr>
          <w:rFonts w:ascii="David" w:hAnsi="David"/>
          <w:bCs/>
        </w:rPr>
      </w:pPr>
      <w:r>
        <w:rPr>
          <w:rFonts w:ascii="David" w:hAnsi="David"/>
          <w:bCs/>
          <w:rtl/>
        </w:rPr>
        <w:t xml:space="preserve">אשר על כן אני מורה על ביטול הרשעת הנאשם. </w:t>
      </w:r>
    </w:p>
    <w:p w14:paraId="6334965E" w14:textId="77777777" w:rsidR="006B029B" w:rsidRDefault="006B029B" w:rsidP="006B029B">
      <w:pPr>
        <w:spacing w:line="360" w:lineRule="auto"/>
        <w:jc w:val="both"/>
        <w:rPr>
          <w:rFonts w:ascii="David" w:hAnsi="David"/>
          <w:b/>
          <w:bCs/>
          <w:sz w:val="32"/>
          <w:szCs w:val="32"/>
          <w:rtl/>
        </w:rPr>
      </w:pPr>
    </w:p>
    <w:p w14:paraId="73797913" w14:textId="77777777" w:rsidR="006B029B" w:rsidRPr="00243219" w:rsidRDefault="006B029B" w:rsidP="006B029B">
      <w:pPr>
        <w:spacing w:line="360" w:lineRule="auto"/>
        <w:jc w:val="both"/>
        <w:rPr>
          <w:rFonts w:ascii="David" w:hAnsi="David"/>
          <w:b/>
          <w:bCs/>
          <w:sz w:val="28"/>
          <w:szCs w:val="28"/>
          <w:u w:val="single"/>
          <w:rtl/>
        </w:rPr>
      </w:pPr>
      <w:r w:rsidRPr="00243219">
        <w:rPr>
          <w:rFonts w:ascii="David" w:hAnsi="David"/>
          <w:b/>
          <w:bCs/>
          <w:sz w:val="28"/>
          <w:szCs w:val="28"/>
          <w:u w:val="single"/>
          <w:rtl/>
        </w:rPr>
        <w:t>סוף דבר</w:t>
      </w:r>
    </w:p>
    <w:p w14:paraId="1626C172" w14:textId="77777777" w:rsidR="006B029B" w:rsidRDefault="006B029B" w:rsidP="006B029B">
      <w:pPr>
        <w:pStyle w:val="1"/>
        <w:spacing w:line="360" w:lineRule="auto"/>
        <w:ind w:left="360"/>
        <w:jc w:val="both"/>
        <w:rPr>
          <w:rFonts w:ascii="David" w:hAnsi="David" w:cs="David"/>
          <w:sz w:val="24"/>
          <w:szCs w:val="24"/>
          <w:rtl/>
        </w:rPr>
      </w:pPr>
    </w:p>
    <w:p w14:paraId="67D7E97C" w14:textId="77777777" w:rsidR="006B029B" w:rsidRDefault="006B029B" w:rsidP="006B029B">
      <w:pPr>
        <w:pStyle w:val="1"/>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לאור האמור לעיל, ובשים לב לכך שהנאשם הרים תרומה בסך 500 ₪ לעמותת אל סם, אני מטיל על הנאשם התחייבות כספית בסך 500 ₪ לבל יבצע עבירת סמים במשך שנה מהיום.   </w:t>
      </w:r>
    </w:p>
    <w:p w14:paraId="6125274A" w14:textId="77777777" w:rsidR="006B029B" w:rsidRDefault="006B029B" w:rsidP="006B029B">
      <w:pPr>
        <w:pStyle w:val="1"/>
        <w:spacing w:line="360" w:lineRule="auto"/>
        <w:ind w:left="360"/>
        <w:jc w:val="both"/>
        <w:rPr>
          <w:rFonts w:ascii="David" w:hAnsi="David" w:cs="David"/>
          <w:sz w:val="24"/>
          <w:szCs w:val="24"/>
        </w:rPr>
      </w:pPr>
    </w:p>
    <w:p w14:paraId="69613BA4" w14:textId="77777777" w:rsidR="006B029B" w:rsidRDefault="006B029B" w:rsidP="006B029B">
      <w:pPr>
        <w:pStyle w:val="1"/>
        <w:numPr>
          <w:ilvl w:val="0"/>
          <w:numId w:val="1"/>
        </w:numPr>
        <w:spacing w:line="360" w:lineRule="auto"/>
        <w:ind w:left="360"/>
        <w:jc w:val="both"/>
        <w:rPr>
          <w:rFonts w:ascii="David" w:hAnsi="David" w:cs="David"/>
          <w:sz w:val="24"/>
          <w:szCs w:val="24"/>
        </w:rPr>
      </w:pPr>
      <w:r>
        <w:rPr>
          <w:rFonts w:ascii="David" w:hAnsi="David" w:cs="David"/>
          <w:sz w:val="24"/>
          <w:szCs w:val="24"/>
          <w:rtl/>
        </w:rPr>
        <w:t>המזכירות תעביר עותק הפרוטוקול לראש חטיבת התביעות על מנת שיבחן את מדיניות התביעה בעניין זה.</w:t>
      </w:r>
    </w:p>
    <w:p w14:paraId="5239E2C9" w14:textId="77777777" w:rsidR="006B029B" w:rsidRDefault="006B029B" w:rsidP="006B029B">
      <w:pPr>
        <w:spacing w:line="360" w:lineRule="auto"/>
        <w:jc w:val="both"/>
        <w:rPr>
          <w:rFonts w:ascii="David" w:hAnsi="David"/>
          <w:rtl/>
        </w:rPr>
      </w:pPr>
    </w:p>
    <w:p w14:paraId="11BE1B8E" w14:textId="77777777" w:rsidR="006B029B" w:rsidRDefault="006B029B" w:rsidP="006B029B">
      <w:pPr>
        <w:spacing w:line="360" w:lineRule="auto"/>
        <w:jc w:val="both"/>
        <w:rPr>
          <w:rFonts w:ascii="David" w:hAnsi="David"/>
          <w:b/>
          <w:bCs/>
          <w:rtl/>
        </w:rPr>
      </w:pPr>
      <w:r>
        <w:rPr>
          <w:rFonts w:ascii="David" w:hAnsi="David"/>
          <w:b/>
          <w:bCs/>
          <w:rtl/>
        </w:rPr>
        <w:t xml:space="preserve">הסמים יושמדו. </w:t>
      </w:r>
    </w:p>
    <w:p w14:paraId="4533C498" w14:textId="77777777" w:rsidR="006B029B" w:rsidRDefault="006B029B" w:rsidP="006B029B">
      <w:pPr>
        <w:spacing w:line="360" w:lineRule="auto"/>
        <w:jc w:val="both"/>
        <w:rPr>
          <w:rFonts w:ascii="David" w:hAnsi="David"/>
          <w:rtl/>
        </w:rPr>
      </w:pPr>
    </w:p>
    <w:p w14:paraId="6E09C2EC" w14:textId="77777777" w:rsidR="006B029B" w:rsidRDefault="006B029B" w:rsidP="006B029B">
      <w:pPr>
        <w:spacing w:line="360" w:lineRule="auto"/>
        <w:jc w:val="both"/>
        <w:rPr>
          <w:rFonts w:ascii="David" w:hAnsi="David"/>
          <w:b/>
          <w:bCs/>
          <w:rtl/>
        </w:rPr>
      </w:pPr>
      <w:r>
        <w:rPr>
          <w:rFonts w:ascii="David" w:hAnsi="David"/>
          <w:b/>
          <w:bCs/>
          <w:sz w:val="2"/>
          <w:szCs w:val="2"/>
          <w:rtl/>
        </w:rPr>
        <w:t>5129371</w:t>
      </w:r>
      <w:r>
        <w:rPr>
          <w:rFonts w:ascii="David" w:hAnsi="David"/>
          <w:b/>
          <w:bCs/>
          <w:rtl/>
        </w:rPr>
        <w:t xml:space="preserve">הודעה זכות ערעור לבית-המשפט המחוזי תוך 45 ימים. </w:t>
      </w:r>
    </w:p>
    <w:p w14:paraId="0787D16C" w14:textId="77777777" w:rsidR="006B029B" w:rsidRDefault="006008E1" w:rsidP="006B029B">
      <w:pPr>
        <w:rPr>
          <w:rFonts w:ascii="Arial" w:hAnsi="Arial"/>
          <w:b/>
          <w:bCs/>
          <w:sz w:val="2"/>
          <w:szCs w:val="2"/>
          <w:rtl/>
        </w:rPr>
      </w:pPr>
      <w:r w:rsidRPr="006008E1">
        <w:rPr>
          <w:rFonts w:ascii="Arial" w:hAnsi="Arial"/>
          <w:b/>
          <w:bCs/>
          <w:color w:val="FFFFFF"/>
          <w:sz w:val="2"/>
          <w:szCs w:val="2"/>
          <w:rtl/>
        </w:rPr>
        <w:t>5129371</w:t>
      </w:r>
      <w:r w:rsidR="006B029B">
        <w:rPr>
          <w:rFonts w:ascii="Arial" w:hAnsi="Arial"/>
          <w:b/>
          <w:bCs/>
          <w:sz w:val="2"/>
          <w:szCs w:val="2"/>
          <w:rtl/>
        </w:rPr>
        <w:t>54678313</w:t>
      </w:r>
    </w:p>
    <w:p w14:paraId="0079CF1D" w14:textId="77777777" w:rsidR="006B029B" w:rsidRPr="006008E1" w:rsidRDefault="006008E1" w:rsidP="006B029B">
      <w:pPr>
        <w:rPr>
          <w:rFonts w:ascii="Arial" w:hAnsi="Arial"/>
          <w:b/>
          <w:bCs/>
          <w:color w:val="FFFFFF"/>
          <w:sz w:val="2"/>
          <w:szCs w:val="2"/>
          <w:rtl/>
        </w:rPr>
      </w:pPr>
      <w:r w:rsidRPr="006008E1">
        <w:rPr>
          <w:rFonts w:ascii="Arial" w:hAnsi="Arial"/>
          <w:b/>
          <w:bCs/>
          <w:color w:val="FFFFFF"/>
          <w:sz w:val="2"/>
          <w:szCs w:val="2"/>
          <w:rtl/>
        </w:rPr>
        <w:t>54678313</w:t>
      </w:r>
    </w:p>
    <w:p w14:paraId="5C0B4BD2" w14:textId="77777777" w:rsidR="006B029B" w:rsidRPr="00B95D6E" w:rsidRDefault="006B029B" w:rsidP="006B029B">
      <w:pPr>
        <w:spacing w:line="360" w:lineRule="auto"/>
        <w:jc w:val="both"/>
        <w:rPr>
          <w:rFonts w:ascii="Arial" w:hAnsi="Arial"/>
          <w:noProof w:val="0"/>
          <w:rtl/>
        </w:rPr>
      </w:pPr>
    </w:p>
    <w:p w14:paraId="3868B1A6" w14:textId="77777777" w:rsidR="006B029B" w:rsidRDefault="006008E1" w:rsidP="006B029B">
      <w:pPr>
        <w:tabs>
          <w:tab w:val="left" w:pos="2553"/>
        </w:tabs>
        <w:ind w:left="5040"/>
        <w:rPr>
          <w:rtl/>
        </w:rPr>
      </w:pPr>
      <w:bookmarkStart w:id="9" w:name="Nitan"/>
      <w:r>
        <w:rPr>
          <w:rFonts w:ascii="Arial" w:hAnsi="Arial"/>
          <w:noProof w:val="0"/>
          <w:rtl/>
        </w:rPr>
        <w:t xml:space="preserve">ניתנה היום, י"ג חשוון תשפ"ה, 14 נובמבר 2024, בהעדר הצדדים. </w:t>
      </w:r>
      <w:bookmarkEnd w:id="9"/>
      <w:r w:rsidR="006B029B">
        <w:rPr>
          <w:rFonts w:hint="cs"/>
          <w:rtl/>
        </w:rPr>
        <w:t xml:space="preserve">     </w:t>
      </w:r>
    </w:p>
    <w:p w14:paraId="23740400" w14:textId="77777777" w:rsidR="006B029B" w:rsidRDefault="006B029B" w:rsidP="006008E1">
      <w:pPr>
        <w:tabs>
          <w:tab w:val="left" w:pos="2553"/>
        </w:tabs>
      </w:pPr>
      <w:r>
        <w:rPr>
          <w:rFonts w:hint="cs"/>
          <w:rtl/>
        </w:rPr>
        <w:tab/>
      </w:r>
      <w:r>
        <w:rPr>
          <w:rFonts w:hint="cs"/>
          <w:rtl/>
        </w:rPr>
        <w:tab/>
      </w:r>
      <w:r>
        <w:rPr>
          <w:rFonts w:hint="cs"/>
          <w:rtl/>
        </w:rPr>
        <w:tab/>
      </w:r>
      <w:r>
        <w:rPr>
          <w:rFonts w:hint="cs"/>
          <w:rtl/>
        </w:rPr>
        <w:tab/>
        <w:t xml:space="preserve">        </w:t>
      </w:r>
    </w:p>
    <w:p w14:paraId="34CA2D8C" w14:textId="77777777" w:rsidR="006B029B" w:rsidRPr="00CC75D5" w:rsidRDefault="00CC75D5" w:rsidP="006B029B">
      <w:pPr>
        <w:tabs>
          <w:tab w:val="left" w:pos="2553"/>
        </w:tabs>
        <w:rPr>
          <w:rFonts w:ascii="Arial" w:hAnsi="Arial"/>
          <w:noProof w:val="0"/>
          <w:color w:val="FFFFFF"/>
          <w:sz w:val="2"/>
          <w:szCs w:val="2"/>
          <w:rtl/>
        </w:rPr>
      </w:pPr>
      <w:r w:rsidRPr="00CC75D5">
        <w:rPr>
          <w:rFonts w:ascii="Arial" w:hAnsi="Arial"/>
          <w:noProof w:val="0"/>
          <w:color w:val="FFFFFF"/>
          <w:sz w:val="2"/>
          <w:szCs w:val="2"/>
          <w:rtl/>
        </w:rPr>
        <w:t>5129371</w:t>
      </w:r>
    </w:p>
    <w:p w14:paraId="4B421A84" w14:textId="77777777" w:rsidR="00750593" w:rsidRPr="00CC75D5" w:rsidRDefault="00CC75D5" w:rsidP="006008E1">
      <w:pPr>
        <w:keepNext/>
        <w:rPr>
          <w:rFonts w:ascii="David" w:hAnsi="David"/>
          <w:color w:val="FFFFFF"/>
          <w:sz w:val="2"/>
          <w:szCs w:val="2"/>
          <w:rtl/>
        </w:rPr>
      </w:pPr>
      <w:r w:rsidRPr="00CC75D5">
        <w:rPr>
          <w:rFonts w:ascii="David" w:hAnsi="David"/>
          <w:color w:val="FFFFFF"/>
          <w:sz w:val="2"/>
          <w:szCs w:val="2"/>
          <w:rtl/>
        </w:rPr>
        <w:t>54678313</w:t>
      </w:r>
    </w:p>
    <w:p w14:paraId="42001ECF" w14:textId="77777777" w:rsidR="006008E1" w:rsidRDefault="006008E1" w:rsidP="006008E1">
      <w:pPr>
        <w:rPr>
          <w:rtl/>
        </w:rPr>
      </w:pPr>
    </w:p>
    <w:p w14:paraId="19AAB169" w14:textId="77777777" w:rsidR="006008E1" w:rsidRDefault="006008E1" w:rsidP="006008E1">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4464C430" w14:textId="77777777" w:rsidR="00CC75D5" w:rsidRPr="00CC75D5" w:rsidRDefault="00CC75D5" w:rsidP="00CC75D5">
      <w:pPr>
        <w:keepNext/>
        <w:rPr>
          <w:rFonts w:ascii="David" w:hAnsi="David"/>
          <w:color w:val="000000"/>
          <w:sz w:val="22"/>
          <w:szCs w:val="22"/>
          <w:rtl/>
        </w:rPr>
      </w:pPr>
    </w:p>
    <w:p w14:paraId="68C7445F" w14:textId="77777777" w:rsidR="00CC75D5" w:rsidRPr="00CC75D5" w:rsidRDefault="00CC75D5" w:rsidP="00CC75D5">
      <w:pPr>
        <w:keepNext/>
        <w:rPr>
          <w:rFonts w:ascii="David" w:hAnsi="David"/>
          <w:color w:val="000000"/>
          <w:sz w:val="22"/>
          <w:szCs w:val="22"/>
          <w:rtl/>
        </w:rPr>
      </w:pPr>
      <w:r w:rsidRPr="00CC75D5">
        <w:rPr>
          <w:rFonts w:ascii="David" w:hAnsi="David"/>
          <w:color w:val="000000"/>
          <w:sz w:val="22"/>
          <w:szCs w:val="22"/>
          <w:rtl/>
        </w:rPr>
        <w:t>יניב בן הרוש 54678313-/</w:t>
      </w:r>
    </w:p>
    <w:p w14:paraId="3F96CFAC" w14:textId="77777777" w:rsidR="006008E1" w:rsidRPr="006008E1" w:rsidRDefault="00CC75D5" w:rsidP="00CC75D5">
      <w:pPr>
        <w:rPr>
          <w:color w:val="0000FF"/>
          <w:u w:val="single"/>
        </w:rPr>
      </w:pPr>
      <w:r w:rsidRPr="00CC75D5">
        <w:rPr>
          <w:color w:val="000000"/>
          <w:u w:val="single"/>
          <w:rtl/>
        </w:rPr>
        <w:t>נוסח מסמך זה כפוף לשינויי ניסוח ועריכה</w:t>
      </w:r>
    </w:p>
    <w:sectPr w:rsidR="006008E1" w:rsidRPr="006008E1" w:rsidSect="00CC75D5">
      <w:headerReference w:type="even" r:id="rId62"/>
      <w:headerReference w:type="default" r:id="rId63"/>
      <w:footerReference w:type="even" r:id="rId64"/>
      <w:footerReference w:type="default" r:id="rId6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93613" w14:textId="77777777" w:rsidR="009402C3" w:rsidRDefault="009402C3" w:rsidP="00C164BB">
      <w:r>
        <w:separator/>
      </w:r>
    </w:p>
  </w:endnote>
  <w:endnote w:type="continuationSeparator" w:id="0">
    <w:p w14:paraId="15F2FC70" w14:textId="77777777" w:rsidR="009402C3" w:rsidRDefault="009402C3" w:rsidP="00C1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C548" w14:textId="77777777" w:rsidR="00CC75D5" w:rsidRDefault="00CC75D5" w:rsidP="00CC75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19424E3" w14:textId="77777777" w:rsidR="006008E1" w:rsidRPr="00CC75D5" w:rsidRDefault="00CC75D5" w:rsidP="00CC75D5">
    <w:pPr>
      <w:pStyle w:val="a5"/>
      <w:pBdr>
        <w:top w:val="single" w:sz="4" w:space="1" w:color="auto"/>
        <w:between w:val="single" w:sz="4" w:space="0" w:color="auto"/>
      </w:pBdr>
      <w:spacing w:after="60"/>
      <w:jc w:val="center"/>
      <w:rPr>
        <w:rFonts w:ascii="FrankRuehl" w:hAnsi="FrankRuehl" w:cs="FrankRuehl"/>
        <w:color w:val="000000"/>
      </w:rPr>
    </w:pPr>
    <w:r w:rsidRPr="00CC75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7D99" w14:textId="77777777" w:rsidR="00CC75D5" w:rsidRDefault="00CC75D5" w:rsidP="00CC75D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9306E">
      <w:rPr>
        <w:rStyle w:val="a8"/>
        <w:rFonts w:ascii="FrankRuehl" w:hAnsi="FrankRuehl" w:cs="FrankRuehl"/>
        <w:rtl/>
      </w:rPr>
      <w:t>1</w:t>
    </w:r>
    <w:r>
      <w:rPr>
        <w:rStyle w:val="a8"/>
        <w:rFonts w:ascii="FrankRuehl" w:hAnsi="FrankRuehl" w:cs="FrankRuehl"/>
        <w:rtl/>
      </w:rPr>
      <w:fldChar w:fldCharType="end"/>
    </w:r>
  </w:p>
  <w:p w14:paraId="148F20FD" w14:textId="77777777" w:rsidR="00F713CD" w:rsidRPr="00CC75D5" w:rsidRDefault="00CC75D5" w:rsidP="00CC75D5">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C75D5">
      <w:rPr>
        <w:rStyle w:val="a8"/>
        <w:rFonts w:ascii="FrankRuehl" w:hAnsi="FrankRuehl" w:cs="FrankRuehl" w:hint="cs"/>
        <w:color w:val="000000"/>
      </w:rPr>
      <w:pict w14:anchorId="6C690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B3DC6" w14:textId="77777777" w:rsidR="009402C3" w:rsidRDefault="009402C3" w:rsidP="00C164BB">
      <w:r>
        <w:separator/>
      </w:r>
    </w:p>
  </w:footnote>
  <w:footnote w:type="continuationSeparator" w:id="0">
    <w:p w14:paraId="74B5735F" w14:textId="77777777" w:rsidR="009402C3" w:rsidRDefault="009402C3" w:rsidP="00C16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A5C2" w14:textId="77777777" w:rsidR="006008E1" w:rsidRPr="00CC75D5" w:rsidRDefault="00CC75D5" w:rsidP="00CC75D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29877-04-22</w:t>
    </w:r>
    <w:r>
      <w:rPr>
        <w:rFonts w:ascii="David" w:hAnsi="David"/>
        <w:color w:val="000000"/>
        <w:sz w:val="22"/>
        <w:szCs w:val="22"/>
        <w:rtl/>
      </w:rPr>
      <w:tab/>
      <w:t xml:space="preserve"> מדינת ישראל נ' נתנאל יוסף רגפורקר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C6172" w14:textId="77777777" w:rsidR="006008E1" w:rsidRPr="00CC75D5" w:rsidRDefault="00CC75D5" w:rsidP="00CC75D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29877-04-22</w:t>
    </w:r>
    <w:r>
      <w:rPr>
        <w:rFonts w:ascii="David" w:hAnsi="David"/>
        <w:color w:val="000000"/>
        <w:sz w:val="22"/>
        <w:szCs w:val="22"/>
        <w:rtl/>
      </w:rPr>
      <w:tab/>
      <w:t xml:space="preserve"> מדינת ישראל נ' נתנאל יוסף רגפורקר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42A63"/>
    <w:multiLevelType w:val="hybridMultilevel"/>
    <w:tmpl w:val="A14C4A30"/>
    <w:lvl w:ilvl="0" w:tplc="796826C0">
      <w:start w:val="1"/>
      <w:numFmt w:val="decimal"/>
      <w:lvlText w:val="%1."/>
      <w:lvlJc w:val="left"/>
      <w:pPr>
        <w:ind w:left="720" w:hanging="360"/>
      </w:pPr>
      <w:rPr>
        <w:rFonts w:ascii="David" w:hAnsi="David" w:cs="David" w:hint="default"/>
        <w:b/>
        <w:bCs/>
        <w:sz w:val="24"/>
        <w:szCs w:val="24"/>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1349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029B"/>
    <w:rsid w:val="006008E1"/>
    <w:rsid w:val="0069306E"/>
    <w:rsid w:val="006B029B"/>
    <w:rsid w:val="006C65A2"/>
    <w:rsid w:val="00750593"/>
    <w:rsid w:val="009402C3"/>
    <w:rsid w:val="00B92735"/>
    <w:rsid w:val="00C164BB"/>
    <w:rsid w:val="00CC75D5"/>
    <w:rsid w:val="00F71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994257"/>
  <w15:chartTrackingRefBased/>
  <w15:docId w15:val="{1207A74F-7DA8-4B26-97E2-7EB723A1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029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029B"/>
    <w:pPr>
      <w:tabs>
        <w:tab w:val="center" w:pos="4153"/>
        <w:tab w:val="right" w:pos="8306"/>
      </w:tabs>
    </w:pPr>
  </w:style>
  <w:style w:type="character" w:customStyle="1" w:styleId="a4">
    <w:name w:val="כותרת עליונה תו"/>
    <w:link w:val="a3"/>
    <w:rsid w:val="006B029B"/>
    <w:rPr>
      <w:rFonts w:ascii="Times New Roman" w:eastAsia="Times New Roman" w:hAnsi="Times New Roman" w:cs="David"/>
      <w:noProof/>
      <w:sz w:val="24"/>
      <w:szCs w:val="24"/>
    </w:rPr>
  </w:style>
  <w:style w:type="paragraph" w:styleId="a5">
    <w:name w:val="footer"/>
    <w:basedOn w:val="a"/>
    <w:link w:val="a6"/>
    <w:rsid w:val="006B029B"/>
    <w:pPr>
      <w:tabs>
        <w:tab w:val="center" w:pos="4153"/>
        <w:tab w:val="right" w:pos="8306"/>
      </w:tabs>
    </w:pPr>
  </w:style>
  <w:style w:type="character" w:customStyle="1" w:styleId="a6">
    <w:name w:val="כותרת תחתונה תו"/>
    <w:link w:val="a5"/>
    <w:rsid w:val="006B029B"/>
    <w:rPr>
      <w:rFonts w:ascii="Times New Roman" w:eastAsia="Times New Roman" w:hAnsi="Times New Roman" w:cs="David"/>
      <w:noProof/>
      <w:sz w:val="24"/>
      <w:szCs w:val="24"/>
    </w:rPr>
  </w:style>
  <w:style w:type="table" w:styleId="a7">
    <w:name w:val="Table Grid"/>
    <w:basedOn w:val="a1"/>
    <w:rsid w:val="006B02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029B"/>
  </w:style>
  <w:style w:type="character" w:styleId="Hyperlink">
    <w:name w:val="Hyperlink"/>
    <w:rsid w:val="006B029B"/>
    <w:rPr>
      <w:color w:val="0000FF"/>
      <w:u w:val="single"/>
    </w:rPr>
  </w:style>
  <w:style w:type="paragraph" w:styleId="a9">
    <w:name w:val="List Paragraph"/>
    <w:basedOn w:val="a"/>
    <w:qFormat/>
    <w:rsid w:val="006B029B"/>
    <w:pPr>
      <w:ind w:left="720"/>
      <w:contextualSpacing/>
    </w:pPr>
    <w:rPr>
      <w:noProof w:val="0"/>
    </w:rPr>
  </w:style>
  <w:style w:type="character" w:customStyle="1" w:styleId="ListParagraphChar">
    <w:name w:val="List Paragraph Char"/>
    <w:link w:val="1"/>
    <w:locked/>
    <w:rsid w:val="006B029B"/>
  </w:style>
  <w:style w:type="paragraph" w:customStyle="1" w:styleId="1">
    <w:name w:val="פיסקת רשימה1"/>
    <w:basedOn w:val="a"/>
    <w:link w:val="ListParagraphChar"/>
    <w:rsid w:val="006B029B"/>
    <w:pPr>
      <w:spacing w:after="160" w:line="254" w:lineRule="auto"/>
      <w:ind w:left="720"/>
      <w:contextualSpacing/>
    </w:pPr>
    <w:rPr>
      <w:rFonts w:ascii="Calibri" w:eastAsia="Calibri" w:hAnsi="Calibri" w:cs="Arial"/>
      <w:noProof w:val="0"/>
      <w:sz w:val="22"/>
      <w:szCs w:val="22"/>
    </w:rPr>
  </w:style>
  <w:style w:type="character" w:styleId="aa">
    <w:name w:val="Strong"/>
    <w:qFormat/>
    <w:rsid w:val="006B029B"/>
    <w:rPr>
      <w:b/>
      <w:bCs/>
    </w:rPr>
  </w:style>
  <w:style w:type="character" w:styleId="ab">
    <w:name w:val="line number"/>
    <w:rsid w:val="006B0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207788" TargetMode="External"/><Relationship Id="rId21" Type="http://schemas.openxmlformats.org/officeDocument/2006/relationships/hyperlink" Target="http://www.nevo.co.il/law/74903/192a" TargetMode="External"/><Relationship Id="rId34" Type="http://schemas.openxmlformats.org/officeDocument/2006/relationships/hyperlink" Target="http://www.nevo.co.il/case/17908516" TargetMode="External"/><Relationship Id="rId42" Type="http://schemas.openxmlformats.org/officeDocument/2006/relationships/hyperlink" Target="http://www.nevo.co.il/law/70301/5.a" TargetMode="External"/><Relationship Id="rId47" Type="http://schemas.openxmlformats.org/officeDocument/2006/relationships/hyperlink" Target="http://www.nevo.co.il/law/74903/192a" TargetMode="External"/><Relationship Id="rId50" Type="http://schemas.openxmlformats.org/officeDocument/2006/relationships/hyperlink" Target="http://www.nevo.co.il/case/5849797" TargetMode="External"/><Relationship Id="rId55" Type="http://schemas.openxmlformats.org/officeDocument/2006/relationships/hyperlink" Target="http://www.nevo.co.il/law/70301"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4248" TargetMode="External"/><Relationship Id="rId11" Type="http://schemas.openxmlformats.org/officeDocument/2006/relationships/hyperlink" Target="http://www.nevo.co.il/law/74248" TargetMode="External"/><Relationship Id="rId24" Type="http://schemas.openxmlformats.org/officeDocument/2006/relationships/hyperlink" Target="http://www.nevo.co.il/law/4216" TargetMode="External"/><Relationship Id="rId32" Type="http://schemas.openxmlformats.org/officeDocument/2006/relationships/hyperlink" Target="http://www.nevo.co.il/law/74248/1.c" TargetMode="External"/><Relationship Id="rId37" Type="http://schemas.openxmlformats.org/officeDocument/2006/relationships/hyperlink" Target="http://www.nevo.co.il/law/70301/5.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6892091" TargetMode="External"/><Relationship Id="rId53" Type="http://schemas.openxmlformats.org/officeDocument/2006/relationships/hyperlink" Target="http://www.nevo.co.il/case/25945167" TargetMode="External"/><Relationship Id="rId58" Type="http://schemas.openxmlformats.org/officeDocument/2006/relationships/hyperlink" Target="http://www.nevo.co.il/law/74248"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25.a" TargetMode="External"/><Relationship Id="rId14" Type="http://schemas.openxmlformats.org/officeDocument/2006/relationships/hyperlink" Target="http://www.nevo.co.il/law/74248/23" TargetMode="External"/><Relationship Id="rId22" Type="http://schemas.openxmlformats.org/officeDocument/2006/relationships/hyperlink" Target="http://www.nevo.co.il/law/4216/7.a" TargetMode="External"/><Relationship Id="rId27" Type="http://schemas.openxmlformats.org/officeDocument/2006/relationships/hyperlink" Target="https://www.gov.il/BlobFolder/news/canabis-report-press/he/media_canabis-report-final.pdf" TargetMode="External"/><Relationship Id="rId30" Type="http://schemas.openxmlformats.org/officeDocument/2006/relationships/hyperlink" Target="http://www.nevo.co.il/law/74248/1.c" TargetMode="External"/><Relationship Id="rId35" Type="http://schemas.openxmlformats.org/officeDocument/2006/relationships/hyperlink" Target="http://www.nevo.co.il/law/74248"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4903" TargetMode="External"/><Relationship Id="rId56" Type="http://schemas.openxmlformats.org/officeDocument/2006/relationships/hyperlink" Target="https://www.gov.il/he/pages/mish-news-06-03"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9579787" TargetMode="External"/><Relationship Id="rId3" Type="http://schemas.openxmlformats.org/officeDocument/2006/relationships/settings" Target="settings.xml"/><Relationship Id="rId12" Type="http://schemas.openxmlformats.org/officeDocument/2006/relationships/hyperlink" Target="http://www.nevo.co.il/law/74248/1.c" TargetMode="External"/><Relationship Id="rId17" Type="http://schemas.openxmlformats.org/officeDocument/2006/relationships/hyperlink" Target="http://www.nevo.co.il/law/70301/5" TargetMode="External"/><Relationship Id="rId25" Type="http://schemas.openxmlformats.org/officeDocument/2006/relationships/hyperlink" Target="http://www.nevo.co.il/case/27416699" TargetMode="External"/><Relationship Id="rId33" Type="http://schemas.openxmlformats.org/officeDocument/2006/relationships/hyperlink" Target="http://www.nevo.co.il/law/7424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819116" TargetMode="External"/><Relationship Id="rId59" Type="http://schemas.openxmlformats.org/officeDocument/2006/relationships/hyperlink" Target="http://www.nevo.co.il/law/74248" TargetMode="External"/><Relationship Id="rId67" Type="http://schemas.openxmlformats.org/officeDocument/2006/relationships/theme" Target="theme/theme1.xml"/><Relationship Id="rId20" Type="http://schemas.openxmlformats.org/officeDocument/2006/relationships/hyperlink" Target="http://www.nevo.co.il/law/74903" TargetMode="External"/><Relationship Id="rId41" Type="http://schemas.openxmlformats.org/officeDocument/2006/relationships/hyperlink" Target="http://www.nevo.co.il/case/26970703" TargetMode="External"/><Relationship Id="rId54" Type="http://schemas.openxmlformats.org/officeDocument/2006/relationships/hyperlink" Target="http://www.nevo.co.il/law/70301/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323"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4248/15" TargetMode="External"/><Relationship Id="rId36" Type="http://schemas.openxmlformats.org/officeDocument/2006/relationships/hyperlink" Target="http://www.nevo.co.il/law/4323" TargetMode="External"/><Relationship Id="rId49" Type="http://schemas.openxmlformats.org/officeDocument/2006/relationships/hyperlink" Target="http://www.nevo.co.il/case/5810781" TargetMode="External"/><Relationship Id="rId57" Type="http://schemas.openxmlformats.org/officeDocument/2006/relationships/hyperlink" Target="http://www.nevo.co.il/law/74248/23" TargetMode="External"/><Relationship Id="rId10" Type="http://schemas.openxmlformats.org/officeDocument/2006/relationships/hyperlink" Target="http://www.nevo.co.il/law/207788" TargetMode="External"/><Relationship Id="rId31" Type="http://schemas.openxmlformats.org/officeDocument/2006/relationships/hyperlink" Target="http://www.nevo.co.il/law/74248" TargetMode="External"/><Relationship Id="rId44" Type="http://schemas.openxmlformats.org/officeDocument/2006/relationships/hyperlink" Target="http://www.nevo.co.il/case/5594221" TargetMode="External"/><Relationship Id="rId52" Type="http://schemas.openxmlformats.org/officeDocument/2006/relationships/hyperlink" Target="http://www.nevo.co.il/case/25496997" TargetMode="External"/><Relationship Id="rId60" Type="http://schemas.openxmlformats.org/officeDocument/2006/relationships/hyperlink" Target="http://www.nevo.co.il/case/5813223"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4248/15" TargetMode="External"/><Relationship Id="rId18" Type="http://schemas.openxmlformats.org/officeDocument/2006/relationships/hyperlink" Target="http://www.nevo.co.il/law/70301/5.a" TargetMode="External"/><Relationship Id="rId39" Type="http://schemas.openxmlformats.org/officeDocument/2006/relationships/hyperlink" Target="http://www.nevo.co.il/law/70301/25.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3381</Words>
  <Characters>16907</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20248</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3473533</vt:i4>
      </vt:variant>
      <vt:variant>
        <vt:i4>159</vt:i4>
      </vt:variant>
      <vt:variant>
        <vt:i4>0</vt:i4>
      </vt:variant>
      <vt:variant>
        <vt:i4>5</vt:i4>
      </vt:variant>
      <vt:variant>
        <vt:lpwstr>http://www.nevo.co.il/case/5813223</vt:lpwstr>
      </vt:variant>
      <vt:variant>
        <vt:lpwstr/>
      </vt:variant>
      <vt:variant>
        <vt:i4>7995493</vt:i4>
      </vt:variant>
      <vt:variant>
        <vt:i4>156</vt:i4>
      </vt:variant>
      <vt:variant>
        <vt:i4>0</vt:i4>
      </vt:variant>
      <vt:variant>
        <vt:i4>5</vt:i4>
      </vt:variant>
      <vt:variant>
        <vt:lpwstr>http://www.nevo.co.il/law/74248</vt:lpwstr>
      </vt:variant>
      <vt:variant>
        <vt:lpwstr/>
      </vt:variant>
      <vt:variant>
        <vt:i4>7995493</vt:i4>
      </vt:variant>
      <vt:variant>
        <vt:i4>153</vt:i4>
      </vt:variant>
      <vt:variant>
        <vt:i4>0</vt:i4>
      </vt:variant>
      <vt:variant>
        <vt:i4>5</vt:i4>
      </vt:variant>
      <vt:variant>
        <vt:lpwstr>http://www.nevo.co.il/law/74248</vt:lpwstr>
      </vt:variant>
      <vt:variant>
        <vt:lpwstr/>
      </vt:variant>
      <vt:variant>
        <vt:i4>6684783</vt:i4>
      </vt:variant>
      <vt:variant>
        <vt:i4>150</vt:i4>
      </vt:variant>
      <vt:variant>
        <vt:i4>0</vt:i4>
      </vt:variant>
      <vt:variant>
        <vt:i4>5</vt:i4>
      </vt:variant>
      <vt:variant>
        <vt:lpwstr>http://www.nevo.co.il/law/74248/23</vt:lpwstr>
      </vt:variant>
      <vt:variant>
        <vt:lpwstr/>
      </vt:variant>
      <vt:variant>
        <vt:i4>3801134</vt:i4>
      </vt:variant>
      <vt:variant>
        <vt:i4>147</vt:i4>
      </vt:variant>
      <vt:variant>
        <vt:i4>0</vt:i4>
      </vt:variant>
      <vt:variant>
        <vt:i4>5</vt:i4>
      </vt:variant>
      <vt:variant>
        <vt:lpwstr>https://www.gov.il/he/pages/mish-news-06-03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5570645</vt:i4>
      </vt:variant>
      <vt:variant>
        <vt:i4>141</vt:i4>
      </vt:variant>
      <vt:variant>
        <vt:i4>0</vt:i4>
      </vt:variant>
      <vt:variant>
        <vt:i4>5</vt:i4>
      </vt:variant>
      <vt:variant>
        <vt:lpwstr>http://www.nevo.co.il/law/70301/5</vt:lpwstr>
      </vt:variant>
      <vt:variant>
        <vt:lpwstr/>
      </vt:variant>
      <vt:variant>
        <vt:i4>3670132</vt:i4>
      </vt:variant>
      <vt:variant>
        <vt:i4>138</vt:i4>
      </vt:variant>
      <vt:variant>
        <vt:i4>0</vt:i4>
      </vt:variant>
      <vt:variant>
        <vt:i4>5</vt:i4>
      </vt:variant>
      <vt:variant>
        <vt:lpwstr>http://www.nevo.co.il/case/25945167</vt:lpwstr>
      </vt:variant>
      <vt:variant>
        <vt:lpwstr/>
      </vt:variant>
      <vt:variant>
        <vt:i4>3735665</vt:i4>
      </vt:variant>
      <vt:variant>
        <vt:i4>135</vt:i4>
      </vt:variant>
      <vt:variant>
        <vt:i4>0</vt:i4>
      </vt:variant>
      <vt:variant>
        <vt:i4>5</vt:i4>
      </vt:variant>
      <vt:variant>
        <vt:lpwstr>http://www.nevo.co.il/case/25496997</vt:lpwstr>
      </vt:variant>
      <vt:variant>
        <vt:lpwstr/>
      </vt:variant>
      <vt:variant>
        <vt:i4>3539069</vt:i4>
      </vt:variant>
      <vt:variant>
        <vt:i4>132</vt:i4>
      </vt:variant>
      <vt:variant>
        <vt:i4>0</vt:i4>
      </vt:variant>
      <vt:variant>
        <vt:i4>5</vt:i4>
      </vt:variant>
      <vt:variant>
        <vt:lpwstr>http://www.nevo.co.il/case/29579787</vt:lpwstr>
      </vt:variant>
      <vt:variant>
        <vt:lpwstr/>
      </vt:variant>
      <vt:variant>
        <vt:i4>3211388</vt:i4>
      </vt:variant>
      <vt:variant>
        <vt:i4>129</vt:i4>
      </vt:variant>
      <vt:variant>
        <vt:i4>0</vt:i4>
      </vt:variant>
      <vt:variant>
        <vt:i4>5</vt:i4>
      </vt:variant>
      <vt:variant>
        <vt:lpwstr>http://www.nevo.co.il/case/5849797</vt:lpwstr>
      </vt:variant>
      <vt:variant>
        <vt:lpwstr/>
      </vt:variant>
      <vt:variant>
        <vt:i4>3276916</vt:i4>
      </vt:variant>
      <vt:variant>
        <vt:i4>126</vt:i4>
      </vt:variant>
      <vt:variant>
        <vt:i4>0</vt:i4>
      </vt:variant>
      <vt:variant>
        <vt:i4>5</vt:i4>
      </vt:variant>
      <vt:variant>
        <vt:lpwstr>http://www.nevo.co.il/case/5810781</vt:lpwstr>
      </vt:variant>
      <vt:variant>
        <vt:lpwstr/>
      </vt:variant>
      <vt:variant>
        <vt:i4>8257646</vt:i4>
      </vt:variant>
      <vt:variant>
        <vt:i4>123</vt:i4>
      </vt:variant>
      <vt:variant>
        <vt:i4>0</vt:i4>
      </vt:variant>
      <vt:variant>
        <vt:i4>5</vt:i4>
      </vt:variant>
      <vt:variant>
        <vt:lpwstr>http://www.nevo.co.il/law/74903</vt:lpwstr>
      </vt:variant>
      <vt:variant>
        <vt:lpwstr/>
      </vt:variant>
      <vt:variant>
        <vt:i4>589918</vt:i4>
      </vt:variant>
      <vt:variant>
        <vt:i4>120</vt:i4>
      </vt:variant>
      <vt:variant>
        <vt:i4>0</vt:i4>
      </vt:variant>
      <vt:variant>
        <vt:i4>5</vt:i4>
      </vt:variant>
      <vt:variant>
        <vt:lpwstr>http://www.nevo.co.il/law/74903/192a</vt:lpwstr>
      </vt:variant>
      <vt:variant>
        <vt:lpwstr/>
      </vt:variant>
      <vt:variant>
        <vt:i4>3342452</vt:i4>
      </vt:variant>
      <vt:variant>
        <vt:i4>117</vt:i4>
      </vt:variant>
      <vt:variant>
        <vt:i4>0</vt:i4>
      </vt:variant>
      <vt:variant>
        <vt:i4>5</vt:i4>
      </vt:variant>
      <vt:variant>
        <vt:lpwstr>http://www.nevo.co.il/case/5819116</vt:lpwstr>
      </vt:variant>
      <vt:variant>
        <vt:lpwstr/>
      </vt:variant>
      <vt:variant>
        <vt:i4>3211387</vt:i4>
      </vt:variant>
      <vt:variant>
        <vt:i4>114</vt:i4>
      </vt:variant>
      <vt:variant>
        <vt:i4>0</vt:i4>
      </vt:variant>
      <vt:variant>
        <vt:i4>5</vt:i4>
      </vt:variant>
      <vt:variant>
        <vt:lpwstr>http://www.nevo.co.il/case/26892091</vt:lpwstr>
      </vt:variant>
      <vt:variant>
        <vt:lpwstr/>
      </vt:variant>
      <vt:variant>
        <vt:i4>4128887</vt:i4>
      </vt:variant>
      <vt:variant>
        <vt:i4>111</vt:i4>
      </vt:variant>
      <vt:variant>
        <vt:i4>0</vt:i4>
      </vt:variant>
      <vt:variant>
        <vt:i4>5</vt:i4>
      </vt:variant>
      <vt:variant>
        <vt:lpwstr>http://www.nevo.co.il/case/5594221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8061024</vt:i4>
      </vt:variant>
      <vt:variant>
        <vt:i4>105</vt:i4>
      </vt:variant>
      <vt:variant>
        <vt:i4>0</vt:i4>
      </vt:variant>
      <vt:variant>
        <vt:i4>5</vt:i4>
      </vt:variant>
      <vt:variant>
        <vt:lpwstr>http://www.nevo.co.il/law/70301/5.a</vt:lpwstr>
      </vt:variant>
      <vt:variant>
        <vt:lpwstr/>
      </vt:variant>
      <vt:variant>
        <vt:i4>3866738</vt:i4>
      </vt:variant>
      <vt:variant>
        <vt:i4>102</vt:i4>
      </vt:variant>
      <vt:variant>
        <vt:i4>0</vt:i4>
      </vt:variant>
      <vt:variant>
        <vt:i4>5</vt:i4>
      </vt:variant>
      <vt:variant>
        <vt:lpwstr>http://www.nevo.co.il/case/26970703</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65609</vt:i4>
      </vt:variant>
      <vt:variant>
        <vt:i4>96</vt:i4>
      </vt:variant>
      <vt:variant>
        <vt:i4>0</vt:i4>
      </vt:variant>
      <vt:variant>
        <vt:i4>5</vt:i4>
      </vt:variant>
      <vt:variant>
        <vt:lpwstr>http://www.nevo.co.il/law/70301/25.a</vt:lpwstr>
      </vt:variant>
      <vt:variant>
        <vt:lpwstr/>
      </vt:variant>
      <vt:variant>
        <vt:i4>7995492</vt:i4>
      </vt:variant>
      <vt:variant>
        <vt:i4>93</vt:i4>
      </vt:variant>
      <vt:variant>
        <vt:i4>0</vt:i4>
      </vt:variant>
      <vt:variant>
        <vt:i4>5</vt:i4>
      </vt:variant>
      <vt:variant>
        <vt:lpwstr>http://www.nevo.co.il/law/70301</vt:lpwstr>
      </vt:variant>
      <vt:variant>
        <vt:lpwstr/>
      </vt:variant>
      <vt:variant>
        <vt:i4>8061024</vt:i4>
      </vt:variant>
      <vt:variant>
        <vt:i4>90</vt:i4>
      </vt:variant>
      <vt:variant>
        <vt:i4>0</vt:i4>
      </vt:variant>
      <vt:variant>
        <vt:i4>5</vt:i4>
      </vt:variant>
      <vt:variant>
        <vt:lpwstr>http://www.nevo.co.il/law/70301/5.a</vt:lpwstr>
      </vt:variant>
      <vt:variant>
        <vt:lpwstr/>
      </vt:variant>
      <vt:variant>
        <vt:i4>7995494</vt:i4>
      </vt:variant>
      <vt:variant>
        <vt:i4>87</vt:i4>
      </vt:variant>
      <vt:variant>
        <vt:i4>0</vt:i4>
      </vt:variant>
      <vt:variant>
        <vt:i4>5</vt:i4>
      </vt:variant>
      <vt:variant>
        <vt:lpwstr>http://www.nevo.co.il/law/4323</vt:lpwstr>
      </vt:variant>
      <vt:variant>
        <vt:lpwstr/>
      </vt:variant>
      <vt:variant>
        <vt:i4>7995493</vt:i4>
      </vt:variant>
      <vt:variant>
        <vt:i4>84</vt:i4>
      </vt:variant>
      <vt:variant>
        <vt:i4>0</vt:i4>
      </vt:variant>
      <vt:variant>
        <vt:i4>5</vt:i4>
      </vt:variant>
      <vt:variant>
        <vt:lpwstr>http://www.nevo.co.il/law/74248</vt:lpwstr>
      </vt:variant>
      <vt:variant>
        <vt:lpwstr/>
      </vt:variant>
      <vt:variant>
        <vt:i4>3211382</vt:i4>
      </vt:variant>
      <vt:variant>
        <vt:i4>81</vt:i4>
      </vt:variant>
      <vt:variant>
        <vt:i4>0</vt:i4>
      </vt:variant>
      <vt:variant>
        <vt:i4>5</vt:i4>
      </vt:variant>
      <vt:variant>
        <vt:lpwstr>http://www.nevo.co.il/case/17908516</vt:lpwstr>
      </vt:variant>
      <vt:variant>
        <vt:lpwstr/>
      </vt:variant>
      <vt:variant>
        <vt:i4>7995493</vt:i4>
      </vt:variant>
      <vt:variant>
        <vt:i4>78</vt:i4>
      </vt:variant>
      <vt:variant>
        <vt:i4>0</vt:i4>
      </vt:variant>
      <vt:variant>
        <vt:i4>5</vt:i4>
      </vt:variant>
      <vt:variant>
        <vt:lpwstr>http://www.nevo.co.il/law/74248</vt:lpwstr>
      </vt:variant>
      <vt:variant>
        <vt:lpwstr/>
      </vt:variant>
      <vt:variant>
        <vt:i4>8061036</vt:i4>
      </vt:variant>
      <vt:variant>
        <vt:i4>75</vt:i4>
      </vt:variant>
      <vt:variant>
        <vt:i4>0</vt:i4>
      </vt:variant>
      <vt:variant>
        <vt:i4>5</vt:i4>
      </vt:variant>
      <vt:variant>
        <vt:lpwstr>http://www.nevo.co.il/law/74248/1.c</vt:lpwstr>
      </vt:variant>
      <vt:variant>
        <vt:lpwstr/>
      </vt:variant>
      <vt:variant>
        <vt:i4>7995493</vt:i4>
      </vt:variant>
      <vt:variant>
        <vt:i4>72</vt:i4>
      </vt:variant>
      <vt:variant>
        <vt:i4>0</vt:i4>
      </vt:variant>
      <vt:variant>
        <vt:i4>5</vt:i4>
      </vt:variant>
      <vt:variant>
        <vt:lpwstr>http://www.nevo.co.il/law/74248</vt:lpwstr>
      </vt:variant>
      <vt:variant>
        <vt:lpwstr/>
      </vt:variant>
      <vt:variant>
        <vt:i4>8061036</vt:i4>
      </vt:variant>
      <vt:variant>
        <vt:i4>69</vt:i4>
      </vt:variant>
      <vt:variant>
        <vt:i4>0</vt:i4>
      </vt:variant>
      <vt:variant>
        <vt:i4>5</vt:i4>
      </vt:variant>
      <vt:variant>
        <vt:lpwstr>http://www.nevo.co.il/law/74248/1.c</vt:lpwstr>
      </vt:variant>
      <vt:variant>
        <vt:lpwstr/>
      </vt:variant>
      <vt:variant>
        <vt:i4>7995493</vt:i4>
      </vt:variant>
      <vt:variant>
        <vt:i4>66</vt:i4>
      </vt:variant>
      <vt:variant>
        <vt:i4>0</vt:i4>
      </vt:variant>
      <vt:variant>
        <vt:i4>5</vt:i4>
      </vt:variant>
      <vt:variant>
        <vt:lpwstr>http://www.nevo.co.il/law/74248</vt:lpwstr>
      </vt:variant>
      <vt:variant>
        <vt:lpwstr/>
      </vt:variant>
      <vt:variant>
        <vt:i4>6291564</vt:i4>
      </vt:variant>
      <vt:variant>
        <vt:i4>63</vt:i4>
      </vt:variant>
      <vt:variant>
        <vt:i4>0</vt:i4>
      </vt:variant>
      <vt:variant>
        <vt:i4>5</vt:i4>
      </vt:variant>
      <vt:variant>
        <vt:lpwstr>http://www.nevo.co.il/law/74248/15</vt:lpwstr>
      </vt:variant>
      <vt:variant>
        <vt:lpwstr/>
      </vt:variant>
      <vt:variant>
        <vt:i4>6225968</vt:i4>
      </vt:variant>
      <vt:variant>
        <vt:i4>60</vt:i4>
      </vt:variant>
      <vt:variant>
        <vt:i4>0</vt:i4>
      </vt:variant>
      <vt:variant>
        <vt:i4>5</vt:i4>
      </vt:variant>
      <vt:variant>
        <vt:lpwstr>https://www.gov.il/BlobFolder/news/canabis-report-press/he/media_canabis-report-final.pdf</vt:lpwstr>
      </vt:variant>
      <vt:variant>
        <vt:lpwstr/>
      </vt:variant>
      <vt:variant>
        <vt:i4>4522077</vt:i4>
      </vt:variant>
      <vt:variant>
        <vt:i4>57</vt:i4>
      </vt:variant>
      <vt:variant>
        <vt:i4>0</vt:i4>
      </vt:variant>
      <vt:variant>
        <vt:i4>5</vt:i4>
      </vt:variant>
      <vt:variant>
        <vt:lpwstr>http://www.nevo.co.il/law/207788</vt:lpwstr>
      </vt:variant>
      <vt:variant>
        <vt:lpwstr/>
      </vt:variant>
      <vt:variant>
        <vt:i4>3735668</vt:i4>
      </vt:variant>
      <vt:variant>
        <vt:i4>54</vt:i4>
      </vt:variant>
      <vt:variant>
        <vt:i4>0</vt:i4>
      </vt:variant>
      <vt:variant>
        <vt:i4>5</vt:i4>
      </vt:variant>
      <vt:variant>
        <vt:lpwstr>http://www.nevo.co.il/case/27416699</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589918</vt:i4>
      </vt:variant>
      <vt:variant>
        <vt:i4>42</vt:i4>
      </vt:variant>
      <vt:variant>
        <vt:i4>0</vt:i4>
      </vt:variant>
      <vt:variant>
        <vt:i4>5</vt:i4>
      </vt:variant>
      <vt:variant>
        <vt:lpwstr>http://www.nevo.co.il/law/74903/192a</vt:lpwstr>
      </vt:variant>
      <vt:variant>
        <vt:lpwstr/>
      </vt:variant>
      <vt:variant>
        <vt:i4>8257646</vt:i4>
      </vt:variant>
      <vt:variant>
        <vt:i4>39</vt:i4>
      </vt:variant>
      <vt:variant>
        <vt:i4>0</vt:i4>
      </vt:variant>
      <vt:variant>
        <vt:i4>5</vt:i4>
      </vt:variant>
      <vt:variant>
        <vt:lpwstr>http://www.nevo.co.il/law/74903</vt:lpwstr>
      </vt:variant>
      <vt:variant>
        <vt:lpwstr/>
      </vt:variant>
      <vt:variant>
        <vt:i4>65609</vt:i4>
      </vt:variant>
      <vt:variant>
        <vt:i4>36</vt:i4>
      </vt:variant>
      <vt:variant>
        <vt:i4>0</vt:i4>
      </vt:variant>
      <vt:variant>
        <vt:i4>5</vt:i4>
      </vt:variant>
      <vt:variant>
        <vt:lpwstr>http://www.nevo.co.il/law/70301/25.a</vt:lpwstr>
      </vt:variant>
      <vt:variant>
        <vt:lpwstr/>
      </vt:variant>
      <vt:variant>
        <vt:i4>8061024</vt:i4>
      </vt:variant>
      <vt:variant>
        <vt:i4>33</vt:i4>
      </vt:variant>
      <vt:variant>
        <vt:i4>0</vt:i4>
      </vt:variant>
      <vt:variant>
        <vt:i4>5</vt:i4>
      </vt:variant>
      <vt:variant>
        <vt:lpwstr>http://www.nevo.co.il/law/70301/5.a</vt:lpwstr>
      </vt:variant>
      <vt:variant>
        <vt:lpwstr/>
      </vt:variant>
      <vt:variant>
        <vt:i4>5570645</vt:i4>
      </vt:variant>
      <vt:variant>
        <vt:i4>30</vt:i4>
      </vt:variant>
      <vt:variant>
        <vt:i4>0</vt:i4>
      </vt:variant>
      <vt:variant>
        <vt:i4>5</vt:i4>
      </vt:variant>
      <vt:variant>
        <vt:lpwstr>http://www.nevo.co.il/law/70301/5</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7995494</vt:i4>
      </vt:variant>
      <vt:variant>
        <vt:i4>24</vt:i4>
      </vt:variant>
      <vt:variant>
        <vt:i4>0</vt:i4>
      </vt:variant>
      <vt:variant>
        <vt:i4>5</vt:i4>
      </vt:variant>
      <vt:variant>
        <vt:lpwstr>http://www.nevo.co.il/law/4323</vt:lpwstr>
      </vt:variant>
      <vt:variant>
        <vt:lpwstr/>
      </vt:variant>
      <vt:variant>
        <vt:i4>6684783</vt:i4>
      </vt:variant>
      <vt:variant>
        <vt:i4>21</vt:i4>
      </vt:variant>
      <vt:variant>
        <vt:i4>0</vt:i4>
      </vt:variant>
      <vt:variant>
        <vt:i4>5</vt:i4>
      </vt:variant>
      <vt:variant>
        <vt:lpwstr>http://www.nevo.co.il/law/74248/23</vt:lpwstr>
      </vt:variant>
      <vt:variant>
        <vt:lpwstr/>
      </vt:variant>
      <vt:variant>
        <vt:i4>6291564</vt:i4>
      </vt:variant>
      <vt:variant>
        <vt:i4>18</vt:i4>
      </vt:variant>
      <vt:variant>
        <vt:i4>0</vt:i4>
      </vt:variant>
      <vt:variant>
        <vt:i4>5</vt:i4>
      </vt:variant>
      <vt:variant>
        <vt:lpwstr>http://www.nevo.co.il/law/74248/15</vt:lpwstr>
      </vt:variant>
      <vt:variant>
        <vt:lpwstr/>
      </vt:variant>
      <vt:variant>
        <vt:i4>8061036</vt:i4>
      </vt:variant>
      <vt:variant>
        <vt:i4>15</vt:i4>
      </vt:variant>
      <vt:variant>
        <vt:i4>0</vt:i4>
      </vt:variant>
      <vt:variant>
        <vt:i4>5</vt:i4>
      </vt:variant>
      <vt:variant>
        <vt:lpwstr>http://www.nevo.co.il/law/74248/1.c</vt:lpwstr>
      </vt:variant>
      <vt:variant>
        <vt:lpwstr/>
      </vt:variant>
      <vt:variant>
        <vt:i4>7995493</vt:i4>
      </vt:variant>
      <vt:variant>
        <vt:i4>12</vt:i4>
      </vt:variant>
      <vt:variant>
        <vt:i4>0</vt:i4>
      </vt:variant>
      <vt:variant>
        <vt:i4>5</vt:i4>
      </vt:variant>
      <vt:variant>
        <vt:lpwstr>http://www.nevo.co.il/law/74248</vt:lpwstr>
      </vt:variant>
      <vt:variant>
        <vt:lpwstr/>
      </vt:variant>
      <vt:variant>
        <vt:i4>4522077</vt:i4>
      </vt:variant>
      <vt:variant>
        <vt:i4>9</vt:i4>
      </vt:variant>
      <vt:variant>
        <vt:i4>0</vt:i4>
      </vt:variant>
      <vt:variant>
        <vt:i4>5</vt:i4>
      </vt:variant>
      <vt:variant>
        <vt:lpwstr>http://www.nevo.co.il/law/207788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29877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נתנאל יוסף רגפורקר</vt:lpwstr>
  </property>
  <property fmtid="{D5CDD505-2E9C-101B-9397-08002B2CF9AE}" pid="10" name="LAWYER">
    <vt:lpwstr>ליאור כהן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20241114</vt:lpwstr>
  </property>
  <property fmtid="{D5CDD505-2E9C-101B-9397-08002B2CF9AE}" pid="14" name="TYPE_N_DATE">
    <vt:lpwstr>38020241114</vt:lpwstr>
  </property>
  <property fmtid="{D5CDD505-2E9C-101B-9397-08002B2CF9AE}" pid="15" name="CASESLISTTMP1">
    <vt:lpwstr>27416699;17908516;26970703;5594221;26892091;5819116;5810781;5849797;29579787;25496997;25945167;5813223</vt:lpwstr>
  </property>
  <property fmtid="{D5CDD505-2E9C-101B-9397-08002B2CF9AE}" pid="16" name="CASENOTES1">
    <vt:lpwstr>ProcID=135&amp;PartA=33947&amp;PartB=10&amp;PartC=17</vt:lpwstr>
  </property>
  <property fmtid="{D5CDD505-2E9C-101B-9397-08002B2CF9AE}" pid="17" name="CASENOTES2">
    <vt:lpwstr>ProcID=135&amp;PartA=11045&amp;PartB=09&amp;PartC=18</vt:lpwstr>
  </property>
  <property fmtid="{D5CDD505-2E9C-101B-9397-08002B2CF9AE}" pid="18" name="CASENOTES3">
    <vt:lpwstr>ProcID=133;209&amp;PartA=1082&amp;PartC=06</vt:lpwstr>
  </property>
  <property fmtid="{D5CDD505-2E9C-101B-9397-08002B2CF9AE}" pid="19" name="WORDNUMPAGES">
    <vt:lpwstr>8</vt:lpwstr>
  </property>
  <property fmtid="{D5CDD505-2E9C-101B-9397-08002B2CF9AE}" pid="20" name="TYPE_ABS_DATE">
    <vt:lpwstr>380020241114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4216/007.a;007.c</vt:lpwstr>
  </property>
  <property fmtid="{D5CDD505-2E9C-101B-9397-08002B2CF9AE}" pid="40" name="LAWLISTTMP2">
    <vt:lpwstr>207788</vt:lpwstr>
  </property>
  <property fmtid="{D5CDD505-2E9C-101B-9397-08002B2CF9AE}" pid="41" name="LAWLISTTMP3">
    <vt:lpwstr>74248/015;001.c:2;023</vt:lpwstr>
  </property>
  <property fmtid="{D5CDD505-2E9C-101B-9397-08002B2CF9AE}" pid="42" name="LAWLISTTMP4">
    <vt:lpwstr>4323</vt:lpwstr>
  </property>
  <property fmtid="{D5CDD505-2E9C-101B-9397-08002B2CF9AE}" pid="43" name="LAWLISTTMP5">
    <vt:lpwstr>70301/005.a:2;025.a;005</vt:lpwstr>
  </property>
  <property fmtid="{D5CDD505-2E9C-101B-9397-08002B2CF9AE}" pid="44" name="LAWLISTTMP6">
    <vt:lpwstr>74903/192a</vt:lpwstr>
  </property>
</Properties>
</file>