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2551"/>
        <w:gridCol w:w="2503"/>
        <w:gridCol w:w="3451"/>
        <w:gridCol w:w="216"/>
      </w:tblGrid>
      <w:tr w:rsidR="00955DD7" w:rsidRPr="00DD2041" w14:paraId="1562BA67" w14:textId="77777777" w:rsidTr="00B930B9">
        <w:trPr>
          <w:trHeight w:hRule="exact" w:val="418"/>
          <w:jc w:val="center"/>
        </w:trPr>
        <w:tc>
          <w:tcPr>
            <w:tcW w:w="8721" w:type="dxa"/>
            <w:gridSpan w:val="4"/>
          </w:tcPr>
          <w:p w14:paraId="7B1FFE11" w14:textId="77777777" w:rsidR="00955DD7" w:rsidRPr="00DD2041" w:rsidRDefault="00955DD7" w:rsidP="002A3573">
            <w:pPr>
              <w:pStyle w:val="a3"/>
              <w:jc w:val="center"/>
              <w:rPr>
                <w:rFonts w:ascii="Tahoma" w:hAnsi="Tahoma" w:cs="Tahoma"/>
                <w:color w:val="000080"/>
                <w:rtl/>
              </w:rPr>
            </w:pPr>
            <w:bookmarkStart w:id="0" w:name="LastJudge"/>
            <w:r w:rsidRPr="00DD2041">
              <w:rPr>
                <w:rFonts w:ascii="Tahoma" w:hAnsi="Tahoma" w:cs="Tahoma"/>
                <w:b/>
                <w:bCs/>
                <w:color w:val="000080"/>
                <w:rtl/>
              </w:rPr>
              <w:t>בית משפט השלום באשקלון</w:t>
            </w:r>
          </w:p>
        </w:tc>
      </w:tr>
      <w:tr w:rsidR="00955DD7" w:rsidRPr="00DD2041" w14:paraId="364C4880" w14:textId="77777777" w:rsidTr="00B930B9">
        <w:trPr>
          <w:trHeight w:val="337"/>
          <w:jc w:val="center"/>
        </w:trPr>
        <w:tc>
          <w:tcPr>
            <w:tcW w:w="5054" w:type="dxa"/>
            <w:gridSpan w:val="2"/>
            <w:vAlign w:val="bottom"/>
          </w:tcPr>
          <w:p w14:paraId="0795CE60" w14:textId="77777777" w:rsidR="00955DD7" w:rsidRPr="00DD2041" w:rsidRDefault="00955DD7" w:rsidP="002A3573">
            <w:pPr>
              <w:rPr>
                <w:rFonts w:cs="FrankRuehl"/>
                <w:sz w:val="28"/>
                <w:szCs w:val="28"/>
                <w:rtl/>
              </w:rPr>
            </w:pPr>
            <w:r w:rsidRPr="00DD2041">
              <w:rPr>
                <w:rFonts w:ascii="David" w:hAnsi="David"/>
                <w:b/>
                <w:bCs/>
                <w:sz w:val="26"/>
                <w:szCs w:val="26"/>
                <w:rtl/>
              </w:rPr>
              <w:t>ת"פ 32356-04-22 מדינת ישראל נ' ריפס</w:t>
            </w:r>
          </w:p>
        </w:tc>
        <w:tc>
          <w:tcPr>
            <w:tcW w:w="3667" w:type="dxa"/>
            <w:gridSpan w:val="2"/>
          </w:tcPr>
          <w:p w14:paraId="191ADAE5" w14:textId="77777777" w:rsidR="00955DD7" w:rsidRPr="00DD2041" w:rsidRDefault="00955DD7" w:rsidP="002A3573">
            <w:pPr>
              <w:pStyle w:val="a3"/>
              <w:jc w:val="right"/>
              <w:rPr>
                <w:rFonts w:cs="FrankRuehl"/>
                <w:sz w:val="28"/>
                <w:szCs w:val="28"/>
                <w:rtl/>
              </w:rPr>
            </w:pPr>
          </w:p>
        </w:tc>
      </w:tr>
      <w:tr w:rsidR="00955DD7" w:rsidRPr="00DD2041" w14:paraId="7AF3F71F" w14:textId="77777777" w:rsidTr="00B930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295"/>
          <w:jc w:val="center"/>
        </w:trPr>
        <w:tc>
          <w:tcPr>
            <w:tcW w:w="8505" w:type="dxa"/>
            <w:gridSpan w:val="3"/>
            <w:tcBorders>
              <w:top w:val="nil"/>
              <w:left w:val="nil"/>
              <w:bottom w:val="nil"/>
              <w:right w:val="nil"/>
            </w:tcBorders>
            <w:shd w:val="clear" w:color="auto" w:fill="auto"/>
          </w:tcPr>
          <w:p w14:paraId="27863104" w14:textId="77777777" w:rsidR="00955DD7" w:rsidRPr="00DD2041" w:rsidRDefault="00955DD7" w:rsidP="00955DD7">
            <w:pPr>
              <w:jc w:val="both"/>
              <w:rPr>
                <w:rFonts w:ascii="David" w:hAnsi="David"/>
                <w:sz w:val="26"/>
                <w:szCs w:val="26"/>
              </w:rPr>
            </w:pPr>
            <w:r w:rsidRPr="00DD2041">
              <w:rPr>
                <w:rFonts w:hint="cs"/>
                <w:rtl/>
              </w:rPr>
              <w:t xml:space="preserve"> </w:t>
            </w:r>
            <w:r w:rsidRPr="00DD2041">
              <w:rPr>
                <w:rFonts w:ascii="David" w:hAnsi="David"/>
                <w:b/>
                <w:bCs/>
                <w:sz w:val="26"/>
                <w:szCs w:val="26"/>
                <w:rtl/>
              </w:rPr>
              <w:t>לפני כבוד השופטת  זהר דולב להמן</w:t>
            </w:r>
          </w:p>
          <w:p w14:paraId="62132A1D" w14:textId="77777777" w:rsidR="00955DD7" w:rsidRPr="00DD2041" w:rsidRDefault="00955DD7" w:rsidP="002A3573">
            <w:pPr>
              <w:rPr>
                <w:rFonts w:ascii="David" w:hAnsi="David"/>
                <w:sz w:val="26"/>
                <w:szCs w:val="26"/>
                <w:rtl/>
              </w:rPr>
            </w:pPr>
          </w:p>
          <w:p w14:paraId="14437534" w14:textId="77777777" w:rsidR="00955DD7" w:rsidRPr="00DD2041" w:rsidRDefault="00955DD7" w:rsidP="00955DD7">
            <w:pPr>
              <w:jc w:val="both"/>
              <w:rPr>
                <w:rFonts w:ascii="David" w:hAnsi="David"/>
                <w:sz w:val="26"/>
                <w:szCs w:val="26"/>
                <w:rtl/>
              </w:rPr>
            </w:pPr>
          </w:p>
        </w:tc>
      </w:tr>
      <w:tr w:rsidR="00955DD7" w:rsidRPr="00DD2041" w14:paraId="2304F115" w14:textId="77777777" w:rsidTr="00B930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2551" w:type="dxa"/>
            <w:tcBorders>
              <w:top w:val="nil"/>
              <w:left w:val="nil"/>
              <w:bottom w:val="nil"/>
              <w:right w:val="nil"/>
            </w:tcBorders>
            <w:shd w:val="clear" w:color="auto" w:fill="auto"/>
          </w:tcPr>
          <w:p w14:paraId="7C5C590B" w14:textId="77777777" w:rsidR="00955DD7" w:rsidRPr="00DD2041" w:rsidRDefault="00955DD7" w:rsidP="00955DD7">
            <w:pPr>
              <w:suppressLineNumbers/>
            </w:pPr>
            <w:bookmarkStart w:id="1" w:name="FirstAppellant"/>
            <w:bookmarkStart w:id="2" w:name="FirstLawyer"/>
            <w:r w:rsidRPr="00DD2041">
              <w:rPr>
                <w:rFonts w:ascii="Arial" w:hAnsi="Arial"/>
                <w:b/>
                <w:bCs/>
                <w:sz w:val="26"/>
                <w:szCs w:val="26"/>
                <w:rtl/>
              </w:rPr>
              <w:t>המאשימה:</w:t>
            </w:r>
          </w:p>
          <w:p w14:paraId="7DD0F3B4" w14:textId="77777777" w:rsidR="00955DD7" w:rsidRPr="00DD2041" w:rsidRDefault="00955DD7" w:rsidP="002A3573">
            <w:pPr>
              <w:rPr>
                <w:rFonts w:ascii="David" w:hAnsi="David"/>
                <w:sz w:val="26"/>
                <w:szCs w:val="26"/>
              </w:rPr>
            </w:pPr>
          </w:p>
        </w:tc>
        <w:tc>
          <w:tcPr>
            <w:tcW w:w="5954" w:type="dxa"/>
            <w:gridSpan w:val="2"/>
            <w:tcBorders>
              <w:top w:val="nil"/>
              <w:left w:val="nil"/>
              <w:bottom w:val="nil"/>
              <w:right w:val="nil"/>
            </w:tcBorders>
            <w:shd w:val="clear" w:color="auto" w:fill="auto"/>
            <w:vAlign w:val="center"/>
          </w:tcPr>
          <w:p w14:paraId="54223235" w14:textId="77777777" w:rsidR="00955DD7" w:rsidRPr="00DD2041" w:rsidRDefault="00955DD7" w:rsidP="00955DD7">
            <w:pPr>
              <w:suppressLineNumbers/>
              <w:rPr>
                <w:rFonts w:ascii="Arial" w:hAnsi="Arial"/>
                <w:b/>
                <w:bCs/>
                <w:sz w:val="26"/>
                <w:szCs w:val="26"/>
              </w:rPr>
            </w:pPr>
            <w:r w:rsidRPr="00DD2041">
              <w:rPr>
                <w:rFonts w:ascii="Arial" w:hAnsi="Arial"/>
                <w:b/>
                <w:bCs/>
                <w:sz w:val="26"/>
                <w:szCs w:val="26"/>
                <w:rtl/>
              </w:rPr>
              <w:t xml:space="preserve">מדינת ישראל </w:t>
            </w:r>
          </w:p>
          <w:p w14:paraId="3EECF1CC" w14:textId="77777777" w:rsidR="00955DD7" w:rsidRPr="00DD2041" w:rsidRDefault="00955DD7" w:rsidP="00955DD7">
            <w:pPr>
              <w:suppressLineNumbers/>
              <w:rPr>
                <w:rtl/>
              </w:rPr>
            </w:pPr>
            <w:r w:rsidRPr="00DD2041">
              <w:rPr>
                <w:rFonts w:ascii="Arial" w:hAnsi="Arial"/>
                <w:rtl/>
              </w:rPr>
              <w:t>ע"י ב"כ עוה"ד</w:t>
            </w:r>
            <w:r w:rsidRPr="00DD2041">
              <w:rPr>
                <w:sz w:val="22"/>
                <w:szCs w:val="22"/>
                <w:rtl/>
              </w:rPr>
              <w:t xml:space="preserve"> </w:t>
            </w:r>
            <w:r w:rsidRPr="00DD2041">
              <w:rPr>
                <w:rtl/>
              </w:rPr>
              <w:t>ליבי יעקובי</w:t>
            </w:r>
          </w:p>
        </w:tc>
      </w:tr>
      <w:bookmarkEnd w:id="1"/>
      <w:bookmarkEnd w:id="2"/>
      <w:tr w:rsidR="00955DD7" w:rsidRPr="00DD2041" w14:paraId="5F74FC57" w14:textId="77777777" w:rsidTr="00B930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8505" w:type="dxa"/>
            <w:gridSpan w:val="3"/>
            <w:tcBorders>
              <w:top w:val="nil"/>
              <w:left w:val="nil"/>
              <w:bottom w:val="nil"/>
              <w:right w:val="nil"/>
            </w:tcBorders>
            <w:shd w:val="clear" w:color="auto" w:fill="auto"/>
          </w:tcPr>
          <w:p w14:paraId="0FA18188" w14:textId="77777777" w:rsidR="00955DD7" w:rsidRPr="00DD2041" w:rsidRDefault="00955DD7" w:rsidP="00955DD7">
            <w:pPr>
              <w:jc w:val="center"/>
              <w:rPr>
                <w:rFonts w:ascii="David" w:hAnsi="David"/>
                <w:b/>
                <w:bCs/>
                <w:sz w:val="26"/>
                <w:szCs w:val="26"/>
              </w:rPr>
            </w:pPr>
          </w:p>
          <w:p w14:paraId="41F2FC26" w14:textId="77777777" w:rsidR="00955DD7" w:rsidRPr="00DD2041" w:rsidRDefault="00955DD7" w:rsidP="00955DD7">
            <w:pPr>
              <w:jc w:val="center"/>
              <w:rPr>
                <w:rFonts w:ascii="David" w:hAnsi="David"/>
                <w:b/>
                <w:bCs/>
                <w:sz w:val="26"/>
                <w:szCs w:val="26"/>
                <w:rtl/>
              </w:rPr>
            </w:pPr>
            <w:r w:rsidRPr="00DD2041">
              <w:rPr>
                <w:rFonts w:ascii="David" w:hAnsi="David"/>
                <w:b/>
                <w:bCs/>
                <w:sz w:val="26"/>
                <w:szCs w:val="26"/>
                <w:rtl/>
              </w:rPr>
              <w:t>נגד</w:t>
            </w:r>
          </w:p>
          <w:p w14:paraId="21C00B0F" w14:textId="77777777" w:rsidR="00955DD7" w:rsidRPr="00DD2041" w:rsidRDefault="00955DD7" w:rsidP="00955DD7">
            <w:pPr>
              <w:jc w:val="both"/>
              <w:rPr>
                <w:rFonts w:ascii="David" w:hAnsi="David"/>
                <w:sz w:val="26"/>
                <w:szCs w:val="26"/>
                <w:rtl/>
              </w:rPr>
            </w:pPr>
          </w:p>
        </w:tc>
      </w:tr>
      <w:tr w:rsidR="00955DD7" w:rsidRPr="00DD2041" w14:paraId="21991C7B" w14:textId="77777777" w:rsidTr="00B930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2551" w:type="dxa"/>
            <w:tcBorders>
              <w:top w:val="nil"/>
              <w:left w:val="nil"/>
              <w:bottom w:val="nil"/>
              <w:right w:val="nil"/>
            </w:tcBorders>
            <w:shd w:val="clear" w:color="auto" w:fill="auto"/>
          </w:tcPr>
          <w:p w14:paraId="260170CC" w14:textId="77777777" w:rsidR="00955DD7" w:rsidRPr="00DD2041" w:rsidRDefault="00955DD7" w:rsidP="002A3573">
            <w:pPr>
              <w:rPr>
                <w:rFonts w:ascii="Arial" w:hAnsi="Arial"/>
                <w:b/>
                <w:bCs/>
                <w:sz w:val="26"/>
                <w:szCs w:val="26"/>
              </w:rPr>
            </w:pPr>
            <w:r w:rsidRPr="00DD2041">
              <w:rPr>
                <w:rFonts w:ascii="Arial" w:hAnsi="Arial"/>
                <w:b/>
                <w:bCs/>
                <w:sz w:val="26"/>
                <w:szCs w:val="26"/>
                <w:rtl/>
              </w:rPr>
              <w:t>הנאשם:</w:t>
            </w:r>
          </w:p>
        </w:tc>
        <w:tc>
          <w:tcPr>
            <w:tcW w:w="5954" w:type="dxa"/>
            <w:gridSpan w:val="2"/>
            <w:tcBorders>
              <w:top w:val="nil"/>
              <w:left w:val="nil"/>
              <w:bottom w:val="nil"/>
              <w:right w:val="nil"/>
            </w:tcBorders>
            <w:shd w:val="clear" w:color="auto" w:fill="auto"/>
            <w:vAlign w:val="center"/>
          </w:tcPr>
          <w:p w14:paraId="2050F7C3" w14:textId="77777777" w:rsidR="00955DD7" w:rsidRPr="00DD2041" w:rsidRDefault="00955DD7" w:rsidP="00955DD7">
            <w:pPr>
              <w:suppressLineNumbers/>
              <w:rPr>
                <w:rFonts w:ascii="Arial" w:hAnsi="Arial"/>
                <w:rtl/>
              </w:rPr>
            </w:pPr>
            <w:r w:rsidRPr="00DD2041">
              <w:rPr>
                <w:rFonts w:ascii="Arial" w:hAnsi="Arial"/>
                <w:b/>
                <w:bCs/>
                <w:sz w:val="26"/>
                <w:szCs w:val="26"/>
                <w:rtl/>
              </w:rPr>
              <w:t xml:space="preserve">ארתור ריפס </w:t>
            </w:r>
          </w:p>
          <w:p w14:paraId="5D3DA96A" w14:textId="77777777" w:rsidR="00955DD7" w:rsidRPr="00DD2041" w:rsidRDefault="00955DD7" w:rsidP="00955DD7">
            <w:pPr>
              <w:suppressLineNumbers/>
              <w:rPr>
                <w:sz w:val="22"/>
                <w:szCs w:val="22"/>
                <w:rtl/>
              </w:rPr>
            </w:pPr>
            <w:r w:rsidRPr="00DD2041">
              <w:rPr>
                <w:rFonts w:ascii="Arial" w:hAnsi="Arial"/>
                <w:rtl/>
              </w:rPr>
              <w:t>ע"י ב"כ עוה"ד דמטירי דוגמן</w:t>
            </w:r>
          </w:p>
        </w:tc>
      </w:tr>
    </w:tbl>
    <w:p w14:paraId="09E64D6A" w14:textId="77777777" w:rsidR="00955DD7" w:rsidRPr="00DD2041" w:rsidRDefault="00955DD7" w:rsidP="00955DD7">
      <w:pPr>
        <w:rPr>
          <w:sz w:val="26"/>
          <w:szCs w:val="26"/>
        </w:rPr>
      </w:pPr>
    </w:p>
    <w:p w14:paraId="63348DDC" w14:textId="77777777" w:rsidR="00EC401E" w:rsidRPr="00EC401E" w:rsidRDefault="00EC401E" w:rsidP="00EC401E">
      <w:pPr>
        <w:widowControl w:val="0"/>
        <w:spacing w:before="120" w:after="120" w:line="240" w:lineRule="exact"/>
        <w:ind w:left="283" w:hanging="283"/>
        <w:jc w:val="both"/>
        <w:rPr>
          <w:rFonts w:ascii="FrankRuehl" w:hAnsi="FrankRuehl" w:cs="FrankRuehl"/>
          <w:rtl/>
        </w:rPr>
      </w:pPr>
    </w:p>
    <w:p w14:paraId="72330D28" w14:textId="77777777" w:rsidR="00061219" w:rsidRDefault="00061219" w:rsidP="00061219">
      <w:pPr>
        <w:widowControl w:val="0"/>
        <w:spacing w:line="360" w:lineRule="auto"/>
        <w:jc w:val="both"/>
        <w:rPr>
          <w:rFonts w:ascii="David" w:hAnsi="David"/>
          <w:sz w:val="26"/>
          <w:szCs w:val="26"/>
          <w:rtl/>
        </w:rPr>
      </w:pPr>
      <w:bookmarkStart w:id="3" w:name="LawTable"/>
      <w:bookmarkEnd w:id="3"/>
    </w:p>
    <w:p w14:paraId="2B8CA860" w14:textId="77777777" w:rsidR="00061219" w:rsidRPr="00061219" w:rsidRDefault="00061219" w:rsidP="00061219">
      <w:pPr>
        <w:widowControl w:val="0"/>
        <w:spacing w:before="120" w:after="120" w:line="240" w:lineRule="exact"/>
        <w:ind w:left="283" w:hanging="283"/>
        <w:jc w:val="both"/>
        <w:rPr>
          <w:rFonts w:ascii="FrankRuehl" w:hAnsi="FrankRuehl" w:cs="FrankRuehl"/>
          <w:rtl/>
        </w:rPr>
      </w:pPr>
    </w:p>
    <w:p w14:paraId="4E2433A1" w14:textId="77777777" w:rsidR="00061219" w:rsidRPr="00061219" w:rsidRDefault="00061219" w:rsidP="00061219">
      <w:pPr>
        <w:widowControl w:val="0"/>
        <w:spacing w:before="120" w:after="120" w:line="240" w:lineRule="exact"/>
        <w:ind w:left="283" w:hanging="283"/>
        <w:jc w:val="both"/>
        <w:rPr>
          <w:rFonts w:ascii="FrankRuehl" w:hAnsi="FrankRuehl" w:cs="FrankRuehl"/>
          <w:rtl/>
        </w:rPr>
      </w:pPr>
    </w:p>
    <w:p w14:paraId="5DDD8FA3" w14:textId="77777777" w:rsidR="00061219" w:rsidRPr="00061219" w:rsidRDefault="00061219" w:rsidP="00061219">
      <w:pPr>
        <w:widowControl w:val="0"/>
        <w:spacing w:before="120" w:after="120" w:line="240" w:lineRule="exact"/>
        <w:ind w:left="283" w:hanging="283"/>
        <w:jc w:val="both"/>
        <w:rPr>
          <w:rFonts w:ascii="FrankRuehl" w:hAnsi="FrankRuehl" w:cs="FrankRuehl"/>
          <w:rtl/>
        </w:rPr>
      </w:pPr>
      <w:r w:rsidRPr="00061219">
        <w:rPr>
          <w:rFonts w:ascii="FrankRuehl" w:hAnsi="FrankRuehl" w:cs="FrankRuehl"/>
          <w:rtl/>
        </w:rPr>
        <w:t xml:space="preserve">חקיקה שאוזכרה: </w:t>
      </w:r>
    </w:p>
    <w:p w14:paraId="17DC4C7D" w14:textId="77777777" w:rsidR="00061219" w:rsidRPr="00061219" w:rsidRDefault="00061219" w:rsidP="00061219">
      <w:pPr>
        <w:widowControl w:val="0"/>
        <w:spacing w:before="120" w:after="120" w:line="240" w:lineRule="exact"/>
        <w:ind w:left="283" w:hanging="283"/>
        <w:jc w:val="both"/>
        <w:rPr>
          <w:rFonts w:ascii="FrankRuehl" w:hAnsi="FrankRuehl" w:cs="FrankRuehl"/>
          <w:rtl/>
        </w:rPr>
      </w:pPr>
      <w:hyperlink r:id="rId7" w:history="1">
        <w:r w:rsidRPr="00061219">
          <w:rPr>
            <w:rFonts w:ascii="FrankRuehl" w:hAnsi="FrankRuehl" w:cs="FrankRuehl"/>
            <w:color w:val="0000FF"/>
            <w:rtl/>
          </w:rPr>
          <w:t>פקודת הסמים המסוכנים [נוסח חדש], תשל"ג-1973</w:t>
        </w:r>
      </w:hyperlink>
      <w:r w:rsidRPr="00061219">
        <w:rPr>
          <w:rFonts w:ascii="FrankRuehl" w:hAnsi="FrankRuehl" w:cs="FrankRuehl"/>
          <w:rtl/>
        </w:rPr>
        <w:t xml:space="preserve">: סע'  </w:t>
      </w:r>
      <w:hyperlink r:id="rId8" w:history="1">
        <w:r w:rsidRPr="00061219">
          <w:rPr>
            <w:rFonts w:ascii="FrankRuehl" w:hAnsi="FrankRuehl" w:cs="FrankRuehl"/>
            <w:color w:val="0000FF"/>
            <w:rtl/>
          </w:rPr>
          <w:t>7(א)</w:t>
        </w:r>
      </w:hyperlink>
      <w:r w:rsidRPr="00061219">
        <w:rPr>
          <w:rFonts w:ascii="FrankRuehl" w:hAnsi="FrankRuehl" w:cs="FrankRuehl"/>
          <w:rtl/>
        </w:rPr>
        <w:t xml:space="preserve">, </w:t>
      </w:r>
      <w:hyperlink r:id="rId9" w:history="1">
        <w:r w:rsidRPr="00061219">
          <w:rPr>
            <w:rFonts w:ascii="FrankRuehl" w:hAnsi="FrankRuehl" w:cs="FrankRuehl"/>
            <w:color w:val="0000FF"/>
            <w:rtl/>
          </w:rPr>
          <w:t>-7(ג)</w:t>
        </w:r>
      </w:hyperlink>
      <w:r w:rsidRPr="00061219">
        <w:rPr>
          <w:rFonts w:ascii="FrankRuehl" w:hAnsi="FrankRuehl" w:cs="FrankRuehl"/>
          <w:rtl/>
        </w:rPr>
        <w:t xml:space="preserve">, </w:t>
      </w:r>
      <w:hyperlink r:id="rId10" w:history="1">
        <w:r w:rsidRPr="00061219">
          <w:rPr>
            <w:rFonts w:ascii="FrankRuehl" w:hAnsi="FrankRuehl" w:cs="FrankRuehl"/>
            <w:color w:val="0000FF"/>
            <w:rtl/>
          </w:rPr>
          <w:t>37א</w:t>
        </w:r>
      </w:hyperlink>
    </w:p>
    <w:p w14:paraId="796F1CF1" w14:textId="77777777" w:rsidR="00061219" w:rsidRPr="00061219" w:rsidRDefault="00061219" w:rsidP="00061219">
      <w:pPr>
        <w:widowControl w:val="0"/>
        <w:spacing w:before="120" w:after="120" w:line="240" w:lineRule="exact"/>
        <w:ind w:left="283" w:hanging="283"/>
        <w:jc w:val="both"/>
        <w:rPr>
          <w:rFonts w:ascii="FrankRuehl" w:hAnsi="FrankRuehl" w:cs="FrankRuehl"/>
          <w:rtl/>
        </w:rPr>
      </w:pPr>
      <w:hyperlink r:id="rId11" w:history="1">
        <w:r w:rsidRPr="00061219">
          <w:rPr>
            <w:rFonts w:ascii="FrankRuehl" w:hAnsi="FrankRuehl" w:cs="FrankRuehl"/>
            <w:color w:val="0000FF"/>
            <w:rtl/>
          </w:rPr>
          <w:t>חוק העונשין, תשל"ז-1977</w:t>
        </w:r>
      </w:hyperlink>
      <w:r w:rsidRPr="00061219">
        <w:rPr>
          <w:rFonts w:ascii="FrankRuehl" w:hAnsi="FrankRuehl" w:cs="FrankRuehl"/>
          <w:rtl/>
        </w:rPr>
        <w:t xml:space="preserve">: סע'  </w:t>
      </w:r>
      <w:hyperlink r:id="rId12" w:history="1">
        <w:r w:rsidRPr="00061219">
          <w:rPr>
            <w:rFonts w:ascii="FrankRuehl" w:hAnsi="FrankRuehl" w:cs="FrankRuehl"/>
            <w:color w:val="0000FF"/>
            <w:rtl/>
          </w:rPr>
          <w:t>40ג(א)</w:t>
        </w:r>
      </w:hyperlink>
      <w:r w:rsidRPr="00061219">
        <w:rPr>
          <w:rFonts w:ascii="FrankRuehl" w:hAnsi="FrankRuehl" w:cs="FrankRuehl"/>
          <w:rtl/>
        </w:rPr>
        <w:t xml:space="preserve">, </w:t>
      </w:r>
      <w:hyperlink r:id="rId13" w:history="1">
        <w:r w:rsidRPr="00061219">
          <w:rPr>
            <w:rFonts w:ascii="FrankRuehl" w:hAnsi="FrankRuehl" w:cs="FrankRuehl"/>
            <w:color w:val="0000FF"/>
            <w:rtl/>
          </w:rPr>
          <w:t>40ג(ב)</w:t>
        </w:r>
      </w:hyperlink>
      <w:r w:rsidRPr="00061219">
        <w:rPr>
          <w:rFonts w:ascii="FrankRuehl" w:hAnsi="FrankRuehl" w:cs="FrankRuehl"/>
          <w:rtl/>
        </w:rPr>
        <w:t xml:space="preserve">, </w:t>
      </w:r>
      <w:hyperlink r:id="rId14" w:history="1">
        <w:r w:rsidRPr="00061219">
          <w:rPr>
            <w:rFonts w:ascii="FrankRuehl" w:hAnsi="FrankRuehl" w:cs="FrankRuehl"/>
            <w:color w:val="0000FF"/>
            <w:rtl/>
          </w:rPr>
          <w:t>40ד</w:t>
        </w:r>
      </w:hyperlink>
      <w:r w:rsidRPr="00061219">
        <w:rPr>
          <w:rFonts w:ascii="FrankRuehl" w:hAnsi="FrankRuehl" w:cs="FrankRuehl"/>
          <w:rtl/>
        </w:rPr>
        <w:t xml:space="preserve">, </w:t>
      </w:r>
      <w:hyperlink r:id="rId15" w:history="1">
        <w:r w:rsidRPr="00061219">
          <w:rPr>
            <w:rFonts w:ascii="FrankRuehl" w:hAnsi="FrankRuehl" w:cs="FrankRuehl"/>
            <w:color w:val="0000FF"/>
            <w:rtl/>
          </w:rPr>
          <w:t>40ו</w:t>
        </w:r>
      </w:hyperlink>
      <w:r w:rsidRPr="00061219">
        <w:rPr>
          <w:rFonts w:ascii="FrankRuehl" w:hAnsi="FrankRuehl" w:cs="FrankRuehl"/>
          <w:rtl/>
        </w:rPr>
        <w:t xml:space="preserve">, </w:t>
      </w:r>
      <w:hyperlink r:id="rId16" w:history="1">
        <w:r w:rsidRPr="00061219">
          <w:rPr>
            <w:rFonts w:ascii="FrankRuehl" w:hAnsi="FrankRuehl" w:cs="FrankRuehl"/>
            <w:color w:val="0000FF"/>
            <w:rtl/>
          </w:rPr>
          <w:t>40ז</w:t>
        </w:r>
      </w:hyperlink>
      <w:r w:rsidRPr="00061219">
        <w:rPr>
          <w:rFonts w:ascii="FrankRuehl" w:hAnsi="FrankRuehl" w:cs="FrankRuehl"/>
          <w:rtl/>
        </w:rPr>
        <w:t xml:space="preserve">, </w:t>
      </w:r>
      <w:hyperlink r:id="rId17" w:history="1">
        <w:r w:rsidRPr="00061219">
          <w:rPr>
            <w:rFonts w:ascii="FrankRuehl" w:hAnsi="FrankRuehl" w:cs="FrankRuehl"/>
            <w:color w:val="0000FF"/>
            <w:rtl/>
          </w:rPr>
          <w:t>40ח</w:t>
        </w:r>
      </w:hyperlink>
      <w:r w:rsidRPr="00061219">
        <w:rPr>
          <w:rFonts w:ascii="FrankRuehl" w:hAnsi="FrankRuehl" w:cs="FrankRuehl"/>
          <w:rtl/>
        </w:rPr>
        <w:t xml:space="preserve">, </w:t>
      </w:r>
      <w:hyperlink r:id="rId18" w:history="1">
        <w:r w:rsidRPr="00061219">
          <w:rPr>
            <w:rFonts w:ascii="FrankRuehl" w:hAnsi="FrankRuehl" w:cs="FrankRuehl"/>
            <w:color w:val="0000FF"/>
            <w:rtl/>
          </w:rPr>
          <w:t>40יא</w:t>
        </w:r>
      </w:hyperlink>
      <w:r w:rsidRPr="00061219">
        <w:rPr>
          <w:rFonts w:ascii="FrankRuehl" w:hAnsi="FrankRuehl" w:cs="FrankRuehl"/>
          <w:rtl/>
        </w:rPr>
        <w:t xml:space="preserve">, </w:t>
      </w:r>
      <w:hyperlink r:id="rId19" w:history="1">
        <w:r w:rsidRPr="00061219">
          <w:rPr>
            <w:rFonts w:ascii="FrankRuehl" w:hAnsi="FrankRuehl" w:cs="FrankRuehl"/>
            <w:color w:val="0000FF"/>
            <w:rtl/>
          </w:rPr>
          <w:t>40יט</w:t>
        </w:r>
      </w:hyperlink>
    </w:p>
    <w:p w14:paraId="36B638F8" w14:textId="77777777" w:rsidR="00061219" w:rsidRPr="00061219" w:rsidRDefault="00061219" w:rsidP="00061219">
      <w:pPr>
        <w:widowControl w:val="0"/>
        <w:spacing w:line="360" w:lineRule="auto"/>
        <w:jc w:val="both"/>
        <w:rPr>
          <w:rFonts w:ascii="David" w:hAnsi="David"/>
          <w:sz w:val="26"/>
          <w:szCs w:val="26"/>
          <w:rtl/>
        </w:rPr>
      </w:pPr>
      <w:bookmarkStart w:id="4" w:name="LawTable_End"/>
      <w:bookmarkEnd w:id="4"/>
    </w:p>
    <w:p w14:paraId="07B45FD5" w14:textId="77777777" w:rsidR="00955DD7" w:rsidRPr="00EC401E" w:rsidRDefault="00955DD7" w:rsidP="00EC401E">
      <w:pPr>
        <w:widowControl w:val="0"/>
        <w:spacing w:line="360" w:lineRule="auto"/>
        <w:jc w:val="both"/>
        <w:rPr>
          <w:rFonts w:ascii="David" w:hAnsi="David"/>
          <w:sz w:val="26"/>
          <w:szCs w:val="26"/>
          <w:rtl/>
        </w:rPr>
      </w:pPr>
    </w:p>
    <w:tbl>
      <w:tblPr>
        <w:bidiVisual/>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64"/>
      </w:tblGrid>
      <w:tr w:rsidR="00955DD7" w14:paraId="0A0309D1" w14:textId="77777777" w:rsidTr="00955DD7">
        <w:trPr>
          <w:trHeight w:val="624"/>
          <w:jc w:val="center"/>
        </w:trPr>
        <w:tc>
          <w:tcPr>
            <w:tcW w:w="8364" w:type="dxa"/>
            <w:tcBorders>
              <w:top w:val="nil"/>
              <w:left w:val="nil"/>
              <w:bottom w:val="nil"/>
              <w:right w:val="nil"/>
            </w:tcBorders>
            <w:shd w:val="clear" w:color="auto" w:fill="auto"/>
            <w:vAlign w:val="center"/>
          </w:tcPr>
          <w:p w14:paraId="2DCD2AC6" w14:textId="77777777" w:rsidR="00DD2041" w:rsidRPr="00DD2041" w:rsidRDefault="00DD2041" w:rsidP="00DD2041">
            <w:pPr>
              <w:jc w:val="center"/>
              <w:rPr>
                <w:rFonts w:ascii="David" w:hAnsi="David"/>
                <w:b/>
                <w:bCs/>
                <w:sz w:val="32"/>
                <w:szCs w:val="32"/>
                <w:u w:val="single"/>
                <w:rtl/>
              </w:rPr>
            </w:pPr>
            <w:bookmarkStart w:id="5" w:name="PsakDin" w:colFirst="0" w:colLast="0"/>
            <w:bookmarkEnd w:id="0"/>
            <w:r w:rsidRPr="00DD2041">
              <w:rPr>
                <w:rFonts w:ascii="David" w:hAnsi="David"/>
                <w:b/>
                <w:bCs/>
                <w:sz w:val="32"/>
                <w:szCs w:val="32"/>
                <w:u w:val="single"/>
                <w:rtl/>
              </w:rPr>
              <w:t>גזר דין</w:t>
            </w:r>
          </w:p>
          <w:p w14:paraId="32EEB0D7" w14:textId="77777777" w:rsidR="00955DD7" w:rsidRPr="00DD2041" w:rsidRDefault="00955DD7" w:rsidP="00DD2041">
            <w:pPr>
              <w:jc w:val="center"/>
              <w:rPr>
                <w:rFonts w:ascii="David" w:hAnsi="David"/>
                <w:bCs/>
                <w:sz w:val="32"/>
                <w:szCs w:val="32"/>
                <w:u w:val="single"/>
              </w:rPr>
            </w:pPr>
          </w:p>
        </w:tc>
      </w:tr>
      <w:bookmarkEnd w:id="5"/>
    </w:tbl>
    <w:p w14:paraId="319C4502" w14:textId="77777777" w:rsidR="00955DD7" w:rsidRDefault="00955DD7" w:rsidP="00955DD7">
      <w:pPr>
        <w:widowControl w:val="0"/>
        <w:spacing w:line="360" w:lineRule="auto"/>
        <w:jc w:val="both"/>
        <w:rPr>
          <w:rFonts w:ascii="David" w:hAnsi="David"/>
          <w:b/>
          <w:bCs/>
          <w:sz w:val="26"/>
          <w:szCs w:val="26"/>
          <w:rtl/>
        </w:rPr>
      </w:pPr>
    </w:p>
    <w:p w14:paraId="53102C67" w14:textId="77777777" w:rsidR="00955DD7" w:rsidRDefault="00955DD7" w:rsidP="00955DD7">
      <w:pPr>
        <w:widowControl w:val="0"/>
        <w:spacing w:line="360" w:lineRule="auto"/>
        <w:jc w:val="both"/>
        <w:rPr>
          <w:rFonts w:ascii="David" w:hAnsi="David"/>
          <w:b/>
          <w:bCs/>
          <w:sz w:val="26"/>
          <w:szCs w:val="26"/>
          <w:rtl/>
        </w:rPr>
      </w:pPr>
      <w:r>
        <w:rPr>
          <w:rFonts w:ascii="David" w:hAnsi="David"/>
          <w:b/>
          <w:bCs/>
          <w:sz w:val="26"/>
          <w:szCs w:val="26"/>
          <w:rtl/>
        </w:rPr>
        <w:t>כתב האישום, הסדר הטיעון, הכרעת הדין והשתלשלות ההליך</w:t>
      </w:r>
    </w:p>
    <w:p w14:paraId="2E843A9E" w14:textId="77777777" w:rsidR="00955DD7" w:rsidRDefault="00955DD7" w:rsidP="00955DD7">
      <w:pPr>
        <w:pStyle w:val="aa"/>
        <w:widowControl w:val="0"/>
        <w:numPr>
          <w:ilvl w:val="0"/>
          <w:numId w:val="1"/>
        </w:numPr>
        <w:spacing w:line="360" w:lineRule="auto"/>
        <w:ind w:left="360"/>
        <w:jc w:val="both"/>
        <w:rPr>
          <w:sz w:val="24"/>
          <w:rtl/>
        </w:rPr>
      </w:pPr>
      <w:r>
        <w:rPr>
          <w:rFonts w:hint="cs"/>
          <w:sz w:val="24"/>
          <w:rtl/>
        </w:rPr>
        <w:t>ב-</w:t>
      </w:r>
      <w:bookmarkStart w:id="6" w:name="ABSTRACT_START"/>
      <w:bookmarkEnd w:id="6"/>
      <w:r>
        <w:rPr>
          <w:rFonts w:hint="cs"/>
          <w:sz w:val="24"/>
          <w:rtl/>
        </w:rPr>
        <w:t>6.9.22 הוצג בפני כב' הש' (כתוארה אז) חלפון-נזריאן, הסדר טיעון, במסגרתו הוגש כתב אישום מתוקן והנאשם הורשע, על פי הודאתו, ב-</w:t>
      </w:r>
      <w:r>
        <w:rPr>
          <w:rFonts w:hint="cs"/>
          <w:b/>
          <w:bCs/>
          <w:sz w:val="24"/>
          <w:rtl/>
        </w:rPr>
        <w:t>החזקת סם שלא לצריכה עצמית</w:t>
      </w:r>
      <w:r>
        <w:rPr>
          <w:rFonts w:hint="cs"/>
          <w:sz w:val="24"/>
          <w:rtl/>
        </w:rPr>
        <w:t xml:space="preserve">, בהתאם </w:t>
      </w:r>
      <w:hyperlink r:id="rId20" w:history="1">
        <w:r w:rsidR="00B930B9" w:rsidRPr="00B930B9">
          <w:rPr>
            <w:rStyle w:val="Hyperlink"/>
            <w:rFonts w:hint="eastAsia"/>
            <w:sz w:val="24"/>
            <w:rtl/>
          </w:rPr>
          <w:t>לסעיפים</w:t>
        </w:r>
        <w:r w:rsidR="00B930B9" w:rsidRPr="00B930B9">
          <w:rPr>
            <w:rStyle w:val="Hyperlink"/>
            <w:sz w:val="24"/>
            <w:rtl/>
          </w:rPr>
          <w:t xml:space="preserve"> 7(א)</w:t>
        </w:r>
      </w:hyperlink>
      <w:r>
        <w:rPr>
          <w:rFonts w:hint="cs"/>
          <w:sz w:val="24"/>
          <w:rtl/>
        </w:rPr>
        <w:t xml:space="preserve"> ו</w:t>
      </w:r>
      <w:hyperlink r:id="rId21" w:history="1">
        <w:r w:rsidR="00B930B9" w:rsidRPr="00B930B9">
          <w:rPr>
            <w:rStyle w:val="Hyperlink"/>
            <w:sz w:val="24"/>
            <w:rtl/>
          </w:rPr>
          <w:t>-7(ג)</w:t>
        </w:r>
      </w:hyperlink>
      <w:r>
        <w:rPr>
          <w:rFonts w:hint="cs"/>
          <w:sz w:val="24"/>
          <w:rtl/>
        </w:rPr>
        <w:t xml:space="preserve"> רישא ל-</w:t>
      </w:r>
      <w:hyperlink r:id="rId22" w:history="1">
        <w:r w:rsidR="00DD2041" w:rsidRPr="00DD2041">
          <w:rPr>
            <w:rFonts w:ascii="Miriam" w:hAnsi="Miriam" w:cs="Miriam"/>
            <w:b/>
            <w:bCs/>
            <w:color w:val="0000FF"/>
            <w:szCs w:val="22"/>
            <w:u w:val="single"/>
            <w:rtl/>
          </w:rPr>
          <w:t>פקודת הסמים המסוכנים</w:t>
        </w:r>
      </w:hyperlink>
      <w:r>
        <w:rPr>
          <w:rFonts w:ascii="Miriam" w:hAnsi="Miriam" w:cs="Miriam"/>
          <w:b/>
          <w:bCs/>
          <w:szCs w:val="22"/>
          <w:rtl/>
        </w:rPr>
        <w:t xml:space="preserve"> [נוסח חדש]</w:t>
      </w:r>
      <w:r>
        <w:rPr>
          <w:rFonts w:hint="cs"/>
          <w:sz w:val="24"/>
          <w:rtl/>
        </w:rPr>
        <w:t xml:space="preserve">, התשל"ג–1973 (להלן: </w:t>
      </w:r>
      <w:r>
        <w:rPr>
          <w:rFonts w:ascii="Miriam" w:hAnsi="Miriam" w:cs="Miriam"/>
          <w:b/>
          <w:bCs/>
          <w:szCs w:val="22"/>
          <w:rtl/>
        </w:rPr>
        <w:t>פקודת הסמים</w:t>
      </w:r>
      <w:r>
        <w:rPr>
          <w:rFonts w:hint="cs"/>
          <w:sz w:val="24"/>
          <w:rtl/>
        </w:rPr>
        <w:t xml:space="preserve">). על פי עובדות כתב האישום, ב-7.4.22, בשעה 23:49 או בסמוך לכך, החזיק הנאשם בדירה שברחוב בר יוחאי 15/8 שבעיר ירושלים (להלן: </w:t>
      </w:r>
      <w:r>
        <w:rPr>
          <w:rFonts w:hint="cs"/>
          <w:b/>
          <w:bCs/>
          <w:sz w:val="24"/>
          <w:rtl/>
        </w:rPr>
        <w:t>הדירה</w:t>
      </w:r>
      <w:r>
        <w:rPr>
          <w:rFonts w:hint="cs"/>
          <w:sz w:val="24"/>
          <w:rtl/>
        </w:rPr>
        <w:t xml:space="preserve">), 1.3 ק"ג קנבוס (מחולק ליחידות בתוך ארגז בסלון הדירה ובתוך ארגז ליד הכיור בדירה) ו-5 יחידות </w:t>
      </w:r>
      <w:r>
        <w:rPr>
          <w:szCs w:val="22"/>
        </w:rPr>
        <w:t>DELTA</w:t>
      </w:r>
      <w:r>
        <w:rPr>
          <w:sz w:val="24"/>
        </w:rPr>
        <w:t>9-</w:t>
      </w:r>
      <w:r>
        <w:rPr>
          <w:szCs w:val="22"/>
        </w:rPr>
        <w:t>TETRAHYDROCANNABINOL</w:t>
      </w:r>
      <w:r>
        <w:rPr>
          <w:rFonts w:hint="cs"/>
          <w:sz w:val="24"/>
          <w:rtl/>
        </w:rPr>
        <w:t xml:space="preserve"> 35 מ"ל (להלן: הידרוקאנאבינול) במטבח הדירה, שלא לצריכתו העצמאית. </w:t>
      </w:r>
    </w:p>
    <w:p w14:paraId="21C99904" w14:textId="77777777" w:rsidR="00955DD7" w:rsidRDefault="00955DD7" w:rsidP="00955DD7">
      <w:pPr>
        <w:pStyle w:val="aa"/>
        <w:widowControl w:val="0"/>
        <w:spacing w:line="360" w:lineRule="auto"/>
        <w:ind w:left="360"/>
        <w:jc w:val="both"/>
        <w:rPr>
          <w:sz w:val="24"/>
          <w:rtl/>
        </w:rPr>
      </w:pPr>
      <w:bookmarkStart w:id="7" w:name="ABSTRACT_END"/>
      <w:bookmarkEnd w:id="7"/>
    </w:p>
    <w:p w14:paraId="4DFFEB38" w14:textId="77777777" w:rsidR="00955DD7" w:rsidRDefault="00955DD7" w:rsidP="00955DD7">
      <w:pPr>
        <w:pStyle w:val="aa"/>
        <w:widowControl w:val="0"/>
        <w:numPr>
          <w:ilvl w:val="0"/>
          <w:numId w:val="1"/>
        </w:numPr>
        <w:spacing w:line="360" w:lineRule="auto"/>
        <w:ind w:left="360"/>
        <w:jc w:val="both"/>
        <w:rPr>
          <w:sz w:val="24"/>
          <w:rtl/>
        </w:rPr>
      </w:pPr>
      <w:r>
        <w:rPr>
          <w:rFonts w:hint="cs"/>
          <w:sz w:val="24"/>
          <w:rtl/>
        </w:rPr>
        <w:t xml:space="preserve">ההסדר לא כלל הסכמה עונשית, והנאשם הופנה לשירות המבחן לעריכת תסקיר בעניינו, ב"כ הנאשם ביקש כי תיבחן שאלת ביטול ההרשעה והדיון נדחה לשמיעת טיעונים לעונש בפני כב' הש' בונדה ב-5.2.23. הדיונים בתיק נדחו מעת לעת מסיבות שונות, לרבות בהמלצת שירות המבחן, עד שביום 3.7.23 קבעה כב' הש' בונדה כי הטיעונים לעונש ישמעו ב-7.1.24. מספר חודשים לאחר מכן התיק הועבר לדיון לפני. משהתקבל תסקיר סופי מועד הטיעונים לעונש </w:t>
      </w:r>
      <w:r>
        <w:rPr>
          <w:rFonts w:hint="cs"/>
          <w:sz w:val="24"/>
          <w:rtl/>
        </w:rPr>
        <w:lastRenderedPageBreak/>
        <w:t xml:space="preserve">הוקדם ליום 14.12.23. בשל שירות מילואים של ב"כ הנאשם הדיון נדחה מספר פעמים עד שלבסוף הטיעונים לעונש נשמעו ב-20.3.24. </w:t>
      </w:r>
      <w:r>
        <w:rPr>
          <w:rFonts w:hint="cs"/>
          <w:rtl/>
        </w:rPr>
        <w:t>במסגרת הטיעונים לעונש עתרה ההגנה לביטול ההרשעה, הגם ששירות המבחן לא בא בהמלצה, נוכח העדר נזק קונקרטי. אמנם "</w:t>
      </w:r>
      <w:r>
        <w:rPr>
          <w:rFonts w:hint="cs"/>
          <w:b/>
          <w:bCs/>
          <w:rtl/>
        </w:rPr>
        <w:t>אי הרשעה אינה עונש</w:t>
      </w:r>
      <w:r>
        <w:rPr>
          <w:rFonts w:hint="cs"/>
          <w:rtl/>
        </w:rPr>
        <w:t>" ו-"</w:t>
      </w:r>
      <w:r>
        <w:rPr>
          <w:rFonts w:hint="cs"/>
          <w:b/>
          <w:bCs/>
          <w:rtl/>
        </w:rPr>
        <w:t>שאלת אי הרשעה היא שאלה עצמאית ונפרדת אשר נבחנת במחוזותינו בהתאם לתנאי הלכת כתב</w:t>
      </w:r>
      <w:r>
        <w:rPr>
          <w:rFonts w:hint="cs"/>
          <w:rtl/>
        </w:rPr>
        <w:t xml:space="preserve">" [ראו </w:t>
      </w:r>
      <w:hyperlink r:id="rId23" w:history="1">
        <w:r w:rsidR="00DD2041" w:rsidRPr="00DD2041">
          <w:rPr>
            <w:color w:val="0000FF"/>
            <w:u w:val="single"/>
            <w:rtl/>
          </w:rPr>
          <w:t>רע"פ 3195/19</w:t>
        </w:r>
      </w:hyperlink>
      <w:r>
        <w:rPr>
          <w:rFonts w:hint="cs"/>
          <w:rtl/>
        </w:rPr>
        <w:t xml:space="preserve"> </w:t>
      </w:r>
      <w:r>
        <w:rPr>
          <w:rFonts w:ascii="Miriam" w:hAnsi="Miriam" w:cs="Miriam"/>
          <w:b/>
          <w:bCs/>
          <w:szCs w:val="22"/>
          <w:rtl/>
        </w:rPr>
        <w:t xml:space="preserve">אגוזי נ' מדינת ישראל </w:t>
      </w:r>
      <w:r>
        <w:rPr>
          <w:rFonts w:hint="cs"/>
          <w:rtl/>
        </w:rPr>
        <w:t>(4.7.19). ההדגשות במקור - זד"ל] – מצאתי לנכון לדון בנושא זה לאחר קביעת המתחם וההתייחסות לנסיבותיו האישיות של הנאשם</w:t>
      </w:r>
      <w:r>
        <w:rPr>
          <w:rFonts w:hint="cs"/>
          <w:sz w:val="24"/>
          <w:rtl/>
        </w:rPr>
        <w:t>.</w:t>
      </w:r>
    </w:p>
    <w:p w14:paraId="6DEFA918" w14:textId="77777777" w:rsidR="00955DD7" w:rsidRDefault="00955DD7" w:rsidP="00955DD7">
      <w:pPr>
        <w:widowControl w:val="0"/>
        <w:spacing w:line="360" w:lineRule="auto"/>
        <w:jc w:val="both"/>
        <w:rPr>
          <w:rFonts w:ascii="David" w:hAnsi="David"/>
          <w:b/>
          <w:bCs/>
          <w:sz w:val="26"/>
          <w:szCs w:val="26"/>
        </w:rPr>
      </w:pPr>
    </w:p>
    <w:p w14:paraId="1E36F130" w14:textId="77777777" w:rsidR="00955DD7" w:rsidRDefault="00955DD7" w:rsidP="00955DD7">
      <w:pPr>
        <w:widowControl w:val="0"/>
        <w:spacing w:line="360" w:lineRule="auto"/>
        <w:jc w:val="both"/>
        <w:rPr>
          <w:rFonts w:ascii="David" w:hAnsi="David"/>
          <w:b/>
          <w:bCs/>
          <w:sz w:val="26"/>
          <w:szCs w:val="26"/>
          <w:rtl/>
        </w:rPr>
      </w:pPr>
      <w:r>
        <w:rPr>
          <w:rFonts w:ascii="David" w:hAnsi="David"/>
          <w:b/>
          <w:bCs/>
          <w:sz w:val="26"/>
          <w:szCs w:val="26"/>
          <w:rtl/>
        </w:rPr>
        <w:t>קביעת מתחם העונש ההולם</w:t>
      </w:r>
    </w:p>
    <w:p w14:paraId="3CCF6E78" w14:textId="77777777" w:rsidR="00955DD7" w:rsidRDefault="00955DD7" w:rsidP="00955DD7">
      <w:pPr>
        <w:pStyle w:val="aa"/>
        <w:widowControl w:val="0"/>
        <w:numPr>
          <w:ilvl w:val="0"/>
          <w:numId w:val="1"/>
        </w:numPr>
        <w:spacing w:line="360" w:lineRule="auto"/>
        <w:ind w:left="357" w:hanging="357"/>
        <w:jc w:val="both"/>
        <w:rPr>
          <w:rFonts w:ascii="Times New Roman" w:hAnsi="Times New Roman"/>
          <w:sz w:val="24"/>
          <w:rtl/>
        </w:rPr>
      </w:pPr>
      <w:r>
        <w:rPr>
          <w:rFonts w:hint="cs"/>
          <w:sz w:val="24"/>
          <w:rtl/>
        </w:rPr>
        <w:t xml:space="preserve">אמות המידה ואבני הבוחן בהן התחשבתי בקביעת מתחם העונש ההולם, בהתאם </w:t>
      </w:r>
      <w:hyperlink r:id="rId24" w:history="1">
        <w:r w:rsidR="00B930B9" w:rsidRPr="00B930B9">
          <w:rPr>
            <w:rStyle w:val="Hyperlink"/>
            <w:rFonts w:hint="eastAsia"/>
            <w:sz w:val="24"/>
            <w:rtl/>
          </w:rPr>
          <w:t>לסעיף</w:t>
        </w:r>
        <w:r w:rsidR="00B930B9" w:rsidRPr="00B930B9">
          <w:rPr>
            <w:rStyle w:val="Hyperlink"/>
            <w:sz w:val="24"/>
            <w:rtl/>
          </w:rPr>
          <w:t xml:space="preserve"> 40ג(א)</w:t>
        </w:r>
      </w:hyperlink>
      <w:r>
        <w:rPr>
          <w:rFonts w:hint="cs"/>
          <w:sz w:val="24"/>
          <w:rtl/>
        </w:rPr>
        <w:t xml:space="preserve"> ל-</w:t>
      </w:r>
      <w:hyperlink r:id="rId25" w:history="1">
        <w:r w:rsidR="00DD2041" w:rsidRPr="00DD2041">
          <w:rPr>
            <w:rFonts w:ascii="Miriam" w:hAnsi="Miriam" w:cs="Miriam"/>
            <w:b/>
            <w:bCs/>
            <w:color w:val="0000FF"/>
            <w:szCs w:val="22"/>
            <w:u w:val="single"/>
            <w:rtl/>
          </w:rPr>
          <w:t>חוק העונשין</w:t>
        </w:r>
      </w:hyperlink>
      <w:r>
        <w:rPr>
          <w:rFonts w:hint="cs"/>
          <w:sz w:val="24"/>
          <w:rtl/>
        </w:rPr>
        <w:t>, הן כמפורט להלן:</w:t>
      </w:r>
    </w:p>
    <w:p w14:paraId="7CCDB5A0" w14:textId="77777777" w:rsidR="00955DD7" w:rsidRDefault="00955DD7" w:rsidP="00955DD7">
      <w:pPr>
        <w:widowControl w:val="0"/>
        <w:jc w:val="both"/>
        <w:rPr>
          <w:rFonts w:ascii="David" w:hAnsi="David"/>
        </w:rPr>
      </w:pPr>
    </w:p>
    <w:p w14:paraId="7ABDB8A0" w14:textId="77777777" w:rsidR="00955DD7" w:rsidRDefault="00955DD7" w:rsidP="00955DD7">
      <w:pPr>
        <w:widowControl w:val="0"/>
        <w:numPr>
          <w:ilvl w:val="1"/>
          <w:numId w:val="1"/>
        </w:numPr>
        <w:snapToGrid w:val="0"/>
        <w:spacing w:line="360" w:lineRule="auto"/>
        <w:ind w:left="850" w:hanging="425"/>
        <w:jc w:val="both"/>
        <w:rPr>
          <w:rFonts w:ascii="David" w:hAnsi="David"/>
          <w:rtl/>
          <w:lang w:eastAsia="he-IL"/>
        </w:rPr>
      </w:pPr>
      <w:r>
        <w:rPr>
          <w:rFonts w:ascii="David" w:hAnsi="David"/>
          <w:b/>
          <w:bCs/>
          <w:rtl/>
        </w:rPr>
        <w:t xml:space="preserve">הערכים החברתיים שנפגעו מביצוע העבירה </w:t>
      </w:r>
      <w:r>
        <w:rPr>
          <w:rFonts w:ascii="David" w:hAnsi="David"/>
          <w:rtl/>
        </w:rPr>
        <w:t xml:space="preserve">הם, כנטען על ידי ב"כ המאשימה, </w:t>
      </w:r>
      <w:r>
        <w:rPr>
          <w:rFonts w:ascii="David" w:hAnsi="David"/>
          <w:rtl/>
          <w:lang w:eastAsia="he-IL"/>
        </w:rPr>
        <w:t>הגנה על שלום הציבור ובריאותו מפני הנזקים הישירים והעקיפים שנגרמים עקב השימוש בסמים</w:t>
      </w:r>
      <w:r>
        <w:rPr>
          <w:rFonts w:ascii="David" w:hAnsi="David"/>
          <w:rtl/>
        </w:rPr>
        <w:t>, כמו גם השמירה על הסדר הציבורי ובטחון הציבור</w:t>
      </w:r>
      <w:r>
        <w:rPr>
          <w:rFonts w:ascii="David" w:hAnsi="David"/>
          <w:rtl/>
          <w:lang w:eastAsia="he-IL"/>
        </w:rPr>
        <w:t xml:space="preserve">. </w:t>
      </w:r>
      <w:r>
        <w:rPr>
          <w:rFonts w:ascii="David" w:hAnsi="David"/>
          <w:rtl/>
        </w:rPr>
        <w:t xml:space="preserve">נפסק לא אחת, כי עבירות הסמים מחוללות פשיעה, אגב הפצת הסם וצריכתו. </w:t>
      </w:r>
      <w:r>
        <w:rPr>
          <w:rFonts w:ascii="David" w:hAnsi="David"/>
          <w:rtl/>
          <w:lang w:eastAsia="he-IL"/>
        </w:rPr>
        <w:t>מעבר לנזקים הישירים הנגרמים למשתמשי הסם, משפחותיהם וסביבתם הקרובה – נגע הסמים מלווה ואף יוצר עבירות נוספות, ובכלל זה עבירות רכוש,</w:t>
      </w:r>
      <w:r>
        <w:rPr>
          <w:rFonts w:ascii="David" w:hAnsi="David"/>
          <w:b/>
          <w:bCs/>
          <w:rtl/>
          <w:lang w:eastAsia="he-IL"/>
        </w:rPr>
        <w:t xml:space="preserve"> </w:t>
      </w:r>
      <w:r>
        <w:rPr>
          <w:rFonts w:ascii="David" w:hAnsi="David"/>
          <w:rtl/>
          <w:lang w:eastAsia="he-IL"/>
        </w:rPr>
        <w:t xml:space="preserve">בשל הצורך להשיג את מנת הסם, ולעיתים אף אלימות, שמבוצעות כתוצאה מהשימוש בסמים, או במהלך ביצוע עבירות הרכוש. </w:t>
      </w:r>
    </w:p>
    <w:p w14:paraId="5B60DBEB" w14:textId="77777777" w:rsidR="00955DD7" w:rsidRDefault="00955DD7" w:rsidP="00955DD7">
      <w:pPr>
        <w:widowControl w:val="0"/>
        <w:snapToGrid w:val="0"/>
        <w:spacing w:line="360" w:lineRule="auto"/>
        <w:ind w:left="720"/>
        <w:jc w:val="both"/>
        <w:rPr>
          <w:rFonts w:ascii="David" w:hAnsi="David"/>
          <w:lang w:eastAsia="he-IL"/>
        </w:rPr>
      </w:pPr>
    </w:p>
    <w:p w14:paraId="2DE1A1B6" w14:textId="77777777" w:rsidR="00955DD7" w:rsidRDefault="00955DD7" w:rsidP="00955DD7">
      <w:pPr>
        <w:widowControl w:val="0"/>
        <w:numPr>
          <w:ilvl w:val="1"/>
          <w:numId w:val="1"/>
        </w:numPr>
        <w:snapToGrid w:val="0"/>
        <w:spacing w:line="360" w:lineRule="auto"/>
        <w:ind w:left="850" w:hanging="425"/>
        <w:jc w:val="both"/>
        <w:rPr>
          <w:rFonts w:ascii="David" w:hAnsi="David"/>
          <w:lang w:eastAsia="he-IL"/>
        </w:rPr>
      </w:pPr>
      <w:r>
        <w:rPr>
          <w:rFonts w:ascii="David" w:hAnsi="David"/>
          <w:rtl/>
          <w:lang w:eastAsia="he-IL"/>
        </w:rPr>
        <w:t>אין להקל ראש ב-</w:t>
      </w:r>
      <w:r>
        <w:rPr>
          <w:rFonts w:ascii="David" w:hAnsi="David"/>
          <w:b/>
          <w:bCs/>
          <w:rtl/>
        </w:rPr>
        <w:t>מידת הפגיעה בערכים החברתיים</w:t>
      </w:r>
      <w:r>
        <w:rPr>
          <w:rFonts w:ascii="David" w:hAnsi="David"/>
          <w:rtl/>
        </w:rPr>
        <w:t xml:space="preserve">. </w:t>
      </w:r>
      <w:r>
        <w:rPr>
          <w:rFonts w:ascii="David" w:hAnsi="David"/>
          <w:sz w:val="20"/>
          <w:rtl/>
          <w:lang w:eastAsia="he-IL"/>
        </w:rPr>
        <w:t>בית המשפט העליון עמד לא אחת על פגיעתן הרבה של עבירות הסמים בערכים המוגנים ועל תפקיד בית המשפט במאבק בנגע הסמים, כמו הצורך להכות בכל אחת ואחת מחוליות הפצת הסם, לרבות בהחזקתו שלא לצריכה עצמית. כך נקבע בסעיף 5 לפסק דינו של כב' השופט עמית ב</w:t>
      </w:r>
      <w:hyperlink r:id="rId26" w:history="1">
        <w:r w:rsidR="00DD2041" w:rsidRPr="00DD2041">
          <w:rPr>
            <w:rFonts w:ascii="David" w:hAnsi="David"/>
            <w:color w:val="0000FF"/>
            <w:sz w:val="20"/>
            <w:u w:val="single"/>
            <w:rtl/>
            <w:lang w:eastAsia="he-IL"/>
          </w:rPr>
          <w:t>ע"פ 3172/13</w:t>
        </w:r>
      </w:hyperlink>
      <w:r>
        <w:rPr>
          <w:rFonts w:ascii="David" w:hAnsi="David"/>
          <w:sz w:val="20"/>
          <w:rtl/>
          <w:lang w:eastAsia="he-IL"/>
        </w:rPr>
        <w:t xml:space="preserve"> </w:t>
      </w:r>
      <w:r>
        <w:rPr>
          <w:rFonts w:ascii="David" w:hAnsi="David" w:cs="Miriam"/>
          <w:b/>
          <w:bCs/>
          <w:sz w:val="18"/>
          <w:szCs w:val="22"/>
          <w:rtl/>
          <w:lang w:eastAsia="he-IL"/>
        </w:rPr>
        <w:t>סואעד נ' מדינת ישראל</w:t>
      </w:r>
      <w:r>
        <w:rPr>
          <w:rFonts w:ascii="David" w:hAnsi="David"/>
          <w:sz w:val="18"/>
          <w:szCs w:val="22"/>
          <w:rtl/>
          <w:lang w:eastAsia="he-IL"/>
        </w:rPr>
        <w:t xml:space="preserve"> </w:t>
      </w:r>
      <w:r>
        <w:rPr>
          <w:rFonts w:ascii="David" w:hAnsi="David"/>
          <w:sz w:val="20"/>
          <w:rtl/>
          <w:lang w:eastAsia="he-IL"/>
        </w:rPr>
        <w:t xml:space="preserve">(7.1.14) (להלן: </w:t>
      </w:r>
      <w:r>
        <w:rPr>
          <w:rFonts w:ascii="David" w:hAnsi="David" w:cs="Miriam"/>
          <w:b/>
          <w:bCs/>
          <w:sz w:val="18"/>
          <w:szCs w:val="22"/>
          <w:rtl/>
          <w:lang w:eastAsia="he-IL"/>
        </w:rPr>
        <w:t>פס"ד סואעד</w:t>
      </w:r>
      <w:r>
        <w:rPr>
          <w:rFonts w:ascii="David" w:hAnsi="David"/>
          <w:sz w:val="20"/>
          <w:rtl/>
          <w:lang w:eastAsia="he-IL"/>
        </w:rPr>
        <w:t xml:space="preserve">) – </w:t>
      </w:r>
    </w:p>
    <w:p w14:paraId="440586B4" w14:textId="77777777" w:rsidR="00955DD7" w:rsidRDefault="00955DD7" w:rsidP="00955DD7">
      <w:pPr>
        <w:pStyle w:val="aa"/>
        <w:rPr>
          <w:sz w:val="16"/>
          <w:szCs w:val="20"/>
        </w:rPr>
      </w:pPr>
    </w:p>
    <w:p w14:paraId="230D7B16" w14:textId="77777777" w:rsidR="00955DD7" w:rsidRDefault="00955DD7" w:rsidP="00955DD7">
      <w:pPr>
        <w:snapToGrid w:val="0"/>
        <w:ind w:left="1440" w:right="993"/>
        <w:jc w:val="both"/>
        <w:rPr>
          <w:rFonts w:ascii="Arial" w:hAnsi="Arial"/>
          <w:sz w:val="20"/>
          <w:lang w:eastAsia="he-IL"/>
        </w:rPr>
      </w:pPr>
      <w:r>
        <w:rPr>
          <w:rFonts w:ascii="Arial" w:hAnsi="Arial"/>
          <w:b/>
          <w:bCs/>
          <w:sz w:val="20"/>
          <w:rtl/>
          <w:lang w:eastAsia="he-IL"/>
        </w:rPr>
        <w:t>"על</w:t>
      </w:r>
      <w:r>
        <w:rPr>
          <w:rFonts w:ascii="David" w:hAnsi="David"/>
          <w:b/>
          <w:bCs/>
          <w:sz w:val="20"/>
          <w:lang w:eastAsia="he-IL"/>
        </w:rPr>
        <w:t xml:space="preserve"> </w:t>
      </w:r>
      <w:r>
        <w:rPr>
          <w:rFonts w:ascii="Arial" w:hAnsi="Arial"/>
          <w:b/>
          <w:bCs/>
          <w:sz w:val="20"/>
          <w:rtl/>
          <w:lang w:eastAsia="he-IL"/>
        </w:rPr>
        <w:t>פגיעתן</w:t>
      </w:r>
      <w:r>
        <w:rPr>
          <w:rFonts w:ascii="David" w:hAnsi="David"/>
          <w:b/>
          <w:bCs/>
          <w:sz w:val="20"/>
          <w:lang w:eastAsia="he-IL"/>
        </w:rPr>
        <w:t xml:space="preserve"> </w:t>
      </w:r>
      <w:r>
        <w:rPr>
          <w:rFonts w:ascii="Arial" w:hAnsi="Arial"/>
          <w:b/>
          <w:bCs/>
          <w:sz w:val="20"/>
          <w:rtl/>
          <w:lang w:eastAsia="he-IL"/>
        </w:rPr>
        <w:t>הרעה</w:t>
      </w:r>
      <w:r>
        <w:rPr>
          <w:rFonts w:ascii="David" w:hAnsi="David"/>
          <w:b/>
          <w:bCs/>
          <w:sz w:val="20"/>
          <w:lang w:eastAsia="he-IL"/>
        </w:rPr>
        <w:t xml:space="preserve"> </w:t>
      </w:r>
      <w:r>
        <w:rPr>
          <w:rFonts w:ascii="Arial" w:hAnsi="Arial"/>
          <w:b/>
          <w:bCs/>
          <w:sz w:val="20"/>
          <w:rtl/>
          <w:lang w:eastAsia="he-IL"/>
        </w:rPr>
        <w:t>של</w:t>
      </w:r>
      <w:r>
        <w:rPr>
          <w:rFonts w:ascii="David" w:hAnsi="David"/>
          <w:b/>
          <w:bCs/>
          <w:sz w:val="20"/>
          <w:lang w:eastAsia="he-IL"/>
        </w:rPr>
        <w:t xml:space="preserve"> </w:t>
      </w:r>
      <w:r>
        <w:rPr>
          <w:rFonts w:ascii="Arial" w:hAnsi="Arial"/>
          <w:b/>
          <w:bCs/>
          <w:sz w:val="20"/>
          <w:rtl/>
          <w:lang w:eastAsia="he-IL"/>
        </w:rPr>
        <w:t>עבירות</w:t>
      </w:r>
      <w:r>
        <w:rPr>
          <w:rFonts w:ascii="David" w:hAnsi="David"/>
          <w:b/>
          <w:bCs/>
          <w:sz w:val="20"/>
          <w:lang w:eastAsia="he-IL"/>
        </w:rPr>
        <w:t xml:space="preserve"> </w:t>
      </w:r>
      <w:r>
        <w:rPr>
          <w:rFonts w:ascii="Arial" w:hAnsi="Arial"/>
          <w:b/>
          <w:bCs/>
          <w:sz w:val="20"/>
          <w:rtl/>
          <w:lang w:eastAsia="he-IL"/>
        </w:rPr>
        <w:t>הסמים</w:t>
      </w:r>
      <w:r>
        <w:rPr>
          <w:rFonts w:ascii="David" w:hAnsi="David"/>
          <w:b/>
          <w:bCs/>
          <w:sz w:val="20"/>
          <w:lang w:eastAsia="he-IL"/>
        </w:rPr>
        <w:t xml:space="preserve"> </w:t>
      </w:r>
      <w:r>
        <w:rPr>
          <w:rFonts w:ascii="Arial" w:hAnsi="Arial"/>
          <w:b/>
          <w:bCs/>
          <w:sz w:val="20"/>
          <w:rtl/>
          <w:lang w:eastAsia="he-IL"/>
        </w:rPr>
        <w:t>ועל</w:t>
      </w:r>
      <w:r>
        <w:rPr>
          <w:rFonts w:ascii="David" w:hAnsi="David"/>
          <w:b/>
          <w:bCs/>
          <w:sz w:val="20"/>
          <w:lang w:eastAsia="he-IL"/>
        </w:rPr>
        <w:t xml:space="preserve"> </w:t>
      </w:r>
      <w:r>
        <w:rPr>
          <w:rFonts w:ascii="Arial" w:hAnsi="Arial"/>
          <w:b/>
          <w:bCs/>
          <w:sz w:val="20"/>
          <w:rtl/>
          <w:lang w:eastAsia="he-IL"/>
        </w:rPr>
        <w:t>תפקידו</w:t>
      </w:r>
      <w:r>
        <w:rPr>
          <w:rFonts w:ascii="David" w:hAnsi="David"/>
          <w:b/>
          <w:bCs/>
          <w:sz w:val="20"/>
          <w:lang w:eastAsia="he-IL"/>
        </w:rPr>
        <w:t xml:space="preserve"> </w:t>
      </w:r>
      <w:r>
        <w:rPr>
          <w:rFonts w:ascii="Arial" w:hAnsi="Arial"/>
          <w:b/>
          <w:bCs/>
          <w:sz w:val="20"/>
          <w:rtl/>
          <w:lang w:eastAsia="he-IL"/>
        </w:rPr>
        <w:t>של</w:t>
      </w:r>
      <w:r>
        <w:rPr>
          <w:rFonts w:ascii="David" w:hAnsi="David"/>
          <w:b/>
          <w:bCs/>
          <w:sz w:val="20"/>
          <w:lang w:eastAsia="he-IL"/>
        </w:rPr>
        <w:t xml:space="preserve"> </w:t>
      </w:r>
      <w:r>
        <w:rPr>
          <w:rFonts w:ascii="Arial" w:hAnsi="Arial"/>
          <w:b/>
          <w:bCs/>
          <w:sz w:val="20"/>
          <w:rtl/>
          <w:lang w:eastAsia="he-IL"/>
        </w:rPr>
        <w:t>בית</w:t>
      </w:r>
      <w:r>
        <w:rPr>
          <w:rFonts w:ascii="David" w:hAnsi="David"/>
          <w:b/>
          <w:bCs/>
          <w:sz w:val="20"/>
          <w:lang w:eastAsia="he-IL"/>
        </w:rPr>
        <w:t xml:space="preserve"> </w:t>
      </w:r>
      <w:r>
        <w:rPr>
          <w:rFonts w:ascii="Arial" w:hAnsi="Arial"/>
          <w:b/>
          <w:bCs/>
          <w:sz w:val="20"/>
          <w:rtl/>
          <w:lang w:eastAsia="he-IL"/>
        </w:rPr>
        <w:t>המשפט</w:t>
      </w:r>
      <w:r>
        <w:rPr>
          <w:rFonts w:ascii="David" w:hAnsi="David"/>
          <w:b/>
          <w:bCs/>
          <w:sz w:val="20"/>
          <w:lang w:eastAsia="he-IL"/>
        </w:rPr>
        <w:t xml:space="preserve"> </w:t>
      </w:r>
      <w:r>
        <w:rPr>
          <w:rFonts w:ascii="Arial" w:hAnsi="Arial"/>
          <w:b/>
          <w:bCs/>
          <w:sz w:val="20"/>
          <w:rtl/>
          <w:lang w:eastAsia="he-IL"/>
        </w:rPr>
        <w:t>במאבק</w:t>
      </w:r>
      <w:r>
        <w:rPr>
          <w:rFonts w:ascii="David" w:hAnsi="David"/>
          <w:b/>
          <w:bCs/>
          <w:sz w:val="20"/>
          <w:lang w:eastAsia="he-IL"/>
        </w:rPr>
        <w:t xml:space="preserve"> </w:t>
      </w:r>
      <w:r>
        <w:rPr>
          <w:rFonts w:ascii="Arial" w:hAnsi="Arial"/>
          <w:b/>
          <w:bCs/>
          <w:sz w:val="20"/>
          <w:rtl/>
          <w:lang w:eastAsia="he-IL"/>
        </w:rPr>
        <w:t>בנגע</w:t>
      </w:r>
      <w:r>
        <w:rPr>
          <w:rFonts w:ascii="David" w:hAnsi="David"/>
          <w:b/>
          <w:bCs/>
          <w:sz w:val="20"/>
          <w:lang w:eastAsia="he-IL"/>
        </w:rPr>
        <w:t xml:space="preserve"> </w:t>
      </w:r>
      <w:r>
        <w:rPr>
          <w:rFonts w:ascii="Arial" w:hAnsi="Arial"/>
          <w:b/>
          <w:bCs/>
          <w:sz w:val="20"/>
          <w:rtl/>
          <w:lang w:eastAsia="he-IL"/>
        </w:rPr>
        <w:t>הסמים</w:t>
      </w:r>
      <w:r>
        <w:rPr>
          <w:rFonts w:ascii="David" w:hAnsi="David"/>
          <w:b/>
          <w:bCs/>
          <w:sz w:val="20"/>
          <w:lang w:eastAsia="he-IL"/>
        </w:rPr>
        <w:t xml:space="preserve"> </w:t>
      </w:r>
      <w:r>
        <w:rPr>
          <w:rFonts w:ascii="Arial" w:hAnsi="Arial"/>
          <w:b/>
          <w:bCs/>
          <w:sz w:val="20"/>
          <w:rtl/>
          <w:lang w:eastAsia="he-IL"/>
        </w:rPr>
        <w:t>לצד</w:t>
      </w:r>
      <w:r>
        <w:rPr>
          <w:rFonts w:ascii="David" w:hAnsi="David"/>
          <w:b/>
          <w:bCs/>
          <w:sz w:val="20"/>
          <w:lang w:eastAsia="he-IL"/>
        </w:rPr>
        <w:t xml:space="preserve"> </w:t>
      </w:r>
      <w:r>
        <w:rPr>
          <w:rFonts w:ascii="Arial" w:hAnsi="Arial"/>
          <w:b/>
          <w:bCs/>
          <w:sz w:val="20"/>
          <w:rtl/>
          <w:lang w:eastAsia="he-IL"/>
        </w:rPr>
        <w:t>גורמים</w:t>
      </w:r>
      <w:r>
        <w:rPr>
          <w:rFonts w:ascii="David" w:hAnsi="David"/>
          <w:b/>
          <w:bCs/>
          <w:sz w:val="20"/>
          <w:lang w:eastAsia="he-IL"/>
        </w:rPr>
        <w:t xml:space="preserve"> </w:t>
      </w:r>
      <w:r>
        <w:rPr>
          <w:rFonts w:ascii="Arial" w:hAnsi="Arial"/>
          <w:b/>
          <w:bCs/>
          <w:sz w:val="20"/>
          <w:rtl/>
          <w:lang w:eastAsia="he-IL"/>
        </w:rPr>
        <w:t>וגופים</w:t>
      </w:r>
      <w:r>
        <w:rPr>
          <w:rFonts w:ascii="David" w:hAnsi="David"/>
          <w:b/>
          <w:bCs/>
          <w:sz w:val="20"/>
          <w:lang w:eastAsia="he-IL"/>
        </w:rPr>
        <w:t xml:space="preserve"> </w:t>
      </w:r>
      <w:r>
        <w:rPr>
          <w:rFonts w:ascii="Arial" w:hAnsi="Arial"/>
          <w:b/>
          <w:bCs/>
          <w:sz w:val="20"/>
          <w:rtl/>
          <w:lang w:eastAsia="he-IL"/>
        </w:rPr>
        <w:t>נוספים, עמד</w:t>
      </w:r>
      <w:r>
        <w:rPr>
          <w:rFonts w:ascii="David" w:hAnsi="David"/>
          <w:b/>
          <w:bCs/>
          <w:sz w:val="20"/>
          <w:lang w:eastAsia="he-IL"/>
        </w:rPr>
        <w:t xml:space="preserve"> </w:t>
      </w:r>
      <w:r>
        <w:rPr>
          <w:rFonts w:ascii="Arial" w:hAnsi="Arial"/>
          <w:b/>
          <w:bCs/>
          <w:sz w:val="20"/>
          <w:rtl/>
          <w:lang w:eastAsia="he-IL"/>
        </w:rPr>
        <w:t>בית</w:t>
      </w:r>
      <w:r>
        <w:rPr>
          <w:rFonts w:ascii="David" w:hAnsi="David"/>
          <w:b/>
          <w:bCs/>
          <w:sz w:val="20"/>
          <w:lang w:eastAsia="he-IL"/>
        </w:rPr>
        <w:t xml:space="preserve"> </w:t>
      </w:r>
      <w:r>
        <w:rPr>
          <w:rFonts w:ascii="Arial" w:hAnsi="Arial"/>
          <w:b/>
          <w:bCs/>
          <w:sz w:val="20"/>
          <w:rtl/>
          <w:lang w:eastAsia="he-IL"/>
        </w:rPr>
        <w:t>משפט</w:t>
      </w:r>
      <w:r>
        <w:rPr>
          <w:rFonts w:ascii="David" w:hAnsi="David"/>
          <w:b/>
          <w:bCs/>
          <w:sz w:val="20"/>
          <w:lang w:eastAsia="he-IL"/>
        </w:rPr>
        <w:t xml:space="preserve"> </w:t>
      </w:r>
      <w:r>
        <w:rPr>
          <w:rFonts w:ascii="Arial" w:hAnsi="Arial"/>
          <w:b/>
          <w:bCs/>
          <w:sz w:val="20"/>
          <w:rtl/>
          <w:lang w:eastAsia="he-IL"/>
        </w:rPr>
        <w:t>זה</w:t>
      </w:r>
      <w:r>
        <w:rPr>
          <w:rFonts w:ascii="David" w:hAnsi="David"/>
          <w:b/>
          <w:bCs/>
          <w:sz w:val="20"/>
          <w:lang w:eastAsia="he-IL"/>
        </w:rPr>
        <w:t xml:space="preserve"> </w:t>
      </w:r>
      <w:r>
        <w:rPr>
          <w:rFonts w:ascii="Arial" w:hAnsi="Arial"/>
          <w:b/>
          <w:bCs/>
          <w:sz w:val="20"/>
          <w:rtl/>
          <w:lang w:eastAsia="he-IL"/>
        </w:rPr>
        <w:t>פעמים</w:t>
      </w:r>
      <w:r>
        <w:rPr>
          <w:rFonts w:ascii="David" w:hAnsi="David"/>
          <w:b/>
          <w:bCs/>
          <w:sz w:val="20"/>
          <w:lang w:eastAsia="he-IL"/>
        </w:rPr>
        <w:t xml:space="preserve"> </w:t>
      </w:r>
      <w:r>
        <w:rPr>
          <w:rFonts w:ascii="Arial" w:hAnsi="Arial"/>
          <w:b/>
          <w:bCs/>
          <w:sz w:val="20"/>
          <w:rtl/>
          <w:lang w:eastAsia="he-IL"/>
        </w:rPr>
        <w:t>רבות</w:t>
      </w:r>
      <w:r>
        <w:rPr>
          <w:rFonts w:ascii="Arial" w:hAnsi="Arial"/>
          <w:sz w:val="20"/>
          <w:rtl/>
          <w:lang w:eastAsia="he-IL"/>
        </w:rPr>
        <w:t xml:space="preserve">... </w:t>
      </w:r>
      <w:r>
        <w:rPr>
          <w:rFonts w:ascii="Arial" w:hAnsi="Arial"/>
          <w:b/>
          <w:bCs/>
          <w:sz w:val="20"/>
          <w:rtl/>
          <w:lang w:eastAsia="he-IL"/>
        </w:rPr>
        <w:t>אין</w:t>
      </w:r>
      <w:r>
        <w:rPr>
          <w:rFonts w:ascii="David" w:hAnsi="David"/>
          <w:b/>
          <w:bCs/>
          <w:sz w:val="20"/>
          <w:lang w:eastAsia="he-IL"/>
        </w:rPr>
        <w:t xml:space="preserve"> </w:t>
      </w:r>
      <w:r>
        <w:rPr>
          <w:rFonts w:ascii="Arial" w:hAnsi="Arial"/>
          <w:b/>
          <w:bCs/>
          <w:sz w:val="20"/>
          <w:rtl/>
          <w:lang w:eastAsia="he-IL"/>
        </w:rPr>
        <w:t>ספור</w:t>
      </w:r>
      <w:r>
        <w:rPr>
          <w:rFonts w:ascii="David" w:hAnsi="David"/>
          <w:b/>
          <w:bCs/>
          <w:sz w:val="20"/>
          <w:lang w:eastAsia="he-IL"/>
        </w:rPr>
        <w:t xml:space="preserve"> </w:t>
      </w:r>
      <w:r>
        <w:rPr>
          <w:rFonts w:ascii="Arial" w:hAnsi="Arial"/>
          <w:b/>
          <w:bCs/>
          <w:sz w:val="20"/>
          <w:rtl/>
          <w:lang w:eastAsia="he-IL"/>
        </w:rPr>
        <w:t>מילים</w:t>
      </w:r>
      <w:r>
        <w:rPr>
          <w:rFonts w:ascii="David" w:hAnsi="David"/>
          <w:b/>
          <w:bCs/>
          <w:sz w:val="20"/>
          <w:lang w:eastAsia="he-IL"/>
        </w:rPr>
        <w:t xml:space="preserve"> </w:t>
      </w:r>
      <w:r>
        <w:rPr>
          <w:rFonts w:ascii="Arial" w:hAnsi="Arial"/>
          <w:b/>
          <w:bCs/>
          <w:sz w:val="20"/>
          <w:rtl/>
          <w:lang w:eastAsia="he-IL"/>
        </w:rPr>
        <w:t>נאמרו</w:t>
      </w:r>
      <w:r>
        <w:rPr>
          <w:rFonts w:ascii="David" w:hAnsi="David"/>
          <w:b/>
          <w:bCs/>
          <w:sz w:val="20"/>
          <w:lang w:eastAsia="he-IL"/>
        </w:rPr>
        <w:t xml:space="preserve"> </w:t>
      </w:r>
      <w:r>
        <w:rPr>
          <w:rFonts w:ascii="Arial" w:hAnsi="Arial"/>
          <w:b/>
          <w:bCs/>
          <w:sz w:val="20"/>
          <w:rtl/>
          <w:lang w:eastAsia="he-IL"/>
        </w:rPr>
        <w:t>בדבר</w:t>
      </w:r>
      <w:r>
        <w:rPr>
          <w:rFonts w:ascii="David" w:hAnsi="David"/>
          <w:b/>
          <w:bCs/>
          <w:sz w:val="20"/>
          <w:lang w:eastAsia="he-IL"/>
        </w:rPr>
        <w:t xml:space="preserve"> </w:t>
      </w:r>
      <w:r>
        <w:rPr>
          <w:rFonts w:ascii="Arial" w:hAnsi="Arial"/>
          <w:b/>
          <w:bCs/>
          <w:sz w:val="20"/>
          <w:rtl/>
          <w:lang w:eastAsia="he-IL"/>
        </w:rPr>
        <w:t>הצורך</w:t>
      </w:r>
      <w:r>
        <w:rPr>
          <w:rFonts w:ascii="David" w:hAnsi="David"/>
          <w:b/>
          <w:bCs/>
          <w:sz w:val="20"/>
          <w:lang w:eastAsia="he-IL"/>
        </w:rPr>
        <w:t xml:space="preserve"> </w:t>
      </w:r>
      <w:r>
        <w:rPr>
          <w:rFonts w:ascii="Arial" w:hAnsi="Arial"/>
          <w:b/>
          <w:bCs/>
          <w:sz w:val="20"/>
          <w:rtl/>
          <w:lang w:eastAsia="he-IL"/>
        </w:rPr>
        <w:t>להכות</w:t>
      </w:r>
      <w:r>
        <w:rPr>
          <w:rFonts w:ascii="David" w:hAnsi="David"/>
          <w:b/>
          <w:bCs/>
          <w:sz w:val="20"/>
          <w:lang w:eastAsia="he-IL"/>
        </w:rPr>
        <w:t xml:space="preserve"> </w:t>
      </w:r>
      <w:r>
        <w:rPr>
          <w:rFonts w:ascii="Arial" w:hAnsi="Arial"/>
          <w:b/>
          <w:bCs/>
          <w:sz w:val="20"/>
          <w:rtl/>
          <w:lang w:eastAsia="he-IL"/>
        </w:rPr>
        <w:t>בכל</w:t>
      </w:r>
      <w:r>
        <w:rPr>
          <w:rFonts w:ascii="David" w:hAnsi="David"/>
          <w:b/>
          <w:bCs/>
          <w:sz w:val="20"/>
          <w:lang w:eastAsia="he-IL"/>
        </w:rPr>
        <w:t xml:space="preserve"> </w:t>
      </w:r>
      <w:r>
        <w:rPr>
          <w:rFonts w:ascii="Arial" w:hAnsi="Arial"/>
          <w:b/>
          <w:bCs/>
          <w:sz w:val="20"/>
          <w:rtl/>
          <w:lang w:eastAsia="he-IL"/>
        </w:rPr>
        <w:t>אחת</w:t>
      </w:r>
      <w:r>
        <w:rPr>
          <w:rFonts w:ascii="David" w:hAnsi="David"/>
          <w:b/>
          <w:bCs/>
          <w:sz w:val="20"/>
          <w:lang w:eastAsia="he-IL"/>
        </w:rPr>
        <w:t xml:space="preserve"> </w:t>
      </w:r>
      <w:r>
        <w:rPr>
          <w:rFonts w:ascii="Arial" w:hAnsi="Arial"/>
          <w:b/>
          <w:bCs/>
          <w:sz w:val="20"/>
          <w:rtl/>
          <w:lang w:eastAsia="he-IL"/>
        </w:rPr>
        <w:t>ואחת</w:t>
      </w:r>
      <w:r>
        <w:rPr>
          <w:rFonts w:ascii="David" w:hAnsi="David"/>
          <w:b/>
          <w:bCs/>
          <w:sz w:val="20"/>
          <w:lang w:eastAsia="he-IL"/>
        </w:rPr>
        <w:t xml:space="preserve"> </w:t>
      </w:r>
      <w:r>
        <w:rPr>
          <w:rFonts w:ascii="Arial" w:hAnsi="Arial"/>
          <w:b/>
          <w:bCs/>
          <w:sz w:val="20"/>
          <w:rtl/>
          <w:lang w:eastAsia="he-IL"/>
        </w:rPr>
        <w:t>מחוליות</w:t>
      </w:r>
      <w:r>
        <w:rPr>
          <w:rFonts w:ascii="David" w:hAnsi="David"/>
          <w:b/>
          <w:bCs/>
          <w:sz w:val="20"/>
          <w:lang w:eastAsia="he-IL"/>
        </w:rPr>
        <w:t xml:space="preserve"> </w:t>
      </w:r>
      <w:r>
        <w:rPr>
          <w:rFonts w:ascii="Arial" w:hAnsi="Arial"/>
          <w:b/>
          <w:bCs/>
          <w:sz w:val="20"/>
          <w:rtl/>
          <w:lang w:eastAsia="he-IL"/>
        </w:rPr>
        <w:t>הפצת</w:t>
      </w:r>
      <w:r>
        <w:rPr>
          <w:rFonts w:ascii="David" w:hAnsi="David"/>
          <w:b/>
          <w:bCs/>
          <w:sz w:val="20"/>
          <w:lang w:eastAsia="he-IL"/>
        </w:rPr>
        <w:t xml:space="preserve"> </w:t>
      </w:r>
      <w:r>
        <w:rPr>
          <w:rFonts w:ascii="Arial" w:hAnsi="Arial"/>
          <w:b/>
          <w:bCs/>
          <w:sz w:val="20"/>
          <w:rtl/>
          <w:lang w:eastAsia="he-IL"/>
        </w:rPr>
        <w:t>הסם</w:t>
      </w:r>
      <w:r>
        <w:rPr>
          <w:rFonts w:ascii="David" w:hAnsi="David"/>
          <w:b/>
          <w:bCs/>
          <w:sz w:val="20"/>
          <w:lang w:eastAsia="he-IL"/>
        </w:rPr>
        <w:t xml:space="preserve"> </w:t>
      </w:r>
      <w:r>
        <w:rPr>
          <w:rFonts w:ascii="Arial" w:hAnsi="Arial"/>
          <w:b/>
          <w:bCs/>
          <w:sz w:val="20"/>
          <w:rtl/>
          <w:lang w:eastAsia="he-IL"/>
        </w:rPr>
        <w:t>ואם</w:t>
      </w:r>
      <w:r>
        <w:rPr>
          <w:rFonts w:ascii="David" w:hAnsi="David"/>
          <w:b/>
          <w:bCs/>
          <w:sz w:val="20"/>
          <w:lang w:eastAsia="he-IL"/>
        </w:rPr>
        <w:t xml:space="preserve"> </w:t>
      </w:r>
      <w:r>
        <w:rPr>
          <w:rFonts w:ascii="Arial" w:hAnsi="Arial"/>
          <w:b/>
          <w:bCs/>
          <w:sz w:val="20"/>
          <w:rtl/>
          <w:lang w:eastAsia="he-IL"/>
        </w:rPr>
        <w:t>אוסיף</w:t>
      </w:r>
      <w:r>
        <w:rPr>
          <w:rFonts w:ascii="David" w:hAnsi="David"/>
          <w:b/>
          <w:bCs/>
          <w:sz w:val="20"/>
          <w:lang w:eastAsia="he-IL"/>
        </w:rPr>
        <w:t xml:space="preserve"> </w:t>
      </w:r>
      <w:r>
        <w:rPr>
          <w:rFonts w:ascii="Arial" w:hAnsi="Arial"/>
          <w:b/>
          <w:bCs/>
          <w:sz w:val="20"/>
          <w:rtl/>
          <w:lang w:eastAsia="he-IL"/>
        </w:rPr>
        <w:t>דברים, אהיה</w:t>
      </w:r>
      <w:r>
        <w:rPr>
          <w:rFonts w:ascii="David" w:hAnsi="David"/>
          <w:b/>
          <w:bCs/>
          <w:sz w:val="20"/>
          <w:lang w:eastAsia="he-IL"/>
        </w:rPr>
        <w:t xml:space="preserve"> </w:t>
      </w:r>
      <w:r>
        <w:rPr>
          <w:rFonts w:ascii="Arial" w:hAnsi="Arial"/>
          <w:b/>
          <w:bCs/>
          <w:sz w:val="20"/>
          <w:rtl/>
          <w:lang w:eastAsia="he-IL"/>
        </w:rPr>
        <w:t>כמכניס</w:t>
      </w:r>
      <w:r>
        <w:rPr>
          <w:rFonts w:ascii="David" w:hAnsi="David"/>
          <w:b/>
          <w:bCs/>
          <w:sz w:val="20"/>
          <w:lang w:eastAsia="he-IL"/>
        </w:rPr>
        <w:t xml:space="preserve"> </w:t>
      </w:r>
      <w:r>
        <w:rPr>
          <w:rFonts w:ascii="Arial" w:hAnsi="Arial"/>
          <w:b/>
          <w:bCs/>
          <w:sz w:val="20"/>
          <w:rtl/>
          <w:lang w:eastAsia="he-IL"/>
        </w:rPr>
        <w:t>תבן</w:t>
      </w:r>
      <w:r>
        <w:rPr>
          <w:rFonts w:ascii="David" w:hAnsi="David"/>
          <w:b/>
          <w:bCs/>
          <w:sz w:val="20"/>
          <w:lang w:eastAsia="he-IL"/>
        </w:rPr>
        <w:t xml:space="preserve"> </w:t>
      </w:r>
      <w:r>
        <w:rPr>
          <w:rFonts w:ascii="Arial" w:hAnsi="Arial"/>
          <w:b/>
          <w:bCs/>
          <w:sz w:val="20"/>
          <w:rtl/>
          <w:lang w:eastAsia="he-IL"/>
        </w:rPr>
        <w:t>לעפריים</w:t>
      </w:r>
      <w:r>
        <w:rPr>
          <w:rFonts w:ascii="Arial" w:hAnsi="Arial"/>
          <w:sz w:val="20"/>
          <w:rtl/>
          <w:lang w:eastAsia="he-IL"/>
        </w:rPr>
        <w:t>...".</w:t>
      </w:r>
    </w:p>
    <w:p w14:paraId="5737D0B6" w14:textId="77777777" w:rsidR="00955DD7" w:rsidRDefault="00955DD7" w:rsidP="00955DD7">
      <w:pPr>
        <w:snapToGrid w:val="0"/>
        <w:ind w:right="993"/>
        <w:jc w:val="both"/>
        <w:rPr>
          <w:rFonts w:ascii="Arial" w:hAnsi="Arial"/>
          <w:b/>
          <w:bCs/>
          <w:sz w:val="20"/>
          <w:lang w:eastAsia="he-IL"/>
        </w:rPr>
      </w:pPr>
    </w:p>
    <w:p w14:paraId="134EA82B" w14:textId="77777777" w:rsidR="00955DD7" w:rsidRDefault="00955DD7" w:rsidP="00955DD7">
      <w:pPr>
        <w:spacing w:line="360" w:lineRule="auto"/>
        <w:ind w:left="794"/>
        <w:jc w:val="both"/>
        <w:rPr>
          <w:rtl/>
        </w:rPr>
      </w:pPr>
      <w:r>
        <w:rPr>
          <w:rtl/>
        </w:rPr>
        <w:t>וראו גם קביעת כב' הש' ארבל ב-</w:t>
      </w:r>
      <w:hyperlink r:id="rId27" w:history="1">
        <w:r w:rsidR="00DD2041" w:rsidRPr="00DD2041">
          <w:rPr>
            <w:color w:val="0000FF"/>
            <w:u w:val="single"/>
            <w:rtl/>
          </w:rPr>
          <w:t>ע"פ 2000/06</w:t>
        </w:r>
      </w:hyperlink>
      <w:r>
        <w:rPr>
          <w:rtl/>
        </w:rPr>
        <w:t xml:space="preserve"> </w:t>
      </w:r>
      <w:r>
        <w:rPr>
          <w:rFonts w:cs="Miriam"/>
          <w:b/>
          <w:bCs/>
          <w:sz w:val="18"/>
          <w:szCs w:val="22"/>
          <w:rtl/>
        </w:rPr>
        <w:t>מדינת ישראל נ' ויצמן ואח'</w:t>
      </w:r>
      <w:r>
        <w:rPr>
          <w:rtl/>
        </w:rPr>
        <w:t xml:space="preserve"> (20.7.06) (להלן: </w:t>
      </w:r>
      <w:r>
        <w:rPr>
          <w:rFonts w:cs="Miriam"/>
          <w:b/>
          <w:bCs/>
          <w:sz w:val="18"/>
          <w:szCs w:val="22"/>
          <w:rtl/>
        </w:rPr>
        <w:t>פס"ד ויצמן</w:t>
      </w:r>
      <w:r>
        <w:rPr>
          <w:rtl/>
        </w:rPr>
        <w:t xml:space="preserve">) בו הוחמר עונשם של מי שהחזיקו בסם מסוכן מסוג קנבוס שלא לצריכתם העצמית, הרלוונטית לענייננו, הגם ששם דובר בכמות גדולה מזו שבתיק שלפניי – </w:t>
      </w:r>
    </w:p>
    <w:p w14:paraId="4B962920" w14:textId="77777777" w:rsidR="00955DD7" w:rsidRDefault="00955DD7" w:rsidP="00955DD7">
      <w:pPr>
        <w:snapToGrid w:val="0"/>
        <w:ind w:left="1440" w:right="993"/>
        <w:jc w:val="both"/>
        <w:rPr>
          <w:rFonts w:ascii="Arial" w:hAnsi="Arial"/>
          <w:sz w:val="16"/>
          <w:szCs w:val="20"/>
          <w:rtl/>
          <w:lang w:eastAsia="he-IL"/>
        </w:rPr>
      </w:pPr>
    </w:p>
    <w:p w14:paraId="5AB4909B" w14:textId="77777777" w:rsidR="00955DD7" w:rsidRDefault="00955DD7" w:rsidP="00955DD7">
      <w:pPr>
        <w:snapToGrid w:val="0"/>
        <w:ind w:left="1440" w:right="993"/>
        <w:jc w:val="both"/>
        <w:rPr>
          <w:rFonts w:ascii="Arial" w:hAnsi="Arial"/>
          <w:b/>
          <w:bCs/>
          <w:sz w:val="20"/>
          <w:rtl/>
          <w:lang w:eastAsia="he-IL"/>
        </w:rPr>
      </w:pPr>
      <w:r>
        <w:rPr>
          <w:rFonts w:ascii="Arial" w:hAnsi="Arial"/>
          <w:sz w:val="20"/>
          <w:rtl/>
          <w:lang w:eastAsia="he-IL"/>
        </w:rPr>
        <w:t>"</w:t>
      </w:r>
      <w:r>
        <w:rPr>
          <w:rFonts w:ascii="Arial" w:hAnsi="Arial"/>
          <w:b/>
          <w:bCs/>
          <w:sz w:val="20"/>
          <w:rtl/>
          <w:lang w:eastAsia="he-IL"/>
        </w:rPr>
        <w:t>חומרת העבירה, הנגזרת במידה רבה מכמות הסם בה מדובר, צריכה גם היא לבוא לידי ביטוי ראוי, וכך גם הצורך להרתיע את היחיד ואת הציבור מפני שליחת ידם בתחום זה המניב רווח קל. המאבק בנגע הסמים מחייב כי ההתייחסות לכל החוליות בשרשרת המסתיימת בהגעת הסם לציבור תהא מחמירה ועל כל מי שמהווה חוליה מחוליות השרשרת לדעת כי הוא נוטל על עצמו את הסיכון שבנשיאה בעונש המשקף את חומרת העבירות שביצעו ואשר משקף את הנזק שבמעשיהם לחברה</w:t>
      </w:r>
      <w:r>
        <w:rPr>
          <w:rFonts w:ascii="Arial" w:hAnsi="Arial"/>
          <w:sz w:val="20"/>
          <w:rtl/>
          <w:lang w:eastAsia="he-IL"/>
        </w:rPr>
        <w:t>".</w:t>
      </w:r>
    </w:p>
    <w:p w14:paraId="5C1C7E4C" w14:textId="77777777" w:rsidR="00955DD7" w:rsidRDefault="00955DD7" w:rsidP="00955DD7">
      <w:pPr>
        <w:spacing w:line="360" w:lineRule="auto"/>
        <w:ind w:left="720"/>
        <w:jc w:val="both"/>
        <w:rPr>
          <w:rtl/>
        </w:rPr>
      </w:pPr>
    </w:p>
    <w:p w14:paraId="4C260A57" w14:textId="77777777" w:rsidR="00955DD7" w:rsidRDefault="00955DD7" w:rsidP="00955DD7">
      <w:pPr>
        <w:spacing w:line="360" w:lineRule="auto"/>
        <w:ind w:left="794"/>
        <w:jc w:val="both"/>
        <w:rPr>
          <w:rtl/>
        </w:rPr>
      </w:pPr>
      <w:r>
        <w:rPr>
          <w:rtl/>
        </w:rPr>
        <w:t>באשר לפגיעתו הרעה של סם מסוכן מסוג קנבוס, שלא נמנה על הסמים הקטלניים שב-</w:t>
      </w:r>
      <w:r>
        <w:rPr>
          <w:rFonts w:ascii="Miriam" w:hAnsi="Miriam" w:cs="Miriam"/>
          <w:b/>
          <w:bCs/>
          <w:sz w:val="22"/>
          <w:szCs w:val="22"/>
          <w:rtl/>
        </w:rPr>
        <w:t>פקודת הסמים</w:t>
      </w:r>
      <w:r>
        <w:rPr>
          <w:rtl/>
        </w:rPr>
        <w:t xml:space="preserve">, </w:t>
      </w:r>
      <w:r>
        <w:rPr>
          <w:rFonts w:ascii="Arial" w:hAnsi="Arial"/>
          <w:rtl/>
        </w:rPr>
        <w:t>בערכים המוגנים - נקבע על ידי כב' הש' ארבל ב</w:t>
      </w:r>
      <w:r>
        <w:rPr>
          <w:rFonts w:ascii="Miriam" w:hAnsi="Miriam" w:cs="Miriam"/>
          <w:b/>
          <w:bCs/>
          <w:sz w:val="22"/>
          <w:szCs w:val="22"/>
          <w:rtl/>
        </w:rPr>
        <w:t>-פס"ד ויצמן</w:t>
      </w:r>
      <w:r>
        <w:rPr>
          <w:rFonts w:ascii="Arial" w:hAnsi="Arial"/>
          <w:rtl/>
        </w:rPr>
        <w:t xml:space="preserve"> -</w:t>
      </w:r>
      <w:r>
        <w:rPr>
          <w:rtl/>
        </w:rPr>
        <w:t xml:space="preserve"> </w:t>
      </w:r>
    </w:p>
    <w:p w14:paraId="6A67988D" w14:textId="77777777" w:rsidR="00955DD7" w:rsidRDefault="00955DD7" w:rsidP="00955DD7">
      <w:pPr>
        <w:snapToGrid w:val="0"/>
        <w:ind w:left="1440" w:right="993"/>
        <w:jc w:val="both"/>
        <w:rPr>
          <w:rFonts w:ascii="Arial" w:hAnsi="Arial"/>
          <w:sz w:val="16"/>
          <w:szCs w:val="20"/>
          <w:rtl/>
          <w:lang w:eastAsia="he-IL"/>
        </w:rPr>
      </w:pPr>
    </w:p>
    <w:p w14:paraId="2354371C" w14:textId="77777777" w:rsidR="00955DD7" w:rsidRDefault="00955DD7" w:rsidP="00955DD7">
      <w:pPr>
        <w:snapToGrid w:val="0"/>
        <w:ind w:left="1440" w:right="993"/>
        <w:jc w:val="both"/>
        <w:rPr>
          <w:rFonts w:ascii="Arial" w:hAnsi="Arial"/>
          <w:b/>
          <w:bCs/>
          <w:sz w:val="20"/>
          <w:rtl/>
          <w:lang w:eastAsia="he-IL"/>
        </w:rPr>
      </w:pPr>
      <w:r>
        <w:rPr>
          <w:rFonts w:ascii="Arial" w:hAnsi="Arial"/>
          <w:sz w:val="20"/>
          <w:rtl/>
          <w:lang w:eastAsia="he-IL"/>
        </w:rPr>
        <w:t>"</w:t>
      </w:r>
      <w:r>
        <w:rPr>
          <w:rFonts w:ascii="Arial" w:hAnsi="Arial"/>
          <w:b/>
          <w:bCs/>
          <w:sz w:val="20"/>
          <w:rtl/>
          <w:lang w:eastAsia="he-IL"/>
        </w:rPr>
        <w:t xml:space="preserve">אכן, הסם לגביו נעברו העבירות בהן הורשעו המשיבים נחשב סם </w:t>
      </w:r>
      <w:r>
        <w:rPr>
          <w:rFonts w:ascii="Arial" w:hAnsi="Arial"/>
          <w:sz w:val="20"/>
          <w:rtl/>
          <w:lang w:eastAsia="he-IL"/>
        </w:rPr>
        <w:t>'</w:t>
      </w:r>
      <w:r>
        <w:rPr>
          <w:rFonts w:ascii="Arial" w:hAnsi="Arial"/>
          <w:b/>
          <w:bCs/>
          <w:sz w:val="20"/>
          <w:rtl/>
          <w:lang w:eastAsia="he-IL"/>
        </w:rPr>
        <w:t>קל</w:t>
      </w:r>
      <w:r>
        <w:rPr>
          <w:rFonts w:ascii="Arial" w:hAnsi="Arial"/>
          <w:sz w:val="20"/>
          <w:rtl/>
          <w:lang w:eastAsia="he-IL"/>
        </w:rPr>
        <w:t xml:space="preserve">'. </w:t>
      </w:r>
      <w:r>
        <w:rPr>
          <w:rFonts w:ascii="Arial" w:hAnsi="Arial"/>
          <w:b/>
          <w:bCs/>
          <w:sz w:val="20"/>
          <w:rtl/>
          <w:lang w:eastAsia="he-IL"/>
        </w:rPr>
        <w:t xml:space="preserve">יחד עם זאת, סם מזיק הוא והמחוקק מצא לאסור השימוש בו בפקודה </w:t>
      </w:r>
      <w:r>
        <w:rPr>
          <w:rFonts w:ascii="Arial" w:hAnsi="Arial"/>
          <w:sz w:val="20"/>
          <w:rtl/>
          <w:lang w:eastAsia="he-IL"/>
        </w:rPr>
        <w:t>...</w:t>
      </w:r>
      <w:r>
        <w:rPr>
          <w:rFonts w:ascii="Arial" w:hAnsi="Arial"/>
          <w:b/>
          <w:bCs/>
          <w:sz w:val="20"/>
          <w:rtl/>
          <w:lang w:eastAsia="he-IL"/>
        </w:rPr>
        <w:t xml:space="preserve"> אין להקל ראש בעבירות הנוגעות לסמים המוגדרים כ</w:t>
      </w:r>
      <w:r>
        <w:rPr>
          <w:rFonts w:ascii="Arial" w:hAnsi="Arial"/>
          <w:sz w:val="20"/>
          <w:rtl/>
          <w:lang w:eastAsia="he-IL"/>
        </w:rPr>
        <w:t>'</w:t>
      </w:r>
      <w:r>
        <w:rPr>
          <w:rFonts w:ascii="Arial" w:hAnsi="Arial"/>
          <w:b/>
          <w:bCs/>
          <w:sz w:val="20"/>
          <w:rtl/>
          <w:lang w:eastAsia="he-IL"/>
        </w:rPr>
        <w:t>קלים</w:t>
      </w:r>
      <w:r>
        <w:rPr>
          <w:rFonts w:ascii="Arial" w:hAnsi="Arial"/>
          <w:sz w:val="20"/>
          <w:rtl/>
          <w:lang w:eastAsia="he-IL"/>
        </w:rPr>
        <w:t>'."</w:t>
      </w:r>
    </w:p>
    <w:p w14:paraId="70D2F780" w14:textId="77777777" w:rsidR="00955DD7" w:rsidRDefault="00955DD7" w:rsidP="00955DD7">
      <w:pPr>
        <w:widowControl w:val="0"/>
        <w:snapToGrid w:val="0"/>
        <w:spacing w:line="360" w:lineRule="auto"/>
        <w:jc w:val="both"/>
        <w:rPr>
          <w:rFonts w:ascii="Arial" w:hAnsi="Arial"/>
          <w:rtl/>
        </w:rPr>
      </w:pPr>
    </w:p>
    <w:p w14:paraId="686DCA88" w14:textId="77777777" w:rsidR="00955DD7" w:rsidRDefault="00955DD7" w:rsidP="00955DD7">
      <w:pPr>
        <w:widowControl w:val="0"/>
        <w:numPr>
          <w:ilvl w:val="1"/>
          <w:numId w:val="1"/>
        </w:numPr>
        <w:snapToGrid w:val="0"/>
        <w:spacing w:line="360" w:lineRule="auto"/>
        <w:ind w:left="850" w:hanging="425"/>
        <w:jc w:val="both"/>
        <w:rPr>
          <w:rFonts w:ascii="David" w:hAnsi="David"/>
          <w:rtl/>
          <w:lang w:eastAsia="he-IL"/>
        </w:rPr>
      </w:pPr>
      <w:r>
        <w:rPr>
          <w:rFonts w:ascii="David" w:hAnsi="David"/>
          <w:rtl/>
          <w:lang w:eastAsia="he-IL"/>
        </w:rPr>
        <w:t xml:space="preserve">בחינת </w:t>
      </w:r>
      <w:r>
        <w:rPr>
          <w:rFonts w:ascii="David" w:hAnsi="David"/>
          <w:b/>
          <w:bCs/>
          <w:rtl/>
          <w:lang w:eastAsia="he-IL"/>
        </w:rPr>
        <w:t>מדיניות הענישה הנהוגה בפסיקה</w:t>
      </w:r>
      <w:r>
        <w:rPr>
          <w:rFonts w:ascii="David" w:hAnsi="David"/>
          <w:rtl/>
          <w:lang w:eastAsia="he-IL"/>
        </w:rPr>
        <w:t xml:space="preserve"> </w:t>
      </w:r>
      <w:r>
        <w:rPr>
          <w:rFonts w:ascii="David" w:hAnsi="David"/>
          <w:rtl/>
        </w:rPr>
        <w:t xml:space="preserve">מלמדת על קשת רחבה של ענישה. אורך המאסר ואופן ריצויו תלוי בסוג הסם, כמותו ונסיבות החזקתו. </w:t>
      </w:r>
      <w:r>
        <w:rPr>
          <w:rFonts w:ascii="David" w:hAnsi="David"/>
          <w:rtl/>
          <w:lang w:eastAsia="he-IL"/>
        </w:rPr>
        <w:t xml:space="preserve">בטיעונים לעונש הפנו ב"כ הצדדים לפסיקה ועליה הוספתי פסיקה נוספת. כל מקרה ונסיבותיו, </w:t>
      </w:r>
      <w:r>
        <w:rPr>
          <w:rFonts w:ascii="David" w:hAnsi="David"/>
          <w:rtl/>
        </w:rPr>
        <w:t>ויש לאבחן המקרים השונים למקרה שלפניי, אם כי יש פסקי-דין מהם ניתן לגזור אמת-מידה עונשית הולמת</w:t>
      </w:r>
      <w:r>
        <w:rPr>
          <w:rFonts w:ascii="David" w:hAnsi="David"/>
          <w:rtl/>
          <w:lang w:eastAsia="he-IL"/>
        </w:rPr>
        <w:t xml:space="preserve"> – </w:t>
      </w:r>
    </w:p>
    <w:p w14:paraId="56FFA5F0" w14:textId="77777777" w:rsidR="00955DD7" w:rsidRDefault="00955DD7" w:rsidP="00955DD7">
      <w:pPr>
        <w:widowControl w:val="0"/>
        <w:snapToGrid w:val="0"/>
        <w:ind w:left="850"/>
        <w:jc w:val="both"/>
        <w:rPr>
          <w:rFonts w:ascii="David" w:hAnsi="David"/>
          <w:sz w:val="20"/>
          <w:szCs w:val="20"/>
          <w:rtl/>
          <w:lang w:eastAsia="he-IL"/>
        </w:rPr>
      </w:pPr>
    </w:p>
    <w:p w14:paraId="288DBC8F" w14:textId="77777777" w:rsidR="00955DD7" w:rsidRDefault="00DD2041" w:rsidP="00955DD7">
      <w:pPr>
        <w:pStyle w:val="aa"/>
        <w:widowControl w:val="0"/>
        <w:numPr>
          <w:ilvl w:val="2"/>
          <w:numId w:val="1"/>
        </w:numPr>
        <w:spacing w:line="360" w:lineRule="auto"/>
        <w:ind w:left="1475" w:hanging="624"/>
        <w:jc w:val="both"/>
        <w:rPr>
          <w:rFonts w:ascii="Times New Roman" w:hAnsi="Times New Roman"/>
          <w:szCs w:val="20"/>
          <w:rtl/>
        </w:rPr>
      </w:pPr>
      <w:hyperlink r:id="rId28" w:history="1">
        <w:r w:rsidRPr="00DD2041">
          <w:rPr>
            <w:color w:val="0000FF"/>
            <w:sz w:val="24"/>
            <w:u w:val="single"/>
            <w:rtl/>
          </w:rPr>
          <w:t>רע"פ 636/21</w:t>
        </w:r>
      </w:hyperlink>
      <w:r w:rsidR="00955DD7">
        <w:rPr>
          <w:rFonts w:hint="cs"/>
          <w:sz w:val="24"/>
          <w:rtl/>
        </w:rPr>
        <w:t xml:space="preserve"> </w:t>
      </w:r>
      <w:r w:rsidR="00955DD7">
        <w:rPr>
          <w:rFonts w:ascii="Miriam" w:hAnsi="Miriam" w:cs="Miriam"/>
          <w:b/>
          <w:bCs/>
          <w:szCs w:val="22"/>
          <w:rtl/>
        </w:rPr>
        <w:t>לוי נ' מדינת ישראל</w:t>
      </w:r>
      <w:r w:rsidR="00955DD7">
        <w:rPr>
          <w:rFonts w:hint="cs"/>
          <w:sz w:val="24"/>
          <w:rtl/>
        </w:rPr>
        <w:t xml:space="preserve"> (16.2.21), אליו הפנתה ב"כ המאשימה –</w:t>
      </w:r>
      <w:r w:rsidR="00955DD7">
        <w:rPr>
          <w:rFonts w:hint="cs"/>
          <w:rtl/>
        </w:rPr>
        <w:t xml:space="preserve"> נדחו ערעור ובקשת רשות ערעור. בגין החזקת כ-760 גרם חשיש, נקבע מתחם  6–12 חודשי מאסר בפועל. הושתו 4 חודשי מאסר לריצוי בעבודות שירות, תוך חריגה לקולא מהמתחם משיקולי שיקום. בנוסף הושתו מאסר מותנה ומבחן לשנה. כב' הש' אלרון קבע "</w:t>
      </w:r>
      <w:r w:rsidR="00955DD7">
        <w:rPr>
          <w:rFonts w:hint="cs"/>
          <w:b/>
          <w:bCs/>
          <w:rtl/>
        </w:rPr>
        <w:t>שיקולי שיקומו של הנאשם אינם חזות הכול. הקביעה כי שיקולים אלו מצדיקים סטייה לקולא ממתחם העונש, אינה שוללת אפוא, כשלעצמה, את הצורך לאזן בין שיקול זה ובין שיקולי הענישה הנוספים הצריכים לענין</w:t>
      </w:r>
      <w:r w:rsidR="00955DD7">
        <w:rPr>
          <w:rFonts w:hint="cs"/>
          <w:rtl/>
        </w:rPr>
        <w:t>".</w:t>
      </w:r>
    </w:p>
    <w:p w14:paraId="608781A7" w14:textId="77777777" w:rsidR="00955DD7" w:rsidRDefault="00955DD7" w:rsidP="00955DD7">
      <w:pPr>
        <w:pStyle w:val="aa"/>
        <w:widowControl w:val="0"/>
        <w:spacing w:line="360" w:lineRule="auto"/>
        <w:ind w:left="1475"/>
        <w:jc w:val="both"/>
        <w:rPr>
          <w:rFonts w:ascii="Times New Roman" w:hAnsi="Times New Roman"/>
          <w:szCs w:val="20"/>
        </w:rPr>
      </w:pPr>
    </w:p>
    <w:p w14:paraId="4985DD5A" w14:textId="77777777" w:rsidR="00955DD7" w:rsidRDefault="00DD2041" w:rsidP="00955DD7">
      <w:pPr>
        <w:pStyle w:val="aa"/>
        <w:widowControl w:val="0"/>
        <w:numPr>
          <w:ilvl w:val="2"/>
          <w:numId w:val="1"/>
        </w:numPr>
        <w:spacing w:line="360" w:lineRule="auto"/>
        <w:ind w:left="1475" w:hanging="624"/>
        <w:jc w:val="both"/>
        <w:rPr>
          <w:sz w:val="24"/>
          <w:rtl/>
        </w:rPr>
      </w:pPr>
      <w:hyperlink r:id="rId29" w:history="1">
        <w:r w:rsidRPr="00DD2041">
          <w:rPr>
            <w:color w:val="0000FF"/>
            <w:sz w:val="24"/>
            <w:u w:val="single"/>
            <w:rtl/>
          </w:rPr>
          <w:t>עפ"ג (מחוזי-ב"ש) 29297-01-20</w:t>
        </w:r>
      </w:hyperlink>
      <w:r w:rsidR="00955DD7">
        <w:rPr>
          <w:rFonts w:hint="cs"/>
          <w:sz w:val="24"/>
          <w:rtl/>
        </w:rPr>
        <w:t xml:space="preserve"> </w:t>
      </w:r>
      <w:r w:rsidR="00955DD7">
        <w:rPr>
          <w:rFonts w:ascii="Miriam" w:hAnsi="Miriam" w:cs="Miriam"/>
          <w:b/>
          <w:bCs/>
          <w:szCs w:val="22"/>
          <w:rtl/>
        </w:rPr>
        <w:t xml:space="preserve">גבריאלוב נ' מדינת ישראל </w:t>
      </w:r>
      <w:r w:rsidR="00955DD7">
        <w:rPr>
          <w:rFonts w:hint="cs"/>
          <w:sz w:val="24"/>
          <w:rtl/>
        </w:rPr>
        <w:t xml:space="preserve">(19.2.20), במסגרתו חזר בו המערער מערעורו על </w:t>
      </w:r>
      <w:hyperlink r:id="rId30" w:history="1">
        <w:r w:rsidRPr="00DD2041">
          <w:rPr>
            <w:color w:val="0000FF"/>
            <w:sz w:val="24"/>
            <w:u w:val="single"/>
            <w:rtl/>
          </w:rPr>
          <w:t>ת"פ 37731-06-19</w:t>
        </w:r>
      </w:hyperlink>
      <w:r w:rsidR="00955DD7">
        <w:rPr>
          <w:rFonts w:hint="cs"/>
          <w:sz w:val="24"/>
          <w:rtl/>
        </w:rPr>
        <w:t xml:space="preserve"> </w:t>
      </w:r>
      <w:r w:rsidR="00955DD7">
        <w:rPr>
          <w:rFonts w:ascii="Miriam" w:hAnsi="Miriam" w:cs="Miriam"/>
          <w:b/>
          <w:bCs/>
          <w:szCs w:val="22"/>
          <w:rtl/>
        </w:rPr>
        <w:t>מדינת ישראל נ' גבריאלוב</w:t>
      </w:r>
      <w:r w:rsidR="00955DD7">
        <w:rPr>
          <w:rFonts w:hint="cs"/>
          <w:sz w:val="24"/>
          <w:rtl/>
        </w:rPr>
        <w:t xml:space="preserve"> (20.11.19), אל שניהם הפנתה ב"כ המאשימה – בגין החזקת כ-1.8 ק"ג קנבוס מחולק ליחידות, נקבע מתחם 6–20 חודשי מאסר בפועל. הושתו 12 חודשי מאסר מיום מעצרו, מאסר מותנה, 2,000 ₪ קנס, התחייבות וחילוט 4,450 ₪ שנתפסו על הנאשם. הגם שכמויות הסם דומות, קיים שוני בנסיבות האישיות, לרבות בעבר. </w:t>
      </w:r>
    </w:p>
    <w:p w14:paraId="2F899EF0" w14:textId="77777777" w:rsidR="00955DD7" w:rsidRDefault="00955DD7" w:rsidP="00955DD7">
      <w:pPr>
        <w:widowControl w:val="0"/>
        <w:jc w:val="both"/>
      </w:pPr>
    </w:p>
    <w:p w14:paraId="4DA31D7A" w14:textId="77777777" w:rsidR="00955DD7" w:rsidRDefault="00DD2041" w:rsidP="00955DD7">
      <w:pPr>
        <w:pStyle w:val="aa"/>
        <w:widowControl w:val="0"/>
        <w:numPr>
          <w:ilvl w:val="2"/>
          <w:numId w:val="1"/>
        </w:numPr>
        <w:spacing w:line="360" w:lineRule="auto"/>
        <w:ind w:left="1475" w:hanging="624"/>
        <w:jc w:val="both"/>
        <w:rPr>
          <w:sz w:val="24"/>
        </w:rPr>
      </w:pPr>
      <w:hyperlink r:id="rId31" w:history="1">
        <w:r w:rsidRPr="00DD2041">
          <w:rPr>
            <w:color w:val="0000FF"/>
            <w:sz w:val="24"/>
            <w:u w:val="single"/>
            <w:rtl/>
          </w:rPr>
          <w:t>ת"פ (שלום-אילת) 9933-08-20</w:t>
        </w:r>
      </w:hyperlink>
      <w:r w:rsidR="00955DD7">
        <w:rPr>
          <w:rFonts w:hint="cs"/>
          <w:sz w:val="24"/>
          <w:rtl/>
        </w:rPr>
        <w:t xml:space="preserve"> </w:t>
      </w:r>
      <w:r w:rsidR="00955DD7">
        <w:rPr>
          <w:rFonts w:ascii="Miriam" w:hAnsi="Miriam" w:cs="Miriam"/>
          <w:b/>
          <w:bCs/>
          <w:szCs w:val="22"/>
          <w:rtl/>
        </w:rPr>
        <w:t xml:space="preserve">מדינת ישראל נ' טדלה </w:t>
      </w:r>
      <w:r w:rsidR="00955DD7">
        <w:rPr>
          <w:rFonts w:hint="cs"/>
          <w:sz w:val="24"/>
          <w:rtl/>
        </w:rPr>
        <w:t>(9.6.21), אליו הפנתה ב"כ המאשימה – בגין הרשעתו, לאחר ניהול הוכחות, בהחזקת 1.3 ק"ג קנבוס באוטובוס ליד מחסום הכניסה לאילת, נקבע מתחם 6–18 חודשי מאסר בפועל. חרף גילו הצעיר הושתו 12 חודשי מאסר בפועל והופעל מאסר מותנה במצטבר, כך שסך הכל הושתו 18 חודשי מאסר בפועל, מאסרים מותנים, 5,000 ₪ קנס ושנת פסילה בפועל.</w:t>
      </w:r>
    </w:p>
    <w:p w14:paraId="05AEA552" w14:textId="77777777" w:rsidR="00955DD7" w:rsidRDefault="00955DD7" w:rsidP="00955DD7">
      <w:pPr>
        <w:widowControl w:val="0"/>
        <w:snapToGrid w:val="0"/>
        <w:spacing w:line="360" w:lineRule="auto"/>
        <w:jc w:val="both"/>
        <w:rPr>
          <w:rFonts w:ascii="David" w:hAnsi="David"/>
        </w:rPr>
      </w:pPr>
    </w:p>
    <w:p w14:paraId="1808DFA8" w14:textId="77777777" w:rsidR="00955DD7" w:rsidRDefault="00955DD7" w:rsidP="00955DD7">
      <w:pPr>
        <w:widowControl w:val="0"/>
        <w:numPr>
          <w:ilvl w:val="1"/>
          <w:numId w:val="1"/>
        </w:numPr>
        <w:snapToGrid w:val="0"/>
        <w:spacing w:line="360" w:lineRule="auto"/>
        <w:ind w:left="850" w:hanging="425"/>
        <w:jc w:val="both"/>
      </w:pPr>
      <w:r>
        <w:rPr>
          <w:b/>
          <w:rtl/>
        </w:rPr>
        <w:t>בפסיקה עוברת כחוט השני החשיבות שיש ל-</w:t>
      </w:r>
      <w:r>
        <w:rPr>
          <w:b/>
          <w:bCs/>
          <w:rtl/>
        </w:rPr>
        <w:t>נסיבות הקשורות בביצוע העבירות</w:t>
      </w:r>
      <w:r>
        <w:rPr>
          <w:rtl/>
        </w:rPr>
        <w:t xml:space="preserve">, בהתאם </w:t>
      </w:r>
      <w:hyperlink r:id="rId32" w:history="1">
        <w:r w:rsidR="00B930B9" w:rsidRPr="00B930B9">
          <w:rPr>
            <w:rStyle w:val="Hyperlink"/>
            <w:rtl/>
          </w:rPr>
          <w:t>לסעיף 40יט</w:t>
        </w:r>
      </w:hyperlink>
      <w:r>
        <w:rPr>
          <w:rtl/>
        </w:rPr>
        <w:t xml:space="preserve"> ל-</w:t>
      </w:r>
      <w:hyperlink r:id="rId33" w:history="1">
        <w:r w:rsidR="00DD2041" w:rsidRPr="00DD2041">
          <w:rPr>
            <w:rFonts w:ascii="Miriam" w:hAnsi="Miriam" w:cs="Miriam"/>
            <w:b/>
            <w:bCs/>
            <w:color w:val="0000FF"/>
            <w:sz w:val="22"/>
            <w:szCs w:val="22"/>
            <w:u w:val="single"/>
            <w:rtl/>
          </w:rPr>
          <w:t>חוק העונשין</w:t>
        </w:r>
      </w:hyperlink>
      <w:r>
        <w:rPr>
          <w:rFonts w:ascii="Miriam" w:hAnsi="Miriam" w:cs="Miriam"/>
          <w:b/>
          <w:bCs/>
          <w:sz w:val="22"/>
          <w:szCs w:val="22"/>
          <w:rtl/>
        </w:rPr>
        <w:t xml:space="preserve"> </w:t>
      </w:r>
      <w:r>
        <w:rPr>
          <w:rtl/>
        </w:rPr>
        <w:t>ובכלל זה סוג הסם, אופן החזקת הסמים וכמותם. עיון בפסיקה מלמד, כי אין דין החזקת סמים מסוג קנבוס וחשיש כדין החזקת סמים קשים וקטלניים יותר, אין דין החזקת גרמים בודדים כדין החזקת קילוגרמים רבים ואין דין החזקה לשימוש עצמי כדין החזקה שלא לשימוש עצמי. משכך התחשבתי בנסיבות הבאות:</w:t>
      </w:r>
    </w:p>
    <w:p w14:paraId="2778F198" w14:textId="77777777" w:rsidR="00955DD7" w:rsidRDefault="00955DD7" w:rsidP="00955DD7">
      <w:pPr>
        <w:pStyle w:val="aa"/>
        <w:rPr>
          <w:rtl/>
        </w:rPr>
      </w:pPr>
    </w:p>
    <w:p w14:paraId="65D92B95" w14:textId="77777777" w:rsidR="00955DD7" w:rsidRDefault="00955DD7" w:rsidP="00955DD7">
      <w:pPr>
        <w:widowControl w:val="0"/>
        <w:numPr>
          <w:ilvl w:val="2"/>
          <w:numId w:val="1"/>
        </w:numPr>
        <w:snapToGrid w:val="0"/>
        <w:spacing w:line="360" w:lineRule="auto"/>
        <w:ind w:left="1191" w:hanging="397"/>
        <w:jc w:val="both"/>
        <w:rPr>
          <w:rFonts w:ascii="David" w:hAnsi="David"/>
          <w:lang w:eastAsia="he-IL"/>
        </w:rPr>
      </w:pPr>
      <w:r>
        <w:rPr>
          <w:rFonts w:ascii="David" w:hAnsi="David"/>
          <w:rtl/>
          <w:lang w:eastAsia="he-IL"/>
        </w:rPr>
        <w:t xml:space="preserve">החזקת סם שלא לשימוש עצמי היא עבירה שמעצם טיבה וטבעה </w:t>
      </w:r>
      <w:r>
        <w:rPr>
          <w:rFonts w:ascii="David" w:hAnsi="David"/>
          <w:b/>
          <w:bCs/>
          <w:rtl/>
          <w:lang w:eastAsia="he-IL"/>
        </w:rPr>
        <w:t>קדם לה תכנון</w:t>
      </w:r>
      <w:r>
        <w:rPr>
          <w:rFonts w:ascii="David" w:hAnsi="David"/>
          <w:rtl/>
          <w:lang w:eastAsia="he-IL"/>
        </w:rPr>
        <w:t xml:space="preserve">. הימצאות הסמים במקומות שונים בדירה, מחולקים ליחידות, כמתואר בעובדות כתב האישום בהן הודה, מלמדת אף היא על התכנון המוקדם. </w:t>
      </w:r>
    </w:p>
    <w:p w14:paraId="5769EB63" w14:textId="77777777" w:rsidR="00955DD7" w:rsidRDefault="00955DD7" w:rsidP="00955DD7">
      <w:pPr>
        <w:widowControl w:val="0"/>
        <w:snapToGrid w:val="0"/>
        <w:ind w:left="1191"/>
        <w:jc w:val="both"/>
        <w:rPr>
          <w:rFonts w:ascii="David" w:hAnsi="David"/>
          <w:lang w:eastAsia="he-IL"/>
        </w:rPr>
      </w:pPr>
    </w:p>
    <w:p w14:paraId="15782343" w14:textId="77777777" w:rsidR="00955DD7" w:rsidRDefault="00955DD7" w:rsidP="00955DD7">
      <w:pPr>
        <w:widowControl w:val="0"/>
        <w:numPr>
          <w:ilvl w:val="2"/>
          <w:numId w:val="1"/>
        </w:numPr>
        <w:snapToGrid w:val="0"/>
        <w:spacing w:line="360" w:lineRule="auto"/>
        <w:ind w:left="1191" w:hanging="397"/>
        <w:jc w:val="both"/>
        <w:rPr>
          <w:rFonts w:ascii="David" w:hAnsi="David"/>
          <w:lang w:eastAsia="he-IL"/>
        </w:rPr>
      </w:pPr>
      <w:r>
        <w:rPr>
          <w:rFonts w:ascii="David" w:hAnsi="David"/>
          <w:b/>
          <w:bCs/>
          <w:rtl/>
          <w:lang w:eastAsia="he-IL"/>
        </w:rPr>
        <w:t>הנאשם הוא המבצע היחיד והעיקרי של העבירה.</w:t>
      </w:r>
    </w:p>
    <w:p w14:paraId="3CED8334" w14:textId="77777777" w:rsidR="00955DD7" w:rsidRDefault="00955DD7" w:rsidP="00955DD7">
      <w:pPr>
        <w:pStyle w:val="aa"/>
        <w:rPr>
          <w:rtl/>
        </w:rPr>
      </w:pPr>
    </w:p>
    <w:p w14:paraId="7ECF2EC3" w14:textId="77777777" w:rsidR="00955DD7" w:rsidRDefault="00955DD7" w:rsidP="00955DD7">
      <w:pPr>
        <w:widowControl w:val="0"/>
        <w:numPr>
          <w:ilvl w:val="2"/>
          <w:numId w:val="1"/>
        </w:numPr>
        <w:snapToGrid w:val="0"/>
        <w:spacing w:line="360" w:lineRule="auto"/>
        <w:ind w:left="1191" w:hanging="397"/>
        <w:jc w:val="both"/>
        <w:rPr>
          <w:rFonts w:ascii="David" w:hAnsi="David"/>
        </w:rPr>
      </w:pPr>
      <w:r>
        <w:rPr>
          <w:rFonts w:ascii="David" w:hAnsi="David"/>
          <w:rtl/>
          <w:lang w:eastAsia="he-IL"/>
        </w:rPr>
        <w:t xml:space="preserve">מקובלת עלי טענת ב"כ הנאשם, כי </w:t>
      </w:r>
      <w:r>
        <w:rPr>
          <w:rFonts w:ascii="David" w:hAnsi="David"/>
          <w:b/>
          <w:bCs/>
          <w:rtl/>
          <w:lang w:eastAsia="he-IL"/>
        </w:rPr>
        <w:t>הנזק שנגרם מביצוע העבירות</w:t>
      </w:r>
      <w:r>
        <w:rPr>
          <w:rFonts w:ascii="David" w:hAnsi="David"/>
          <w:rtl/>
          <w:lang w:eastAsia="he-IL"/>
        </w:rPr>
        <w:t xml:space="preserve"> לא רב, בהינתן כי הסמים נתפסו – אולם אין להקל ראש </w:t>
      </w:r>
      <w:r>
        <w:rPr>
          <w:rFonts w:ascii="David" w:hAnsi="David"/>
          <w:b/>
          <w:bCs/>
          <w:rtl/>
          <w:lang w:eastAsia="he-IL"/>
        </w:rPr>
        <w:t>בנזק שהיה צפוי להיגרם מביצוע העבירות</w:t>
      </w:r>
      <w:r>
        <w:rPr>
          <w:rFonts w:ascii="David" w:hAnsi="David"/>
          <w:rtl/>
          <w:lang w:eastAsia="he-IL"/>
        </w:rPr>
        <w:t>. מדובר אמנם בסם שלא נמנה על הקטלניים שב-</w:t>
      </w:r>
      <w:r>
        <w:rPr>
          <w:rFonts w:ascii="Miriam" w:hAnsi="Miriam" w:cs="Miriam"/>
          <w:b/>
          <w:bCs/>
          <w:sz w:val="22"/>
          <w:szCs w:val="22"/>
          <w:rtl/>
        </w:rPr>
        <w:t>פקודת הסמים</w:t>
      </w:r>
      <w:r>
        <w:rPr>
          <w:rFonts w:ascii="David" w:hAnsi="David"/>
          <w:rtl/>
          <w:lang w:eastAsia="he-IL"/>
        </w:rPr>
        <w:t xml:space="preserve">, כנטען על ידי ב"כ הנאשם – אולם נפסק לא אחת </w:t>
      </w:r>
      <w:r>
        <w:rPr>
          <w:rtl/>
        </w:rPr>
        <w:t>כי "</w:t>
      </w:r>
      <w:r>
        <w:rPr>
          <w:b/>
          <w:bCs/>
          <w:rtl/>
        </w:rPr>
        <w:t>אל לנו לטעות – השימוש בקנבוס אסור. לטעמי זה אינו סם קל אלא סם פחות חמור</w:t>
      </w:r>
      <w:r>
        <w:rPr>
          <w:rtl/>
        </w:rPr>
        <w:t>" [ראו סעיף 4 לפסק דינו שכל כב' הש' הנדל ב-</w:t>
      </w:r>
      <w:hyperlink r:id="rId34" w:history="1">
        <w:r w:rsidR="00DD2041" w:rsidRPr="00DD2041">
          <w:rPr>
            <w:color w:val="0000FF"/>
            <w:u w:val="single"/>
            <w:rtl/>
          </w:rPr>
          <w:t>ע"פ 5807/17</w:t>
        </w:r>
      </w:hyperlink>
      <w:r>
        <w:rPr>
          <w:rtl/>
        </w:rPr>
        <w:t xml:space="preserve"> </w:t>
      </w:r>
      <w:r>
        <w:rPr>
          <w:rFonts w:ascii="Miriam" w:hAnsi="Miriam" w:cs="Miriam"/>
          <w:b/>
          <w:bCs/>
          <w:sz w:val="22"/>
          <w:szCs w:val="22"/>
          <w:rtl/>
        </w:rPr>
        <w:t>דרחי נ' מדינת ישראל</w:t>
      </w:r>
      <w:r>
        <w:rPr>
          <w:b/>
          <w:bCs/>
          <w:rtl/>
        </w:rPr>
        <w:t xml:space="preserve"> </w:t>
      </w:r>
      <w:r>
        <w:rPr>
          <w:rtl/>
        </w:rPr>
        <w:t xml:space="preserve">(18.6.18) (להלן: </w:t>
      </w:r>
      <w:r>
        <w:rPr>
          <w:rFonts w:ascii="Miriam" w:hAnsi="Miriam" w:cs="Miriam"/>
          <w:b/>
          <w:bCs/>
          <w:sz w:val="22"/>
          <w:szCs w:val="22"/>
          <w:rtl/>
        </w:rPr>
        <w:t>ענין דרחי</w:t>
      </w:r>
      <w:r>
        <w:rPr>
          <w:rtl/>
        </w:rPr>
        <w:t xml:space="preserve">)]. הכמות שהוחזקה היא למעלה מפי 85 מהכמות שנקבעה </w:t>
      </w:r>
      <w:r>
        <w:rPr>
          <w:rFonts w:ascii="David" w:hAnsi="David"/>
          <w:sz w:val="20"/>
          <w:rtl/>
          <w:lang w:eastAsia="he-IL"/>
        </w:rPr>
        <w:t>ב</w:t>
      </w:r>
      <w:r>
        <w:rPr>
          <w:rFonts w:ascii="Miriam" w:hAnsi="Miriam" w:cs="Miriam"/>
          <w:b/>
          <w:bCs/>
          <w:sz w:val="18"/>
          <w:szCs w:val="22"/>
          <w:rtl/>
          <w:lang w:eastAsia="he-IL"/>
        </w:rPr>
        <w:t xml:space="preserve">-פקודת הסמים </w:t>
      </w:r>
      <w:r>
        <w:rPr>
          <w:rtl/>
        </w:rPr>
        <w:t>לשימוש עצמי ויש בכך כדי להשליך על הנזק שצפוי היה להיגרם מהעבירות, לולא נתפסו הסמים.</w:t>
      </w:r>
    </w:p>
    <w:p w14:paraId="6D41FCFA" w14:textId="77777777" w:rsidR="00955DD7" w:rsidRDefault="00955DD7" w:rsidP="00955DD7">
      <w:pPr>
        <w:pStyle w:val="aa"/>
      </w:pPr>
    </w:p>
    <w:p w14:paraId="1792F2B1" w14:textId="77777777" w:rsidR="00955DD7" w:rsidRDefault="00955DD7" w:rsidP="00955DD7">
      <w:pPr>
        <w:widowControl w:val="0"/>
        <w:numPr>
          <w:ilvl w:val="2"/>
          <w:numId w:val="1"/>
        </w:numPr>
        <w:snapToGrid w:val="0"/>
        <w:spacing w:line="360" w:lineRule="auto"/>
        <w:ind w:left="1134" w:hanging="414"/>
        <w:jc w:val="both"/>
        <w:rPr>
          <w:rFonts w:ascii="David" w:hAnsi="David"/>
        </w:rPr>
      </w:pPr>
      <w:r>
        <w:rPr>
          <w:rFonts w:ascii="David" w:hAnsi="David"/>
          <w:b/>
          <w:bCs/>
          <w:rtl/>
          <w:lang w:eastAsia="he-IL"/>
        </w:rPr>
        <w:t>הסיבות שהביאו את הנאשם לביצוע העבירה</w:t>
      </w:r>
      <w:r>
        <w:rPr>
          <w:rFonts w:ascii="David" w:hAnsi="David"/>
          <w:rtl/>
          <w:lang w:eastAsia="he-IL"/>
        </w:rPr>
        <w:t xml:space="preserve"> </w:t>
      </w:r>
      <w:r>
        <w:rPr>
          <w:rFonts w:ascii="David" w:hAnsi="David"/>
          <w:rtl/>
        </w:rPr>
        <w:t>– נתתי דעתי לטענת ב"כ הנאשם, וכעולה מדברי הנאשם לשירות המבחן, כי הנאשם התכוון לחסוך בעלויות רכישת הסמים, רכש כמות גדולה במחיר מופחת, כשנענה להצעה באפליקציית ה"טלגראם".</w:t>
      </w:r>
      <w:r>
        <w:rPr>
          <w:rFonts w:ascii="David" w:hAnsi="David"/>
          <w:bCs/>
          <w:sz w:val="26"/>
          <w:szCs w:val="26"/>
          <w:rtl/>
        </w:rPr>
        <w:t xml:space="preserve"> </w:t>
      </w:r>
    </w:p>
    <w:p w14:paraId="7B752B1E" w14:textId="77777777" w:rsidR="00955DD7" w:rsidRDefault="00955DD7" w:rsidP="00955DD7">
      <w:pPr>
        <w:widowControl w:val="0"/>
        <w:spacing w:line="360" w:lineRule="auto"/>
        <w:jc w:val="both"/>
        <w:rPr>
          <w:rFonts w:ascii="David" w:hAnsi="David"/>
          <w:bCs/>
          <w:sz w:val="26"/>
          <w:szCs w:val="26"/>
          <w:rtl/>
        </w:rPr>
      </w:pPr>
    </w:p>
    <w:p w14:paraId="59040E4A" w14:textId="77777777" w:rsidR="00955DD7" w:rsidRDefault="00955DD7" w:rsidP="00955DD7">
      <w:pPr>
        <w:widowControl w:val="0"/>
        <w:spacing w:line="360" w:lineRule="auto"/>
        <w:jc w:val="both"/>
        <w:rPr>
          <w:rFonts w:ascii="David" w:hAnsi="David"/>
          <w:bCs/>
          <w:sz w:val="26"/>
          <w:szCs w:val="26"/>
          <w:rtl/>
        </w:rPr>
      </w:pPr>
      <w:r>
        <w:rPr>
          <w:rFonts w:ascii="David" w:hAnsi="David"/>
          <w:bCs/>
          <w:sz w:val="26"/>
          <w:szCs w:val="26"/>
          <w:rtl/>
        </w:rPr>
        <w:t>מתחם העונש ההולם</w:t>
      </w:r>
    </w:p>
    <w:p w14:paraId="0BA51869" w14:textId="77777777" w:rsidR="00955DD7" w:rsidRDefault="00955DD7" w:rsidP="00955DD7">
      <w:pPr>
        <w:numPr>
          <w:ilvl w:val="0"/>
          <w:numId w:val="1"/>
        </w:numPr>
        <w:snapToGrid w:val="0"/>
        <w:spacing w:line="360" w:lineRule="auto"/>
        <w:ind w:left="357" w:hanging="357"/>
        <w:jc w:val="both"/>
        <w:rPr>
          <w:b/>
          <w:sz w:val="20"/>
          <w:rtl/>
          <w:lang w:eastAsia="he-IL"/>
        </w:rPr>
      </w:pPr>
      <w:r>
        <w:rPr>
          <w:b/>
          <w:rtl/>
        </w:rPr>
        <w:t xml:space="preserve">הנאשם הורשע בעבירה אחת המהווה אירוע אחד, משכך מתחם העונש ההולם </w:t>
      </w:r>
      <w:r>
        <w:rPr>
          <w:bCs/>
          <w:rtl/>
        </w:rPr>
        <w:t xml:space="preserve">נע בין </w:t>
      </w:r>
      <w:r>
        <w:rPr>
          <w:bCs/>
          <w:sz w:val="20"/>
          <w:rtl/>
          <w:lang w:eastAsia="he-IL"/>
        </w:rPr>
        <w:t>מספר חודשי מאסר, אשר יכול שירוצו בעבודות שירות, עד 18 חודשי מאסר בפועל</w:t>
      </w:r>
      <w:r>
        <w:rPr>
          <w:b/>
          <w:sz w:val="20"/>
          <w:rtl/>
          <w:lang w:eastAsia="he-IL"/>
        </w:rPr>
        <w:t xml:space="preserve">, לצד ענישה נלווית, הכוללת עיצומים כלכליים ופסילה. </w:t>
      </w:r>
    </w:p>
    <w:p w14:paraId="57A61A5B" w14:textId="77777777" w:rsidR="00955DD7" w:rsidRDefault="00955DD7" w:rsidP="00955DD7">
      <w:pPr>
        <w:pStyle w:val="aa"/>
        <w:widowControl w:val="0"/>
        <w:spacing w:line="360" w:lineRule="auto"/>
        <w:ind w:left="360"/>
        <w:jc w:val="both"/>
        <w:rPr>
          <w:b/>
          <w:sz w:val="24"/>
        </w:rPr>
      </w:pPr>
    </w:p>
    <w:p w14:paraId="1A4E0754" w14:textId="77777777" w:rsidR="00955DD7" w:rsidRDefault="00955DD7" w:rsidP="00955DD7">
      <w:pPr>
        <w:widowControl w:val="0"/>
        <w:numPr>
          <w:ilvl w:val="0"/>
          <w:numId w:val="1"/>
        </w:numPr>
        <w:snapToGrid w:val="0"/>
        <w:spacing w:line="360" w:lineRule="auto"/>
        <w:ind w:left="357" w:hanging="357"/>
        <w:jc w:val="both"/>
        <w:rPr>
          <w:b/>
          <w:sz w:val="20"/>
          <w:lang w:eastAsia="he-IL"/>
        </w:rPr>
      </w:pPr>
      <w:r>
        <w:rPr>
          <w:sz w:val="20"/>
          <w:rtl/>
          <w:lang w:eastAsia="he-IL"/>
        </w:rPr>
        <w:t xml:space="preserve">עבירות סמים הן עבירות כלכליות וככאלו מחייבות עיצומים כלכליים. לצד זאת, בהתאם </w:t>
      </w:r>
      <w:hyperlink r:id="rId35" w:history="1">
        <w:r w:rsidR="00B930B9" w:rsidRPr="00B930B9">
          <w:rPr>
            <w:rStyle w:val="Hyperlink"/>
            <w:sz w:val="20"/>
            <w:rtl/>
            <w:lang w:eastAsia="he-IL"/>
          </w:rPr>
          <w:t>לסעיף 40ח</w:t>
        </w:r>
      </w:hyperlink>
      <w:r>
        <w:rPr>
          <w:sz w:val="20"/>
          <w:rtl/>
          <w:lang w:eastAsia="he-IL"/>
        </w:rPr>
        <w:t xml:space="preserve"> ל-</w:t>
      </w:r>
      <w:hyperlink r:id="rId36" w:history="1">
        <w:r w:rsidR="00DD2041" w:rsidRPr="00DD2041">
          <w:rPr>
            <w:rFonts w:ascii="Miriam" w:hAnsi="Miriam" w:cs="Miriam"/>
            <w:b/>
            <w:bCs/>
            <w:color w:val="0000FF"/>
            <w:sz w:val="22"/>
            <w:szCs w:val="22"/>
            <w:u w:val="single"/>
            <w:rtl/>
            <w:lang w:eastAsia="he-IL"/>
          </w:rPr>
          <w:t>חוק העונשין</w:t>
        </w:r>
      </w:hyperlink>
      <w:r>
        <w:rPr>
          <w:sz w:val="20"/>
          <w:rtl/>
          <w:lang w:eastAsia="he-IL"/>
        </w:rPr>
        <w:t xml:space="preserve">, התחשבתי במצבו הכלכלי הנטען של הנאשם, ובכלל זה חובותיו כעולה מהתסקירים, שכן כשמדובר בקנס – אין דין פלוני כאלמוני. משכך, </w:t>
      </w:r>
      <w:r>
        <w:rPr>
          <w:b/>
          <w:bCs/>
          <w:sz w:val="20"/>
          <w:rtl/>
          <w:lang w:eastAsia="he-IL"/>
        </w:rPr>
        <w:t>מתחם הקנס הוא 2,000 ₪-10,000 ₪</w:t>
      </w:r>
      <w:r>
        <w:rPr>
          <w:sz w:val="20"/>
          <w:rtl/>
          <w:lang w:eastAsia="he-IL"/>
        </w:rPr>
        <w:t>.</w:t>
      </w:r>
    </w:p>
    <w:p w14:paraId="3E7BD511" w14:textId="77777777" w:rsidR="00955DD7" w:rsidRDefault="00955DD7" w:rsidP="00955DD7">
      <w:pPr>
        <w:widowControl w:val="0"/>
        <w:snapToGrid w:val="0"/>
        <w:spacing w:line="360" w:lineRule="auto"/>
        <w:ind w:left="357"/>
        <w:jc w:val="both"/>
        <w:rPr>
          <w:rFonts w:ascii="David" w:hAnsi="David"/>
          <w:b/>
          <w:sz w:val="20"/>
          <w:rtl/>
          <w:lang w:eastAsia="he-IL"/>
        </w:rPr>
      </w:pPr>
    </w:p>
    <w:p w14:paraId="2FA9C5D1" w14:textId="77777777" w:rsidR="00955DD7" w:rsidRDefault="00955DD7" w:rsidP="00955DD7">
      <w:pPr>
        <w:widowControl w:val="0"/>
        <w:numPr>
          <w:ilvl w:val="0"/>
          <w:numId w:val="1"/>
        </w:numPr>
        <w:snapToGrid w:val="0"/>
        <w:spacing w:line="360" w:lineRule="auto"/>
        <w:ind w:left="357" w:hanging="357"/>
        <w:jc w:val="both"/>
        <w:rPr>
          <w:b/>
          <w:sz w:val="20"/>
          <w:rtl/>
          <w:lang w:eastAsia="he-IL"/>
        </w:rPr>
      </w:pPr>
      <w:r>
        <w:rPr>
          <w:sz w:val="20"/>
          <w:rtl/>
          <w:lang w:eastAsia="he-IL"/>
        </w:rPr>
        <w:t xml:space="preserve">כפי שנקבע בפסיקה ובהתאם להוראות </w:t>
      </w:r>
      <w:hyperlink r:id="rId37" w:history="1">
        <w:r w:rsidR="00B930B9" w:rsidRPr="00B930B9">
          <w:rPr>
            <w:rStyle w:val="Hyperlink"/>
            <w:sz w:val="20"/>
            <w:rtl/>
            <w:lang w:eastAsia="he-IL"/>
          </w:rPr>
          <w:t>סעיף 37א</w:t>
        </w:r>
      </w:hyperlink>
      <w:r>
        <w:rPr>
          <w:sz w:val="20"/>
          <w:rtl/>
          <w:lang w:eastAsia="he-IL"/>
        </w:rPr>
        <w:t xml:space="preserve"> ל-</w:t>
      </w:r>
      <w:r>
        <w:rPr>
          <w:rFonts w:ascii="Miriam" w:hAnsi="Miriam" w:cs="Miriam"/>
          <w:b/>
          <w:bCs/>
          <w:sz w:val="18"/>
          <w:szCs w:val="22"/>
          <w:rtl/>
          <w:lang w:eastAsia="he-IL"/>
        </w:rPr>
        <w:t>פקודת הסמים</w:t>
      </w:r>
      <w:r>
        <w:rPr>
          <w:sz w:val="20"/>
          <w:rtl/>
          <w:lang w:eastAsia="he-IL"/>
        </w:rPr>
        <w:t xml:space="preserve">, בעבירות הקשורות בסמים מסוכנים יש חשיבות לפסילה. </w:t>
      </w:r>
      <w:r>
        <w:rPr>
          <w:b/>
          <w:bCs/>
          <w:sz w:val="20"/>
          <w:rtl/>
          <w:lang w:eastAsia="he-IL"/>
        </w:rPr>
        <w:t>מתחם הפסילה נע בין פסילה מותנית לבין שנת פסילה בפועל</w:t>
      </w:r>
      <w:r>
        <w:rPr>
          <w:sz w:val="20"/>
          <w:rtl/>
          <w:lang w:eastAsia="he-IL"/>
        </w:rPr>
        <w:t>.</w:t>
      </w:r>
    </w:p>
    <w:p w14:paraId="1F16B832" w14:textId="77777777" w:rsidR="00955DD7" w:rsidRDefault="00955DD7" w:rsidP="00955DD7">
      <w:pPr>
        <w:widowControl w:val="0"/>
        <w:spacing w:line="360" w:lineRule="auto"/>
        <w:jc w:val="both"/>
        <w:rPr>
          <w:rFonts w:ascii="David" w:hAnsi="David"/>
          <w:bCs/>
          <w:sz w:val="26"/>
          <w:szCs w:val="26"/>
          <w:rtl/>
        </w:rPr>
      </w:pPr>
    </w:p>
    <w:p w14:paraId="45A524C4" w14:textId="77777777" w:rsidR="00955DD7" w:rsidRDefault="00955DD7" w:rsidP="00955DD7">
      <w:pPr>
        <w:widowControl w:val="0"/>
        <w:spacing w:line="360" w:lineRule="auto"/>
        <w:jc w:val="both"/>
        <w:rPr>
          <w:rFonts w:ascii="David" w:hAnsi="David"/>
          <w:bCs/>
          <w:sz w:val="26"/>
          <w:szCs w:val="26"/>
        </w:rPr>
      </w:pPr>
      <w:r>
        <w:rPr>
          <w:rFonts w:ascii="David" w:hAnsi="David"/>
          <w:bCs/>
          <w:sz w:val="26"/>
          <w:szCs w:val="26"/>
          <w:rtl/>
        </w:rPr>
        <w:t>נסיבות שלא קשורות בביצוע העבירה</w:t>
      </w:r>
    </w:p>
    <w:p w14:paraId="6B803B6F" w14:textId="77777777" w:rsidR="00955DD7" w:rsidRDefault="00955DD7" w:rsidP="00955DD7">
      <w:pPr>
        <w:pStyle w:val="aa"/>
        <w:widowControl w:val="0"/>
        <w:numPr>
          <w:ilvl w:val="0"/>
          <w:numId w:val="1"/>
        </w:numPr>
        <w:spacing w:line="360" w:lineRule="auto"/>
        <w:ind w:left="360"/>
        <w:jc w:val="both"/>
        <w:rPr>
          <w:sz w:val="24"/>
        </w:rPr>
      </w:pPr>
      <w:r>
        <w:rPr>
          <w:rFonts w:hint="cs"/>
          <w:sz w:val="24"/>
          <w:rtl/>
        </w:rPr>
        <w:t xml:space="preserve">בהתאם להוראות </w:t>
      </w:r>
      <w:hyperlink r:id="rId38" w:history="1">
        <w:r w:rsidR="00B930B9" w:rsidRPr="00B930B9">
          <w:rPr>
            <w:rStyle w:val="Hyperlink"/>
            <w:rFonts w:hint="eastAsia"/>
            <w:sz w:val="24"/>
            <w:rtl/>
          </w:rPr>
          <w:t>סעיף</w:t>
        </w:r>
        <w:r w:rsidR="00B930B9" w:rsidRPr="00B930B9">
          <w:rPr>
            <w:rStyle w:val="Hyperlink"/>
            <w:sz w:val="24"/>
            <w:rtl/>
          </w:rPr>
          <w:t xml:space="preserve"> 40ג(ב)</w:t>
        </w:r>
      </w:hyperlink>
      <w:r>
        <w:rPr>
          <w:rFonts w:hint="cs"/>
          <w:sz w:val="24"/>
          <w:rtl/>
        </w:rPr>
        <w:t xml:space="preserve"> ל-</w:t>
      </w:r>
      <w:hyperlink r:id="rId39" w:history="1">
        <w:r w:rsidR="00DD2041" w:rsidRPr="00DD2041">
          <w:rPr>
            <w:rFonts w:ascii="Miriam" w:hAnsi="Miriam" w:cs="Miriam"/>
            <w:b/>
            <w:bCs/>
            <w:color w:val="0000FF"/>
            <w:szCs w:val="22"/>
            <w:u w:val="single"/>
            <w:rtl/>
            <w:lang w:eastAsia="en-US"/>
          </w:rPr>
          <w:t>חוק העונשין</w:t>
        </w:r>
      </w:hyperlink>
      <w:r>
        <w:rPr>
          <w:rFonts w:hint="cs"/>
          <w:sz w:val="24"/>
          <w:rtl/>
        </w:rPr>
        <w:t xml:space="preserve">, התחשבתי בנסיבות שלא קשורות בביצוע העבירה, כמפורט </w:t>
      </w:r>
      <w:hyperlink r:id="rId40" w:history="1">
        <w:r w:rsidR="00B930B9" w:rsidRPr="00B930B9">
          <w:rPr>
            <w:rStyle w:val="Hyperlink"/>
            <w:rFonts w:hint="eastAsia"/>
            <w:sz w:val="24"/>
            <w:rtl/>
          </w:rPr>
          <w:t>בסעיף</w:t>
        </w:r>
        <w:r w:rsidR="00B930B9" w:rsidRPr="00B930B9">
          <w:rPr>
            <w:rStyle w:val="Hyperlink"/>
            <w:sz w:val="24"/>
            <w:rtl/>
          </w:rPr>
          <w:t xml:space="preserve"> 40יא</w:t>
        </w:r>
      </w:hyperlink>
      <w:r>
        <w:rPr>
          <w:rFonts w:hint="cs"/>
          <w:sz w:val="24"/>
          <w:rtl/>
        </w:rPr>
        <w:t xml:space="preserve"> ל-</w:t>
      </w:r>
      <w:r>
        <w:rPr>
          <w:rFonts w:ascii="Miriam" w:hAnsi="Miriam" w:cs="Miriam"/>
          <w:b/>
          <w:bCs/>
          <w:szCs w:val="22"/>
          <w:rtl/>
          <w:lang w:eastAsia="en-US"/>
        </w:rPr>
        <w:t>חוק העונשין</w:t>
      </w:r>
      <w:r>
        <w:rPr>
          <w:rFonts w:hint="cs"/>
          <w:sz w:val="24"/>
          <w:rtl/>
        </w:rPr>
        <w:t>, כעולה מהתסקירים הנושאים תאריכים 2.1.23, 1.6.23, 28.11.23 ו-11.2.24, מטיעוני הצדדים לעונש ומדברי הנאשם:</w:t>
      </w:r>
    </w:p>
    <w:p w14:paraId="3174EF10" w14:textId="77777777" w:rsidR="00955DD7" w:rsidRDefault="00955DD7" w:rsidP="00955DD7">
      <w:pPr>
        <w:pStyle w:val="aa"/>
        <w:widowControl w:val="0"/>
        <w:ind w:left="360"/>
        <w:jc w:val="both"/>
        <w:rPr>
          <w:rFonts w:ascii="Times New Roman" w:hAnsi="Times New Roman"/>
          <w:szCs w:val="20"/>
        </w:rPr>
      </w:pPr>
    </w:p>
    <w:p w14:paraId="6E03F547" w14:textId="77777777" w:rsidR="00955DD7" w:rsidRDefault="00955DD7" w:rsidP="00955DD7">
      <w:pPr>
        <w:widowControl w:val="0"/>
        <w:numPr>
          <w:ilvl w:val="2"/>
          <w:numId w:val="1"/>
        </w:numPr>
        <w:spacing w:line="360" w:lineRule="auto"/>
        <w:ind w:left="794" w:hanging="454"/>
        <w:jc w:val="both"/>
        <w:rPr>
          <w:rFonts w:ascii="David" w:hAnsi="David"/>
          <w:rtl/>
        </w:rPr>
      </w:pPr>
      <w:r>
        <w:rPr>
          <w:rFonts w:ascii="David" w:hAnsi="David"/>
          <w:b/>
          <w:bCs/>
          <w:rtl/>
        </w:rPr>
        <w:t>רקע משפחתי</w:t>
      </w:r>
      <w:r>
        <w:rPr>
          <w:rFonts w:ascii="David" w:hAnsi="David"/>
          <w:rtl/>
        </w:rPr>
        <w:t xml:space="preserve"> – הנאשם כבן 25, רווק, ומתגורר בבית אביו באופקים. הנאשם הוא הצעיר מבין 2 ילדי הוריו. הוריו התגרשו בהיותו כבן 6. אביו נישא שוב לפני כעשור לבת זוג עמה לא הביא ילדים לעולם. אמו מקיימת קשר זוגי מזה כעשור ומקשר זה הביאה לעולם בן נוסף. מהתסקירים בעניינו עלתה תמונה מורכבת של יחסיו עם הוריו, אשר היה בה כדי להשפיע על מהלך חייו, כפי שיפורט בהמשך. </w:t>
      </w:r>
    </w:p>
    <w:p w14:paraId="28E5950A" w14:textId="77777777" w:rsidR="00955DD7" w:rsidRDefault="00955DD7" w:rsidP="00955DD7">
      <w:pPr>
        <w:widowControl w:val="0"/>
        <w:ind w:left="794"/>
        <w:jc w:val="both"/>
        <w:rPr>
          <w:rFonts w:ascii="David" w:hAnsi="David"/>
          <w:sz w:val="22"/>
          <w:szCs w:val="22"/>
        </w:rPr>
      </w:pPr>
    </w:p>
    <w:p w14:paraId="0A935802" w14:textId="77777777" w:rsidR="00955DD7" w:rsidRDefault="00955DD7" w:rsidP="00955DD7">
      <w:pPr>
        <w:widowControl w:val="0"/>
        <w:numPr>
          <w:ilvl w:val="2"/>
          <w:numId w:val="1"/>
        </w:numPr>
        <w:spacing w:line="360" w:lineRule="auto"/>
        <w:ind w:left="794" w:hanging="454"/>
        <w:jc w:val="both"/>
        <w:rPr>
          <w:rFonts w:ascii="David" w:hAnsi="David"/>
          <w:rtl/>
        </w:rPr>
      </w:pPr>
      <w:r>
        <w:rPr>
          <w:rFonts w:ascii="David" w:hAnsi="David"/>
          <w:b/>
          <w:bCs/>
          <w:rtl/>
        </w:rPr>
        <w:t>נסיבות חיים שהייתה להן השפעה על ביצוע העבירה</w:t>
      </w:r>
      <w:r>
        <w:rPr>
          <w:rFonts w:ascii="David" w:hAnsi="David"/>
          <w:rtl/>
        </w:rPr>
        <w:t xml:space="preserve"> – </w:t>
      </w:r>
    </w:p>
    <w:p w14:paraId="51A4011E" w14:textId="77777777" w:rsidR="00955DD7" w:rsidRDefault="00955DD7" w:rsidP="00955DD7">
      <w:pPr>
        <w:widowControl w:val="0"/>
        <w:spacing w:line="360" w:lineRule="auto"/>
        <w:ind w:left="794"/>
        <w:jc w:val="both"/>
        <w:rPr>
          <w:rFonts w:ascii="David" w:hAnsi="David"/>
        </w:rPr>
      </w:pPr>
      <w:r>
        <w:rPr>
          <w:rFonts w:ascii="David" w:hAnsi="David"/>
          <w:b/>
          <w:bCs/>
          <w:u w:val="single"/>
          <w:rtl/>
        </w:rPr>
        <w:t>בפן המשפחתי</w:t>
      </w:r>
      <w:r>
        <w:rPr>
          <w:rFonts w:ascii="David" w:hAnsi="David"/>
          <w:b/>
          <w:bCs/>
          <w:rtl/>
        </w:rPr>
        <w:t xml:space="preserve"> – </w:t>
      </w:r>
      <w:r>
        <w:rPr>
          <w:rFonts w:ascii="David" w:hAnsi="David"/>
          <w:rtl/>
        </w:rPr>
        <w:t xml:space="preserve">לאחר גירושי הוריו הוחלט כי אביו יהיה זה שיגדל אותו. תחילה לא ראה את אמו בתדירות גבוהה, אך במשך תדירות מפגשיו עמה גברה. אביו תואר כאדם קשה, שמתעצבן בקלות, אשר חל שינוי לרעה לאחר נישואיו השניים ועמו הנאשם לא יכל לשוחח ולשתף אותו בפתיחות. עקב ויכוחים של הנאשם עם אשת האב מצד אחד ועם אמו מהצד השני, ובהיעדר מקום פיזי עבורו בבית האם – נאלץ הנאשם להעביר שנות ילדותו במעברי בתים. הנאשם לא חווה בית חם ואוהב ודמויות הוריות שחש מהם אהבה ותמיכה. </w:t>
      </w:r>
    </w:p>
    <w:p w14:paraId="1BCBC52D" w14:textId="77777777" w:rsidR="00955DD7" w:rsidRDefault="00955DD7" w:rsidP="00955DD7">
      <w:pPr>
        <w:widowControl w:val="0"/>
        <w:ind w:left="794"/>
        <w:jc w:val="both"/>
        <w:rPr>
          <w:rFonts w:ascii="David" w:hAnsi="David"/>
          <w:b/>
          <w:bCs/>
          <w:u w:val="single"/>
          <w:rtl/>
        </w:rPr>
      </w:pPr>
    </w:p>
    <w:p w14:paraId="73580AB0" w14:textId="77777777" w:rsidR="00955DD7" w:rsidRDefault="00955DD7" w:rsidP="00955DD7">
      <w:pPr>
        <w:widowControl w:val="0"/>
        <w:spacing w:line="360" w:lineRule="auto"/>
        <w:ind w:left="794"/>
        <w:jc w:val="both"/>
        <w:rPr>
          <w:rFonts w:ascii="David" w:hAnsi="David"/>
          <w:rtl/>
        </w:rPr>
      </w:pPr>
      <w:r>
        <w:rPr>
          <w:rFonts w:ascii="David" w:hAnsi="David"/>
          <w:b/>
          <w:bCs/>
          <w:u w:val="single"/>
          <w:rtl/>
        </w:rPr>
        <w:t>בפן הלימודי</w:t>
      </w:r>
      <w:r>
        <w:rPr>
          <w:rFonts w:ascii="David" w:hAnsi="David"/>
          <w:rtl/>
        </w:rPr>
        <w:t xml:space="preserve"> – עד כיתה ז' היה תלמיד אהוב ללא בעיות התנהגות. בכיתה ז' החל להיעדר מבית הספר ולחוות בעיות התנהגות, בשל בלבול על רקע מעבר בין בתים וויכוחים שהתגברו בשנים אלו עם הוריו ובני זוגם. בכיתה ט' החליט לעזוב את בית הספר, למורת רוחם ועצתם של הוריו ומוריו, והחל בחיפוש עבודות, בעיקר בלילות, בכדי להמעיט שהייתו בבית אביו ולמנוע חיכוכים עם אשתו. </w:t>
      </w:r>
    </w:p>
    <w:p w14:paraId="139EFCBF" w14:textId="77777777" w:rsidR="00955DD7" w:rsidRDefault="00955DD7" w:rsidP="00955DD7">
      <w:pPr>
        <w:widowControl w:val="0"/>
        <w:ind w:left="794"/>
        <w:jc w:val="both"/>
        <w:rPr>
          <w:rFonts w:ascii="David" w:hAnsi="David"/>
          <w:b/>
          <w:bCs/>
          <w:u w:val="single"/>
          <w:rtl/>
        </w:rPr>
      </w:pPr>
    </w:p>
    <w:p w14:paraId="5552FA23" w14:textId="77777777" w:rsidR="00955DD7" w:rsidRDefault="00955DD7" w:rsidP="00955DD7">
      <w:pPr>
        <w:widowControl w:val="0"/>
        <w:spacing w:line="360" w:lineRule="auto"/>
        <w:ind w:left="794"/>
        <w:jc w:val="both"/>
        <w:rPr>
          <w:rFonts w:ascii="David" w:hAnsi="David"/>
          <w:rtl/>
        </w:rPr>
      </w:pPr>
      <w:r>
        <w:rPr>
          <w:rFonts w:ascii="David" w:hAnsi="David"/>
          <w:b/>
          <w:bCs/>
          <w:u w:val="single"/>
          <w:rtl/>
        </w:rPr>
        <w:t>שירות צבאי</w:t>
      </w:r>
      <w:r>
        <w:rPr>
          <w:rFonts w:ascii="David" w:hAnsi="David"/>
          <w:rtl/>
        </w:rPr>
        <w:t xml:space="preserve"> – תחילה התגייס ל"חוות השומר" ועבר טירונות קרבית, לאור שאיפתו ורצונו להיות לוחם. לא התאים לשרת ביחידה קרבית ולכן לא היה מעוניין להמשיך שירות צבאי. הדבר בא לידי ביטוי בבריחות ועריקות ובהמשך אף ריצה מאסרים בכלא צבאי. שירת שנתיים ושוחרר על רקע בעיות משמעת. לאחר שחרורו שב להתגורר בבית אביו. </w:t>
      </w:r>
    </w:p>
    <w:p w14:paraId="6B52E6E1" w14:textId="77777777" w:rsidR="00955DD7" w:rsidRDefault="00955DD7" w:rsidP="00955DD7">
      <w:pPr>
        <w:widowControl w:val="0"/>
        <w:jc w:val="both"/>
        <w:rPr>
          <w:rFonts w:ascii="David" w:hAnsi="David"/>
          <w:rtl/>
        </w:rPr>
      </w:pPr>
    </w:p>
    <w:p w14:paraId="66704198" w14:textId="77777777" w:rsidR="00955DD7" w:rsidRDefault="00955DD7" w:rsidP="00955DD7">
      <w:pPr>
        <w:widowControl w:val="0"/>
        <w:spacing w:line="360" w:lineRule="auto"/>
        <w:ind w:left="794"/>
        <w:jc w:val="both"/>
        <w:rPr>
          <w:rFonts w:ascii="David" w:hAnsi="David"/>
          <w:rtl/>
        </w:rPr>
      </w:pPr>
      <w:r>
        <w:rPr>
          <w:rFonts w:ascii="David" w:hAnsi="David"/>
          <w:b/>
          <w:bCs/>
          <w:u w:val="single"/>
          <w:rtl/>
        </w:rPr>
        <w:t>שימוש בחומרים משני תודעה</w:t>
      </w:r>
      <w:r>
        <w:rPr>
          <w:rFonts w:ascii="David" w:hAnsi="David"/>
          <w:b/>
          <w:bCs/>
          <w:rtl/>
        </w:rPr>
        <w:t xml:space="preserve"> </w:t>
      </w:r>
      <w:r>
        <w:rPr>
          <w:rFonts w:ascii="David" w:hAnsi="David"/>
          <w:rtl/>
        </w:rPr>
        <w:t xml:space="preserve">– החל צריכת חומרים ממכרים בגיל 15, עת חבר מבית הספר חשף אותו לסמים. לאחר שהתנסה, חש רוגע והצליח לברוח משגרת חייו. צרך הסמים בתדירות יומית ללא ידיעת הוריו. הפסיק צריכתם מאז מעצרו בתיק זה. </w:t>
      </w:r>
    </w:p>
    <w:p w14:paraId="7B9147CC" w14:textId="77777777" w:rsidR="00955DD7" w:rsidRDefault="00955DD7" w:rsidP="00955DD7">
      <w:pPr>
        <w:pStyle w:val="aa"/>
        <w:widowControl w:val="0"/>
        <w:rPr>
          <w:b/>
          <w:bCs/>
          <w:sz w:val="18"/>
          <w:szCs w:val="22"/>
        </w:rPr>
      </w:pPr>
    </w:p>
    <w:p w14:paraId="0F7C4650" w14:textId="77777777" w:rsidR="00955DD7" w:rsidRDefault="00955DD7" w:rsidP="00955DD7">
      <w:pPr>
        <w:widowControl w:val="0"/>
        <w:numPr>
          <w:ilvl w:val="2"/>
          <w:numId w:val="1"/>
        </w:numPr>
        <w:spacing w:line="360" w:lineRule="auto"/>
        <w:ind w:left="794" w:hanging="454"/>
        <w:jc w:val="both"/>
        <w:rPr>
          <w:rFonts w:ascii="David" w:hAnsi="David"/>
          <w:sz w:val="18"/>
          <w:szCs w:val="22"/>
        </w:rPr>
      </w:pPr>
      <w:r>
        <w:rPr>
          <w:rFonts w:ascii="David" w:hAnsi="David"/>
          <w:b/>
          <w:bCs/>
          <w:rtl/>
        </w:rPr>
        <w:t>נטילת אחריות</w:t>
      </w:r>
      <w:r>
        <w:rPr>
          <w:rFonts w:ascii="David" w:hAnsi="David"/>
          <w:rtl/>
        </w:rPr>
        <w:t xml:space="preserve"> – הנאשם נטל אחריות מלאה מיד, עוד בחקירתו במשטרה והודה בשלב מוקדם של ההליך, כבר ב-6.9.22, כחמישה חודשים לאחר הגשת כתב האישום וביצוע העבירה. הנאשם הביע חרטה בפני שירות המבחן. בדבריו לעונש שב והביע צער וחרטה על מעשיו "</w:t>
      </w:r>
      <w:r>
        <w:rPr>
          <w:b/>
          <w:bCs/>
          <w:rtl/>
        </w:rPr>
        <w:t>אני מצטער מאוד על העבירה שעשיתי, אני כבר לא במקום שהייתי</w:t>
      </w:r>
      <w:r>
        <w:rPr>
          <w:rFonts w:ascii="David" w:hAnsi="David"/>
          <w:rtl/>
        </w:rPr>
        <w:t xml:space="preserve">". </w:t>
      </w:r>
    </w:p>
    <w:p w14:paraId="2DA21F70" w14:textId="77777777" w:rsidR="00955DD7" w:rsidRDefault="00955DD7" w:rsidP="00955DD7">
      <w:pPr>
        <w:widowControl w:val="0"/>
        <w:ind w:left="794"/>
        <w:jc w:val="both"/>
        <w:rPr>
          <w:rFonts w:ascii="David" w:hAnsi="David"/>
          <w:sz w:val="18"/>
          <w:szCs w:val="22"/>
        </w:rPr>
      </w:pPr>
    </w:p>
    <w:p w14:paraId="3F9CE441" w14:textId="77777777" w:rsidR="00955DD7" w:rsidRDefault="00955DD7" w:rsidP="00955DD7">
      <w:pPr>
        <w:widowControl w:val="0"/>
        <w:numPr>
          <w:ilvl w:val="2"/>
          <w:numId w:val="1"/>
        </w:numPr>
        <w:spacing w:line="360" w:lineRule="auto"/>
        <w:ind w:left="794" w:hanging="454"/>
        <w:jc w:val="both"/>
        <w:rPr>
          <w:rFonts w:ascii="David" w:hAnsi="David"/>
        </w:rPr>
      </w:pPr>
      <w:r>
        <w:rPr>
          <w:rFonts w:ascii="David" w:hAnsi="David"/>
          <w:b/>
          <w:bCs/>
          <w:rtl/>
        </w:rPr>
        <w:t>מאמצי הנאשם לחזור למוטב</w:t>
      </w:r>
      <w:r>
        <w:rPr>
          <w:rFonts w:ascii="David" w:hAnsi="David"/>
          <w:rtl/>
        </w:rPr>
        <w:t xml:space="preserve"> – לדברי הנאשם מעת מעצרו בתיק הפסיק לעשות שימוש בסמים, ואכן תוצאות בדיקותיו לאורך כל ההליך העידו על ניקיון מסמים (למעט בדיקה אחת אליה לא התייצב עקב חולי, אך הודיע מראש). בכל תסקיריו המליץ שירות המבחן על ענישה צופה פני עתיד ו-250 שעות של"ץ:</w:t>
      </w:r>
    </w:p>
    <w:p w14:paraId="00ED5FEB" w14:textId="77777777" w:rsidR="00955DD7" w:rsidRDefault="00955DD7" w:rsidP="00955DD7">
      <w:pPr>
        <w:pStyle w:val="aa"/>
      </w:pPr>
    </w:p>
    <w:p w14:paraId="2D8566BB" w14:textId="77777777" w:rsidR="00955DD7" w:rsidRDefault="00955DD7" w:rsidP="00955DD7">
      <w:pPr>
        <w:widowControl w:val="0"/>
        <w:spacing w:line="360" w:lineRule="auto"/>
        <w:ind w:left="794"/>
        <w:jc w:val="both"/>
        <w:rPr>
          <w:rFonts w:ascii="David" w:hAnsi="David"/>
          <w:rtl/>
        </w:rPr>
      </w:pPr>
      <w:r>
        <w:rPr>
          <w:rFonts w:ascii="David" w:hAnsi="David"/>
          <w:u w:val="single"/>
          <w:rtl/>
        </w:rPr>
        <w:t>תסקיר 2.1.23</w:t>
      </w:r>
      <w:r>
        <w:rPr>
          <w:rFonts w:ascii="David" w:hAnsi="David"/>
          <w:rtl/>
        </w:rPr>
        <w:t xml:space="preserve"> – הנאשם שלל צורך בטיפול קבוצתי, התקשה להשתלב בסדנת הכנה לטיפול ואף התקשה בשיח פרטני, אך ביקש לבחון אפשרות של השתלבות בהליך טיפולי פרטני. בהקשר זה מקובלת עלי טענת ב"כ המאשימה, כי עמדה השוללת נזקקות טיפולית וטענתו שהוא לא מכור לא מתיישבת עם צריכת סמים מגיל 15 ובמשך כ-8 שנים. בשל עמדה זו נשללה אפשרות התאמתו לבית משפט קהילתי ולא הומלץ על ביטול הרשעתו. </w:t>
      </w:r>
    </w:p>
    <w:p w14:paraId="71C2DBCA" w14:textId="77777777" w:rsidR="00955DD7" w:rsidRDefault="00955DD7" w:rsidP="00955DD7">
      <w:pPr>
        <w:widowControl w:val="0"/>
        <w:ind w:left="794"/>
        <w:jc w:val="both"/>
        <w:rPr>
          <w:rFonts w:ascii="David" w:hAnsi="David"/>
          <w:u w:val="single"/>
          <w:rtl/>
        </w:rPr>
      </w:pPr>
    </w:p>
    <w:p w14:paraId="5B76C124" w14:textId="77777777" w:rsidR="00955DD7" w:rsidRDefault="00955DD7" w:rsidP="00955DD7">
      <w:pPr>
        <w:widowControl w:val="0"/>
        <w:spacing w:line="360" w:lineRule="auto"/>
        <w:ind w:left="794"/>
        <w:jc w:val="both"/>
        <w:rPr>
          <w:rFonts w:ascii="David" w:hAnsi="David"/>
          <w:rtl/>
        </w:rPr>
      </w:pPr>
      <w:r>
        <w:rPr>
          <w:rFonts w:ascii="David" w:hAnsi="David"/>
          <w:u w:val="single"/>
          <w:rtl/>
        </w:rPr>
        <w:t>תסקיר 1.6.23</w:t>
      </w:r>
      <w:r>
        <w:rPr>
          <w:rFonts w:ascii="David" w:hAnsi="David"/>
          <w:rtl/>
        </w:rPr>
        <w:t xml:space="preserve"> – הנאשם השתלב בשיחות פרטניות והקפיד על הגעה בזמן, גילה אחריות ורצינות. תחילה התקשה לשתף מעולמו הפנימי, אך בהמשך הצליח להיפתח ולהביא עצמו לידי ביטוי. לדבריו, הרחיק מחייו אנשים שלא היטיבו עמו ועם אורחות חייו, מעונין ללמוד ולהתפתח בתחום הקבלנות, גילה אחריות למצבו הכלכלי והגיע להסדר חובות עם הבנק, שהוביל להסרת העיקולים. הנאשם ציין כי הוא שואף לעצמאות תעסוקתית והקמת בית ומשפחה. שירות המבחן התרשם כי הנאשם נתרם מהטיפול שעבר ובמסגרת השינוי שעשה אף הפסיק לעשן סיגריות. שירות המבחן שב על עמדתו כי אין מקום לבטל הרשעתו. </w:t>
      </w:r>
    </w:p>
    <w:p w14:paraId="75DC61C2" w14:textId="77777777" w:rsidR="00955DD7" w:rsidRDefault="00955DD7" w:rsidP="00955DD7">
      <w:pPr>
        <w:widowControl w:val="0"/>
        <w:ind w:left="794"/>
        <w:jc w:val="both"/>
        <w:rPr>
          <w:rFonts w:ascii="David" w:hAnsi="David"/>
          <w:u w:val="single"/>
          <w:rtl/>
        </w:rPr>
      </w:pPr>
    </w:p>
    <w:p w14:paraId="229F4DF5" w14:textId="77777777" w:rsidR="00955DD7" w:rsidRDefault="00955DD7" w:rsidP="00955DD7">
      <w:pPr>
        <w:widowControl w:val="0"/>
        <w:spacing w:line="360" w:lineRule="auto"/>
        <w:ind w:left="794"/>
        <w:jc w:val="both"/>
        <w:rPr>
          <w:rFonts w:ascii="David" w:hAnsi="David"/>
          <w:rtl/>
        </w:rPr>
      </w:pPr>
      <w:r>
        <w:rPr>
          <w:rFonts w:ascii="David" w:hAnsi="David"/>
          <w:u w:val="single"/>
          <w:rtl/>
        </w:rPr>
        <w:t>תסקיר 28.11.23</w:t>
      </w:r>
      <w:r>
        <w:rPr>
          <w:rFonts w:ascii="David" w:hAnsi="David"/>
          <w:rtl/>
        </w:rPr>
        <w:t xml:space="preserve"> – משהסתיים הליך הטיפול הפרטני (עם סיום עבודתה של הסטודנטית) המשיכה קצינת המבחן את הקשר עם הנאשם. בשיחות מסר הנאשם כי פתח עסק עצמאי בתחום השיפוצים וחזר על רצונו להתפתח בתחום. לדבריו, ההליך הטיפולי עזר וסייע לו בשינוי דפוסיו וכיום מצליח לייצר שיח ותקשורת פתוחה עם הוריו ולהביא עצמו לידי ביטוי. הנאשם שומר על ניקיון מסמים ומתרחק מסביבה לא מיטבה. הביע רצון בהמשך הקשר הטיפולי עם קצינת המבחן. שירות המבחן שינה עמדתו והמליץ על ביטול הרשעתו, כדי למנוע פגיעה באפשרויות תעסוקה בעתיד ונוכח כוונתו להשתלב בלימודים בתחום הבניה. </w:t>
      </w:r>
    </w:p>
    <w:p w14:paraId="547E7ADB" w14:textId="77777777" w:rsidR="00955DD7" w:rsidRDefault="00955DD7" w:rsidP="00955DD7">
      <w:pPr>
        <w:widowControl w:val="0"/>
        <w:ind w:left="794"/>
        <w:jc w:val="both"/>
        <w:rPr>
          <w:rFonts w:ascii="David" w:hAnsi="David"/>
          <w:rtl/>
        </w:rPr>
      </w:pPr>
    </w:p>
    <w:p w14:paraId="133C0F02" w14:textId="77777777" w:rsidR="00955DD7" w:rsidRDefault="00955DD7" w:rsidP="00955DD7">
      <w:pPr>
        <w:widowControl w:val="0"/>
        <w:spacing w:line="360" w:lineRule="auto"/>
        <w:ind w:left="794"/>
        <w:jc w:val="both"/>
        <w:rPr>
          <w:rFonts w:ascii="David" w:hAnsi="David"/>
          <w:rtl/>
        </w:rPr>
      </w:pPr>
      <w:r>
        <w:rPr>
          <w:rFonts w:ascii="David" w:hAnsi="David"/>
          <w:u w:val="single"/>
          <w:rtl/>
        </w:rPr>
        <w:t>תסקיר 11.2.24</w:t>
      </w:r>
      <w:r>
        <w:rPr>
          <w:rFonts w:ascii="David" w:hAnsi="David"/>
          <w:rtl/>
        </w:rPr>
        <w:t xml:space="preserve"> – </w:t>
      </w:r>
      <w:r>
        <w:rPr>
          <w:rFonts w:ascii="David" w:hAnsi="David" w:hint="cs"/>
          <w:rtl/>
        </w:rPr>
        <w:t xml:space="preserve">הנאשם המשיך בקשר עם שירות המבחן, המשיך לבטא מחויבות ורצינות להליך המשפטי ושירות המבחן שב על המלצתו להשית ענישה שיקומית טיפולית, 250 שעות של"ץ ולהורות על ביטול הרשעתו. </w:t>
      </w:r>
    </w:p>
    <w:p w14:paraId="02188557" w14:textId="77777777" w:rsidR="00955DD7" w:rsidRDefault="00955DD7" w:rsidP="00955DD7">
      <w:pPr>
        <w:pStyle w:val="aa"/>
        <w:rPr>
          <w:rtl/>
        </w:rPr>
      </w:pPr>
    </w:p>
    <w:p w14:paraId="01C00445" w14:textId="77777777" w:rsidR="00955DD7" w:rsidRDefault="00955DD7" w:rsidP="00955DD7">
      <w:pPr>
        <w:widowControl w:val="0"/>
        <w:numPr>
          <w:ilvl w:val="2"/>
          <w:numId w:val="1"/>
        </w:numPr>
        <w:spacing w:line="360" w:lineRule="auto"/>
        <w:ind w:left="794" w:hanging="454"/>
        <w:jc w:val="both"/>
        <w:rPr>
          <w:rFonts w:ascii="David" w:hAnsi="David"/>
          <w:rtl/>
        </w:rPr>
      </w:pPr>
      <w:r>
        <w:rPr>
          <w:rFonts w:ascii="David" w:hAnsi="David"/>
          <w:b/>
          <w:bCs/>
          <w:rtl/>
        </w:rPr>
        <w:t>מבחינת כלכלית ותעסוקתית</w:t>
      </w:r>
      <w:r>
        <w:rPr>
          <w:rFonts w:ascii="David" w:hAnsi="David"/>
          <w:rtl/>
        </w:rPr>
        <w:t xml:space="preserve"> – עובר למעצרו עבד הנאשם בשליחויות ולפני כן עבד בעבודות זמניות, היה מצוי בחובות לבנק ולביטוח לאומי. במהלך ניהול ההליך השתלב הנאשם בעבודה במפעל לייצור פלסטיק, הגיע להסדר חובות מול הבנק, שהביאו להסרת העיקולים, אשר עמדו לחובתו. לאחרונה פתח הנאשם עסק עצמאי בתחום השיפוצים (</w:t>
      </w:r>
      <w:r>
        <w:rPr>
          <w:rFonts w:ascii="David" w:hAnsi="David"/>
          <w:b/>
          <w:bCs/>
          <w:rtl/>
        </w:rPr>
        <w:t>ט"ל/4</w:t>
      </w:r>
      <w:r>
        <w:rPr>
          <w:rFonts w:ascii="David" w:hAnsi="David"/>
          <w:rtl/>
        </w:rPr>
        <w:t xml:space="preserve">) וכאמור לעיל בכוונתו להשתלב בלימודים ולהתפתח בתחום זה. </w:t>
      </w:r>
    </w:p>
    <w:p w14:paraId="3E707E3F" w14:textId="77777777" w:rsidR="00955DD7" w:rsidRDefault="00955DD7" w:rsidP="00955DD7">
      <w:pPr>
        <w:pStyle w:val="aa"/>
      </w:pPr>
    </w:p>
    <w:p w14:paraId="7CA803AE" w14:textId="77777777" w:rsidR="00955DD7" w:rsidRDefault="00955DD7" w:rsidP="00955DD7">
      <w:pPr>
        <w:widowControl w:val="0"/>
        <w:numPr>
          <w:ilvl w:val="2"/>
          <w:numId w:val="1"/>
        </w:numPr>
        <w:spacing w:line="360" w:lineRule="auto"/>
        <w:ind w:left="794" w:hanging="454"/>
        <w:jc w:val="both"/>
        <w:rPr>
          <w:rFonts w:ascii="David" w:hAnsi="David"/>
        </w:rPr>
      </w:pPr>
      <w:r>
        <w:rPr>
          <w:rFonts w:ascii="David" w:hAnsi="David"/>
          <w:b/>
          <w:bCs/>
          <w:rtl/>
        </w:rPr>
        <w:t>הנזקים שנגרמו לנאשם מביצוע העבירות</w:t>
      </w:r>
      <w:r>
        <w:rPr>
          <w:rFonts w:ascii="David" w:hAnsi="David"/>
          <w:rtl/>
        </w:rPr>
        <w:t xml:space="preserve"> – הנאשם היה עצור כשבועים וחצי (7.4.22–24.4.22) ובתנאים מגבילים תקופה ארוכה. כל אלו, ועצם ניהול ההליך הפלילי מהווים עבורו גורם מרתיע ומציב גבול, כעולה מהתסקירים.</w:t>
      </w:r>
    </w:p>
    <w:p w14:paraId="54A229BD" w14:textId="77777777" w:rsidR="00955DD7" w:rsidRDefault="00955DD7" w:rsidP="00955DD7">
      <w:pPr>
        <w:pStyle w:val="aa"/>
        <w:rPr>
          <w:b/>
          <w:bCs/>
          <w:sz w:val="18"/>
          <w:szCs w:val="22"/>
          <w:rtl/>
        </w:rPr>
      </w:pPr>
    </w:p>
    <w:p w14:paraId="6C28177E" w14:textId="77777777" w:rsidR="00955DD7" w:rsidRDefault="00955DD7" w:rsidP="00955DD7">
      <w:pPr>
        <w:widowControl w:val="0"/>
        <w:numPr>
          <w:ilvl w:val="2"/>
          <w:numId w:val="1"/>
        </w:numPr>
        <w:spacing w:line="360" w:lineRule="auto"/>
        <w:ind w:left="794" w:hanging="454"/>
        <w:jc w:val="both"/>
        <w:rPr>
          <w:rFonts w:ascii="David" w:hAnsi="David"/>
        </w:rPr>
      </w:pPr>
      <w:r>
        <w:rPr>
          <w:rFonts w:ascii="David" w:hAnsi="David"/>
          <w:b/>
          <w:bCs/>
          <w:rtl/>
        </w:rPr>
        <w:t xml:space="preserve">חלוף הזמן – </w:t>
      </w:r>
      <w:r>
        <w:rPr>
          <w:rFonts w:ascii="David" w:hAnsi="David"/>
          <w:rtl/>
        </w:rPr>
        <w:t xml:space="preserve">חלפו כשנתיים מביצוע העבירות, במהלכן לא הורשע בעבירות נוספות, לא נפתחו נגדו תיקים חדשים, לא נרשמו לחובתו הפרות של תנאי השחרור והוא שיתף פעולה עם שירות המבחן. </w:t>
      </w:r>
    </w:p>
    <w:p w14:paraId="591A22D3" w14:textId="77777777" w:rsidR="00955DD7" w:rsidRDefault="00955DD7" w:rsidP="00955DD7">
      <w:pPr>
        <w:pStyle w:val="aa"/>
        <w:widowControl w:val="0"/>
        <w:rPr>
          <w:sz w:val="18"/>
          <w:szCs w:val="22"/>
          <w:rtl/>
        </w:rPr>
      </w:pPr>
    </w:p>
    <w:p w14:paraId="5AB6E1C7" w14:textId="77777777" w:rsidR="00955DD7" w:rsidRDefault="00955DD7" w:rsidP="00955DD7">
      <w:pPr>
        <w:widowControl w:val="0"/>
        <w:numPr>
          <w:ilvl w:val="2"/>
          <w:numId w:val="1"/>
        </w:numPr>
        <w:spacing w:line="360" w:lineRule="auto"/>
        <w:ind w:left="794" w:hanging="454"/>
        <w:jc w:val="both"/>
        <w:rPr>
          <w:rFonts w:ascii="David" w:hAnsi="David"/>
        </w:rPr>
      </w:pPr>
      <w:r>
        <w:rPr>
          <w:rFonts w:ascii="David" w:hAnsi="David"/>
          <w:b/>
          <w:bCs/>
          <w:rtl/>
        </w:rPr>
        <w:t>לחובת הנאשם 2 הרשעות בגין העדר מן השרות הצבאי</w:t>
      </w:r>
      <w:r>
        <w:rPr>
          <w:rFonts w:ascii="David" w:hAnsi="David"/>
          <w:rtl/>
        </w:rPr>
        <w:t>.</w:t>
      </w:r>
    </w:p>
    <w:p w14:paraId="35006310" w14:textId="77777777" w:rsidR="00955DD7" w:rsidRDefault="00955DD7" w:rsidP="00955DD7">
      <w:pPr>
        <w:widowControl w:val="0"/>
        <w:spacing w:line="360" w:lineRule="auto"/>
        <w:jc w:val="both"/>
        <w:rPr>
          <w:rFonts w:ascii="David" w:hAnsi="David"/>
          <w:b/>
          <w:bCs/>
          <w:sz w:val="26"/>
          <w:szCs w:val="26"/>
          <w:rtl/>
        </w:rPr>
      </w:pPr>
    </w:p>
    <w:p w14:paraId="6AE5397F" w14:textId="77777777" w:rsidR="00955DD7" w:rsidRDefault="00955DD7" w:rsidP="00955DD7">
      <w:pPr>
        <w:widowControl w:val="0"/>
        <w:spacing w:line="360" w:lineRule="auto"/>
        <w:jc w:val="both"/>
        <w:rPr>
          <w:rFonts w:ascii="David" w:hAnsi="David"/>
          <w:b/>
          <w:bCs/>
          <w:sz w:val="26"/>
          <w:szCs w:val="26"/>
        </w:rPr>
      </w:pPr>
      <w:r>
        <w:rPr>
          <w:rFonts w:ascii="David" w:hAnsi="David"/>
          <w:b/>
          <w:bCs/>
          <w:sz w:val="26"/>
          <w:szCs w:val="26"/>
          <w:rtl/>
        </w:rPr>
        <w:t>בקשת הנאשם לבטל הרשעתו</w:t>
      </w:r>
    </w:p>
    <w:p w14:paraId="76DBB16C" w14:textId="77777777" w:rsidR="00955DD7" w:rsidRDefault="00955DD7" w:rsidP="00955DD7">
      <w:pPr>
        <w:pStyle w:val="aa"/>
        <w:widowControl w:val="0"/>
        <w:numPr>
          <w:ilvl w:val="0"/>
          <w:numId w:val="1"/>
        </w:numPr>
        <w:snapToGrid/>
        <w:spacing w:line="360" w:lineRule="auto"/>
        <w:ind w:left="360"/>
        <w:jc w:val="both"/>
        <w:rPr>
          <w:rFonts w:ascii="Calibri" w:hAnsi="Calibri" w:cs="Calibri"/>
          <w:szCs w:val="22"/>
          <w:rtl/>
        </w:rPr>
      </w:pPr>
      <w:r>
        <w:rPr>
          <w:rFonts w:hint="cs"/>
          <w:rtl/>
        </w:rPr>
        <w:t>בסעיף 7 לפסק דינה ב-</w:t>
      </w:r>
      <w:hyperlink r:id="rId41" w:history="1">
        <w:r w:rsidR="00DD2041" w:rsidRPr="00DD2041">
          <w:rPr>
            <w:color w:val="0000FF"/>
            <w:u w:val="single"/>
            <w:rtl/>
          </w:rPr>
          <w:t>ע"פ 2083/96</w:t>
        </w:r>
      </w:hyperlink>
      <w:r>
        <w:rPr>
          <w:rFonts w:hint="cs"/>
          <w:rtl/>
        </w:rPr>
        <w:t xml:space="preserve"> </w:t>
      </w:r>
      <w:r>
        <w:rPr>
          <w:rFonts w:ascii="Miriam" w:hAnsi="Miriam" w:cs="Miriam"/>
          <w:b/>
          <w:bCs/>
          <w:szCs w:val="22"/>
          <w:rtl/>
        </w:rPr>
        <w:t xml:space="preserve">כתב נ' מדינת ישראל </w:t>
      </w:r>
      <w:r>
        <w:rPr>
          <w:rFonts w:hint="cs"/>
          <w:rtl/>
        </w:rPr>
        <w:t xml:space="preserve">(21.8.97) (להלן: </w:t>
      </w:r>
      <w:r>
        <w:rPr>
          <w:rFonts w:ascii="Miriam" w:hAnsi="Miriam" w:cs="Miriam"/>
          <w:b/>
          <w:bCs/>
          <w:szCs w:val="22"/>
          <w:rtl/>
        </w:rPr>
        <w:t>הלכת כתב</w:t>
      </w:r>
      <w:r>
        <w:rPr>
          <w:rFonts w:hint="cs"/>
          <w:rtl/>
        </w:rPr>
        <w:t>), קבעה כב' הש' דורנר, כי "</w:t>
      </w:r>
      <w:r>
        <w:rPr>
          <w:rFonts w:hint="cs"/>
          <w:b/>
          <w:bCs/>
          <w:rtl/>
        </w:rPr>
        <w:t xml:space="preserve">הימנעות מהרשעה אפשרית אפוא בהצטבר שני גורמים: ראשית, על ההרשעה לפגוע </w:t>
      </w:r>
      <w:r>
        <w:rPr>
          <w:rFonts w:hint="cs"/>
          <w:b/>
          <w:bCs/>
          <w:u w:val="single"/>
          <w:rtl/>
        </w:rPr>
        <w:t>פגיעה חמורה בשיקום הנאשם</w:t>
      </w:r>
      <w:r>
        <w:rPr>
          <w:rFonts w:hint="cs"/>
          <w:b/>
          <w:bCs/>
          <w:rtl/>
        </w:rPr>
        <w:t xml:space="preserve">, ושנית, </w:t>
      </w:r>
      <w:r>
        <w:rPr>
          <w:rFonts w:hint="cs"/>
          <w:b/>
          <w:bCs/>
          <w:u w:val="single"/>
          <w:rtl/>
        </w:rPr>
        <w:t>סוג העבירה מאפשר</w:t>
      </w:r>
      <w:r>
        <w:rPr>
          <w:rFonts w:hint="cs"/>
          <w:b/>
          <w:bCs/>
          <w:rtl/>
        </w:rPr>
        <w:t xml:space="preserve"> לוותר בנסיבות המקרה המסוים על ההרשעה </w:t>
      </w:r>
      <w:r>
        <w:rPr>
          <w:rFonts w:hint="cs"/>
          <w:b/>
          <w:bCs/>
          <w:u w:val="single"/>
          <w:rtl/>
        </w:rPr>
        <w:t>בלי לפגוע באופן מהותי בשיקולי הענישה האחרים</w:t>
      </w:r>
      <w:r>
        <w:rPr>
          <w:rFonts w:hint="cs"/>
          <w:b/>
          <w:bCs/>
          <w:rtl/>
        </w:rPr>
        <w:t xml:space="preserve"> המפורטים לעיל</w:t>
      </w:r>
      <w:r>
        <w:rPr>
          <w:rFonts w:hint="cs"/>
          <w:rtl/>
        </w:rPr>
        <w:t xml:space="preserve">" [ההדגשות לא במקור - זד"ל], כטענת ב"כ המאשימה. </w:t>
      </w:r>
      <w:r>
        <w:rPr>
          <w:rFonts w:hint="cs"/>
          <w:sz w:val="24"/>
          <w:rtl/>
        </w:rPr>
        <w:t>ב-</w:t>
      </w:r>
      <w:hyperlink r:id="rId42" w:history="1">
        <w:r w:rsidR="00DD2041" w:rsidRPr="00DD2041">
          <w:rPr>
            <w:color w:val="0000FF"/>
            <w:sz w:val="24"/>
            <w:u w:val="single"/>
            <w:rtl/>
          </w:rPr>
          <w:t>ע"פ 8690/15</w:t>
        </w:r>
      </w:hyperlink>
      <w:r>
        <w:rPr>
          <w:rFonts w:hint="cs"/>
          <w:sz w:val="24"/>
          <w:rtl/>
        </w:rPr>
        <w:t xml:space="preserve"> </w:t>
      </w:r>
      <w:r>
        <w:rPr>
          <w:rFonts w:ascii="Miriam" w:hAnsi="Miriam" w:cs="Miriam"/>
          <w:b/>
          <w:bCs/>
          <w:szCs w:val="22"/>
          <w:rtl/>
        </w:rPr>
        <w:t>מדינת ישראל נ' פלוני</w:t>
      </w:r>
      <w:r>
        <w:rPr>
          <w:rFonts w:hint="cs"/>
          <w:sz w:val="24"/>
          <w:rtl/>
        </w:rPr>
        <w:t xml:space="preserve"> (6.6.16) (להלן: </w:t>
      </w:r>
      <w:r>
        <w:rPr>
          <w:rFonts w:ascii="Miriam" w:hAnsi="Miriam" w:cs="Miriam"/>
          <w:b/>
          <w:bCs/>
          <w:szCs w:val="22"/>
          <w:rtl/>
        </w:rPr>
        <w:t>פס"ד פלוני</w:t>
      </w:r>
      <w:r>
        <w:rPr>
          <w:rFonts w:hint="cs"/>
          <w:sz w:val="24"/>
          <w:rtl/>
        </w:rPr>
        <w:t>), אליו הפנה ב"כ הנאשם, בסעיף 9 לפסק דינו, עמד כב' הש' ג'ובראן על המתח בין שני השיקולים העיקריים בנושא –</w:t>
      </w:r>
      <w:r>
        <w:rPr>
          <w:rFonts w:ascii="Times New Roman" w:hAnsi="Times New Roman" w:hint="cs"/>
          <w:sz w:val="24"/>
          <w:rtl/>
        </w:rPr>
        <w:t xml:space="preserve"> "</w:t>
      </w:r>
      <w:r>
        <w:rPr>
          <w:rFonts w:hint="cs"/>
          <w:b/>
          <w:bCs/>
          <w:sz w:val="24"/>
          <w:rtl/>
        </w:rPr>
        <w:t>האינטרס הציבורי, הכולל את הצורך להגשים את מטרות המשפט הפלילי ולמצות את הדין באמצעות הרשעת העבריין; והאינטרס הפרטי, הכולל את הנזק הצפוי לנאשם מהרשעתו תוך התחשבות בנסיבותיו האישיות</w:t>
      </w:r>
      <w:r>
        <w:rPr>
          <w:rFonts w:hint="cs"/>
          <w:sz w:val="24"/>
          <w:rtl/>
        </w:rPr>
        <w:t>". זוהי למעשה "</w:t>
      </w:r>
      <w:r>
        <w:rPr>
          <w:rFonts w:hint="cs"/>
          <w:b/>
          <w:bCs/>
          <w:sz w:val="24"/>
          <w:rtl/>
        </w:rPr>
        <w:t>מקבילית הכוחות</w:t>
      </w:r>
      <w:r>
        <w:rPr>
          <w:rFonts w:hint="cs"/>
          <w:sz w:val="24"/>
          <w:rtl/>
        </w:rPr>
        <w:t>" עליה עמדו כב' הש' דנינו ב-</w:t>
      </w:r>
      <w:r>
        <w:rPr>
          <w:rFonts w:hint="cs"/>
          <w:rtl/>
        </w:rPr>
        <w:t xml:space="preserve"> </w:t>
      </w:r>
      <w:hyperlink r:id="rId43" w:history="1">
        <w:r w:rsidR="00DD2041" w:rsidRPr="00DD2041">
          <w:rPr>
            <w:color w:val="0000FF"/>
            <w:u w:val="single"/>
            <w:rtl/>
          </w:rPr>
          <w:t>עפ"ג (ב"ש) 66903-07-20</w:t>
        </w:r>
      </w:hyperlink>
      <w:r>
        <w:rPr>
          <w:rFonts w:hint="cs"/>
          <w:rtl/>
        </w:rPr>
        <w:t xml:space="preserve"> </w:t>
      </w:r>
      <w:r>
        <w:rPr>
          <w:rFonts w:ascii="Miriam" w:hAnsi="Miriam" w:cs="Miriam"/>
          <w:b/>
          <w:bCs/>
          <w:szCs w:val="22"/>
          <w:rtl/>
        </w:rPr>
        <w:t>אבו מדיעם נ' מדינת ישראל</w:t>
      </w:r>
      <w:r>
        <w:rPr>
          <w:rFonts w:hint="cs"/>
          <w:rtl/>
        </w:rPr>
        <w:t xml:space="preserve"> (30.12.20) (להלן: </w:t>
      </w:r>
      <w:r>
        <w:rPr>
          <w:rFonts w:ascii="Miriam" w:hAnsi="Miriam" w:cs="Miriam"/>
          <w:b/>
          <w:bCs/>
          <w:szCs w:val="22"/>
          <w:rtl/>
        </w:rPr>
        <w:t>פס"ד אבו מדיעם</w:t>
      </w:r>
      <w:r>
        <w:rPr>
          <w:rFonts w:hint="cs"/>
          <w:rtl/>
        </w:rPr>
        <w:t xml:space="preserve">) </w:t>
      </w:r>
      <w:r>
        <w:rPr>
          <w:rFonts w:hint="cs"/>
          <w:sz w:val="24"/>
          <w:rtl/>
        </w:rPr>
        <w:t>וכב' הש' ברסלר-גונן ב-</w:t>
      </w:r>
      <w:r>
        <w:rPr>
          <w:rFonts w:hint="cs"/>
          <w:rtl/>
        </w:rPr>
        <w:t xml:space="preserve"> </w:t>
      </w:r>
      <w:hyperlink r:id="rId44" w:history="1">
        <w:r w:rsidR="00DD2041" w:rsidRPr="00DD2041">
          <w:rPr>
            <w:color w:val="0000FF"/>
            <w:u w:val="single"/>
            <w:rtl/>
          </w:rPr>
          <w:t>עפ"ג (ב"ש) 27326-12-21</w:t>
        </w:r>
      </w:hyperlink>
      <w:r>
        <w:rPr>
          <w:rFonts w:hint="cs"/>
          <w:rtl/>
        </w:rPr>
        <w:t xml:space="preserve"> </w:t>
      </w:r>
      <w:r>
        <w:rPr>
          <w:rFonts w:ascii="Miriam" w:hAnsi="Miriam" w:cs="Miriam"/>
          <w:b/>
          <w:bCs/>
          <w:szCs w:val="22"/>
          <w:rtl/>
        </w:rPr>
        <w:t>קיזר נ' מדינת ישראל</w:t>
      </w:r>
      <w:r>
        <w:rPr>
          <w:rFonts w:hint="cs"/>
          <w:rtl/>
        </w:rPr>
        <w:t xml:space="preserve"> (9.3.22) (להלן: </w:t>
      </w:r>
      <w:r>
        <w:rPr>
          <w:rFonts w:ascii="Miriam" w:hAnsi="Miriam" w:cs="Miriam"/>
          <w:b/>
          <w:bCs/>
          <w:szCs w:val="22"/>
          <w:rtl/>
        </w:rPr>
        <w:t>פס"ד קיזר</w:t>
      </w:r>
      <w:r>
        <w:rPr>
          <w:rFonts w:hint="cs"/>
          <w:rtl/>
        </w:rPr>
        <w:t>)</w:t>
      </w:r>
      <w:r>
        <w:rPr>
          <w:rFonts w:hint="cs"/>
          <w:sz w:val="24"/>
          <w:rtl/>
        </w:rPr>
        <w:t xml:space="preserve">. </w:t>
      </w:r>
    </w:p>
    <w:p w14:paraId="653278D7" w14:textId="77777777" w:rsidR="00955DD7" w:rsidRDefault="00955DD7" w:rsidP="00955DD7">
      <w:pPr>
        <w:pStyle w:val="aa"/>
        <w:widowControl w:val="0"/>
        <w:snapToGrid/>
        <w:spacing w:line="360" w:lineRule="auto"/>
        <w:ind w:left="360"/>
        <w:jc w:val="both"/>
        <w:rPr>
          <w:rFonts w:ascii="Calibri" w:hAnsi="Calibri" w:cs="Calibri"/>
          <w:szCs w:val="22"/>
        </w:rPr>
      </w:pPr>
    </w:p>
    <w:p w14:paraId="5C52ACA4" w14:textId="77777777" w:rsidR="00955DD7" w:rsidRDefault="00955DD7" w:rsidP="00955DD7">
      <w:pPr>
        <w:pStyle w:val="aa"/>
        <w:widowControl w:val="0"/>
        <w:numPr>
          <w:ilvl w:val="0"/>
          <w:numId w:val="1"/>
        </w:numPr>
        <w:snapToGrid/>
        <w:spacing w:line="360" w:lineRule="auto"/>
        <w:ind w:left="360"/>
        <w:jc w:val="both"/>
        <w:rPr>
          <w:rFonts w:ascii="Calibri" w:hAnsi="Calibri" w:cs="Calibri"/>
          <w:szCs w:val="22"/>
        </w:rPr>
      </w:pPr>
      <w:r>
        <w:rPr>
          <w:rFonts w:hint="cs"/>
          <w:sz w:val="24"/>
          <w:rtl/>
        </w:rPr>
        <w:t>נפסק לא אחת, כי שיקולי שיקום מהווים לא רק "</w:t>
      </w:r>
      <w:r>
        <w:rPr>
          <w:rFonts w:hint="cs"/>
          <w:b/>
          <w:bCs/>
          <w:sz w:val="24"/>
          <w:rtl/>
        </w:rPr>
        <w:t>אינטרס אישי פרטני</w:t>
      </w:r>
      <w:r>
        <w:rPr>
          <w:rFonts w:hint="cs"/>
          <w:sz w:val="24"/>
          <w:rtl/>
        </w:rPr>
        <w:t>" של העבריין "</w:t>
      </w:r>
      <w:r>
        <w:rPr>
          <w:rFonts w:hint="cs"/>
          <w:b/>
          <w:bCs/>
          <w:sz w:val="24"/>
          <w:rtl/>
        </w:rPr>
        <w:t>אלא אינטרס של הציבור בכללותו, אשר יקבל אל שורותיו אזרח משוקם, בעל יכולת אמתית להותיר את העבר מאחוריו</w:t>
      </w:r>
      <w:r>
        <w:rPr>
          <w:rFonts w:hint="cs"/>
          <w:sz w:val="24"/>
          <w:rtl/>
        </w:rPr>
        <w:t>" (</w:t>
      </w:r>
      <w:r>
        <w:rPr>
          <w:rFonts w:ascii="Miriam" w:hAnsi="Miriam" w:cs="Miriam"/>
          <w:b/>
          <w:bCs/>
          <w:szCs w:val="22"/>
          <w:rtl/>
        </w:rPr>
        <w:t>פס"ד פלוני</w:t>
      </w:r>
      <w:r>
        <w:rPr>
          <w:rFonts w:hint="cs"/>
          <w:sz w:val="24"/>
          <w:rtl/>
        </w:rPr>
        <w:t xml:space="preserve">, סעיף 11; </w:t>
      </w:r>
      <w:r>
        <w:rPr>
          <w:rFonts w:ascii="Miriam" w:hAnsi="Miriam" w:cs="Miriam"/>
          <w:b/>
          <w:bCs/>
          <w:szCs w:val="22"/>
          <w:rtl/>
        </w:rPr>
        <w:t>ענין שניידרמן</w:t>
      </w:r>
      <w:r>
        <w:rPr>
          <w:rFonts w:hint="cs"/>
          <w:sz w:val="24"/>
          <w:rtl/>
        </w:rPr>
        <w:t>, סעיף 8) – אולם במתח בין שני שיקולים אלו, לרוב ינתן משקל רב יותר לעניין הציבורי "</w:t>
      </w:r>
      <w:r>
        <w:rPr>
          <w:rFonts w:hint="cs"/>
          <w:b/>
          <w:bCs/>
          <w:sz w:val="24"/>
          <w:rtl/>
        </w:rPr>
        <w:t>ככל שעסקינן בעבירה חמורה יותר</w:t>
      </w:r>
      <w:r>
        <w:rPr>
          <w:rFonts w:hint="cs"/>
          <w:sz w:val="24"/>
          <w:rtl/>
        </w:rPr>
        <w:t>". כאשר "</w:t>
      </w:r>
      <w:r>
        <w:rPr>
          <w:rFonts w:hint="cs"/>
          <w:b/>
          <w:bCs/>
          <w:sz w:val="24"/>
          <w:rtl/>
        </w:rPr>
        <w:t>הכלל הרחב</w:t>
      </w:r>
      <w:r>
        <w:rPr>
          <w:rFonts w:hint="cs"/>
          <w:sz w:val="24"/>
          <w:rtl/>
        </w:rPr>
        <w:t>" בכל הנוגע לנאשמים בגירים הוא "</w:t>
      </w:r>
      <w:r>
        <w:rPr>
          <w:rFonts w:hint="cs"/>
          <w:b/>
          <w:bCs/>
          <w:sz w:val="24"/>
          <w:rtl/>
        </w:rPr>
        <w:t>מקום שהוכחה אשמתו של אדם יש להרשיעו בדין, שכן האינטרס הציבורי הוא שגובר, והוא יידחה במקרים חריגים בהם עלול להיווצר יחס בלתי סביר בין הנזק הצפוי מההרשעה לבין האינטרס הציבורי שבהרשעת מי שעבר עבירה</w:t>
      </w:r>
      <w:r>
        <w:rPr>
          <w:rFonts w:hint="cs"/>
          <w:sz w:val="24"/>
          <w:rtl/>
        </w:rPr>
        <w:t>..." [</w:t>
      </w:r>
      <w:r>
        <w:rPr>
          <w:rFonts w:ascii="Miriam" w:hAnsi="Miriam" w:cs="Miriam"/>
          <w:b/>
          <w:bCs/>
          <w:sz w:val="18"/>
          <w:szCs w:val="22"/>
          <w:rtl/>
        </w:rPr>
        <w:t>פס"ד פלוני</w:t>
      </w:r>
      <w:r>
        <w:rPr>
          <w:rFonts w:hint="cs"/>
          <w:sz w:val="24"/>
          <w:rtl/>
        </w:rPr>
        <w:t xml:space="preserve">, סעיף 9 וראו גם </w:t>
      </w:r>
      <w:hyperlink r:id="rId45" w:history="1">
        <w:r w:rsidR="00DD2041" w:rsidRPr="00DD2041">
          <w:rPr>
            <w:color w:val="0000FF"/>
            <w:u w:val="single"/>
            <w:rtl/>
          </w:rPr>
          <w:t>ע"פ 8528/12</w:t>
        </w:r>
      </w:hyperlink>
      <w:r>
        <w:rPr>
          <w:rFonts w:hint="cs"/>
          <w:rtl/>
        </w:rPr>
        <w:t xml:space="preserve"> </w:t>
      </w:r>
      <w:r>
        <w:rPr>
          <w:rFonts w:ascii="Miriam" w:hAnsi="Miriam" w:cs="Miriam"/>
          <w:b/>
          <w:bCs/>
          <w:sz w:val="18"/>
          <w:szCs w:val="22"/>
          <w:rtl/>
        </w:rPr>
        <w:t>צפורה נ' מדינת ישראל</w:t>
      </w:r>
      <w:r>
        <w:rPr>
          <w:rFonts w:hint="cs"/>
          <w:rtl/>
        </w:rPr>
        <w:t xml:space="preserve"> (3.3.13) (להלן: </w:t>
      </w:r>
      <w:r>
        <w:rPr>
          <w:rFonts w:ascii="Miriam" w:hAnsi="Miriam" w:cs="Miriam"/>
          <w:b/>
          <w:bCs/>
          <w:sz w:val="18"/>
          <w:szCs w:val="22"/>
          <w:rtl/>
        </w:rPr>
        <w:t>ענין צפורה</w:t>
      </w:r>
      <w:r>
        <w:rPr>
          <w:rFonts w:hint="cs"/>
          <w:rtl/>
        </w:rPr>
        <w:t>);</w:t>
      </w:r>
      <w:r>
        <w:rPr>
          <w:rFonts w:hint="cs"/>
          <w:sz w:val="24"/>
          <w:rtl/>
        </w:rPr>
        <w:t xml:space="preserve"> </w:t>
      </w:r>
      <w:hyperlink r:id="rId46" w:history="1">
        <w:r w:rsidR="00DD2041" w:rsidRPr="00DD2041">
          <w:rPr>
            <w:color w:val="0000FF"/>
            <w:sz w:val="24"/>
            <w:u w:val="single"/>
            <w:rtl/>
          </w:rPr>
          <w:t>ע"פ 5102/03</w:t>
        </w:r>
      </w:hyperlink>
      <w:r>
        <w:rPr>
          <w:rFonts w:hint="cs"/>
          <w:sz w:val="24"/>
          <w:rtl/>
        </w:rPr>
        <w:t xml:space="preserve"> </w:t>
      </w:r>
      <w:r>
        <w:rPr>
          <w:rFonts w:ascii="Miriam" w:hAnsi="Miriam" w:cs="Miriam"/>
          <w:b/>
          <w:bCs/>
          <w:szCs w:val="22"/>
          <w:rtl/>
        </w:rPr>
        <w:t>מדינת ישראל נ' קליין</w:t>
      </w:r>
      <w:r>
        <w:rPr>
          <w:rFonts w:hint="cs"/>
          <w:sz w:val="24"/>
          <w:rtl/>
        </w:rPr>
        <w:t xml:space="preserve"> (4.9.07); </w:t>
      </w:r>
      <w:hyperlink r:id="rId47" w:history="1">
        <w:r w:rsidR="00DD2041" w:rsidRPr="00DD2041">
          <w:rPr>
            <w:color w:val="0000FF"/>
            <w:sz w:val="24"/>
            <w:u w:val="single"/>
            <w:rtl/>
          </w:rPr>
          <w:t>ע"פ 3301/06</w:t>
        </w:r>
      </w:hyperlink>
      <w:r>
        <w:rPr>
          <w:rFonts w:hint="cs"/>
          <w:sz w:val="24"/>
          <w:rtl/>
        </w:rPr>
        <w:t xml:space="preserve"> </w:t>
      </w:r>
      <w:r>
        <w:rPr>
          <w:rFonts w:ascii="Miriam" w:hAnsi="Miriam" w:cs="Miriam"/>
          <w:b/>
          <w:bCs/>
          <w:szCs w:val="22"/>
          <w:rtl/>
        </w:rPr>
        <w:t>ביטי נ' מדינת ישראל</w:t>
      </w:r>
      <w:r>
        <w:rPr>
          <w:rFonts w:hint="cs"/>
          <w:sz w:val="24"/>
          <w:rtl/>
        </w:rPr>
        <w:t xml:space="preserve"> (31.10.06) ו-</w:t>
      </w:r>
      <w:hyperlink r:id="rId48" w:history="1">
        <w:r w:rsidR="00DD2041" w:rsidRPr="00DD2041">
          <w:rPr>
            <w:color w:val="0000FF"/>
            <w:sz w:val="24"/>
            <w:u w:val="single"/>
            <w:rtl/>
          </w:rPr>
          <w:t>ע"פ 7211/04</w:t>
        </w:r>
      </w:hyperlink>
      <w:r>
        <w:rPr>
          <w:rFonts w:hint="cs"/>
          <w:sz w:val="24"/>
          <w:rtl/>
        </w:rPr>
        <w:t xml:space="preserve"> </w:t>
      </w:r>
      <w:r>
        <w:rPr>
          <w:rFonts w:ascii="Miriam" w:hAnsi="Miriam" w:cs="Miriam"/>
          <w:b/>
          <w:bCs/>
          <w:szCs w:val="22"/>
          <w:rtl/>
        </w:rPr>
        <w:t>מדינת ישראל נ' פלוני</w:t>
      </w:r>
      <w:r>
        <w:rPr>
          <w:rFonts w:hint="cs"/>
          <w:sz w:val="24"/>
          <w:rtl/>
        </w:rPr>
        <w:t xml:space="preserve"> (13.3.06)]. </w:t>
      </w:r>
    </w:p>
    <w:p w14:paraId="6AB5F5EE" w14:textId="77777777" w:rsidR="00955DD7" w:rsidRDefault="00955DD7" w:rsidP="00955DD7">
      <w:pPr>
        <w:pStyle w:val="aa"/>
        <w:rPr>
          <w:rFonts w:ascii="Calibri" w:hAnsi="Calibri" w:cs="Calibri"/>
          <w:szCs w:val="22"/>
        </w:rPr>
      </w:pPr>
    </w:p>
    <w:p w14:paraId="61A889F2" w14:textId="77777777" w:rsidR="00955DD7" w:rsidRDefault="00955DD7" w:rsidP="00955DD7">
      <w:pPr>
        <w:pStyle w:val="aa"/>
        <w:widowControl w:val="0"/>
        <w:numPr>
          <w:ilvl w:val="0"/>
          <w:numId w:val="1"/>
        </w:numPr>
        <w:snapToGrid/>
        <w:spacing w:line="360" w:lineRule="auto"/>
        <w:ind w:left="360"/>
        <w:jc w:val="both"/>
        <w:rPr>
          <w:rFonts w:ascii="Calibri" w:hAnsi="Calibri" w:cs="Calibri"/>
          <w:szCs w:val="22"/>
          <w:rtl/>
        </w:rPr>
      </w:pPr>
      <w:r>
        <w:rPr>
          <w:rFonts w:hint="cs"/>
          <w:sz w:val="24"/>
          <w:rtl/>
        </w:rPr>
        <w:t>נוכח האמור לעיל ובהינתן כי גם לגבי קטינים, "</w:t>
      </w:r>
      <w:r>
        <w:rPr>
          <w:rFonts w:hint="cs"/>
          <w:b/>
          <w:bCs/>
          <w:sz w:val="24"/>
          <w:rtl/>
        </w:rPr>
        <w:t>לעתים שיקולים של הרתעה, מניעה וגמול עולים במשקלם על השיקול השיקומי</w:t>
      </w:r>
      <w:r>
        <w:rPr>
          <w:rFonts w:hint="cs"/>
          <w:sz w:val="24"/>
          <w:rtl/>
        </w:rPr>
        <w:t>" (</w:t>
      </w:r>
      <w:r>
        <w:rPr>
          <w:rFonts w:ascii="Miriam" w:hAnsi="Miriam" w:cs="Miriam"/>
          <w:b/>
          <w:bCs/>
          <w:szCs w:val="22"/>
          <w:rtl/>
        </w:rPr>
        <w:t>פס"ד פלוני</w:t>
      </w:r>
      <w:r>
        <w:rPr>
          <w:rFonts w:hint="cs"/>
          <w:sz w:val="24"/>
          <w:rtl/>
        </w:rPr>
        <w:t>, סעיף 9) והקביעה לפיה, "</w:t>
      </w:r>
      <w:r>
        <w:rPr>
          <w:rFonts w:ascii="Times New Roman" w:hAnsi="Times New Roman" w:hint="cs"/>
          <w:b/>
          <w:bCs/>
          <w:rtl/>
        </w:rPr>
        <w:t>על בית המשפט לבחון, בראש ובראשונה, את השאלה האם סוג העבירה וטיבה, על רקע הנסיבות הקונקרטיות של המקרה, מאפשרים להימנע מהרשעה. בשלב השני, יש להידרש לשאלה, האם עצם ההרשעה עלול לפגוע "</w:t>
      </w:r>
      <w:r>
        <w:rPr>
          <w:rFonts w:ascii="Times New Roman" w:hAnsi="Times New Roman" w:cs="Miriam"/>
          <w:b/>
          <w:bCs/>
          <w:sz w:val="28"/>
          <w:rtl/>
        </w:rPr>
        <w:t>פגיעה חמורה</w:t>
      </w:r>
      <w:r>
        <w:rPr>
          <w:rFonts w:ascii="Times New Roman" w:hAnsi="Times New Roman" w:hint="cs"/>
          <w:b/>
          <w:bCs/>
          <w:rtl/>
        </w:rPr>
        <w:t>" בשיקומו או בעתידו של הנאשם</w:t>
      </w:r>
      <w:r>
        <w:rPr>
          <w:rFonts w:hint="cs"/>
          <w:sz w:val="24"/>
          <w:rtl/>
        </w:rPr>
        <w:t>" [סעיף 11 לפסק דינו של כב' הש' שהם ב-</w:t>
      </w:r>
      <w:r>
        <w:rPr>
          <w:rFonts w:ascii="Miriam" w:hAnsi="Miriam" w:cs="Miriam"/>
          <w:b/>
          <w:bCs/>
          <w:sz w:val="18"/>
          <w:szCs w:val="22"/>
          <w:rtl/>
        </w:rPr>
        <w:t>ענין צפורה</w:t>
      </w:r>
      <w:r>
        <w:rPr>
          <w:rFonts w:hint="cs"/>
          <w:sz w:val="24"/>
          <w:rtl/>
        </w:rPr>
        <w:t>. ההדגשה במקור – זד"ל] – אדון תחילה בשיקול הציבורי</w:t>
      </w:r>
      <w:r>
        <w:rPr>
          <w:rFonts w:ascii="Calibri" w:hAnsi="Calibri" w:cs="Calibri"/>
          <w:szCs w:val="22"/>
          <w:rtl/>
        </w:rPr>
        <w:t>.</w:t>
      </w:r>
    </w:p>
    <w:p w14:paraId="19C0E4A1" w14:textId="77777777" w:rsidR="00955DD7" w:rsidRDefault="00955DD7" w:rsidP="00955DD7">
      <w:pPr>
        <w:pStyle w:val="gmail-msonospacing"/>
        <w:widowControl w:val="0"/>
        <w:bidi/>
        <w:spacing w:before="0" w:beforeAutospacing="0" w:after="0" w:afterAutospacing="0" w:line="360" w:lineRule="auto"/>
        <w:jc w:val="both"/>
        <w:rPr>
          <w:rFonts w:ascii="David" w:hAnsi="David" w:cs="David"/>
          <w:b/>
          <w:bCs/>
          <w:sz w:val="26"/>
          <w:szCs w:val="26"/>
        </w:rPr>
      </w:pPr>
    </w:p>
    <w:p w14:paraId="180FB48E" w14:textId="77777777" w:rsidR="00955DD7" w:rsidRDefault="00955DD7" w:rsidP="00955DD7">
      <w:pPr>
        <w:pStyle w:val="gmail-msonospacing"/>
        <w:widowControl w:val="0"/>
        <w:bidi/>
        <w:spacing w:before="0" w:beforeAutospacing="0" w:after="0" w:afterAutospacing="0" w:line="360" w:lineRule="auto"/>
        <w:jc w:val="both"/>
        <w:rPr>
          <w:rFonts w:ascii="Calibri" w:hAnsi="Calibri" w:cs="Calibri"/>
          <w:sz w:val="22"/>
          <w:szCs w:val="22"/>
          <w:rtl/>
        </w:rPr>
      </w:pPr>
      <w:r>
        <w:rPr>
          <w:rFonts w:ascii="David" w:hAnsi="David" w:cs="David"/>
          <w:b/>
          <w:bCs/>
          <w:sz w:val="26"/>
          <w:szCs w:val="26"/>
          <w:rtl/>
        </w:rPr>
        <w:t>סוג העבירה, נסיבות ביצועה ושיקולי ענישה אחרים, לרבות הפסיקה הנוהגת</w:t>
      </w:r>
    </w:p>
    <w:p w14:paraId="2D8E6AAD" w14:textId="77777777" w:rsidR="00955DD7" w:rsidRDefault="00955DD7" w:rsidP="00955DD7">
      <w:pPr>
        <w:pStyle w:val="aa"/>
        <w:widowControl w:val="0"/>
        <w:numPr>
          <w:ilvl w:val="0"/>
          <w:numId w:val="1"/>
        </w:numPr>
        <w:spacing w:line="360" w:lineRule="auto"/>
        <w:ind w:left="360"/>
        <w:jc w:val="both"/>
        <w:rPr>
          <w:sz w:val="24"/>
          <w:rtl/>
        </w:rPr>
      </w:pPr>
      <w:r>
        <w:rPr>
          <w:rFonts w:hint="cs"/>
          <w:rtl/>
        </w:rPr>
        <w:t xml:space="preserve">כפי שציינתי לעיל, מקובלת עלי טענת ב"כ המאשימה, כי במעשיו פגע הנאשם בערכים מוגנים של שמירה על שלום הציבור ובריאותו וכי נגע הסמים הוא אחד ממחוללי הפשיעה. מבלי להקל ראש בחומרת המעשים, מקובלת עלי טענת ב"כ הנאשם, כי מידת הפגיעה לא נמצאת ברף הגבוה, בהינתן נסיבות ביצוע העבירות ובכלל זה סוג הסם ונסיבות החזקתו. לצד זאת, אין מקום לקבל טיעון ב"כ הנאשם, כי מדובר בסם "קל" וכי ניתנה לגיטימציה להחזקתו ולשימוש בו. ודוק, הגדרת עבירת החזקת </w:t>
      </w:r>
      <w:r>
        <w:rPr>
          <w:rFonts w:hint="cs"/>
          <w:sz w:val="24"/>
          <w:rtl/>
        </w:rPr>
        <w:t>קנבוס לשימוש עצמי כעבירה מינהלית לא מהווה הכשר לבצעה, קל וחומר שאין בכך כדי להוות הכשר לביצוע עבירות חמורות יותר, כגון החזקה שלא לשימוש עצמי. במהלך הטיעונים לעונש הפנו ב"כ הצדדים לפסיקה התומכת בעמדתם. ב"כ המאשימה הפנה למקרים בהם נדחו עתירות לביטול הרשעה של עצירים נעדרי עבר פלילי ואילו ב"כ הנאשם הפנה לפסיקה בה בוטלו הרשעות, אף בעבירות חמורות מאלו שלפני, כמפורט להלן:</w:t>
      </w:r>
    </w:p>
    <w:p w14:paraId="4B9F4670" w14:textId="77777777" w:rsidR="00955DD7" w:rsidRDefault="00955DD7" w:rsidP="00955DD7">
      <w:pPr>
        <w:pStyle w:val="aa"/>
        <w:rPr>
          <w:sz w:val="24"/>
        </w:rPr>
      </w:pPr>
    </w:p>
    <w:p w14:paraId="385E1D7D" w14:textId="77777777" w:rsidR="00955DD7" w:rsidRDefault="00DD2041" w:rsidP="00955DD7">
      <w:pPr>
        <w:pStyle w:val="aa"/>
        <w:widowControl w:val="0"/>
        <w:numPr>
          <w:ilvl w:val="0"/>
          <w:numId w:val="2"/>
        </w:numPr>
        <w:spacing w:line="360" w:lineRule="auto"/>
        <w:ind w:left="804"/>
        <w:jc w:val="both"/>
        <w:rPr>
          <w:sz w:val="24"/>
          <w:rtl/>
        </w:rPr>
      </w:pPr>
      <w:hyperlink r:id="rId49" w:history="1">
        <w:r w:rsidRPr="00DD2041">
          <w:rPr>
            <w:color w:val="0000FF"/>
            <w:sz w:val="24"/>
            <w:u w:val="single"/>
            <w:rtl/>
          </w:rPr>
          <w:t>רע"פ 8458/18</w:t>
        </w:r>
      </w:hyperlink>
      <w:r w:rsidR="00955DD7">
        <w:rPr>
          <w:rFonts w:hint="cs"/>
          <w:sz w:val="24"/>
          <w:rtl/>
        </w:rPr>
        <w:t xml:space="preserve"> </w:t>
      </w:r>
      <w:r w:rsidR="00955DD7">
        <w:rPr>
          <w:rFonts w:ascii="Miriam" w:hAnsi="Miriam" w:cs="Miriam"/>
          <w:b/>
          <w:bCs/>
          <w:szCs w:val="22"/>
          <w:rtl/>
        </w:rPr>
        <w:t>שטרר נ' מדינת ישראל</w:t>
      </w:r>
      <w:r w:rsidR="00955DD7">
        <w:rPr>
          <w:rFonts w:hint="cs"/>
          <w:sz w:val="24"/>
          <w:rtl/>
        </w:rPr>
        <w:t xml:space="preserve"> (4.4.19), אליו הפנתה ב"כ המאשימה – </w:t>
      </w:r>
      <w:r w:rsidR="00955DD7">
        <w:rPr>
          <w:rFonts w:hint="cs"/>
          <w:rtl/>
        </w:rPr>
        <w:t>נדחו ערעור ובקשת רשות ערעור של צעיר (כבן 30), נעדר עבר פלילי, אשר הורשע בגידול שני שתילי קנבוס במשקל 248.4 גרם לצריכתו העצמית והחזקת כ-2 גרם קנבוס. נקבע שלא הוּכחה פגיעה קשה וקונקרטית בסיכויי שיקומו, המהווה תנאי לאי-הרשעה ולא היה מקום לבטל הרשעתו, חרף המלצת שירות המבחן.</w:t>
      </w:r>
    </w:p>
    <w:p w14:paraId="0D9E2658" w14:textId="77777777" w:rsidR="00955DD7" w:rsidRDefault="00955DD7" w:rsidP="00955DD7">
      <w:pPr>
        <w:pStyle w:val="aa"/>
        <w:widowControl w:val="0"/>
        <w:ind w:left="804"/>
        <w:jc w:val="both"/>
        <w:rPr>
          <w:sz w:val="24"/>
        </w:rPr>
      </w:pPr>
    </w:p>
    <w:p w14:paraId="0731C0F5" w14:textId="77777777" w:rsidR="00955DD7" w:rsidRDefault="00DD2041" w:rsidP="00955DD7">
      <w:pPr>
        <w:pStyle w:val="aa"/>
        <w:widowControl w:val="0"/>
        <w:numPr>
          <w:ilvl w:val="0"/>
          <w:numId w:val="2"/>
        </w:numPr>
        <w:spacing w:line="360" w:lineRule="auto"/>
        <w:ind w:left="804"/>
        <w:jc w:val="both"/>
        <w:rPr>
          <w:sz w:val="24"/>
        </w:rPr>
      </w:pPr>
      <w:hyperlink r:id="rId50" w:history="1">
        <w:r w:rsidRPr="00DD2041">
          <w:rPr>
            <w:color w:val="0000FF"/>
            <w:u w:val="single"/>
            <w:rtl/>
          </w:rPr>
          <w:t>רע"פ 5018/18</w:t>
        </w:r>
      </w:hyperlink>
      <w:r w:rsidR="00955DD7">
        <w:rPr>
          <w:rFonts w:hint="cs"/>
          <w:rtl/>
        </w:rPr>
        <w:t xml:space="preserve"> </w:t>
      </w:r>
      <w:r w:rsidR="00955DD7">
        <w:rPr>
          <w:rFonts w:ascii="Miriam" w:hAnsi="Miriam" w:cs="Miriam"/>
          <w:b/>
          <w:bCs/>
          <w:szCs w:val="22"/>
          <w:rtl/>
        </w:rPr>
        <w:t>בוזגלו נ' מדינת ישראל</w:t>
      </w:r>
      <w:r w:rsidR="00955DD7">
        <w:rPr>
          <w:rFonts w:hint="cs"/>
          <w:rtl/>
        </w:rPr>
        <w:t xml:space="preserve"> (21.10.18), אליו הפנתה ב"כ המאשימה – נדחו ערעור ובקשת רשות ערעור. נקבע כי אין מקום לבטל הרשעת מי שגידל עם שותפו 544.80 גרם שתילי קנבוס במעבדה שהקימו בדירה ואשר כללה ציוד, ובנוסף החזיקו 3.6 גרם קנבוס לצריכה עצמית והפריעו לשוטרים במילוי תפקידם. הושתו 3 חודשי מאסר לריצוי בעבודות שירות וענישה נלוית, חרף המלצת שירות המבחן לבטל הרשעה. בדחותו הבקשה קבע כב' הש' קרא כי לא הוכח שההרשעה תפגע בסיכויו לעבוד כרופא ויש להותיר זאת לגורם המוסמך. נקבע כי חומרת העבירות והצטברותן לא מאפשרת הימנעות מהרשעה. </w:t>
      </w:r>
    </w:p>
    <w:p w14:paraId="1AC43951" w14:textId="77777777" w:rsidR="00955DD7" w:rsidRDefault="00955DD7" w:rsidP="00955DD7">
      <w:pPr>
        <w:pStyle w:val="aa"/>
        <w:rPr>
          <w:sz w:val="24"/>
        </w:rPr>
      </w:pPr>
    </w:p>
    <w:p w14:paraId="74D7A8BF" w14:textId="77777777" w:rsidR="00955DD7" w:rsidRDefault="00DD2041" w:rsidP="00955DD7">
      <w:pPr>
        <w:pStyle w:val="aa"/>
        <w:widowControl w:val="0"/>
        <w:numPr>
          <w:ilvl w:val="0"/>
          <w:numId w:val="2"/>
        </w:numPr>
        <w:spacing w:line="360" w:lineRule="auto"/>
        <w:ind w:left="804"/>
        <w:jc w:val="both"/>
        <w:rPr>
          <w:sz w:val="24"/>
          <w:rtl/>
        </w:rPr>
      </w:pPr>
      <w:hyperlink r:id="rId51" w:history="1">
        <w:r w:rsidRPr="00DD2041">
          <w:rPr>
            <w:color w:val="0000FF"/>
            <w:sz w:val="24"/>
            <w:u w:val="single"/>
            <w:rtl/>
          </w:rPr>
          <w:t>ע"פ 8092/04</w:t>
        </w:r>
      </w:hyperlink>
      <w:r w:rsidR="00955DD7">
        <w:rPr>
          <w:rFonts w:hint="cs"/>
          <w:sz w:val="24"/>
          <w:rtl/>
        </w:rPr>
        <w:t xml:space="preserve"> </w:t>
      </w:r>
      <w:r w:rsidR="00955DD7">
        <w:rPr>
          <w:rFonts w:ascii="Miriam" w:hAnsi="Miriam" w:cs="Miriam"/>
          <w:b/>
          <w:bCs/>
          <w:szCs w:val="22"/>
          <w:rtl/>
        </w:rPr>
        <w:t>חביב נ' מדינת ישראל</w:t>
      </w:r>
      <w:r w:rsidR="00955DD7">
        <w:rPr>
          <w:rFonts w:hint="cs"/>
          <w:sz w:val="24"/>
          <w:rtl/>
        </w:rPr>
        <w:t xml:space="preserve"> (10.9.06), אליו הפנה ב"כ הנאשם –</w:t>
      </w:r>
      <w:r w:rsidR="00955DD7">
        <w:rPr>
          <w:rFonts w:hint="cs"/>
          <w:rtl/>
        </w:rPr>
        <w:t xml:space="preserve"> התקבל הערעור. בגין החזקת כ-20 ק"ג קנבוס, 4 עבירות סחר במשקלים של מספר קילוגרמים וסיכום על מכירת 20 ק"ג קנבוס – הושת צו מבחן ל-18 חודשים. בגין תיק שצורף בו הורשע בהחזקת סכין שלא כדין, זיוף, שימוש במסמך מזויף, התחזות והפרעה לשוטר במילוי תפקידו – הושתו 600 שעות של"ץ לשנה, מאסר מותנה ו-10,000 ₪ קנס. המערער ביצע עבירות הסמים עת שהה בקהילה טיפולית לנפגעי סמים ולחובתו עבר פלילי עשיר. ההקלה בעונש באה בהתחשב בהודייתו, מאמצי השיקום ונסיבותיו האישיות</w:t>
      </w:r>
      <w:r w:rsidR="00955DD7">
        <w:rPr>
          <w:rFonts w:hint="cs"/>
          <w:sz w:val="24"/>
          <w:rtl/>
        </w:rPr>
        <w:t>.</w:t>
      </w:r>
    </w:p>
    <w:p w14:paraId="10719CCD" w14:textId="77777777" w:rsidR="00955DD7" w:rsidRDefault="00955DD7" w:rsidP="00955DD7">
      <w:pPr>
        <w:pStyle w:val="aa"/>
        <w:rPr>
          <w:sz w:val="24"/>
        </w:rPr>
      </w:pPr>
    </w:p>
    <w:p w14:paraId="71993039" w14:textId="77777777" w:rsidR="00955DD7" w:rsidRDefault="00DD2041" w:rsidP="00955DD7">
      <w:pPr>
        <w:pStyle w:val="aa"/>
        <w:widowControl w:val="0"/>
        <w:numPr>
          <w:ilvl w:val="0"/>
          <w:numId w:val="2"/>
        </w:numPr>
        <w:spacing w:line="360" w:lineRule="auto"/>
        <w:ind w:left="804"/>
        <w:jc w:val="both"/>
        <w:rPr>
          <w:sz w:val="24"/>
          <w:rtl/>
        </w:rPr>
      </w:pPr>
      <w:hyperlink r:id="rId52" w:history="1">
        <w:r w:rsidRPr="00DD2041">
          <w:rPr>
            <w:color w:val="0000FF"/>
            <w:sz w:val="24"/>
            <w:u w:val="single"/>
            <w:rtl/>
          </w:rPr>
          <w:t>ע"פ 4158/05</w:t>
        </w:r>
      </w:hyperlink>
      <w:r w:rsidR="00955DD7">
        <w:rPr>
          <w:rFonts w:hint="cs"/>
          <w:sz w:val="24"/>
          <w:rtl/>
        </w:rPr>
        <w:t xml:space="preserve"> </w:t>
      </w:r>
      <w:r w:rsidR="00955DD7">
        <w:rPr>
          <w:rFonts w:ascii="Miriam" w:hAnsi="Miriam" w:cs="Miriam"/>
          <w:b/>
          <w:bCs/>
          <w:szCs w:val="22"/>
          <w:rtl/>
        </w:rPr>
        <w:t>מדינת ישראל נ' פראג'</w:t>
      </w:r>
      <w:r w:rsidR="00955DD7">
        <w:rPr>
          <w:rFonts w:hint="cs"/>
          <w:sz w:val="24"/>
          <w:rtl/>
        </w:rPr>
        <w:t xml:space="preserve"> (27.10.05), אליו הפנה ב"כ הנאשם – במסגרת ערעור המדינה על אי-השתת מאסר בפועל בעבירות התפרצות והחזקת סם מסוכן שלא לשימוש עצמי – הוסכם על 18 חודשי מבחן טהור. נסיבות החזקת הסם שונות וחמורות מאלו שלפניי, שכן שם מדובר היה בהחזקה של כ-2,000 טבליות </w:t>
      </w:r>
      <w:r w:rsidR="00955DD7">
        <w:rPr>
          <w:szCs w:val="20"/>
        </w:rPr>
        <w:t>MDMA</w:t>
      </w:r>
      <w:r w:rsidR="00955DD7">
        <w:rPr>
          <w:rFonts w:hint="cs"/>
          <w:sz w:val="24"/>
          <w:rtl/>
        </w:rPr>
        <w:t>, כ-350 גרם קוקאין וכלים להכנת הסם. קיים שוני גם בנסיבות האישיות, שכן מדובר היה במי שעבר הליך טיפול ארוך וממושך, שכלל שילובו בקהילה טיפולית. כך, הנסיבות שלפני חמורות פחות, אולם גם הליך הטיפול משמעותי פחות.</w:t>
      </w:r>
    </w:p>
    <w:p w14:paraId="1CDBED0D" w14:textId="77777777" w:rsidR="00955DD7" w:rsidRDefault="00955DD7" w:rsidP="00955DD7">
      <w:pPr>
        <w:pStyle w:val="aa"/>
        <w:rPr>
          <w:sz w:val="24"/>
        </w:rPr>
      </w:pPr>
    </w:p>
    <w:p w14:paraId="3C21C664" w14:textId="77777777" w:rsidR="00955DD7" w:rsidRDefault="00DD2041" w:rsidP="00955DD7">
      <w:pPr>
        <w:pStyle w:val="aa"/>
        <w:widowControl w:val="0"/>
        <w:numPr>
          <w:ilvl w:val="0"/>
          <w:numId w:val="2"/>
        </w:numPr>
        <w:spacing w:line="360" w:lineRule="auto"/>
        <w:ind w:left="804"/>
        <w:jc w:val="both"/>
        <w:rPr>
          <w:sz w:val="24"/>
          <w:rtl/>
        </w:rPr>
      </w:pPr>
      <w:hyperlink r:id="rId53" w:history="1">
        <w:r w:rsidRPr="00DD2041">
          <w:rPr>
            <w:color w:val="0000FF"/>
            <w:sz w:val="24"/>
            <w:u w:val="single"/>
            <w:rtl/>
          </w:rPr>
          <w:t>עפ"ג (מחוזי-ת"א) 33377-03-20</w:t>
        </w:r>
      </w:hyperlink>
      <w:r w:rsidR="00955DD7">
        <w:rPr>
          <w:rFonts w:hint="cs"/>
          <w:sz w:val="24"/>
          <w:rtl/>
        </w:rPr>
        <w:t xml:space="preserve"> </w:t>
      </w:r>
      <w:r w:rsidR="00955DD7">
        <w:rPr>
          <w:rFonts w:ascii="Miriam" w:hAnsi="Miriam" w:cs="Miriam"/>
          <w:b/>
          <w:bCs/>
          <w:szCs w:val="22"/>
          <w:rtl/>
        </w:rPr>
        <w:t xml:space="preserve">מדינת ישראל נ' אלשיך </w:t>
      </w:r>
      <w:r w:rsidR="00955DD7">
        <w:rPr>
          <w:rFonts w:hint="cs"/>
          <w:sz w:val="24"/>
          <w:rtl/>
        </w:rPr>
        <w:t xml:space="preserve">(16.12.20) (להלן: </w:t>
      </w:r>
      <w:r w:rsidR="00955DD7">
        <w:rPr>
          <w:rFonts w:ascii="Miriam" w:hAnsi="Miriam" w:cs="Miriam"/>
          <w:b/>
          <w:bCs/>
          <w:szCs w:val="22"/>
          <w:rtl/>
        </w:rPr>
        <w:t>ענין אלשיך</w:t>
      </w:r>
      <w:r w:rsidR="00955DD7">
        <w:rPr>
          <w:rFonts w:hint="cs"/>
          <w:sz w:val="24"/>
          <w:rtl/>
        </w:rPr>
        <w:t xml:space="preserve">), אליו הפנה ב"כ הנאשם – נדחה ערעור על ביטול הרשעה בהחזקת 271 גרם קנבוס בצוותא עם בן זוגה (להלן: </w:t>
      </w:r>
      <w:r w:rsidR="00955DD7">
        <w:rPr>
          <w:rFonts w:hint="cs"/>
          <w:b/>
          <w:bCs/>
          <w:sz w:val="24"/>
          <w:rtl/>
        </w:rPr>
        <w:t>הנאשם הנוסף</w:t>
      </w:r>
      <w:r w:rsidR="00955DD7">
        <w:rPr>
          <w:rFonts w:hint="cs"/>
          <w:sz w:val="24"/>
          <w:rtl/>
        </w:rPr>
        <w:t>) שלא לצריכה עצמית ובשתי עבירות סיוע לסחר ב-20 גרם קנבוס (10 גרם בכל פעם) שבוצעו באותו יום. המשיבה היתה כבת 20 בעת ביצוע העבירות, ללא עבר פלילי, ניהלה קשר זוגי עם הנאשם הנוסף, המבוגר ממנה בכ-13 שנים, היתה בהליך "חזרה בשאלה" וסבלה מקשיים רגשיים, על רקע ניכור משפחתי. המשיבה עברה טיפול, עבדה כסייעת לרופא שיניים ולמדה לתואר ראשון בסיעוד. בית המשפט קבע כי "</w:t>
      </w:r>
      <w:r w:rsidR="00955DD7">
        <w:rPr>
          <w:rFonts w:hint="cs"/>
          <w:b/>
          <w:bCs/>
          <w:sz w:val="24"/>
          <w:rtl/>
        </w:rPr>
        <w:t>הרשעת המשיבה תפגע פגיעה חמורה בהמשך שיקומה ותעמיד בסיכון את מגמת השיקום החיובית</w:t>
      </w:r>
      <w:r w:rsidR="00955DD7">
        <w:rPr>
          <w:rFonts w:hint="cs"/>
          <w:sz w:val="24"/>
          <w:rtl/>
        </w:rPr>
        <w:t>..." וכי "</w:t>
      </w:r>
      <w:r w:rsidR="00955DD7">
        <w:rPr>
          <w:rFonts w:hint="cs"/>
          <w:b/>
          <w:bCs/>
          <w:sz w:val="24"/>
          <w:rtl/>
        </w:rPr>
        <w:t>הרשעתה תגרום לנזק קונקרטי להליך שיקומה הנוכחי</w:t>
      </w:r>
      <w:r w:rsidR="00955DD7">
        <w:rPr>
          <w:rFonts w:hint="cs"/>
          <w:sz w:val="24"/>
          <w:rtl/>
        </w:rPr>
        <w:t>". עולה מהאמור, כי מעבר לכך שכמויות הסם ב-</w:t>
      </w:r>
      <w:r w:rsidR="00955DD7">
        <w:rPr>
          <w:rFonts w:ascii="Miriam" w:hAnsi="Miriam" w:cs="Miriam"/>
          <w:b/>
          <w:bCs/>
          <w:szCs w:val="22"/>
          <w:rtl/>
        </w:rPr>
        <w:t xml:space="preserve">ענין אלשיך </w:t>
      </w:r>
      <w:r w:rsidR="00955DD7">
        <w:rPr>
          <w:rFonts w:hint="cs"/>
          <w:sz w:val="24"/>
          <w:rtl/>
        </w:rPr>
        <w:t>קטנות משמעותית מהכמות בתיק שלפני, שם דובר בנסיבות אישיות מורכבות ובקיום נזק קונקרטי. גם נסיבות אלו לא מתקיימות בעניינו.</w:t>
      </w:r>
    </w:p>
    <w:p w14:paraId="76C4CCC8" w14:textId="77777777" w:rsidR="00955DD7" w:rsidRDefault="00955DD7" w:rsidP="00955DD7">
      <w:pPr>
        <w:pStyle w:val="aa"/>
        <w:rPr>
          <w:sz w:val="24"/>
        </w:rPr>
      </w:pPr>
    </w:p>
    <w:p w14:paraId="76F1086B" w14:textId="77777777" w:rsidR="00955DD7" w:rsidRDefault="00DD2041" w:rsidP="00955DD7">
      <w:pPr>
        <w:pStyle w:val="aa"/>
        <w:widowControl w:val="0"/>
        <w:numPr>
          <w:ilvl w:val="0"/>
          <w:numId w:val="2"/>
        </w:numPr>
        <w:spacing w:line="360" w:lineRule="auto"/>
        <w:ind w:left="804"/>
        <w:jc w:val="both"/>
        <w:rPr>
          <w:sz w:val="24"/>
          <w:rtl/>
        </w:rPr>
      </w:pPr>
      <w:hyperlink r:id="rId54" w:history="1">
        <w:r w:rsidRPr="00DD2041">
          <w:rPr>
            <w:color w:val="0000FF"/>
            <w:sz w:val="24"/>
            <w:u w:val="single"/>
            <w:rtl/>
          </w:rPr>
          <w:t>עפ"ג (מחוזי-חי') 28110-10-15</w:t>
        </w:r>
      </w:hyperlink>
      <w:r w:rsidR="00955DD7">
        <w:rPr>
          <w:rFonts w:hint="cs"/>
          <w:sz w:val="24"/>
          <w:rtl/>
        </w:rPr>
        <w:t xml:space="preserve"> </w:t>
      </w:r>
      <w:r w:rsidR="00955DD7">
        <w:rPr>
          <w:rFonts w:ascii="Miriam" w:hAnsi="Miriam" w:cs="Miriam"/>
          <w:b/>
          <w:bCs/>
          <w:szCs w:val="22"/>
          <w:rtl/>
        </w:rPr>
        <w:t>מדינת ישראל נ' דוד</w:t>
      </w:r>
      <w:r w:rsidR="00955DD7">
        <w:rPr>
          <w:rFonts w:hint="cs"/>
          <w:sz w:val="24"/>
          <w:rtl/>
        </w:rPr>
        <w:t xml:space="preserve"> (17.12.15), אליו הפנה ב"כ הנאשם –</w:t>
      </w:r>
      <w:r w:rsidR="00955DD7">
        <w:rPr>
          <w:rFonts w:hint="cs"/>
          <w:rtl/>
        </w:rPr>
        <w:t xml:space="preserve"> בית המשפט המחוזי בחיפה דחה ערעור המדינה על סיום הליך ללא הרשעה בעבירות גידול בצוותא של 21 שתילי קנבוס במשקל כ-3.5 ק"ג, לאחר לבטים רבים. צו המבחן הוארך ל-18 חודשים וסכום הפיצוי עלה ל-11,000 ₪ חלף 5,000 ₪. בתי המשפט התחשבו בהודיית המשיב, הבעת החרטה, פוטנציאל חיובי לשיקום, עליו עמד שירות המבחן ונסיבותיו הייחודיות של המשיב, כאשר "...</w:t>
      </w:r>
      <w:r w:rsidR="00955DD7">
        <w:rPr>
          <w:rFonts w:hint="cs"/>
          <w:b/>
          <w:bCs/>
          <w:rtl/>
        </w:rPr>
        <w:t>ברי כי הרשעת המשיב בביצוע העבירה, יש בה כדי לסכל אפשרות של המשיב לחזור לעבודתו בנמל, ומאידך אי הרשעתו נותנת בידי ועד העובדים אפשרות מעשית לסייע בידו להשתלב חזרה במקום עבודתו, אשר משמש עבורו לא רק מקור פרנסה אלא משענת חשובה להמשך הליכי שיקומו</w:t>
      </w:r>
      <w:r w:rsidR="00955DD7">
        <w:rPr>
          <w:rFonts w:hint="cs"/>
          <w:rtl/>
        </w:rPr>
        <w:t>...".</w:t>
      </w:r>
    </w:p>
    <w:p w14:paraId="17DCE324" w14:textId="77777777" w:rsidR="00955DD7" w:rsidRDefault="00955DD7" w:rsidP="00955DD7">
      <w:pPr>
        <w:pStyle w:val="aa"/>
        <w:widowControl w:val="0"/>
        <w:spacing w:line="360" w:lineRule="auto"/>
        <w:ind w:left="794"/>
        <w:jc w:val="both"/>
        <w:rPr>
          <w:sz w:val="24"/>
        </w:rPr>
      </w:pPr>
      <w:r>
        <w:rPr>
          <w:rFonts w:hint="cs"/>
          <w:rtl/>
        </w:rPr>
        <w:t>* הגם שבענייננו מדובר בהחזקת סם בכמות קטנה בכמחצית – הנסיבות המיוחדות שפורטו ב-</w:t>
      </w:r>
      <w:r>
        <w:rPr>
          <w:rFonts w:ascii="Miriam" w:hAnsi="Miriam" w:cs="Miriam"/>
          <w:b/>
          <w:bCs/>
          <w:sz w:val="18"/>
          <w:szCs w:val="22"/>
          <w:rtl/>
        </w:rPr>
        <w:t xml:space="preserve">ענין דוד </w:t>
      </w:r>
      <w:r>
        <w:rPr>
          <w:rFonts w:hint="cs"/>
          <w:rtl/>
        </w:rPr>
        <w:t>לא מתקיימות בעניינו של הנאשם שלפני.</w:t>
      </w:r>
    </w:p>
    <w:p w14:paraId="10028FB5" w14:textId="77777777" w:rsidR="00955DD7" w:rsidRDefault="00955DD7" w:rsidP="00955DD7">
      <w:pPr>
        <w:pStyle w:val="aa"/>
        <w:widowControl w:val="0"/>
        <w:ind w:left="794"/>
        <w:jc w:val="both"/>
        <w:rPr>
          <w:sz w:val="24"/>
          <w:rtl/>
        </w:rPr>
      </w:pPr>
    </w:p>
    <w:p w14:paraId="4D4FCC00" w14:textId="77777777" w:rsidR="00955DD7" w:rsidRDefault="00DD2041" w:rsidP="00955DD7">
      <w:pPr>
        <w:pStyle w:val="aa"/>
        <w:widowControl w:val="0"/>
        <w:numPr>
          <w:ilvl w:val="0"/>
          <w:numId w:val="2"/>
        </w:numPr>
        <w:spacing w:line="360" w:lineRule="auto"/>
        <w:ind w:left="804"/>
        <w:jc w:val="both"/>
        <w:rPr>
          <w:sz w:val="24"/>
          <w:rtl/>
        </w:rPr>
      </w:pPr>
      <w:hyperlink r:id="rId55" w:history="1">
        <w:r w:rsidRPr="00DD2041">
          <w:rPr>
            <w:color w:val="0000FF"/>
            <w:sz w:val="24"/>
            <w:u w:val="single"/>
            <w:rtl/>
          </w:rPr>
          <w:t>עפ"ג (מחוזי-י-ם) 67452-12-18</w:t>
        </w:r>
      </w:hyperlink>
      <w:r w:rsidR="00955DD7">
        <w:rPr>
          <w:rFonts w:hint="cs"/>
          <w:sz w:val="24"/>
          <w:rtl/>
        </w:rPr>
        <w:t xml:space="preserve"> </w:t>
      </w:r>
      <w:r w:rsidR="00955DD7">
        <w:rPr>
          <w:rFonts w:ascii="Miriam" w:hAnsi="Miriam" w:cs="Miriam"/>
          <w:b/>
          <w:bCs/>
          <w:szCs w:val="22"/>
          <w:rtl/>
        </w:rPr>
        <w:t xml:space="preserve">מדינת ישראל נ' בוזגלו </w:t>
      </w:r>
      <w:r w:rsidR="00955DD7">
        <w:rPr>
          <w:rFonts w:hint="cs"/>
          <w:sz w:val="24"/>
          <w:rtl/>
        </w:rPr>
        <w:t xml:space="preserve">(7.4.19), אליו הפנה ב"כ הנאשם – </w:t>
      </w:r>
      <w:r w:rsidR="00955DD7">
        <w:rPr>
          <w:rFonts w:hint="cs"/>
          <w:rtl/>
        </w:rPr>
        <w:t xml:space="preserve">נדחה ערעור על ביטול הרשעה בהספקת סם, סחר וסיוע לסחר בכמויות של 0.5835, 10.26 ו-9.33 גרם </w:t>
      </w:r>
      <w:r w:rsidR="00955DD7">
        <w:rPr>
          <w:szCs w:val="20"/>
        </w:rPr>
        <w:t>MDMA</w:t>
      </w:r>
      <w:r w:rsidR="00955DD7">
        <w:rPr>
          <w:rtl/>
        </w:rPr>
        <w:t xml:space="preserve"> </w:t>
      </w:r>
      <w:r w:rsidR="00955DD7">
        <w:rPr>
          <w:rFonts w:hint="cs"/>
          <w:rtl/>
        </w:rPr>
        <w:t>והחזקת סם לשימוש עצמי</w:t>
      </w:r>
      <w:r w:rsidR="00955DD7">
        <w:rPr>
          <w:rFonts w:hint="cs"/>
          <w:sz w:val="24"/>
          <w:rtl/>
        </w:rPr>
        <w:t xml:space="preserve">. </w:t>
      </w:r>
      <w:r w:rsidR="00955DD7">
        <w:rPr>
          <w:rFonts w:hint="cs"/>
          <w:rtl/>
        </w:rPr>
        <w:t>נקבע כי "</w:t>
      </w:r>
      <w:r w:rsidR="00955DD7">
        <w:rPr>
          <w:rFonts w:hint="cs"/>
          <w:b/>
          <w:bCs/>
          <w:rtl/>
        </w:rPr>
        <w:t>סקירת פסקי הדין בסוגיית אי ההרשעה מוליכה למסקנה כי קיימת קשת רחבה מאוד של אירועים חמורים שהסתיימו ללא הרשעה וקשת דומה של מעשים חמורים פחות שהסתיימו בהרשעה. בסופו של דבר, המבחן הנו פרסונאלי ולגופו של עניין</w:t>
      </w:r>
      <w:r w:rsidR="00955DD7">
        <w:rPr>
          <w:rFonts w:hint="cs"/>
          <w:rtl/>
        </w:rPr>
        <w:t>". ובמקרה זה העדיפו בתי המשפט שיקול שיקום המשיב</w:t>
      </w:r>
      <w:r w:rsidR="00955DD7">
        <w:rPr>
          <w:rFonts w:hint="cs"/>
          <w:sz w:val="24"/>
          <w:rtl/>
        </w:rPr>
        <w:t xml:space="preserve">, צעיר כבן 21, שנסיבות חייו הביאו להתמכרות לסמים מגיל צעיר, אשר עבר הליך שיקום וטיפול, שינה אורחותיו, התנדב באגודה למלחמה בסרטן, למד לימודי שיווק נדל"ן ותיווך בנדל"ן.  </w:t>
      </w:r>
    </w:p>
    <w:p w14:paraId="0951ED27" w14:textId="77777777" w:rsidR="00955DD7" w:rsidRDefault="00955DD7" w:rsidP="00955DD7">
      <w:pPr>
        <w:pStyle w:val="aa"/>
      </w:pPr>
    </w:p>
    <w:p w14:paraId="270399C8" w14:textId="77777777" w:rsidR="00955DD7" w:rsidRDefault="00955DD7" w:rsidP="00955DD7">
      <w:pPr>
        <w:pStyle w:val="aa"/>
        <w:widowControl w:val="0"/>
        <w:numPr>
          <w:ilvl w:val="0"/>
          <w:numId w:val="2"/>
        </w:numPr>
        <w:spacing w:line="360" w:lineRule="auto"/>
        <w:ind w:left="804"/>
        <w:jc w:val="both"/>
        <w:rPr>
          <w:sz w:val="24"/>
          <w:rtl/>
        </w:rPr>
      </w:pPr>
      <w:r>
        <w:rPr>
          <w:rFonts w:hint="cs"/>
          <w:sz w:val="24"/>
          <w:rtl/>
        </w:rPr>
        <w:t xml:space="preserve">עפ"ג (מחוזי-י-ם) </w:t>
      </w:r>
      <w:hyperlink r:id="rId56" w:history="1">
        <w:r w:rsidR="00EC401E" w:rsidRPr="00EC401E">
          <w:rPr>
            <w:color w:val="0000FF"/>
            <w:sz w:val="24"/>
            <w:u w:val="single"/>
            <w:rtl/>
          </w:rPr>
          <w:t xml:space="preserve">11045-09-18 </w:t>
        </w:r>
      </w:hyperlink>
      <w:r>
        <w:rPr>
          <w:rFonts w:hint="cs"/>
          <w:sz w:val="24"/>
          <w:rtl/>
        </w:rPr>
        <w:t xml:space="preserve"> </w:t>
      </w:r>
      <w:r>
        <w:rPr>
          <w:rFonts w:ascii="Miriam" w:hAnsi="Miriam" w:cs="Miriam"/>
          <w:b/>
          <w:bCs/>
          <w:szCs w:val="22"/>
          <w:rtl/>
        </w:rPr>
        <w:t xml:space="preserve">אליאסיאן נ' מדינת ישראל </w:t>
      </w:r>
      <w:r>
        <w:rPr>
          <w:rFonts w:hint="cs"/>
          <w:sz w:val="24"/>
          <w:rtl/>
        </w:rPr>
        <w:t xml:space="preserve">(3.3.19), אליו הפנה ב"כ הנאשם – התקבל הערעור ובוטלה הרשעה ב-2 עבירות סחר ב-103 גרם חשיש, כ-98 גרם קנבוס ובעסקה אחרת בכ-190 גרם חשיש. שם דובר בצעיר כבן 25, שירת כלוחם קרבי בצה"ל ואף החל לימודים אקדמאים להנדסה מהם פרש, על רקע התמכרותו לסמים, על רקע אובדן חברו לגדוד והטראומה בשל ירי והריגה במבצע "צוק איתן". המערער עבר הליך גמילה כשנה, שיתף פעולה באופן מלא וסיים ההליך בהצלחה. נסיבות אלו לא מתקיימות בענייננו.   </w:t>
      </w:r>
    </w:p>
    <w:p w14:paraId="502F525D" w14:textId="77777777" w:rsidR="00955DD7" w:rsidRDefault="00955DD7" w:rsidP="00955DD7">
      <w:pPr>
        <w:pStyle w:val="aa"/>
        <w:rPr>
          <w:sz w:val="24"/>
        </w:rPr>
      </w:pPr>
    </w:p>
    <w:p w14:paraId="4277A947" w14:textId="77777777" w:rsidR="00955DD7" w:rsidRDefault="00955DD7" w:rsidP="00955DD7">
      <w:pPr>
        <w:pStyle w:val="aa"/>
        <w:widowControl w:val="0"/>
        <w:numPr>
          <w:ilvl w:val="0"/>
          <w:numId w:val="2"/>
        </w:numPr>
        <w:spacing w:line="360" w:lineRule="auto"/>
        <w:ind w:left="804"/>
        <w:jc w:val="both"/>
        <w:rPr>
          <w:sz w:val="24"/>
          <w:rtl/>
        </w:rPr>
      </w:pPr>
      <w:r>
        <w:rPr>
          <w:rFonts w:hint="cs"/>
          <w:sz w:val="24"/>
          <w:rtl/>
        </w:rPr>
        <w:t xml:space="preserve">עפ"ג (מחוזי-ים) </w:t>
      </w:r>
      <w:hyperlink r:id="rId57" w:history="1">
        <w:r w:rsidR="00EC401E" w:rsidRPr="00EC401E">
          <w:rPr>
            <w:color w:val="0000FF"/>
            <w:sz w:val="24"/>
            <w:u w:val="single"/>
            <w:rtl/>
          </w:rPr>
          <w:t xml:space="preserve">33947-10-17 </w:t>
        </w:r>
      </w:hyperlink>
      <w:r>
        <w:rPr>
          <w:rFonts w:hint="cs"/>
          <w:sz w:val="24"/>
          <w:rtl/>
        </w:rPr>
        <w:t xml:space="preserve"> </w:t>
      </w:r>
      <w:r>
        <w:rPr>
          <w:rFonts w:ascii="Miriam" w:hAnsi="Miriam" w:cs="Miriam"/>
          <w:b/>
          <w:bCs/>
          <w:szCs w:val="22"/>
          <w:rtl/>
        </w:rPr>
        <w:t xml:space="preserve">מדינת ישראל נ' קרוקוצקי </w:t>
      </w:r>
      <w:r>
        <w:rPr>
          <w:rFonts w:hint="cs"/>
          <w:sz w:val="24"/>
          <w:rtl/>
        </w:rPr>
        <w:t>(3.3.19), אליו הפנה ב"כ הנאשם – נדחה ערעור על ביטול הרשעה בשש עבירות סחר בקנבוס במשקלים 2–10 גרם ובהחזקת 1 גרם קנבוס. מעבר לכך שמדובר בכמויות קטנות משמעותית של קנבוס – נקבע ב-</w:t>
      </w:r>
      <w:r>
        <w:rPr>
          <w:rFonts w:ascii="Miriam" w:hAnsi="Miriam" w:cs="Miriam"/>
          <w:b/>
          <w:bCs/>
          <w:szCs w:val="22"/>
          <w:rtl/>
        </w:rPr>
        <w:t xml:space="preserve">ענין קרוקוצקי </w:t>
      </w:r>
      <w:r>
        <w:rPr>
          <w:rFonts w:hint="cs"/>
          <w:sz w:val="24"/>
          <w:rtl/>
        </w:rPr>
        <w:t>כי הוא עבר הליך שיקום ארוך ומוצלח, כאשר העבירות בוצעו על רקע משבר סביב עזיבת המסגרת החרדית ומשפחתו התנתקה ממנו. ב-</w:t>
      </w:r>
      <w:r>
        <w:rPr>
          <w:rFonts w:ascii="Miriam" w:hAnsi="Miriam" w:cs="Miriam"/>
          <w:b/>
          <w:bCs/>
          <w:szCs w:val="22"/>
          <w:rtl/>
        </w:rPr>
        <w:t xml:space="preserve">ענין קרוקוצקי </w:t>
      </w:r>
      <w:r>
        <w:rPr>
          <w:rFonts w:hint="cs"/>
          <w:sz w:val="24"/>
          <w:rtl/>
        </w:rPr>
        <w:t xml:space="preserve">דובר בצעיר, נעדר עבר פלילי, אשר מבקש להתגייס לצבא ונקבע כי הרשעתו תסכל זאת. משכך קיים שוני גם בהשלכות ההרשעה.  </w:t>
      </w:r>
    </w:p>
    <w:p w14:paraId="03A5ED6D" w14:textId="77777777" w:rsidR="00955DD7" w:rsidRDefault="00955DD7" w:rsidP="00955DD7">
      <w:pPr>
        <w:pStyle w:val="aa"/>
        <w:rPr>
          <w:sz w:val="24"/>
        </w:rPr>
      </w:pPr>
    </w:p>
    <w:p w14:paraId="0F921FE7" w14:textId="77777777" w:rsidR="00955DD7" w:rsidRDefault="00DD2041" w:rsidP="00955DD7">
      <w:pPr>
        <w:pStyle w:val="aa"/>
        <w:widowControl w:val="0"/>
        <w:numPr>
          <w:ilvl w:val="0"/>
          <w:numId w:val="2"/>
        </w:numPr>
        <w:spacing w:line="360" w:lineRule="auto"/>
        <w:ind w:left="804"/>
        <w:jc w:val="both"/>
        <w:rPr>
          <w:sz w:val="24"/>
          <w:rtl/>
        </w:rPr>
      </w:pPr>
      <w:hyperlink r:id="rId58" w:history="1">
        <w:r w:rsidRPr="00DD2041">
          <w:rPr>
            <w:color w:val="0000FF"/>
            <w:sz w:val="24"/>
            <w:u w:val="single"/>
            <w:rtl/>
          </w:rPr>
          <w:t>עפ"ג (מחוזי-חי') 28110-10-15</w:t>
        </w:r>
      </w:hyperlink>
      <w:r w:rsidR="00955DD7">
        <w:rPr>
          <w:rFonts w:hint="cs"/>
          <w:sz w:val="24"/>
          <w:rtl/>
        </w:rPr>
        <w:t xml:space="preserve"> </w:t>
      </w:r>
      <w:r w:rsidR="00955DD7">
        <w:rPr>
          <w:rFonts w:ascii="Miriam" w:hAnsi="Miriam" w:cs="Miriam"/>
          <w:b/>
          <w:bCs/>
          <w:szCs w:val="22"/>
          <w:rtl/>
        </w:rPr>
        <w:t>מדינת ישראל נ' דוד</w:t>
      </w:r>
      <w:r w:rsidR="00955DD7">
        <w:rPr>
          <w:rFonts w:hint="cs"/>
          <w:sz w:val="24"/>
          <w:rtl/>
        </w:rPr>
        <w:t xml:space="preserve"> (17.12.15) (להלן: </w:t>
      </w:r>
      <w:r w:rsidR="00955DD7">
        <w:rPr>
          <w:rFonts w:ascii="Miriam" w:hAnsi="Miriam" w:cs="Miriam"/>
          <w:b/>
          <w:bCs/>
          <w:szCs w:val="22"/>
          <w:rtl/>
        </w:rPr>
        <w:t>ענין דוד</w:t>
      </w:r>
      <w:r w:rsidR="00955DD7">
        <w:rPr>
          <w:rFonts w:hint="cs"/>
          <w:sz w:val="24"/>
          <w:rtl/>
        </w:rPr>
        <w:t>) –</w:t>
      </w:r>
      <w:r w:rsidR="00955DD7">
        <w:rPr>
          <w:rFonts w:hint="cs"/>
          <w:rtl/>
        </w:rPr>
        <w:t xml:space="preserve"> נדחה ערעור גזר הדין ב</w:t>
      </w:r>
      <w:r w:rsidR="00955DD7">
        <w:rPr>
          <w:rFonts w:hint="cs"/>
          <w:sz w:val="24"/>
          <w:rtl/>
        </w:rPr>
        <w:t>-</w:t>
      </w:r>
      <w:hyperlink r:id="rId59" w:history="1">
        <w:r w:rsidRPr="00DD2041">
          <w:rPr>
            <w:color w:val="0000FF"/>
            <w:sz w:val="24"/>
            <w:u w:val="single"/>
            <w:rtl/>
          </w:rPr>
          <w:t>ת"פ 74-11-13</w:t>
        </w:r>
      </w:hyperlink>
      <w:r w:rsidR="00955DD7">
        <w:rPr>
          <w:rFonts w:hint="cs"/>
          <w:sz w:val="24"/>
          <w:rtl/>
        </w:rPr>
        <w:t xml:space="preserve"> מדינת ישראל נ' דוד (7.9.15), אליו הפנה ב"כ הנאשם. בוטלה הרשעה </w:t>
      </w:r>
      <w:r w:rsidR="00955DD7">
        <w:rPr>
          <w:rFonts w:hint="cs"/>
          <w:rtl/>
        </w:rPr>
        <w:t>בגידול בצוותא של 21 שתילי קנבוס במשקל כ-3.5 ק"ג. הושתו 180 שעות של"ץ, מבחן לשנה, 5,000 ₪ פיצוי ו-6 חודשי פסילה מותנית. בערעור צו המבחן הוארך ל-18 חודשים וסכום הפיצוי עלה ל-11,000 ₪.</w:t>
      </w:r>
    </w:p>
    <w:p w14:paraId="73DEA852" w14:textId="77777777" w:rsidR="00955DD7" w:rsidRDefault="00955DD7" w:rsidP="00955DD7">
      <w:pPr>
        <w:snapToGrid w:val="0"/>
        <w:spacing w:line="360" w:lineRule="auto"/>
        <w:ind w:left="851"/>
        <w:jc w:val="both"/>
      </w:pPr>
      <w:r>
        <w:rPr>
          <w:sz w:val="20"/>
          <w:rtl/>
          <w:lang w:eastAsia="he-IL"/>
        </w:rPr>
        <w:t xml:space="preserve">* בעניינו, מדובר בכמות סם קטנה יותר ולא מדובר בגידול, אך לא מתקיים </w:t>
      </w:r>
      <w:r>
        <w:rPr>
          <w:rtl/>
        </w:rPr>
        <w:t>הפוטנציאל החיובי לשיקום עליו עמד שירות המבחן ב-</w:t>
      </w:r>
      <w:r>
        <w:rPr>
          <w:rFonts w:ascii="Miriam" w:hAnsi="Miriam" w:cs="Miriam"/>
          <w:b/>
          <w:bCs/>
          <w:sz w:val="18"/>
          <w:szCs w:val="22"/>
          <w:rtl/>
          <w:lang w:eastAsia="he-IL"/>
        </w:rPr>
        <w:t>ענין דוד</w:t>
      </w:r>
      <w:r>
        <w:rPr>
          <w:rtl/>
        </w:rPr>
        <w:t>, שהמליץ שם על סיום ההליך ללא הרשעה, גם נוכח החשש לאבדן מקום עבודתו והסיכוי כי המשך העבודה יסייע בשיקומו.</w:t>
      </w:r>
    </w:p>
    <w:p w14:paraId="3FEC55F7" w14:textId="77777777" w:rsidR="00955DD7" w:rsidRDefault="00955DD7" w:rsidP="00955DD7">
      <w:pPr>
        <w:snapToGrid w:val="0"/>
        <w:ind w:left="1440"/>
        <w:jc w:val="both"/>
        <w:rPr>
          <w:sz w:val="20"/>
          <w:rtl/>
          <w:lang w:eastAsia="he-IL"/>
        </w:rPr>
      </w:pPr>
    </w:p>
    <w:p w14:paraId="68AAA817" w14:textId="77777777" w:rsidR="00955DD7" w:rsidRDefault="00955DD7" w:rsidP="00955DD7">
      <w:pPr>
        <w:pStyle w:val="aa"/>
        <w:widowControl w:val="0"/>
        <w:numPr>
          <w:ilvl w:val="0"/>
          <w:numId w:val="2"/>
        </w:numPr>
        <w:spacing w:line="360" w:lineRule="auto"/>
        <w:ind w:left="804"/>
        <w:jc w:val="both"/>
        <w:rPr>
          <w:sz w:val="24"/>
        </w:rPr>
      </w:pPr>
      <w:r>
        <w:rPr>
          <w:rFonts w:hint="cs"/>
          <w:sz w:val="24"/>
          <w:rtl/>
        </w:rPr>
        <w:t xml:space="preserve">עפ"ג (מחוזי-ב"ש) </w:t>
      </w:r>
      <w:hyperlink r:id="rId60" w:history="1">
        <w:r w:rsidR="00EC401E" w:rsidRPr="00EC401E">
          <w:rPr>
            <w:color w:val="0000FF"/>
            <w:sz w:val="24"/>
            <w:u w:val="single"/>
            <w:rtl/>
          </w:rPr>
          <w:t xml:space="preserve">53046-02-14 </w:t>
        </w:r>
      </w:hyperlink>
      <w:r>
        <w:rPr>
          <w:rFonts w:hint="cs"/>
          <w:sz w:val="24"/>
          <w:rtl/>
        </w:rPr>
        <w:t xml:space="preserve"> </w:t>
      </w:r>
      <w:r>
        <w:rPr>
          <w:rFonts w:ascii="Miriam" w:hAnsi="Miriam" w:cs="Miriam"/>
          <w:b/>
          <w:bCs/>
          <w:szCs w:val="22"/>
          <w:rtl/>
        </w:rPr>
        <w:t xml:space="preserve">טחן נ' מדינת ישראל </w:t>
      </w:r>
      <w:r>
        <w:rPr>
          <w:rFonts w:hint="cs"/>
          <w:sz w:val="24"/>
          <w:rtl/>
        </w:rPr>
        <w:t>(2.4.14), אליו הפנה ב"כ הנאשם – התקבל הערעור ובוטלה הרשעה בגידול כ-30 שתילי קנבוס במשקל 241 גרם והחזקת 16 גרם קנבוס לצריכה עצמית. מעבר לשוני בכמות הסם – קיים שוני בנסיבות. שם מדובר היה במי ש"</w:t>
      </w:r>
      <w:r>
        <w:rPr>
          <w:rFonts w:hint="cs"/>
          <w:b/>
          <w:bCs/>
          <w:sz w:val="24"/>
          <w:rtl/>
        </w:rPr>
        <w:t>עשה שירות צבאי, גם במלחמת לבנון, שם חווה חוויות לא פשוטות ואף נקלע לחילוץ פצוע, פעולה עליה זכה בצל"ש</w:t>
      </w:r>
      <w:r>
        <w:rPr>
          <w:rFonts w:hint="cs"/>
          <w:sz w:val="24"/>
          <w:rtl/>
        </w:rPr>
        <w:t>". המערער חווה משברים ומצוקות אישיים. לא היתה מחלוקת כי המערער גידל את הסם לצריכתו העצמית ועלה שעשה בו שימוש לטיפול בבעיה רפואית מסוימת. מעבר לכך שהמערער הודה ונטל אחריות על ביצוע העבירה, הפסיק שימוש בסם וקיימת סבירות נמוכה שיחזור לבצע עבירות דומות, מדובר היה במי שבגיל 49 כשל בפלילים לראשונה בחייו והמעשה "</w:t>
      </w:r>
      <w:r>
        <w:rPr>
          <w:rFonts w:hint="cs"/>
          <w:b/>
          <w:bCs/>
          <w:sz w:val="24"/>
          <w:rtl/>
        </w:rPr>
        <w:t>חריג לאורחות חייו החיוביים באופן בולט וכוללים</w:t>
      </w:r>
      <w:r>
        <w:rPr>
          <w:rFonts w:hint="cs"/>
          <w:sz w:val="24"/>
          <w:rtl/>
        </w:rPr>
        <w:t xml:space="preserve">... </w:t>
      </w:r>
      <w:r>
        <w:rPr>
          <w:rFonts w:hint="cs"/>
          <w:b/>
          <w:bCs/>
          <w:sz w:val="24"/>
          <w:rtl/>
        </w:rPr>
        <w:t>תרומה למדינה</w:t>
      </w:r>
      <w:r>
        <w:rPr>
          <w:rFonts w:hint="cs"/>
          <w:sz w:val="24"/>
          <w:rtl/>
        </w:rPr>
        <w:t xml:space="preserve">... </w:t>
      </w:r>
      <w:r>
        <w:rPr>
          <w:rFonts w:hint="cs"/>
          <w:b/>
          <w:bCs/>
          <w:sz w:val="24"/>
          <w:rtl/>
        </w:rPr>
        <w:t>אורח חיים נורמטיבי תוך שהוא עובד ותורם למדינה ולחברה</w:t>
      </w:r>
      <w:r>
        <w:rPr>
          <w:rFonts w:hint="cs"/>
          <w:sz w:val="24"/>
          <w:rtl/>
        </w:rPr>
        <w:t>". בנוסף, נקבע כי "</w:t>
      </w:r>
      <w:r>
        <w:rPr>
          <w:rFonts w:hint="cs"/>
          <w:b/>
          <w:bCs/>
          <w:sz w:val="24"/>
          <w:rtl/>
        </w:rPr>
        <w:t>הנזק שיגרם למערער כתוצאה מההרשעה הינו ממשי ומוחשי, הן בתחום התעסוקה</w:t>
      </w:r>
      <w:r>
        <w:rPr>
          <w:rFonts w:hint="cs"/>
          <w:sz w:val="24"/>
          <w:rtl/>
        </w:rPr>
        <w:t xml:space="preserve">... </w:t>
      </w:r>
      <w:r>
        <w:rPr>
          <w:rFonts w:hint="cs"/>
          <w:b/>
          <w:bCs/>
          <w:sz w:val="24"/>
          <w:rtl/>
        </w:rPr>
        <w:t>והן בתחום האישי והנפשי</w:t>
      </w:r>
      <w:r>
        <w:rPr>
          <w:rFonts w:hint="cs"/>
          <w:sz w:val="24"/>
          <w:rtl/>
        </w:rPr>
        <w:t xml:space="preserve">..." – כל הנסיבות האלו לא מתקיימות בענייננו. </w:t>
      </w:r>
    </w:p>
    <w:p w14:paraId="75FF5F81" w14:textId="77777777" w:rsidR="00955DD7" w:rsidRDefault="00955DD7" w:rsidP="00955DD7">
      <w:pPr>
        <w:pStyle w:val="aa"/>
        <w:widowControl w:val="0"/>
        <w:ind w:left="1475"/>
        <w:jc w:val="both"/>
        <w:rPr>
          <w:sz w:val="24"/>
        </w:rPr>
      </w:pPr>
    </w:p>
    <w:p w14:paraId="60FFE04E" w14:textId="77777777" w:rsidR="00955DD7" w:rsidRDefault="00DD2041" w:rsidP="00955DD7">
      <w:pPr>
        <w:pStyle w:val="aa"/>
        <w:widowControl w:val="0"/>
        <w:numPr>
          <w:ilvl w:val="0"/>
          <w:numId w:val="2"/>
        </w:numPr>
        <w:spacing w:line="360" w:lineRule="auto"/>
        <w:ind w:left="804"/>
        <w:jc w:val="both"/>
        <w:rPr>
          <w:sz w:val="24"/>
        </w:rPr>
      </w:pPr>
      <w:hyperlink r:id="rId61" w:history="1">
        <w:r w:rsidRPr="00DD2041">
          <w:rPr>
            <w:color w:val="0000FF"/>
            <w:sz w:val="24"/>
            <w:u w:val="single"/>
            <w:rtl/>
          </w:rPr>
          <w:t>עפ"ג (מחוזי-מרכז) 53504-01-11</w:t>
        </w:r>
      </w:hyperlink>
      <w:r w:rsidR="00955DD7">
        <w:rPr>
          <w:rFonts w:hint="cs"/>
          <w:sz w:val="24"/>
          <w:rtl/>
        </w:rPr>
        <w:t xml:space="preserve"> </w:t>
      </w:r>
      <w:r w:rsidR="00955DD7">
        <w:rPr>
          <w:rFonts w:ascii="Miriam" w:hAnsi="Miriam" w:cs="Miriam"/>
          <w:b/>
          <w:bCs/>
          <w:szCs w:val="22"/>
          <w:rtl/>
        </w:rPr>
        <w:t xml:space="preserve">אלון נ' מדינת ישראל </w:t>
      </w:r>
      <w:r w:rsidR="00955DD7">
        <w:rPr>
          <w:rFonts w:hint="cs"/>
          <w:sz w:val="24"/>
          <w:rtl/>
        </w:rPr>
        <w:t>(22.5.11), אליו הפנה ב"כ הנאשם –</w:t>
      </w:r>
      <w:r w:rsidR="00955DD7">
        <w:rPr>
          <w:rFonts w:hint="cs"/>
          <w:rtl/>
        </w:rPr>
        <w:t xml:space="preserve"> התקבל הערעור ובוטלה הרשעה בהחזקת 8.22 ק"ג קנבוס, שהמערער לקח, לבקשת חברו, ממעבדת גידול והטמין במקום בו נתפס. ההרשעה בוטלה בהינתן נסיבות ההחזקה (בשל פחד מהמגדל), הודייתו וקיום נזק קונקרטי משמעותי (לא יוכל לייצג את ישראל כג'ודוקא באולימפיאדה)</w:t>
      </w:r>
      <w:r w:rsidR="00955DD7">
        <w:rPr>
          <w:rFonts w:hint="cs"/>
          <w:sz w:val="24"/>
          <w:rtl/>
        </w:rPr>
        <w:t>. כך, גם כאן, מדובר אמנם בכמות גבוהה מזו שלפניי, אולם בנסיבות החזקה שונות וגם נסיבות אישיות שונות, לרבות קיומו של נזק קונקרטי.</w:t>
      </w:r>
    </w:p>
    <w:p w14:paraId="534D07B2" w14:textId="77777777" w:rsidR="00955DD7" w:rsidRDefault="00955DD7" w:rsidP="00955DD7">
      <w:pPr>
        <w:pStyle w:val="aa"/>
        <w:widowControl w:val="0"/>
        <w:ind w:left="1475"/>
        <w:jc w:val="both"/>
        <w:rPr>
          <w:sz w:val="24"/>
          <w:rtl/>
        </w:rPr>
      </w:pPr>
    </w:p>
    <w:p w14:paraId="4D2D1F11" w14:textId="77777777" w:rsidR="00955DD7" w:rsidRDefault="00955DD7" w:rsidP="00955DD7">
      <w:pPr>
        <w:pStyle w:val="aa"/>
        <w:widowControl w:val="0"/>
        <w:numPr>
          <w:ilvl w:val="0"/>
          <w:numId w:val="2"/>
        </w:numPr>
        <w:spacing w:line="360" w:lineRule="auto"/>
        <w:ind w:left="804"/>
        <w:jc w:val="both"/>
        <w:rPr>
          <w:sz w:val="24"/>
        </w:rPr>
      </w:pPr>
      <w:r>
        <w:rPr>
          <w:rFonts w:hint="cs"/>
          <w:sz w:val="24"/>
          <w:rtl/>
        </w:rPr>
        <w:t xml:space="preserve">עפ"ג (מחוזי-חי') </w:t>
      </w:r>
      <w:hyperlink r:id="rId62" w:history="1">
        <w:r w:rsidR="00EC401E" w:rsidRPr="00EC401E">
          <w:rPr>
            <w:color w:val="0000FF"/>
            <w:sz w:val="24"/>
            <w:u w:val="single"/>
            <w:rtl/>
          </w:rPr>
          <w:t xml:space="preserve">18588-12-09 </w:t>
        </w:r>
      </w:hyperlink>
      <w:r>
        <w:rPr>
          <w:rFonts w:hint="cs"/>
          <w:sz w:val="24"/>
          <w:rtl/>
        </w:rPr>
        <w:t xml:space="preserve"> </w:t>
      </w:r>
      <w:r>
        <w:rPr>
          <w:rFonts w:ascii="Miriam" w:hAnsi="Miriam" w:cs="Miriam"/>
          <w:b/>
          <w:bCs/>
          <w:szCs w:val="22"/>
          <w:rtl/>
        </w:rPr>
        <w:t>מדינת ישראל נ' ברייה</w:t>
      </w:r>
      <w:r>
        <w:rPr>
          <w:rFonts w:hint="cs"/>
          <w:sz w:val="24"/>
          <w:rtl/>
        </w:rPr>
        <w:t xml:space="preserve"> (8.7.10), אליו הפנה ב"כ הנאשם – נדחה ערעור על גזר הדין, במסגרתו הושתו מאסר מותנה, מבחן, 150 שעות של"ץ והתחייבות, בגין החזקת 18.09 גרם הרואין בעת ביקור בכלא, על מי שלחובתו הרשעה קודמת בסמים. תקופת צו המבחן הוכפלה מ-18 חודשים ל-3 שנים. בתי המשפט התחשבו בחלוף כ-5 שנים מהאירוע, במהלכם עבר הליך ארוך של טיפול לגמילה מסמים בסיומו החל לנהל אורח חיים תקין והתמיד בנקיונו מסמים. </w:t>
      </w:r>
    </w:p>
    <w:p w14:paraId="570D9C20" w14:textId="77777777" w:rsidR="00955DD7" w:rsidRDefault="00955DD7" w:rsidP="00955DD7">
      <w:pPr>
        <w:pStyle w:val="aa"/>
        <w:widowControl w:val="0"/>
        <w:spacing w:line="360" w:lineRule="auto"/>
        <w:ind w:left="794"/>
        <w:jc w:val="both"/>
        <w:rPr>
          <w:sz w:val="24"/>
        </w:rPr>
      </w:pPr>
    </w:p>
    <w:p w14:paraId="402B665F" w14:textId="77777777" w:rsidR="00955DD7" w:rsidRDefault="00955DD7" w:rsidP="00955DD7">
      <w:pPr>
        <w:pStyle w:val="aa"/>
        <w:widowControl w:val="0"/>
        <w:numPr>
          <w:ilvl w:val="0"/>
          <w:numId w:val="1"/>
        </w:numPr>
        <w:spacing w:line="360" w:lineRule="auto"/>
        <w:ind w:left="360"/>
        <w:jc w:val="both"/>
        <w:rPr>
          <w:sz w:val="24"/>
          <w:rtl/>
        </w:rPr>
      </w:pPr>
      <w:r>
        <w:rPr>
          <w:rFonts w:hint="cs"/>
          <w:rtl/>
        </w:rPr>
        <w:t xml:space="preserve">עולה מהמקובץ כי </w:t>
      </w:r>
      <w:r>
        <w:rPr>
          <w:rFonts w:hint="cs"/>
          <w:b/>
          <w:bCs/>
          <w:rtl/>
        </w:rPr>
        <w:t>בנסיבות מסוימות, גם בהחזקת סמים מסוכנים וקטלניים מאלו שלפניי, לרבות הרואין, קוקאין ו-</w:t>
      </w:r>
      <w:r>
        <w:rPr>
          <w:b/>
          <w:bCs/>
        </w:rPr>
        <w:t>MDMA</w:t>
      </w:r>
      <w:r>
        <w:rPr>
          <w:rFonts w:hint="cs"/>
          <w:b/>
          <w:bCs/>
          <w:rtl/>
        </w:rPr>
        <w:t>, ואף בעבירות חמורות מאלו שלפני, לרבות גידול, אספקה וסחר – ניתן לסיים הליך בביטול ההרשעה</w:t>
      </w:r>
      <w:r>
        <w:rPr>
          <w:rFonts w:hint="cs"/>
          <w:rtl/>
        </w:rPr>
        <w:t xml:space="preserve">. </w:t>
      </w:r>
      <w:r>
        <w:rPr>
          <w:rFonts w:hint="cs"/>
          <w:color w:val="000000"/>
          <w:rtl/>
        </w:rPr>
        <w:t xml:space="preserve">אשר על כן, </w:t>
      </w:r>
      <w:r>
        <w:rPr>
          <w:rFonts w:hint="cs"/>
          <w:b/>
          <w:bCs/>
          <w:color w:val="000000"/>
          <w:rtl/>
        </w:rPr>
        <w:t>סוג העבירה, בנסיבותיה, מאפשר סיום ההליך ללא הרשעה</w:t>
      </w:r>
    </w:p>
    <w:p w14:paraId="5C030FD2" w14:textId="77777777" w:rsidR="00955DD7" w:rsidRDefault="00955DD7" w:rsidP="00955DD7">
      <w:pPr>
        <w:pStyle w:val="gmail-msonospacing"/>
        <w:widowControl w:val="0"/>
        <w:bidi/>
        <w:spacing w:before="0" w:beforeAutospacing="0" w:after="0" w:afterAutospacing="0" w:line="360" w:lineRule="auto"/>
        <w:jc w:val="both"/>
        <w:rPr>
          <w:rFonts w:ascii="David" w:hAnsi="David" w:cs="David"/>
          <w:b/>
          <w:bCs/>
          <w:sz w:val="26"/>
          <w:szCs w:val="26"/>
        </w:rPr>
      </w:pPr>
    </w:p>
    <w:p w14:paraId="7C82C5CD" w14:textId="77777777" w:rsidR="00955DD7" w:rsidRDefault="00955DD7" w:rsidP="00955DD7">
      <w:pPr>
        <w:pStyle w:val="gmail-msonospacing"/>
        <w:widowControl w:val="0"/>
        <w:bidi/>
        <w:spacing w:before="0" w:beforeAutospacing="0" w:after="0" w:afterAutospacing="0" w:line="360" w:lineRule="auto"/>
        <w:jc w:val="both"/>
        <w:rPr>
          <w:rtl/>
        </w:rPr>
      </w:pPr>
      <w:r>
        <w:rPr>
          <w:rFonts w:ascii="David" w:hAnsi="David" w:cs="David"/>
          <w:b/>
          <w:bCs/>
          <w:sz w:val="26"/>
          <w:szCs w:val="26"/>
          <w:rtl/>
        </w:rPr>
        <w:t>הפגיעה בנאשם, שיקולי שיקום וחריגה מהמתחם</w:t>
      </w:r>
    </w:p>
    <w:p w14:paraId="3FEB337F" w14:textId="77777777" w:rsidR="00955DD7" w:rsidRDefault="00955DD7" w:rsidP="00955DD7">
      <w:pPr>
        <w:pStyle w:val="aa"/>
        <w:widowControl w:val="0"/>
        <w:numPr>
          <w:ilvl w:val="0"/>
          <w:numId w:val="1"/>
        </w:numPr>
        <w:spacing w:line="360" w:lineRule="auto"/>
        <w:ind w:left="360"/>
        <w:jc w:val="both"/>
        <w:rPr>
          <w:sz w:val="24"/>
          <w:rtl/>
        </w:rPr>
      </w:pPr>
      <w:r>
        <w:rPr>
          <w:rFonts w:hint="cs"/>
          <w:rtl/>
        </w:rPr>
        <w:t xml:space="preserve">הבחינה אם יש מקום לחרוג ממתחם העונש ההולם בשל שיקולי שיקום, בהתאם </w:t>
      </w:r>
      <w:hyperlink r:id="rId63" w:history="1">
        <w:r w:rsidR="00B930B9" w:rsidRPr="00B930B9">
          <w:rPr>
            <w:rStyle w:val="Hyperlink"/>
            <w:rFonts w:hint="eastAsia"/>
            <w:rtl/>
          </w:rPr>
          <w:t>לסעיף</w:t>
        </w:r>
        <w:r w:rsidR="00B930B9" w:rsidRPr="00B930B9">
          <w:rPr>
            <w:rStyle w:val="Hyperlink"/>
            <w:rtl/>
          </w:rPr>
          <w:t xml:space="preserve"> 40ד</w:t>
        </w:r>
      </w:hyperlink>
      <w:r>
        <w:rPr>
          <w:rFonts w:hint="cs"/>
          <w:rtl/>
        </w:rPr>
        <w:t xml:space="preserve"> ל</w:t>
      </w:r>
      <w:hyperlink r:id="rId64" w:history="1">
        <w:r w:rsidR="00DD2041" w:rsidRPr="00DD2041">
          <w:rPr>
            <w:rFonts w:ascii="Miriam" w:hAnsi="Miriam" w:cs="Miriam"/>
            <w:b/>
            <w:bCs/>
            <w:color w:val="0000FF"/>
            <w:sz w:val="18"/>
            <w:szCs w:val="22"/>
            <w:u w:val="single"/>
            <w:rtl/>
          </w:rPr>
          <w:t>חוק העונשין</w:t>
        </w:r>
      </w:hyperlink>
      <w:r>
        <w:rPr>
          <w:rFonts w:hint="cs"/>
          <w:rtl/>
        </w:rPr>
        <w:t>, לפיו</w:t>
      </w:r>
      <w:r>
        <w:rPr>
          <w:rFonts w:ascii="Miriam" w:hAnsi="Miriam" w:cs="Miriam"/>
          <w:b/>
          <w:bCs/>
          <w:sz w:val="18"/>
          <w:szCs w:val="22"/>
          <w:rtl/>
        </w:rPr>
        <w:t xml:space="preserve"> </w:t>
      </w:r>
      <w:r>
        <w:rPr>
          <w:rFonts w:hint="cs"/>
          <w:rtl/>
        </w:rPr>
        <w:t>משבית המשפט "</w:t>
      </w:r>
      <w:r>
        <w:rPr>
          <w:rFonts w:hint="cs"/>
          <w:b/>
          <w:bCs/>
          <w:rtl/>
        </w:rPr>
        <w:t>מצא כי הנאשם השתקם או כי יש סיכוי של ממש שישתקם, רשאי הוא לחרוג ממתחם העונש ההולם</w:t>
      </w:r>
      <w:r>
        <w:rPr>
          <w:rFonts w:hint="cs"/>
          <w:rtl/>
        </w:rPr>
        <w:t>" והבחינה אם הנאשם עומד בתנאי</w:t>
      </w:r>
      <w:r>
        <w:rPr>
          <w:rFonts w:hint="cs"/>
          <w:sz w:val="24"/>
          <w:rtl/>
        </w:rPr>
        <w:t xml:space="preserve"> הנוסף שנקבע ב-</w:t>
      </w:r>
      <w:r>
        <w:rPr>
          <w:rFonts w:ascii="Miriam" w:hAnsi="Miriam" w:cs="Miriam"/>
          <w:b/>
          <w:bCs/>
          <w:sz w:val="18"/>
          <w:szCs w:val="22"/>
          <w:rtl/>
        </w:rPr>
        <w:t>הלכת כתב</w:t>
      </w:r>
      <w:r>
        <w:rPr>
          <w:rFonts w:hint="cs"/>
          <w:sz w:val="24"/>
          <w:rtl/>
        </w:rPr>
        <w:t>, כי "</w:t>
      </w:r>
      <w:r>
        <w:rPr>
          <w:rFonts w:hint="cs"/>
          <w:b/>
          <w:bCs/>
          <w:rtl/>
        </w:rPr>
        <w:t>על ההרשעה לפגוע פגיעה חמורה בשיקום הנאשם</w:t>
      </w:r>
      <w:r>
        <w:rPr>
          <w:rFonts w:hint="cs"/>
          <w:sz w:val="24"/>
          <w:rtl/>
        </w:rPr>
        <w:t xml:space="preserve">" </w:t>
      </w:r>
      <w:r>
        <w:rPr>
          <w:rFonts w:hint="cs"/>
          <w:rtl/>
        </w:rPr>
        <w:t xml:space="preserve">כרוכות במידה רבה זו בזו ומשכך אדון בהן במאוחד, תוך התייחסות לנסיבות שלא קשורות בביצוע העבירה, אשר נסקרו לעיל. </w:t>
      </w:r>
      <w:r>
        <w:rPr>
          <w:rFonts w:hint="cs"/>
          <w:sz w:val="24"/>
          <w:rtl/>
        </w:rPr>
        <w:t>ראשית, מקובלת עלי טענת ב"כ המאשימה, כי גם כשמדובר בצעירים – לא די באפשרות תיאורטית ועל ההגנה להראות פגיעה קונקרטית. ב-</w:t>
      </w:r>
      <w:hyperlink r:id="rId65" w:history="1">
        <w:r w:rsidR="00DD2041" w:rsidRPr="00DD2041">
          <w:rPr>
            <w:color w:val="0000FF"/>
            <w:u w:val="single"/>
            <w:rtl/>
          </w:rPr>
          <w:t>ע"פ 8528/12</w:t>
        </w:r>
      </w:hyperlink>
      <w:r>
        <w:rPr>
          <w:rFonts w:hint="cs"/>
          <w:rtl/>
        </w:rPr>
        <w:t xml:space="preserve"> </w:t>
      </w:r>
      <w:r>
        <w:rPr>
          <w:rFonts w:ascii="Miriam" w:hAnsi="Miriam" w:cs="Miriam"/>
          <w:b/>
          <w:bCs/>
          <w:sz w:val="18"/>
          <w:szCs w:val="22"/>
          <w:rtl/>
        </w:rPr>
        <w:t>צפורה נ' מדינת ישראל</w:t>
      </w:r>
      <w:r>
        <w:rPr>
          <w:rFonts w:hint="cs"/>
          <w:rtl/>
        </w:rPr>
        <w:t xml:space="preserve"> (3.3.13), אליו הפנתה ב"כ המאשימה, בו נדחו ערעור ובקשת רשות ערעור של מי שהורשע במתן אמצעים לפשע, במסגרת פרשה בה יובאו לישראל, על ידי שני בלדרים בטיסה מברזיל, 138 אריזות סם מסוכן מסוג קוקאין, במשקל כולל של 2.150 ק"ג – </w:t>
      </w:r>
      <w:r>
        <w:rPr>
          <w:rFonts w:ascii="Arial" w:hAnsi="Arial" w:hint="cs"/>
          <w:rtl/>
        </w:rPr>
        <w:t>קבע כב' הש' שהם בסעיף 11 לפסק דינו "</w:t>
      </w:r>
      <w:r>
        <w:rPr>
          <w:rFonts w:ascii="Arial" w:hAnsi="Arial" w:hint="cs"/>
          <w:b/>
          <w:bCs/>
          <w:rtl/>
        </w:rPr>
        <w:t>בבוא בית המשפט לבחון את הנזק העלול להיגרם לנאשם, יש להתייחס לנזק מוחשי-קונקרטי, ואין להידרש לאפשרויות תיאורטיות, על פיהן עלול להיגרם לנאשם נזק כלשהו בעתיד</w:t>
      </w:r>
      <w:r>
        <w:rPr>
          <w:rFonts w:ascii="Arial" w:hAnsi="Arial" w:hint="cs"/>
          <w:rtl/>
        </w:rPr>
        <w:t>"</w:t>
      </w:r>
      <w:r>
        <w:rPr>
          <w:rFonts w:hint="cs"/>
          <w:sz w:val="24"/>
          <w:rtl/>
        </w:rPr>
        <w:t>.</w:t>
      </w:r>
    </w:p>
    <w:p w14:paraId="3D2369E0" w14:textId="77777777" w:rsidR="00955DD7" w:rsidRDefault="00955DD7" w:rsidP="00955DD7">
      <w:pPr>
        <w:pStyle w:val="aa"/>
        <w:widowControl w:val="0"/>
        <w:spacing w:line="360" w:lineRule="auto"/>
        <w:ind w:left="360"/>
        <w:jc w:val="both"/>
        <w:rPr>
          <w:sz w:val="24"/>
        </w:rPr>
      </w:pPr>
      <w:r>
        <w:rPr>
          <w:sz w:val="24"/>
          <w:rtl/>
        </w:rPr>
        <w:t xml:space="preserve"> </w:t>
      </w:r>
    </w:p>
    <w:p w14:paraId="12A18EF1" w14:textId="77777777" w:rsidR="00955DD7" w:rsidRDefault="00955DD7" w:rsidP="00955DD7">
      <w:pPr>
        <w:pStyle w:val="aa"/>
        <w:widowControl w:val="0"/>
        <w:numPr>
          <w:ilvl w:val="0"/>
          <w:numId w:val="1"/>
        </w:numPr>
        <w:spacing w:line="360" w:lineRule="auto"/>
        <w:ind w:left="360"/>
        <w:jc w:val="both"/>
        <w:rPr>
          <w:sz w:val="24"/>
        </w:rPr>
      </w:pPr>
      <w:r>
        <w:rPr>
          <w:rFonts w:hint="cs"/>
          <w:sz w:val="24"/>
          <w:rtl/>
        </w:rPr>
        <w:t>לצד זאת, נפסק לא אחת, כי הדרישה להוכחת נזק "</w:t>
      </w:r>
      <w:r>
        <w:rPr>
          <w:rFonts w:hint="cs"/>
          <w:b/>
          <w:bCs/>
          <w:sz w:val="24"/>
          <w:rtl/>
        </w:rPr>
        <w:t>מוחשי-קונקרטי</w:t>
      </w:r>
      <w:r>
        <w:rPr>
          <w:rFonts w:hint="cs"/>
          <w:sz w:val="24"/>
          <w:rtl/>
        </w:rPr>
        <w:t xml:space="preserve">" תוקל במקרים בהם סוג העבירה לא מחייב הרשעה </w:t>
      </w:r>
      <w:r>
        <w:rPr>
          <w:rFonts w:hint="cs"/>
          <w:rtl/>
        </w:rPr>
        <w:t>"</w:t>
      </w:r>
      <w:r>
        <w:rPr>
          <w:rFonts w:hint="cs"/>
          <w:b/>
          <w:bCs/>
          <w:rtl/>
        </w:rPr>
        <w:t>ככל שמעשה העבירה</w:t>
      </w:r>
      <w:r>
        <w:rPr>
          <w:rFonts w:hint="cs"/>
          <w:rtl/>
        </w:rPr>
        <w:t>...</w:t>
      </w:r>
      <w:r>
        <w:rPr>
          <w:rFonts w:hint="cs"/>
          <w:b/>
          <w:bCs/>
          <w:rtl/>
        </w:rPr>
        <w:t xml:space="preserve"> קל יותר, אפשר כי בית המשפט ייטה להסתפק בהוכחת פגיעה כללית יותר</w:t>
      </w:r>
      <w:r>
        <w:rPr>
          <w:rFonts w:hint="cs"/>
          <w:sz w:val="24"/>
          <w:rtl/>
        </w:rPr>
        <w:t xml:space="preserve">", כפי שקבע כב' הש' דנינו </w:t>
      </w:r>
      <w:r>
        <w:rPr>
          <w:rFonts w:hint="cs"/>
          <w:rtl/>
        </w:rPr>
        <w:t>ב-</w:t>
      </w:r>
      <w:r>
        <w:rPr>
          <w:rFonts w:ascii="Miriam" w:hAnsi="Miriam" w:cs="Miriam"/>
          <w:b/>
          <w:bCs/>
          <w:szCs w:val="22"/>
          <w:rtl/>
        </w:rPr>
        <w:t>ענין אבו מדיעם</w:t>
      </w:r>
      <w:r>
        <w:rPr>
          <w:rFonts w:hint="cs"/>
          <w:sz w:val="24"/>
          <w:rtl/>
        </w:rPr>
        <w:t>. במקרים כאלו ניתן לבחון את השיקול האישי-שיקומי "</w:t>
      </w:r>
      <w:r>
        <w:rPr>
          <w:rFonts w:hint="cs"/>
          <w:b/>
          <w:bCs/>
          <w:sz w:val="24"/>
          <w:rtl/>
        </w:rPr>
        <w:t>בפריזמה מרוככת יותר</w:t>
      </w:r>
      <w:r>
        <w:rPr>
          <w:rFonts w:hint="cs"/>
          <w:sz w:val="24"/>
          <w:rtl/>
        </w:rPr>
        <w:t>" וניתן לשקול ביטול הרשעה "</w:t>
      </w:r>
      <w:r>
        <w:rPr>
          <w:rFonts w:hint="cs"/>
          <w:b/>
          <w:bCs/>
          <w:rtl/>
        </w:rPr>
        <w:t>גם אם לא מוכח נזק קונקרטי או אף מידת וודאות קרובה לקיומו של נזק קונקרטי, אלא אך 'השפעה שלילית להרשעתו של המערער על עתידו המקצועי ועל סיכוייו להיקלט בעבודה, לפחות במגזר הציבורי</w:t>
      </w:r>
      <w:r>
        <w:rPr>
          <w:rFonts w:hint="cs"/>
          <w:rtl/>
        </w:rPr>
        <w:t>'...</w:t>
      </w:r>
      <w:r>
        <w:rPr>
          <w:rFonts w:hint="cs"/>
          <w:sz w:val="24"/>
          <w:rtl/>
        </w:rPr>
        <w:t xml:space="preserve">". </w:t>
      </w:r>
      <w:r>
        <w:rPr>
          <w:rFonts w:hint="cs"/>
          <w:rtl/>
        </w:rPr>
        <w:t>גם ב-</w:t>
      </w:r>
      <w:r>
        <w:rPr>
          <w:rFonts w:ascii="Miriam" w:hAnsi="Miriam" w:cs="Miriam"/>
          <w:b/>
          <w:bCs/>
          <w:szCs w:val="22"/>
          <w:rtl/>
        </w:rPr>
        <w:t>ענין קיזר</w:t>
      </w:r>
      <w:r>
        <w:rPr>
          <w:rFonts w:hint="cs"/>
          <w:rtl/>
        </w:rPr>
        <w:t xml:space="preserve"> קבע כב' הש' ברסלר-גונן כי ניתן להיעזר ב"</w:t>
      </w:r>
      <w:r>
        <w:rPr>
          <w:rFonts w:hint="cs"/>
          <w:b/>
          <w:bCs/>
          <w:rtl/>
        </w:rPr>
        <w:t>מקבילית הכוחות</w:t>
      </w:r>
      <w:r>
        <w:rPr>
          <w:rFonts w:hint="cs"/>
          <w:rtl/>
        </w:rPr>
        <w:t>" וכי "</w:t>
      </w:r>
      <w:r>
        <w:rPr>
          <w:rFonts w:hint="cs"/>
          <w:b/>
          <w:bCs/>
          <w:rtl/>
        </w:rPr>
        <w:t>ככל שעצמת הפגיעה בערכים המוגנים פחותה, כי אז יקל יותר להניח תשתית להראות כי הפגיעה כתוצאה מההרשעה אינה מדתית ופחות יידרש העושה להצביע על נזקים קונקרטיים ויכול וניתן יהיה להסתפק בהוכחת פגיעה כללית יותר</w:t>
      </w:r>
      <w:r>
        <w:rPr>
          <w:rFonts w:hint="cs"/>
          <w:rtl/>
        </w:rPr>
        <w:t>"</w:t>
      </w:r>
      <w:r>
        <w:rPr>
          <w:rFonts w:hint="cs"/>
          <w:sz w:val="24"/>
          <w:rtl/>
        </w:rPr>
        <w:t xml:space="preserve">. </w:t>
      </w:r>
    </w:p>
    <w:p w14:paraId="5AF581D9" w14:textId="77777777" w:rsidR="00955DD7" w:rsidRDefault="00955DD7" w:rsidP="00955DD7">
      <w:pPr>
        <w:pStyle w:val="aa"/>
        <w:spacing w:line="360" w:lineRule="auto"/>
        <w:rPr>
          <w:sz w:val="24"/>
        </w:rPr>
      </w:pPr>
    </w:p>
    <w:p w14:paraId="17835AEB" w14:textId="77777777" w:rsidR="00955DD7" w:rsidRDefault="00955DD7" w:rsidP="00955DD7">
      <w:pPr>
        <w:pStyle w:val="aa"/>
        <w:widowControl w:val="0"/>
        <w:numPr>
          <w:ilvl w:val="0"/>
          <w:numId w:val="1"/>
        </w:numPr>
        <w:spacing w:line="360" w:lineRule="auto"/>
        <w:ind w:left="360"/>
        <w:jc w:val="both"/>
        <w:rPr>
          <w:sz w:val="24"/>
          <w:rtl/>
        </w:rPr>
      </w:pPr>
      <w:r>
        <w:rPr>
          <w:rFonts w:hint="cs"/>
          <w:sz w:val="24"/>
          <w:rtl/>
        </w:rPr>
        <w:t>ב"כ המאשימה הפנתה למקרים בהם קבעו בתי המשפט, כי נוכח חומרת העבירות – על השיקול האישי לסגת בפני האינטרס הציבורי ואילו ב"כ הנאשם הפנה למקרים בהם בתי המשפט העדיפו את השיקול האישי על פני הציבורי, כמפורט להלן:</w:t>
      </w:r>
    </w:p>
    <w:p w14:paraId="2543B13B" w14:textId="77777777" w:rsidR="00955DD7" w:rsidRDefault="00955DD7" w:rsidP="00955DD7">
      <w:pPr>
        <w:pStyle w:val="aa"/>
        <w:widowControl w:val="0"/>
        <w:jc w:val="both"/>
        <w:rPr>
          <w:szCs w:val="20"/>
        </w:rPr>
      </w:pPr>
    </w:p>
    <w:p w14:paraId="30F2DF54" w14:textId="77777777" w:rsidR="00955DD7" w:rsidRDefault="00DD2041" w:rsidP="00955DD7">
      <w:pPr>
        <w:pStyle w:val="aa"/>
        <w:widowControl w:val="0"/>
        <w:numPr>
          <w:ilvl w:val="0"/>
          <w:numId w:val="3"/>
        </w:numPr>
        <w:spacing w:line="360" w:lineRule="auto"/>
        <w:ind w:left="794" w:hanging="397"/>
        <w:jc w:val="both"/>
        <w:rPr>
          <w:sz w:val="24"/>
        </w:rPr>
      </w:pPr>
      <w:hyperlink r:id="rId66" w:history="1">
        <w:r w:rsidRPr="00DD2041">
          <w:rPr>
            <w:color w:val="0000FF"/>
            <w:sz w:val="24"/>
            <w:u w:val="single"/>
            <w:rtl/>
          </w:rPr>
          <w:t>רע"פ 4610/18</w:t>
        </w:r>
      </w:hyperlink>
      <w:r w:rsidR="00955DD7">
        <w:rPr>
          <w:rFonts w:hint="cs"/>
          <w:sz w:val="24"/>
          <w:rtl/>
        </w:rPr>
        <w:t xml:space="preserve"> </w:t>
      </w:r>
      <w:r w:rsidR="00955DD7">
        <w:rPr>
          <w:rFonts w:ascii="Miriam" w:hAnsi="Miriam" w:cs="Miriam"/>
          <w:b/>
          <w:bCs/>
          <w:szCs w:val="22"/>
          <w:rtl/>
        </w:rPr>
        <w:t>פלוני נ' מדינת ישראל</w:t>
      </w:r>
      <w:r w:rsidR="00955DD7">
        <w:rPr>
          <w:rFonts w:hint="cs"/>
          <w:sz w:val="24"/>
          <w:rtl/>
        </w:rPr>
        <w:t xml:space="preserve"> (20.6.18), אליו הפנתה ב"כ המאשימה –</w:t>
      </w:r>
      <w:r w:rsidR="00955DD7">
        <w:rPr>
          <w:rFonts w:hint="cs"/>
          <w:rtl/>
        </w:rPr>
        <w:t xml:space="preserve"> נדחתה בקשת רשות ערעור של מי שהורשע בעבירות פציעה של נהג מונית. נקבע כי לא ניתן לבטל ההרשעה בשל האלימות הקשה</w:t>
      </w:r>
      <w:r w:rsidR="00955DD7">
        <w:rPr>
          <w:rFonts w:hint="cs"/>
          <w:sz w:val="24"/>
          <w:rtl/>
        </w:rPr>
        <w:t>, מעשיו החמורים, הצורך בהרתעת היחיד והרבים נוכח נגף האלימות שפשה בחברתנו. בהינתן השוני בנסיבות המעשה ונסיבות העושה, לא ניתן להקיש לעניינו, אולם הקביעה, כי "</w:t>
      </w:r>
      <w:r w:rsidR="00955DD7">
        <w:rPr>
          <w:rFonts w:hint="cs"/>
          <w:b/>
          <w:bCs/>
          <w:sz w:val="24"/>
          <w:rtl/>
        </w:rPr>
        <w:t>כידוע, בית המשפט אינו מחויב לאמץ את המלצות שירות המבחן, הגם שיש ליתן להן את המשקל הראוי. ראייתו של בית המשפט רחבה יותר, וכוללת התייחסות למכלול של נסיבות ושיקולים, אשר אינם נמנים, בהכרח, על מערכת השיקולים המנחים את קצין המבחן</w:t>
      </w:r>
      <w:r w:rsidR="00955DD7">
        <w:rPr>
          <w:rFonts w:hint="cs"/>
          <w:sz w:val="24"/>
          <w:rtl/>
        </w:rPr>
        <w:t>" רלוונטית לעניינו.</w:t>
      </w:r>
    </w:p>
    <w:p w14:paraId="706E6A83" w14:textId="77777777" w:rsidR="00955DD7" w:rsidRDefault="00955DD7" w:rsidP="00955DD7">
      <w:pPr>
        <w:pStyle w:val="aa"/>
        <w:widowControl w:val="0"/>
        <w:ind w:left="794" w:hanging="397"/>
        <w:jc w:val="both"/>
        <w:rPr>
          <w:sz w:val="24"/>
          <w:rtl/>
        </w:rPr>
      </w:pPr>
    </w:p>
    <w:p w14:paraId="56F90AFD" w14:textId="77777777" w:rsidR="00955DD7" w:rsidRDefault="00DD2041" w:rsidP="00955DD7">
      <w:pPr>
        <w:pStyle w:val="aa"/>
        <w:widowControl w:val="0"/>
        <w:numPr>
          <w:ilvl w:val="0"/>
          <w:numId w:val="3"/>
        </w:numPr>
        <w:spacing w:line="360" w:lineRule="auto"/>
        <w:ind w:left="794" w:hanging="397"/>
        <w:jc w:val="both"/>
        <w:rPr>
          <w:sz w:val="24"/>
        </w:rPr>
      </w:pPr>
      <w:hyperlink r:id="rId67" w:history="1">
        <w:r w:rsidRPr="00DD2041">
          <w:rPr>
            <w:color w:val="0000FF"/>
            <w:sz w:val="24"/>
            <w:u w:val="single"/>
            <w:rtl/>
          </w:rPr>
          <w:t>רע"פ 462/18</w:t>
        </w:r>
      </w:hyperlink>
      <w:r w:rsidR="00955DD7">
        <w:rPr>
          <w:rFonts w:hint="cs"/>
          <w:sz w:val="24"/>
          <w:rtl/>
        </w:rPr>
        <w:t xml:space="preserve"> </w:t>
      </w:r>
      <w:r w:rsidR="00955DD7">
        <w:rPr>
          <w:rFonts w:ascii="Miriam" w:hAnsi="Miriam" w:cs="Miriam"/>
          <w:b/>
          <w:bCs/>
          <w:szCs w:val="22"/>
          <w:rtl/>
        </w:rPr>
        <w:t xml:space="preserve">יוסף נ' מדינת ישראל </w:t>
      </w:r>
      <w:r w:rsidR="00955DD7">
        <w:rPr>
          <w:rFonts w:hint="cs"/>
          <w:sz w:val="24"/>
          <w:rtl/>
        </w:rPr>
        <w:t>(21.5.18), אליו הפנתה ב"כ המאשימה</w:t>
      </w:r>
      <w:r w:rsidR="00955DD7">
        <w:rPr>
          <w:rFonts w:hint="cs"/>
          <w:b/>
          <w:bCs/>
          <w:sz w:val="24"/>
          <w:rtl/>
        </w:rPr>
        <w:t xml:space="preserve"> </w:t>
      </w:r>
      <w:r w:rsidR="00955DD7">
        <w:rPr>
          <w:rFonts w:hint="cs"/>
          <w:sz w:val="24"/>
          <w:rtl/>
        </w:rPr>
        <w:t>–</w:t>
      </w:r>
      <w:r w:rsidR="00955DD7">
        <w:rPr>
          <w:rFonts w:hint="cs"/>
          <w:rtl/>
        </w:rPr>
        <w:t xml:space="preserve"> נדחו ערעור ובקשת רשות ערעור של עו"ד שהורשע בהעלבת עובד ציבור, לאחר שקילל וגידף תובע משטרתי בנוכחות קהל רב, שכלל עורכי דין ונאשמים שהיו בביהמ"ש. בתי המשפט קבעו כי אין להורות על ביטול ההרשעה, נוכח חומרת מעשיו ואופי העבירה. נקבע כי "</w:t>
      </w:r>
      <w:r w:rsidR="00955DD7">
        <w:rPr>
          <w:rFonts w:ascii="FrankRuehl" w:hAnsi="FrankRuehl" w:hint="cs"/>
          <w:b/>
          <w:bCs/>
          <w:rtl/>
        </w:rPr>
        <w:t>עוצמת הפגיעה של המבקש '</w:t>
      </w:r>
      <w:r w:rsidR="00955DD7">
        <w:rPr>
          <w:rFonts w:cs="Miriam"/>
          <w:b/>
          <w:bCs/>
          <w:szCs w:val="22"/>
          <w:rtl/>
        </w:rPr>
        <w:t>בערך של כבוד התביעה המשטרתית כמוסד</w:t>
      </w:r>
      <w:r w:rsidR="00955DD7">
        <w:rPr>
          <w:rFonts w:ascii="FrankRuehl" w:hAnsi="FrankRuehl" w:hint="cs"/>
          <w:b/>
          <w:bCs/>
          <w:rtl/>
        </w:rPr>
        <w:t>' הייתה משמעותית ביותר, ונראה בבירור כי בנסיבות דנן, לא ניתן '</w:t>
      </w:r>
      <w:r w:rsidR="00955DD7">
        <w:rPr>
          <w:rFonts w:cs="Miriam"/>
          <w:b/>
          <w:bCs/>
          <w:szCs w:val="22"/>
          <w:rtl/>
        </w:rPr>
        <w:t>לוותר</w:t>
      </w:r>
      <w:r w:rsidR="00955DD7">
        <w:rPr>
          <w:rFonts w:ascii="FrankRuehl" w:hAnsi="FrankRuehl" w:hint="cs"/>
          <w:b/>
          <w:bCs/>
          <w:rtl/>
        </w:rPr>
        <w:t xml:space="preserve">' על הרשעתו של המבקש בדין. התנאי הנוסף, לפיו </w:t>
      </w:r>
      <w:r w:rsidR="00955DD7">
        <w:rPr>
          <w:rFonts w:hint="cs"/>
          <w:b/>
          <w:bCs/>
          <w:rtl/>
        </w:rPr>
        <w:t>על ההרשעה לפגוע פגיעה קונקרטית במבקש,</w:t>
      </w:r>
      <w:r w:rsidR="00955DD7">
        <w:rPr>
          <w:rFonts w:ascii="FrankRuehl" w:hAnsi="FrankRuehl" w:hint="cs"/>
          <w:b/>
          <w:bCs/>
          <w:rtl/>
        </w:rPr>
        <w:t xml:space="preserve"> גם הוא אינו מתקיים בענייננו</w:t>
      </w:r>
      <w:r w:rsidR="00955DD7">
        <w:rPr>
          <w:rFonts w:ascii="FrankRuehl" w:hAnsi="FrankRuehl" w:hint="cs"/>
          <w:rtl/>
        </w:rPr>
        <w:t xml:space="preserve">" </w:t>
      </w:r>
      <w:r w:rsidR="00955DD7">
        <w:rPr>
          <w:rFonts w:hint="cs"/>
          <w:rtl/>
        </w:rPr>
        <w:t>– הנאשם שלפני לא פגע בערכים אלו</w:t>
      </w:r>
      <w:r w:rsidR="00955DD7">
        <w:rPr>
          <w:rFonts w:hint="cs"/>
          <w:sz w:val="24"/>
          <w:rtl/>
        </w:rPr>
        <w:t>.</w:t>
      </w:r>
    </w:p>
    <w:p w14:paraId="2B277F3A" w14:textId="77777777" w:rsidR="00955DD7" w:rsidRDefault="00955DD7" w:rsidP="00955DD7">
      <w:pPr>
        <w:pStyle w:val="aa"/>
        <w:ind w:left="794" w:hanging="397"/>
        <w:rPr>
          <w:sz w:val="24"/>
        </w:rPr>
      </w:pPr>
    </w:p>
    <w:p w14:paraId="25489C74" w14:textId="77777777" w:rsidR="00955DD7" w:rsidRDefault="00DD2041" w:rsidP="00955DD7">
      <w:pPr>
        <w:pStyle w:val="aa"/>
        <w:widowControl w:val="0"/>
        <w:numPr>
          <w:ilvl w:val="0"/>
          <w:numId w:val="3"/>
        </w:numPr>
        <w:spacing w:line="360" w:lineRule="auto"/>
        <w:ind w:left="794" w:hanging="397"/>
        <w:jc w:val="both"/>
        <w:rPr>
          <w:sz w:val="24"/>
        </w:rPr>
      </w:pPr>
      <w:hyperlink r:id="rId68" w:history="1">
        <w:r w:rsidRPr="00DD2041">
          <w:rPr>
            <w:color w:val="0000FF"/>
            <w:sz w:val="24"/>
            <w:u w:val="single"/>
            <w:rtl/>
          </w:rPr>
          <w:t>רע"פ 8215/16</w:t>
        </w:r>
      </w:hyperlink>
      <w:r w:rsidR="00955DD7">
        <w:rPr>
          <w:rFonts w:hint="cs"/>
          <w:sz w:val="24"/>
          <w:rtl/>
        </w:rPr>
        <w:t xml:space="preserve"> </w:t>
      </w:r>
      <w:r w:rsidR="00955DD7">
        <w:rPr>
          <w:rFonts w:ascii="Miriam" w:hAnsi="Miriam" w:cs="Miriam"/>
          <w:b/>
          <w:bCs/>
          <w:szCs w:val="22"/>
          <w:rtl/>
        </w:rPr>
        <w:t>יצחק נ' מדינת ישראל</w:t>
      </w:r>
      <w:r w:rsidR="00955DD7">
        <w:rPr>
          <w:rFonts w:hint="cs"/>
          <w:sz w:val="24"/>
          <w:rtl/>
        </w:rPr>
        <w:t xml:space="preserve"> (29.3.17), אליו הפנה ב"כ הנאשם – בוטלה הרשעה </w:t>
      </w:r>
      <w:r w:rsidR="00955DD7">
        <w:rPr>
          <w:rFonts w:hint="cs"/>
          <w:rtl/>
        </w:rPr>
        <w:t>בעבירות סיוע לאחר מעשה ושיבוש מהלכי משפט בפרשת רצח קשה וכואבת. בית המשפט העליון קבע כי בהינתן ש"</w:t>
      </w:r>
      <w:r w:rsidR="00955DD7">
        <w:rPr>
          <w:rFonts w:hint="cs"/>
          <w:b/>
          <w:bCs/>
          <w:rtl/>
        </w:rPr>
        <w:t>עשויה להיות השפעה שלילית להרשעתו של המערער על עבודתו המקצועית ועל סיכוייו להיקלט בעבודה</w:t>
      </w:r>
      <w:r w:rsidR="00955DD7">
        <w:rPr>
          <w:rFonts w:hint="cs"/>
          <w:rtl/>
        </w:rPr>
        <w:t xml:space="preserve">...", יש מקום להורות על ביטול הרשעה. </w:t>
      </w:r>
    </w:p>
    <w:p w14:paraId="6DA6D372" w14:textId="77777777" w:rsidR="00955DD7" w:rsidRDefault="00955DD7" w:rsidP="00955DD7">
      <w:pPr>
        <w:pStyle w:val="aa"/>
        <w:ind w:left="794" w:hanging="397"/>
        <w:rPr>
          <w:sz w:val="24"/>
          <w:rtl/>
        </w:rPr>
      </w:pPr>
    </w:p>
    <w:p w14:paraId="340ABD4B" w14:textId="77777777" w:rsidR="00955DD7" w:rsidRDefault="00DD2041" w:rsidP="00955DD7">
      <w:pPr>
        <w:pStyle w:val="aa"/>
        <w:widowControl w:val="0"/>
        <w:numPr>
          <w:ilvl w:val="0"/>
          <w:numId w:val="3"/>
        </w:numPr>
        <w:spacing w:line="360" w:lineRule="auto"/>
        <w:ind w:left="794" w:hanging="397"/>
        <w:jc w:val="both"/>
        <w:rPr>
          <w:sz w:val="24"/>
        </w:rPr>
      </w:pPr>
      <w:hyperlink r:id="rId69" w:history="1">
        <w:r w:rsidRPr="00DD2041">
          <w:rPr>
            <w:color w:val="0000FF"/>
            <w:sz w:val="24"/>
            <w:u w:val="single"/>
            <w:rtl/>
          </w:rPr>
          <w:t>ע"פ 8690/15</w:t>
        </w:r>
      </w:hyperlink>
      <w:r w:rsidR="00955DD7">
        <w:rPr>
          <w:rFonts w:hint="cs"/>
          <w:sz w:val="24"/>
          <w:rtl/>
        </w:rPr>
        <w:t xml:space="preserve"> </w:t>
      </w:r>
      <w:r w:rsidR="00955DD7">
        <w:rPr>
          <w:rFonts w:ascii="Miriam" w:hAnsi="Miriam" w:cs="Miriam"/>
          <w:b/>
          <w:bCs/>
          <w:szCs w:val="22"/>
          <w:rtl/>
        </w:rPr>
        <w:t>מדינת ישראל נ' פלוני</w:t>
      </w:r>
      <w:r w:rsidR="00955DD7">
        <w:rPr>
          <w:rFonts w:hint="cs"/>
          <w:sz w:val="24"/>
          <w:rtl/>
        </w:rPr>
        <w:t xml:space="preserve"> (6.6.16), שאוזכר לעיל, אליו הפנה ב"כ הנאשם – בהינתן כי שם דובר בנער בן 16 שביצע מעשי סדום בקטין בן 5, לא ניתן להקיש לעניינו, הן נוכח השוני במעשים ובנסיבות האישיות והן משום שהשיקולים הנוגעים לקטינים שונים מהשיקולים ביחס לבגירים – "</w:t>
      </w:r>
      <w:r w:rsidR="00955DD7">
        <w:rPr>
          <w:rFonts w:hint="cs"/>
          <w:b/>
          <w:bCs/>
          <w:sz w:val="24"/>
          <w:rtl/>
        </w:rPr>
        <w:t>בכל הנוגע לנאשמים קטינים, נקיטה בדרך של אי הרשעה יותר מקובלת, שכן בית המשפט מעניק משקל מיוחד לנסיבות הפרטניות של הנאשם ולאפשרויות השיקום העומדות בפניו</w:t>
      </w:r>
      <w:r w:rsidR="00955DD7">
        <w:rPr>
          <w:rFonts w:hint="cs"/>
          <w:sz w:val="24"/>
          <w:rtl/>
        </w:rPr>
        <w:t xml:space="preserve">". </w:t>
      </w:r>
    </w:p>
    <w:p w14:paraId="1B0CA9E9" w14:textId="77777777" w:rsidR="00955DD7" w:rsidRDefault="00955DD7" w:rsidP="00955DD7">
      <w:pPr>
        <w:pStyle w:val="aa"/>
        <w:ind w:left="794" w:hanging="397"/>
        <w:rPr>
          <w:sz w:val="24"/>
          <w:rtl/>
        </w:rPr>
      </w:pPr>
    </w:p>
    <w:p w14:paraId="4FDF03F2" w14:textId="77777777" w:rsidR="00955DD7" w:rsidRDefault="00DD2041" w:rsidP="00955DD7">
      <w:pPr>
        <w:pStyle w:val="aa"/>
        <w:widowControl w:val="0"/>
        <w:numPr>
          <w:ilvl w:val="0"/>
          <w:numId w:val="3"/>
        </w:numPr>
        <w:spacing w:line="360" w:lineRule="auto"/>
        <w:ind w:left="794" w:hanging="397"/>
        <w:jc w:val="both"/>
        <w:rPr>
          <w:sz w:val="24"/>
        </w:rPr>
      </w:pPr>
      <w:hyperlink r:id="rId70" w:history="1">
        <w:r w:rsidRPr="00DD2041">
          <w:rPr>
            <w:color w:val="0000FF"/>
            <w:sz w:val="24"/>
            <w:u w:val="single"/>
            <w:rtl/>
          </w:rPr>
          <w:t>ע"פ 4466/13</w:t>
        </w:r>
      </w:hyperlink>
      <w:r w:rsidR="00955DD7">
        <w:rPr>
          <w:rFonts w:hint="cs"/>
          <w:sz w:val="24"/>
          <w:rtl/>
        </w:rPr>
        <w:t xml:space="preserve"> </w:t>
      </w:r>
      <w:r w:rsidR="00955DD7">
        <w:rPr>
          <w:rFonts w:ascii="Miriam" w:hAnsi="Miriam" w:cs="Miriam"/>
          <w:b/>
          <w:bCs/>
          <w:szCs w:val="22"/>
          <w:rtl/>
        </w:rPr>
        <w:t>פורטל נ' מדינת ישראל</w:t>
      </w:r>
      <w:r w:rsidR="00955DD7">
        <w:rPr>
          <w:rFonts w:hint="cs"/>
          <w:sz w:val="24"/>
          <w:rtl/>
        </w:rPr>
        <w:t xml:space="preserve"> (22.5.14), אליו הפנה ב"כ הנאשם – בוטלה הרשעה בסיוע לאחר מעשה, של מי שהסיע שניים ששדדו נהג מונית ואשר סיפרו לו על השוד. קיבל 100 ₪ משלל השוד על מילוטם. נקבע כי בהינתן חלקו המשני בפרשה החמורה, עברו הנקי, גילו הצעיר, הרקע והקשיים הנפשיים-רגשיים-אישיותיים, קבלת אחריות וקשייו להתקבל לעבודה – בוטלה הרשעתו. הגם שמדובר בעבירות שונות, שבוצעו בנסיבות שונות – פסק הדין רלוונטי </w:t>
      </w:r>
      <w:r w:rsidR="00955DD7">
        <w:rPr>
          <w:rFonts w:hint="cs"/>
          <w:rtl/>
        </w:rPr>
        <w:t>בנושא ויתור על הצורך להצביע על פגיעה קונקרטית במקום העבודה ומתן אפשרות להשתלב בחברה יצרנית ובקהילה, בעיקר כשמדובר בצעירים שכל עתידם לפניהם.</w:t>
      </w:r>
    </w:p>
    <w:p w14:paraId="39A72C83" w14:textId="77777777" w:rsidR="00955DD7" w:rsidRDefault="00955DD7" w:rsidP="00955DD7">
      <w:pPr>
        <w:pStyle w:val="aa"/>
        <w:widowControl w:val="0"/>
        <w:ind w:left="794" w:hanging="397"/>
        <w:jc w:val="both"/>
        <w:rPr>
          <w:sz w:val="24"/>
          <w:rtl/>
        </w:rPr>
      </w:pPr>
      <w:r>
        <w:rPr>
          <w:rFonts w:hint="cs"/>
          <w:sz w:val="24"/>
          <w:rtl/>
        </w:rPr>
        <w:t xml:space="preserve"> </w:t>
      </w:r>
    </w:p>
    <w:p w14:paraId="5D637002" w14:textId="77777777" w:rsidR="00955DD7" w:rsidRDefault="00DD2041" w:rsidP="00955DD7">
      <w:pPr>
        <w:pStyle w:val="aa"/>
        <w:widowControl w:val="0"/>
        <w:numPr>
          <w:ilvl w:val="0"/>
          <w:numId w:val="3"/>
        </w:numPr>
        <w:spacing w:line="360" w:lineRule="auto"/>
        <w:ind w:left="794" w:hanging="397"/>
        <w:jc w:val="both"/>
        <w:rPr>
          <w:sz w:val="24"/>
        </w:rPr>
      </w:pPr>
      <w:hyperlink r:id="rId71" w:history="1">
        <w:r w:rsidRPr="00DD2041">
          <w:rPr>
            <w:color w:val="0000FF"/>
            <w:sz w:val="24"/>
            <w:u w:val="single"/>
            <w:rtl/>
          </w:rPr>
          <w:t>רע"פ 2777/11</w:t>
        </w:r>
      </w:hyperlink>
      <w:r w:rsidR="00955DD7">
        <w:rPr>
          <w:rFonts w:hint="cs"/>
          <w:sz w:val="24"/>
          <w:rtl/>
        </w:rPr>
        <w:t xml:space="preserve"> </w:t>
      </w:r>
      <w:r w:rsidR="00955DD7">
        <w:rPr>
          <w:rFonts w:ascii="Miriam" w:hAnsi="Miriam" w:cs="Miriam"/>
          <w:b/>
          <w:bCs/>
          <w:szCs w:val="22"/>
          <w:rtl/>
        </w:rPr>
        <w:t>פלונית נ' מדינת ישראל</w:t>
      </w:r>
      <w:r w:rsidR="00955DD7">
        <w:rPr>
          <w:rFonts w:hint="cs"/>
          <w:sz w:val="24"/>
          <w:rtl/>
        </w:rPr>
        <w:t xml:space="preserve"> (16.10.12) (להלן: </w:t>
      </w:r>
      <w:r w:rsidR="00955DD7">
        <w:rPr>
          <w:rFonts w:ascii="Miriam" w:hAnsi="Miriam" w:cs="Miriam"/>
          <w:b/>
          <w:bCs/>
          <w:szCs w:val="22"/>
          <w:rtl/>
        </w:rPr>
        <w:t>ענין פלונית</w:t>
      </w:r>
      <w:r w:rsidR="00955DD7">
        <w:rPr>
          <w:rFonts w:hint="cs"/>
          <w:sz w:val="24"/>
          <w:rtl/>
        </w:rPr>
        <w:t xml:space="preserve">), אליו הפנה ב"כ הנאשם – התקבלה בקשת רשות ערעור ובוטלה הרשעה באי-נקיטת צעדי זהירות בחיה. כלבה של המבקשת, וטרינרית במקצועה, נשך פעוטה כבת שנתיים וחצי, פצע את פניה באופן שהיא נזקקה לניתוח תחת הרדמה כללית. בית המשפט העליון קיבל את הבקשה וביטל הרשעתה נוכח הודאתה, עברה הנקי, תפקודה הנורמטיבי, ההתרשמות כי האירוע לא אופייני לאורחות חייה, החשש מסיכול הכנסה אפשרית במגזר הציבורי בעקבות הרשעה, ומצבה הבריאותי הקשה. </w:t>
      </w:r>
      <w:r w:rsidR="00955DD7">
        <w:rPr>
          <w:rFonts w:ascii="Miriam" w:hAnsi="Miriam" w:cs="Miriam"/>
          <w:b/>
          <w:bCs/>
          <w:szCs w:val="22"/>
          <w:rtl/>
        </w:rPr>
        <w:t xml:space="preserve">ענין פלונית </w:t>
      </w:r>
      <w:r w:rsidR="00955DD7">
        <w:rPr>
          <w:rFonts w:hint="cs"/>
          <w:sz w:val="24"/>
          <w:rtl/>
        </w:rPr>
        <w:t>שונה מעניינו לא רק מבחינת סוג ואופי העבירות ונסיבות ביצוען, על תוצאותיהן, אלא אף מבחינת הנסיבות האישיות. כך, בקבלו הבקשה, קבע כב' הש' ג'ובראן "</w:t>
      </w:r>
      <w:r w:rsidR="00955DD7">
        <w:rPr>
          <w:rFonts w:hint="cs"/>
          <w:b/>
          <w:bCs/>
          <w:sz w:val="24"/>
          <w:rtl/>
        </w:rPr>
        <w:t>תחושת המוסר הפנימית אינה מאפשרת הרשעת המבקשת במקרה דנן. לא ניתן להתעלם מהעובדה כי המבקשת, אשר אינה צעירה, חולה במחלת הסרטן ונמצאת לאחר שתי השתלות מח עצם שכשלו. איננו יכולים לעצום עינינו מול הטענה כי כובד ההרשעה עלול להקשות על המבקשת במידה ניכרת את החלמתה, הקשה גם כך, כמו כן, לא ניתן להתעלם מההתרשמות כי האירוע המתואר בכתב האישום הוא אירוע חד פעמי, הזר לאורחות חייה</w:t>
      </w:r>
      <w:r w:rsidR="00955DD7">
        <w:rPr>
          <w:rFonts w:hint="cs"/>
          <w:sz w:val="24"/>
          <w:rtl/>
        </w:rPr>
        <w:t xml:space="preserve">... </w:t>
      </w:r>
      <w:r w:rsidR="00955DD7">
        <w:rPr>
          <w:rFonts w:hint="cs"/>
          <w:b/>
          <w:bCs/>
          <w:sz w:val="24"/>
          <w:rtl/>
        </w:rPr>
        <w:t>לאור משקלם הניכר של השיקולים האישיים והנזק הנפשי והפיזי האפשרי למבקשת, פוחת משקלה של חומרת העבירה, על אף שהיא אינה נפקדת מהליך האיזון והשקלול. כמו כן לא נעלמה מעינינו הפגיעה בפעוטה</w:t>
      </w:r>
      <w:r w:rsidR="00955DD7">
        <w:rPr>
          <w:rFonts w:hint="cs"/>
          <w:sz w:val="24"/>
          <w:rtl/>
        </w:rPr>
        <w:t xml:space="preserve">... </w:t>
      </w:r>
      <w:r w:rsidR="00955DD7">
        <w:rPr>
          <w:rFonts w:hint="cs"/>
          <w:b/>
          <w:bCs/>
          <w:sz w:val="24"/>
          <w:rtl/>
        </w:rPr>
        <w:t>עוד אוסיף ואדגיש כי אלמלא מצבה הבריאותי של המבקשת ייתכן ולא הייתי מגיע למסקנה זו</w:t>
      </w:r>
      <w:r w:rsidR="00955DD7">
        <w:rPr>
          <w:rFonts w:hint="cs"/>
          <w:sz w:val="24"/>
          <w:rtl/>
        </w:rPr>
        <w:t>". כך נקבע, כי חרף השיקולים לחומרה "</w:t>
      </w:r>
      <w:r w:rsidR="00955DD7">
        <w:rPr>
          <w:rFonts w:hint="cs"/>
          <w:b/>
          <w:bCs/>
          <w:sz w:val="24"/>
          <w:rtl/>
        </w:rPr>
        <w:t>ובאופן חריג, יש מקום לתת עדיפות לפן השיקומי האישי לאור מצבה הבריאותי של המבקשת</w:t>
      </w:r>
      <w:r w:rsidR="00955DD7">
        <w:rPr>
          <w:rFonts w:hint="cs"/>
          <w:sz w:val="24"/>
          <w:rtl/>
        </w:rPr>
        <w:t xml:space="preserve">". נסיבות אלו לא מתקיימות בעניינו. </w:t>
      </w:r>
    </w:p>
    <w:p w14:paraId="4ACCF570" w14:textId="77777777" w:rsidR="00955DD7" w:rsidRDefault="00955DD7" w:rsidP="00955DD7">
      <w:pPr>
        <w:pStyle w:val="aa"/>
        <w:ind w:left="794" w:hanging="397"/>
        <w:rPr>
          <w:sz w:val="24"/>
          <w:rtl/>
        </w:rPr>
      </w:pPr>
    </w:p>
    <w:p w14:paraId="33F09511" w14:textId="77777777" w:rsidR="00955DD7" w:rsidRDefault="00DD2041" w:rsidP="00955DD7">
      <w:pPr>
        <w:pStyle w:val="aa"/>
        <w:widowControl w:val="0"/>
        <w:numPr>
          <w:ilvl w:val="0"/>
          <w:numId w:val="3"/>
        </w:numPr>
        <w:spacing w:line="360" w:lineRule="auto"/>
        <w:ind w:left="794" w:hanging="397"/>
        <w:jc w:val="both"/>
        <w:rPr>
          <w:sz w:val="24"/>
        </w:rPr>
      </w:pPr>
      <w:hyperlink r:id="rId72" w:history="1">
        <w:r w:rsidRPr="00DD2041">
          <w:rPr>
            <w:color w:val="0000FF"/>
            <w:sz w:val="24"/>
            <w:u w:val="single"/>
            <w:rtl/>
          </w:rPr>
          <w:t>רע"פ 3446/10</w:t>
        </w:r>
      </w:hyperlink>
      <w:r w:rsidR="00955DD7">
        <w:rPr>
          <w:rFonts w:hint="cs"/>
          <w:sz w:val="24"/>
          <w:rtl/>
        </w:rPr>
        <w:t xml:space="preserve"> </w:t>
      </w:r>
      <w:r w:rsidR="00955DD7">
        <w:rPr>
          <w:rFonts w:ascii="Miriam" w:hAnsi="Miriam" w:cs="Miriam"/>
          <w:b/>
          <w:bCs/>
          <w:szCs w:val="22"/>
          <w:rtl/>
        </w:rPr>
        <w:t>אלחלים נ' מדינת ישראל</w:t>
      </w:r>
      <w:r w:rsidR="00955DD7">
        <w:rPr>
          <w:rFonts w:hint="cs"/>
          <w:sz w:val="24"/>
          <w:rtl/>
        </w:rPr>
        <w:t xml:space="preserve"> (6.4.11), אליו הפנה ב"כ הנאשם –</w:t>
      </w:r>
      <w:r w:rsidR="00955DD7">
        <w:rPr>
          <w:rFonts w:hint="cs"/>
          <w:rtl/>
        </w:rPr>
        <w:t xml:space="preserve"> התקבלה בקשת רשות ערעור ובוטלה הרשעה בהחזקת אגרופן ברכב. לצד השוני בעבירות, קיים דמיון בטעמים שהובילו לביטול ההרשעה: גם שם, כמו בתיק שבכותרת, מדובר בנאשם צעיר (כבן 23), נעדר הרשעות קודמות, אשר "</w:t>
      </w:r>
      <w:r w:rsidR="00955DD7">
        <w:rPr>
          <w:rFonts w:hint="cs"/>
          <w:b/>
          <w:bCs/>
          <w:rtl/>
        </w:rPr>
        <w:t>ההרשעה עלולה לפגוע בעתידו</w:t>
      </w:r>
      <w:r w:rsidR="00955DD7">
        <w:rPr>
          <w:rFonts w:hint="cs"/>
          <w:rtl/>
        </w:rPr>
        <w:t>". אלא שבשונה מעניינו, שם דובר "</w:t>
      </w:r>
      <w:r w:rsidR="00955DD7">
        <w:rPr>
          <w:rFonts w:hint="cs"/>
          <w:b/>
          <w:bCs/>
          <w:rtl/>
        </w:rPr>
        <w:t>בצעיר שהשתלב במסלול של לימודים טכנולוגיים, הנמצא בראשית דרכו בחיים, ועל כן נזקה של ההרשעה עלול להיות רב</w:t>
      </w:r>
      <w:r w:rsidR="00955DD7">
        <w:rPr>
          <w:rFonts w:hint="cs"/>
          <w:rtl/>
        </w:rPr>
        <w:t>". זאת ועוד, העבירה בתיק שלפני חמורה מהעבירה בה הורשע ובעניינו לא הונח מסד ראייתי מספק, כי ההרשעה תעמוד בדרכו של הנאשם שלפניי מפני אפשרות להשתקם ולחזור ולהשתלב בחברה יצרנית ובקהילה.</w:t>
      </w:r>
    </w:p>
    <w:p w14:paraId="2F937CAD" w14:textId="77777777" w:rsidR="00955DD7" w:rsidRDefault="00955DD7" w:rsidP="00955DD7">
      <w:pPr>
        <w:pStyle w:val="aa"/>
        <w:ind w:left="794" w:hanging="397"/>
        <w:rPr>
          <w:sz w:val="24"/>
          <w:rtl/>
        </w:rPr>
      </w:pPr>
    </w:p>
    <w:p w14:paraId="4822C7F9" w14:textId="77777777" w:rsidR="00955DD7" w:rsidRDefault="00955DD7" w:rsidP="00955DD7">
      <w:pPr>
        <w:pStyle w:val="aa"/>
        <w:widowControl w:val="0"/>
        <w:numPr>
          <w:ilvl w:val="0"/>
          <w:numId w:val="3"/>
        </w:numPr>
        <w:spacing w:line="360" w:lineRule="auto"/>
        <w:ind w:left="794" w:hanging="397"/>
        <w:jc w:val="both"/>
      </w:pPr>
      <w:r>
        <w:rPr>
          <w:rFonts w:hint="cs"/>
          <w:sz w:val="24"/>
          <w:rtl/>
        </w:rPr>
        <w:t xml:space="preserve">ע"פ </w:t>
      </w:r>
      <w:hyperlink r:id="rId73" w:history="1">
        <w:r w:rsidR="00EC401E" w:rsidRPr="00EC401E">
          <w:rPr>
            <w:color w:val="0000FF"/>
            <w:sz w:val="24"/>
            <w:u w:val="single"/>
            <w:rtl/>
          </w:rPr>
          <w:t xml:space="preserve">4669/09 </w:t>
        </w:r>
      </w:hyperlink>
      <w:r>
        <w:rPr>
          <w:rFonts w:hint="cs"/>
          <w:sz w:val="24"/>
          <w:rtl/>
        </w:rPr>
        <w:t xml:space="preserve"> </w:t>
      </w:r>
      <w:r>
        <w:rPr>
          <w:rFonts w:ascii="Miriam" w:hAnsi="Miriam" w:cs="Miriam"/>
          <w:b/>
          <w:bCs/>
          <w:szCs w:val="22"/>
          <w:rtl/>
        </w:rPr>
        <w:t>אבירם נ' מדינת ישראל</w:t>
      </w:r>
      <w:r>
        <w:rPr>
          <w:rFonts w:hint="cs"/>
          <w:sz w:val="24"/>
          <w:rtl/>
        </w:rPr>
        <w:t xml:space="preserve"> (11.10.09), אליו הפנה ב"כ הנאשם – התקבל הערעור ובוטלה ההרשעה בסיכון חיי אדם במזיד בנתיב תחבורה, חרף חומרת העבירה, מהטעמים הבאים:</w:t>
      </w:r>
      <w:r>
        <w:rPr>
          <w:rFonts w:hint="cs"/>
          <w:rtl/>
        </w:rPr>
        <w:t xml:space="preserve"> הרשעת המערערת התבססה על נוכחותה בזירה, מבלי שנטלה חלק ביידוי האבנים; האירוע חריג באורחות חיי המערערת ושרות המבחן לא מצא קווים עבריינים באישיותה; המערערת גויסה לצה"ל, הוגדרה כמצטיינת ונשקלת בחיוב אפשרות להחתימה לשרות קבע; ביוזמת שרות המבחן נערך הליך גישור בין המערערת לבין הקורבן, בגדרו שילמה לו 3,900 ₪ כפיצוי על חלקה בנזק; נסיבותיה האישיות הקשות והרושם כי עברה הליך תיקון ממשי.</w:t>
      </w:r>
    </w:p>
    <w:p w14:paraId="795E6E1A" w14:textId="77777777" w:rsidR="00955DD7" w:rsidRDefault="00955DD7" w:rsidP="00955DD7">
      <w:pPr>
        <w:pStyle w:val="aa"/>
        <w:ind w:left="794" w:hanging="397"/>
        <w:rPr>
          <w:sz w:val="24"/>
          <w:rtl/>
        </w:rPr>
      </w:pPr>
    </w:p>
    <w:p w14:paraId="36B2C2B3" w14:textId="77777777" w:rsidR="00955DD7" w:rsidRDefault="00955DD7" w:rsidP="00955DD7">
      <w:pPr>
        <w:pStyle w:val="aa"/>
        <w:widowControl w:val="0"/>
        <w:numPr>
          <w:ilvl w:val="0"/>
          <w:numId w:val="3"/>
        </w:numPr>
        <w:spacing w:line="360" w:lineRule="auto"/>
        <w:ind w:left="794" w:hanging="397"/>
        <w:jc w:val="both"/>
        <w:rPr>
          <w:sz w:val="24"/>
        </w:rPr>
      </w:pPr>
      <w:r>
        <w:rPr>
          <w:rFonts w:hint="cs"/>
          <w:sz w:val="24"/>
          <w:rtl/>
        </w:rPr>
        <w:t xml:space="preserve">ע"פ </w:t>
      </w:r>
      <w:hyperlink r:id="rId74" w:history="1">
        <w:r w:rsidR="00EC401E" w:rsidRPr="00EC401E">
          <w:rPr>
            <w:color w:val="0000FF"/>
            <w:sz w:val="24"/>
            <w:u w:val="single"/>
            <w:rtl/>
          </w:rPr>
          <w:t xml:space="preserve">658/01 </w:t>
        </w:r>
      </w:hyperlink>
      <w:r>
        <w:rPr>
          <w:rFonts w:hint="cs"/>
          <w:sz w:val="24"/>
          <w:rtl/>
        </w:rPr>
        <w:t xml:space="preserve"> </w:t>
      </w:r>
      <w:r>
        <w:rPr>
          <w:rFonts w:ascii="Miriam" w:hAnsi="Miriam" w:cs="Miriam"/>
          <w:b/>
          <w:bCs/>
          <w:szCs w:val="22"/>
          <w:rtl/>
        </w:rPr>
        <w:t>כהן וימין נ' מדינת ישראל</w:t>
      </w:r>
      <w:r>
        <w:rPr>
          <w:rFonts w:hint="cs"/>
          <w:sz w:val="24"/>
          <w:rtl/>
        </w:rPr>
        <w:t xml:space="preserve"> (11.10.01), אליו הפנה ב"כ הנאשם – ניתנה רשות ערעור ובוטלה הרשעה ב</w:t>
      </w:r>
      <w:r>
        <w:rPr>
          <w:rFonts w:hint="cs"/>
          <w:rtl/>
          <w:lang w:eastAsia="en-US"/>
        </w:rPr>
        <w:t>קשר לפשע, קבלת דבר במירמה, מסירת ידיעה כוזבת וניסיון לקבל דבר במירמה בנסיבות מחמירות</w:t>
      </w:r>
      <w:r>
        <w:rPr>
          <w:rFonts w:hint="cs"/>
          <w:sz w:val="24"/>
          <w:rtl/>
        </w:rPr>
        <w:t xml:space="preserve"> בהן הודו. לא רק שמדובר בעבירות שונות, אלא שמדובר במבקשים שנפלו קורבן למעשיו של נוכל, אשר פיתה אותם לרמות חברות הביטוח, רימה אותם (ונערים נוספים) ולא שיתף אותם בפירות הבאושים שקצר. קיים שוני גם בנסיבות האישיות, בהינתן כי השניים היו כבני 18 ומספר חודשים בעת ביצוע העבירות, נעדרי עבר פלילי, שירתו כלוחמים בצה"ל ולימים הרשעתם מנעה מהם להמשיך בשירות הקבע. </w:t>
      </w:r>
    </w:p>
    <w:p w14:paraId="02E40C32" w14:textId="77777777" w:rsidR="00955DD7" w:rsidRDefault="00955DD7" w:rsidP="00955DD7">
      <w:pPr>
        <w:pStyle w:val="aa"/>
        <w:ind w:left="794" w:hanging="397"/>
        <w:rPr>
          <w:sz w:val="24"/>
          <w:rtl/>
        </w:rPr>
      </w:pPr>
    </w:p>
    <w:p w14:paraId="01B4925D" w14:textId="77777777" w:rsidR="00955DD7" w:rsidRDefault="00DD2041" w:rsidP="00955DD7">
      <w:pPr>
        <w:pStyle w:val="aa"/>
        <w:widowControl w:val="0"/>
        <w:numPr>
          <w:ilvl w:val="0"/>
          <w:numId w:val="3"/>
        </w:numPr>
        <w:spacing w:line="360" w:lineRule="auto"/>
        <w:ind w:left="794" w:hanging="397"/>
        <w:jc w:val="both"/>
        <w:rPr>
          <w:sz w:val="24"/>
        </w:rPr>
      </w:pPr>
      <w:hyperlink r:id="rId75" w:history="1">
        <w:r w:rsidRPr="00DD2041">
          <w:rPr>
            <w:color w:val="0000FF"/>
            <w:sz w:val="24"/>
            <w:u w:val="single"/>
            <w:rtl/>
          </w:rPr>
          <w:t>ע"פ 9090/00</w:t>
        </w:r>
      </w:hyperlink>
      <w:r w:rsidR="00955DD7">
        <w:rPr>
          <w:rFonts w:hint="cs"/>
          <w:sz w:val="24"/>
          <w:rtl/>
        </w:rPr>
        <w:t xml:space="preserve"> </w:t>
      </w:r>
      <w:r w:rsidR="00955DD7">
        <w:rPr>
          <w:rFonts w:ascii="Miriam" w:hAnsi="Miriam" w:cs="Miriam"/>
          <w:b/>
          <w:bCs/>
          <w:szCs w:val="22"/>
          <w:rtl/>
        </w:rPr>
        <w:t xml:space="preserve">שניידרמן נ' מדינת ישראל </w:t>
      </w:r>
      <w:r w:rsidR="00955DD7">
        <w:rPr>
          <w:rFonts w:hint="cs"/>
          <w:sz w:val="24"/>
          <w:rtl/>
        </w:rPr>
        <w:t xml:space="preserve">(22.2.01) (להלן: </w:t>
      </w:r>
      <w:r w:rsidR="00955DD7">
        <w:rPr>
          <w:rFonts w:ascii="Miriam" w:hAnsi="Miriam" w:cs="Miriam"/>
          <w:b/>
          <w:bCs/>
          <w:szCs w:val="22"/>
          <w:rtl/>
        </w:rPr>
        <w:t>ענין שניידרמן</w:t>
      </w:r>
      <w:r w:rsidR="00955DD7">
        <w:rPr>
          <w:rFonts w:hint="cs"/>
          <w:sz w:val="24"/>
          <w:rtl/>
        </w:rPr>
        <w:t xml:space="preserve">), אליו הפנה ב"כ הנאשם – הערעור התקבל ובוטלה הרשעה בקשירת קשר לפשע והחזקת נשק של מי שבעת ביצוע העבירות היה צעיר כבן 20, עולה חדש מברית המועצות, שניהל אורח חיים נורמטיבי, סיים את התיכון באיחור של שנתיים על רקע קשיי הקליטה ועמד בפני גיוס לצה"ל. העבירות בוצעו על רקע תקופה משברית בחייו, כאשר בנוסף למשבר הקליטה וההתמודד עם השפה והתרבות החדשות, שהובילו להתדרדרות בלימודיו והישגיו, מצבו הוחרף עקב מותו הפתאומי של אביו, ששימש לו דוגמא ומופת. המערער התחרט על מעשיו אף טרם הוצאה התוכנית לפועל ולמעשה נתפס עם שותפו כשהיה בדרכו חזרה לביתו. שהה כחודש במצער ובהמשך בתנאים מגבילים. מהתסקיר עלה כי צה"ל נמנע מגיוסו בשל העבירה בה הורשע וכי ביטולה </w:t>
      </w:r>
      <w:r w:rsidR="00955DD7">
        <w:rPr>
          <w:rFonts w:hint="cs"/>
          <w:rtl/>
        </w:rPr>
        <w:t xml:space="preserve">יגדיל סיכויי גיוסו. כך, מעבר לשוני במעשים, </w:t>
      </w:r>
      <w:r w:rsidR="00955DD7">
        <w:rPr>
          <w:rFonts w:hint="cs"/>
          <w:sz w:val="24"/>
          <w:rtl/>
        </w:rPr>
        <w:t>בשונה מעניינו, ב-</w:t>
      </w:r>
      <w:r w:rsidR="00955DD7">
        <w:rPr>
          <w:rFonts w:ascii="Miriam" w:hAnsi="Miriam" w:cs="Miriam"/>
          <w:b/>
          <w:bCs/>
          <w:szCs w:val="22"/>
          <w:rtl/>
        </w:rPr>
        <w:t>עניין שניידרמן</w:t>
      </w:r>
      <w:r w:rsidR="00955DD7">
        <w:rPr>
          <w:rFonts w:hint="cs"/>
          <w:sz w:val="24"/>
          <w:rtl/>
        </w:rPr>
        <w:t xml:space="preserve"> נקבע "</w:t>
      </w:r>
      <w:r w:rsidR="00955DD7">
        <w:rPr>
          <w:rFonts w:hint="cs"/>
          <w:b/>
          <w:bCs/>
          <w:rtl/>
        </w:rPr>
        <w:t>השארת ההרשעה על כנה במקרה זה תשמש מכשול בהמשך דרך חייו של המערער ותפריע לו הן בגיוסו לצה"ל והן בחייו האזרחיים בעתיד</w:t>
      </w:r>
      <w:r w:rsidR="00955DD7">
        <w:rPr>
          <w:rFonts w:hint="cs"/>
          <w:rtl/>
        </w:rPr>
        <w:t>". עם זאת, ו</w:t>
      </w:r>
      <w:r w:rsidR="00955DD7">
        <w:rPr>
          <w:rFonts w:hint="cs"/>
          <w:sz w:val="24"/>
          <w:rtl/>
        </w:rPr>
        <w:t>כפי שציינתי לעיל, רלוונטית הקביעה בסעיף 11 ב-</w:t>
      </w:r>
      <w:r w:rsidR="00955DD7">
        <w:rPr>
          <w:rFonts w:ascii="Miriam" w:hAnsi="Miriam" w:cs="Miriam"/>
          <w:b/>
          <w:bCs/>
          <w:szCs w:val="22"/>
          <w:rtl/>
        </w:rPr>
        <w:t>ענין שניידרמן</w:t>
      </w:r>
      <w:r w:rsidR="00955DD7">
        <w:rPr>
          <w:rFonts w:hint="cs"/>
          <w:sz w:val="24"/>
          <w:rtl/>
        </w:rPr>
        <w:t>, כי השיקום הוא "</w:t>
      </w:r>
      <w:r w:rsidR="00955DD7">
        <w:rPr>
          <w:rFonts w:hint="cs"/>
          <w:b/>
          <w:bCs/>
          <w:sz w:val="24"/>
          <w:rtl/>
        </w:rPr>
        <w:t xml:space="preserve">אינו </w:t>
      </w:r>
      <w:r w:rsidR="00955DD7">
        <w:rPr>
          <w:rFonts w:hint="cs"/>
          <w:b/>
          <w:bCs/>
          <w:rtl/>
        </w:rPr>
        <w:t>רק אינטרס של העבריין ואינו רק פועל יוצא מנתינת הדעת על נסיבותיו האישיות לטובתו הוא, אלא זהו אינטרס ציבורי ממדרגה ראשונה. עניינו של אינטרס זה הוא, לתת סיכוי למי שנכשל בעבירה בנסיבות כבענייננו לחזור לחיק החברה ולהשתלב בה כאדם נורמטיבי</w:t>
      </w:r>
      <w:r w:rsidR="00955DD7">
        <w:rPr>
          <w:rFonts w:hint="cs"/>
          <w:rtl/>
        </w:rPr>
        <w:t>".</w:t>
      </w:r>
    </w:p>
    <w:p w14:paraId="075FB61C" w14:textId="77777777" w:rsidR="00955DD7" w:rsidRDefault="00955DD7" w:rsidP="00955DD7">
      <w:pPr>
        <w:pStyle w:val="aa"/>
      </w:pPr>
    </w:p>
    <w:p w14:paraId="7DD9FCBF" w14:textId="77777777" w:rsidR="00955DD7" w:rsidRDefault="00DD2041" w:rsidP="00955DD7">
      <w:pPr>
        <w:pStyle w:val="aa"/>
        <w:widowControl w:val="0"/>
        <w:numPr>
          <w:ilvl w:val="0"/>
          <w:numId w:val="3"/>
        </w:numPr>
        <w:spacing w:line="360" w:lineRule="auto"/>
        <w:ind w:left="794" w:hanging="397"/>
        <w:jc w:val="both"/>
        <w:rPr>
          <w:sz w:val="24"/>
          <w:rtl/>
        </w:rPr>
      </w:pPr>
      <w:hyperlink r:id="rId76" w:history="1">
        <w:r w:rsidRPr="00DD2041">
          <w:rPr>
            <w:color w:val="0000FF"/>
            <w:sz w:val="24"/>
            <w:u w:val="single"/>
            <w:rtl/>
          </w:rPr>
          <w:t>ע"פ 2210/94</w:t>
        </w:r>
      </w:hyperlink>
      <w:r w:rsidR="00955DD7">
        <w:rPr>
          <w:rFonts w:hint="cs"/>
          <w:sz w:val="24"/>
          <w:rtl/>
        </w:rPr>
        <w:t xml:space="preserve"> </w:t>
      </w:r>
      <w:r w:rsidR="00955DD7">
        <w:rPr>
          <w:rFonts w:ascii="Miriam" w:hAnsi="Miriam" w:cs="Miriam"/>
          <w:b/>
          <w:bCs/>
          <w:szCs w:val="22"/>
          <w:rtl/>
        </w:rPr>
        <w:t>פלוני נ' מדינת ישראל</w:t>
      </w:r>
      <w:r w:rsidR="00955DD7">
        <w:rPr>
          <w:rFonts w:hint="cs"/>
          <w:sz w:val="24"/>
          <w:rtl/>
        </w:rPr>
        <w:t xml:space="preserve"> (16.8.94), אליו הפנה ב"כ הנאשם – בשנים 1989–1990 בהיותו קטין כבן 17, עבר המבקש עבירות בריונות, בעטיין הורשע בבית משפט השלום בעושק ואיומים ונדון למאסר מותנה וקנס. ערעורו לבית המשפט המחוזי נדחה. בחלוף כ-5 שנים לאחר מכן בוטלה הרשעתו בבית המשפט העליון. במהלך התקופה </w:t>
      </w:r>
      <w:r w:rsidR="00955DD7">
        <w:rPr>
          <w:rFonts w:hint="cs"/>
          <w:rtl/>
        </w:rPr>
        <w:t>סיים שירות צבאי בצנחנים ובחוו"ד מפקדו צוין תיפקודו הטוב והיותו בעל פוטנציאל חיובי.</w:t>
      </w:r>
      <w:r w:rsidR="00955DD7">
        <w:rPr>
          <w:rFonts w:hint="cs"/>
          <w:sz w:val="24"/>
          <w:rtl/>
        </w:rPr>
        <w:t xml:space="preserve"> לפני האירוע עבד בהתנדבות עם נוער ובתום שירותו הצבאי למד לתואר ראשון וכיום עובד כמורה. אמנם בתחילת הדרך הכחיש את מעשיו, אולם מהתסקיר שהוגש לבית המשפט העליון צויין כי הוא מודה. בנסיבות אלו, בהינתן השינוי המשמעותי שעבר ומשהרשעה תפגע בעתידו וביכולתו לתרום למדינה ולכן בוטלה הרשעתו. מעבר לשוני במעשים, קיים שוני משמעותי בנסיבות, הן מבחינת תרומתו לחברה וחלוף הזמן והן מבחינת קיומו של נזק קונקרטי. </w:t>
      </w:r>
    </w:p>
    <w:p w14:paraId="2EC226E3" w14:textId="77777777" w:rsidR="00955DD7" w:rsidRDefault="00955DD7" w:rsidP="00955DD7">
      <w:pPr>
        <w:pStyle w:val="aa"/>
        <w:ind w:left="794" w:hanging="397"/>
        <w:rPr>
          <w:sz w:val="24"/>
          <w:rtl/>
        </w:rPr>
      </w:pPr>
    </w:p>
    <w:p w14:paraId="695AB1B2" w14:textId="77777777" w:rsidR="00955DD7" w:rsidRDefault="00DD2041" w:rsidP="00955DD7">
      <w:pPr>
        <w:pStyle w:val="aa"/>
        <w:widowControl w:val="0"/>
        <w:numPr>
          <w:ilvl w:val="0"/>
          <w:numId w:val="3"/>
        </w:numPr>
        <w:spacing w:line="360" w:lineRule="auto"/>
        <w:ind w:left="794" w:hanging="397"/>
        <w:jc w:val="both"/>
        <w:rPr>
          <w:sz w:val="24"/>
        </w:rPr>
      </w:pPr>
      <w:hyperlink r:id="rId77" w:history="1">
        <w:r w:rsidRPr="00DD2041">
          <w:rPr>
            <w:color w:val="0000FF"/>
            <w:u w:val="single"/>
            <w:rtl/>
          </w:rPr>
          <w:t>ע"פ (מחוזי-ב"ש) 2455-09-11</w:t>
        </w:r>
      </w:hyperlink>
      <w:r w:rsidR="00955DD7">
        <w:rPr>
          <w:rFonts w:hint="cs"/>
          <w:rtl/>
        </w:rPr>
        <w:t xml:space="preserve"> </w:t>
      </w:r>
      <w:r w:rsidR="00955DD7">
        <w:rPr>
          <w:rFonts w:cs="Miriam"/>
          <w:b/>
          <w:bCs/>
          <w:sz w:val="18"/>
          <w:szCs w:val="22"/>
          <w:rtl/>
        </w:rPr>
        <w:t>פלוראה נ' מדינת ישראל</w:t>
      </w:r>
      <w:r w:rsidR="00955DD7">
        <w:rPr>
          <w:rFonts w:hint="cs"/>
          <w:sz w:val="18"/>
          <w:szCs w:val="22"/>
          <w:rtl/>
        </w:rPr>
        <w:t xml:space="preserve"> </w:t>
      </w:r>
      <w:r w:rsidR="00955DD7">
        <w:rPr>
          <w:rFonts w:hint="cs"/>
          <w:rtl/>
        </w:rPr>
        <w:t xml:space="preserve">(7.12.11) (להלן: </w:t>
      </w:r>
      <w:r w:rsidR="00955DD7">
        <w:rPr>
          <w:rFonts w:cs="Miriam"/>
          <w:b/>
          <w:bCs/>
          <w:sz w:val="18"/>
          <w:szCs w:val="22"/>
          <w:rtl/>
        </w:rPr>
        <w:t>פס"ד פלוראה</w:t>
      </w:r>
      <w:r w:rsidR="00955DD7">
        <w:rPr>
          <w:rFonts w:hint="cs"/>
          <w:rtl/>
        </w:rPr>
        <w:t>), אליו הפנה ב"כ הנאשם – התקבל הערעור ובוטלה הרשעה בתקיפה בנסיבות מחמירות הגורמת חבלה של ממש לבת זוג, איומים ותקיפת בת זוג. נקבע, כי המערער "</w:t>
      </w:r>
      <w:r w:rsidR="00955DD7">
        <w:rPr>
          <w:rFonts w:hint="cs"/>
          <w:b/>
          <w:bCs/>
          <w:rtl/>
        </w:rPr>
        <w:t>הפיק הלקח הראוי</w:t>
      </w:r>
      <w:r w:rsidR="00955DD7">
        <w:rPr>
          <w:rFonts w:hint="cs"/>
          <w:rtl/>
        </w:rPr>
        <w:t>" ובהינתן עמדת אשתו, הקשר החיובי בין בני הזוג והרצון לשקם את הקשר, החשש כי "</w:t>
      </w:r>
      <w:r w:rsidR="00955DD7">
        <w:rPr>
          <w:rFonts w:hint="cs"/>
          <w:b/>
          <w:bCs/>
          <w:rtl/>
        </w:rPr>
        <w:t>הרשעה עשויה למוטט ולפגוע בהליך השיקומי שהמערער עבר</w:t>
      </w:r>
      <w:r w:rsidR="00955DD7">
        <w:rPr>
          <w:rFonts w:hint="cs"/>
          <w:rtl/>
        </w:rPr>
        <w:t>" וכן "</w:t>
      </w:r>
      <w:r w:rsidR="00955DD7">
        <w:rPr>
          <w:rFonts w:hint="cs"/>
          <w:b/>
          <w:bCs/>
          <w:rtl/>
        </w:rPr>
        <w:t>עלולה להכשילו בקידום תעסוקתי</w:t>
      </w:r>
      <w:r w:rsidR="00955DD7">
        <w:rPr>
          <w:rFonts w:hint="cs"/>
          <w:rtl/>
        </w:rPr>
        <w:t>" וכפועל יוצא "</w:t>
      </w:r>
      <w:r w:rsidR="00955DD7">
        <w:rPr>
          <w:rFonts w:hint="cs"/>
          <w:b/>
          <w:bCs/>
          <w:rtl/>
        </w:rPr>
        <w:t>עלולה ההרשעה לפגוע קשות בקשריי המשפחה, ביחסים בין המתלוננת והמערער</w:t>
      </w:r>
      <w:r w:rsidR="00955DD7">
        <w:rPr>
          <w:rFonts w:hint="cs"/>
          <w:rtl/>
        </w:rPr>
        <w:t xml:space="preserve">" יש מקום לחרוג מהכלל ולבטל הרשעתו. </w:t>
      </w:r>
    </w:p>
    <w:p w14:paraId="575FF4B2" w14:textId="77777777" w:rsidR="00955DD7" w:rsidRDefault="00955DD7" w:rsidP="00955DD7">
      <w:pPr>
        <w:rPr>
          <w:rFonts w:ascii="David" w:hAnsi="David"/>
        </w:rPr>
      </w:pPr>
    </w:p>
    <w:p w14:paraId="173B343F" w14:textId="77777777" w:rsidR="00955DD7" w:rsidRDefault="00DD2041" w:rsidP="00955DD7">
      <w:pPr>
        <w:pStyle w:val="gmail-msonospacing"/>
        <w:widowControl w:val="0"/>
        <w:numPr>
          <w:ilvl w:val="0"/>
          <w:numId w:val="3"/>
        </w:numPr>
        <w:bidi/>
        <w:spacing w:before="0" w:beforeAutospacing="0" w:after="0" w:afterAutospacing="0" w:line="360" w:lineRule="auto"/>
        <w:ind w:left="794" w:hanging="397"/>
        <w:jc w:val="both"/>
        <w:rPr>
          <w:rFonts w:ascii="David" w:hAnsi="David" w:cs="David"/>
          <w:sz w:val="22"/>
          <w:szCs w:val="22"/>
        </w:rPr>
      </w:pPr>
      <w:hyperlink r:id="rId78" w:history="1">
        <w:r w:rsidRPr="00DD2041">
          <w:rPr>
            <w:rFonts w:ascii="David" w:hAnsi="David" w:cs="David"/>
            <w:color w:val="0000FF"/>
            <w:u w:val="single"/>
            <w:rtl/>
          </w:rPr>
          <w:t>ת"פ 50076-06-14</w:t>
        </w:r>
      </w:hyperlink>
      <w:r w:rsidR="00955DD7">
        <w:rPr>
          <w:rFonts w:ascii="David" w:hAnsi="David" w:cs="David"/>
          <w:rtl/>
        </w:rPr>
        <w:t xml:space="preserve"> </w:t>
      </w:r>
      <w:r w:rsidR="00955DD7">
        <w:rPr>
          <w:rFonts w:ascii="Miriam" w:hAnsi="Miriam" w:cs="Miriam"/>
          <w:b/>
          <w:bCs/>
          <w:sz w:val="22"/>
          <w:szCs w:val="22"/>
          <w:rtl/>
        </w:rPr>
        <w:t>מדינת ישראל נ' אבו עסא</w:t>
      </w:r>
      <w:r w:rsidR="00955DD7">
        <w:rPr>
          <w:rFonts w:ascii="David" w:hAnsi="David" w:cs="David"/>
          <w:sz w:val="22"/>
          <w:szCs w:val="22"/>
          <w:rtl/>
        </w:rPr>
        <w:t xml:space="preserve"> </w:t>
      </w:r>
      <w:r w:rsidR="00955DD7">
        <w:rPr>
          <w:rFonts w:ascii="David" w:hAnsi="David" w:cs="David"/>
          <w:rtl/>
        </w:rPr>
        <w:t>(14.6.15), אליו הפנתה ב"כ המאשימה –</w:t>
      </w:r>
      <w:r w:rsidR="00955DD7">
        <w:rPr>
          <w:rFonts w:ascii="David" w:hAnsi="David" w:cs="David"/>
          <w:sz w:val="20"/>
          <w:rtl/>
          <w:lang w:eastAsia="he-IL"/>
        </w:rPr>
        <w:t xml:space="preserve"> בית המשפט לא נעתר להמלצת שירות המבחן להורות על ביטול הרשעת מי </w:t>
      </w:r>
      <w:r w:rsidR="00955DD7">
        <w:rPr>
          <w:rFonts w:ascii="David" w:hAnsi="David" w:cs="David"/>
          <w:rtl/>
        </w:rPr>
        <w:t xml:space="preserve">שאיים במילים "סע סע או שאני דוקר אותך", עת החזיק ברכבו, שלא כדין, סכין שאורך להבה 14 ס"מ. שירות המבחן לא בא בהמלצה טיפולית, והמליץ לסיים התיק באופן שיקומי בשל היות הנאשם בהליכים לקבלת רישיון נהיגה לנהג רכב ציבורי. נקבע כי </w:t>
      </w:r>
      <w:r w:rsidR="00955DD7">
        <w:rPr>
          <w:rFonts w:ascii="David" w:hAnsi="David" w:cs="David"/>
          <w:sz w:val="20"/>
          <w:rtl/>
          <w:lang w:eastAsia="he-IL"/>
        </w:rPr>
        <w:t>"</w:t>
      </w:r>
      <w:r w:rsidR="00955DD7">
        <w:rPr>
          <w:rFonts w:ascii="David" w:hAnsi="David" w:cs="David"/>
          <w:b/>
          <w:bCs/>
          <w:rtl/>
        </w:rPr>
        <w:t>המדובר במעשה בריונות המקים סכנה של ממש למשתמשים בדרך. האיום שהפנה הנאשם היה כלפי אדם אקראי שנהג ברכב לצדו, על לא עוול בכפו של זה האחרון, למעט העובדה, כי עכב את רכבו של הנאשם במספר שניות. האיום התיחס במפורש לשימוש בסכין, תוך שהנאשם מחזיק ברכבו בסכין</w:t>
      </w:r>
      <w:r w:rsidR="00955DD7">
        <w:rPr>
          <w:rFonts w:ascii="David" w:hAnsi="David" w:cs="David"/>
          <w:sz w:val="20"/>
          <w:rtl/>
          <w:lang w:eastAsia="he-IL"/>
        </w:rPr>
        <w:t xml:space="preserve">" – מדובר בנסיבות מעשה ונסיבות עושה שונים מאלו שלפניי. </w:t>
      </w:r>
    </w:p>
    <w:p w14:paraId="555017B9" w14:textId="77777777" w:rsidR="00955DD7" w:rsidRDefault="00955DD7" w:rsidP="00955DD7">
      <w:pPr>
        <w:pStyle w:val="aa"/>
        <w:ind w:left="794" w:hanging="397"/>
        <w:rPr>
          <w:szCs w:val="22"/>
          <w:rtl/>
        </w:rPr>
      </w:pPr>
    </w:p>
    <w:p w14:paraId="7CAAEEF1" w14:textId="77777777" w:rsidR="00955DD7" w:rsidRDefault="00DD2041" w:rsidP="00955DD7">
      <w:pPr>
        <w:pStyle w:val="gmail-msonospacing"/>
        <w:widowControl w:val="0"/>
        <w:numPr>
          <w:ilvl w:val="0"/>
          <w:numId w:val="3"/>
        </w:numPr>
        <w:bidi/>
        <w:spacing w:before="0" w:beforeAutospacing="0" w:after="0" w:afterAutospacing="0" w:line="360" w:lineRule="auto"/>
        <w:ind w:left="794" w:hanging="397"/>
        <w:jc w:val="both"/>
        <w:rPr>
          <w:rFonts w:ascii="David" w:hAnsi="David" w:cs="David"/>
        </w:rPr>
      </w:pPr>
      <w:hyperlink r:id="rId79" w:history="1">
        <w:r w:rsidRPr="00DD2041">
          <w:rPr>
            <w:rFonts w:ascii="David" w:hAnsi="David" w:cs="David"/>
            <w:color w:val="0000FF"/>
            <w:u w:val="single"/>
            <w:rtl/>
          </w:rPr>
          <w:t>ת"פ 14547-12-13</w:t>
        </w:r>
      </w:hyperlink>
      <w:r w:rsidR="00955DD7">
        <w:rPr>
          <w:rFonts w:ascii="David" w:hAnsi="David" w:cs="David"/>
          <w:rtl/>
        </w:rPr>
        <w:t xml:space="preserve"> </w:t>
      </w:r>
      <w:r w:rsidR="00955DD7">
        <w:rPr>
          <w:rFonts w:ascii="Miriam" w:hAnsi="Miriam" w:cs="Miriam"/>
          <w:b/>
          <w:bCs/>
          <w:sz w:val="22"/>
          <w:szCs w:val="22"/>
          <w:rtl/>
        </w:rPr>
        <w:t>מדינת ישראל נ' שרון</w:t>
      </w:r>
      <w:r w:rsidR="00955DD7">
        <w:rPr>
          <w:rFonts w:ascii="David" w:hAnsi="David" w:cs="David"/>
          <w:rtl/>
        </w:rPr>
        <w:t xml:space="preserve"> (20.3.17), אליו הפנתה ב"כ המאשימה –</w:t>
      </w:r>
      <w:r w:rsidR="00955DD7">
        <w:rPr>
          <w:rFonts w:ascii="David" w:eastAsia="David" w:hAnsi="David" w:cs="David"/>
          <w:rtl/>
        </w:rPr>
        <w:t xml:space="preserve"> נדחתה בקשה לביטול הרשעת טייס בחברת ישראייר, לאחר שהודה ב-2 עבירות איומים, הפרת הוראה חוקית, 4 עבירות תקיפת בת זוג, שכללו דחיפות ומשיכת המתלוננת בשערות ראשה תוך דחיפתה מחוץ לבית, ותקיפת בת זוג שגרמה חבלות של ממש, אשר כללו שטפי דם סמוך לעינה השמאלית ובזרועה השמאלית. על גזר הדין הוגש ערעור</w:t>
      </w:r>
      <w:r w:rsidR="00955DD7">
        <w:rPr>
          <w:rFonts w:ascii="David" w:hAnsi="David" w:cs="David"/>
          <w:rtl/>
        </w:rPr>
        <w:t xml:space="preserve"> ב-</w:t>
      </w:r>
      <w:hyperlink r:id="rId80" w:history="1">
        <w:r w:rsidRPr="00DD2041">
          <w:rPr>
            <w:rFonts w:ascii="David" w:hAnsi="David" w:cs="David"/>
            <w:color w:val="0000FF"/>
            <w:u w:val="single"/>
            <w:rtl/>
          </w:rPr>
          <w:t>עפ"ג 45797-04-17</w:t>
        </w:r>
      </w:hyperlink>
      <w:r w:rsidR="00955DD7">
        <w:rPr>
          <w:rFonts w:ascii="David" w:eastAsia="David" w:hAnsi="David" w:cs="David"/>
          <w:rtl/>
        </w:rPr>
        <w:t xml:space="preserve">, </w:t>
      </w:r>
      <w:r w:rsidR="00955DD7">
        <w:rPr>
          <w:rFonts w:ascii="David" w:hAnsi="David" w:cs="David"/>
          <w:rtl/>
        </w:rPr>
        <w:t xml:space="preserve">(16.10.17), </w:t>
      </w:r>
      <w:r w:rsidR="00955DD7">
        <w:rPr>
          <w:rFonts w:ascii="David" w:eastAsia="David" w:hAnsi="David" w:cs="David"/>
          <w:rtl/>
        </w:rPr>
        <w:t xml:space="preserve">אולם ב"כ המאשימה לא הפנתה לתוצאותיו, ככל הנראה משום שפסק-הדין בערעור לא פורסם. </w:t>
      </w:r>
      <w:r w:rsidR="00955DD7">
        <w:rPr>
          <w:rFonts w:ascii="David" w:eastAsia="David" w:hAnsi="David" w:cs="David"/>
          <w:sz w:val="20"/>
          <w:rtl/>
          <w:lang w:eastAsia="he-IL"/>
        </w:rPr>
        <w:t>מכל מקום עניינו שונה בתכלית מעניינו של הנאשם שלפניי</w:t>
      </w:r>
      <w:r w:rsidR="00955DD7">
        <w:rPr>
          <w:rFonts w:ascii="David" w:hAnsi="David" w:cs="David"/>
          <w:rtl/>
        </w:rPr>
        <w:t>.</w:t>
      </w:r>
    </w:p>
    <w:p w14:paraId="449D927B" w14:textId="77777777" w:rsidR="00955DD7" w:rsidRDefault="00955DD7" w:rsidP="00955DD7">
      <w:pPr>
        <w:pStyle w:val="aa"/>
        <w:widowControl w:val="0"/>
        <w:spacing w:line="360" w:lineRule="auto"/>
        <w:ind w:left="0"/>
        <w:jc w:val="both"/>
        <w:rPr>
          <w:b/>
          <w:bCs/>
          <w:sz w:val="26"/>
          <w:szCs w:val="26"/>
        </w:rPr>
      </w:pPr>
    </w:p>
    <w:p w14:paraId="6C094722" w14:textId="77777777" w:rsidR="00955DD7" w:rsidRDefault="00955DD7" w:rsidP="00955DD7">
      <w:pPr>
        <w:pStyle w:val="aa"/>
        <w:widowControl w:val="0"/>
        <w:numPr>
          <w:ilvl w:val="0"/>
          <w:numId w:val="1"/>
        </w:numPr>
        <w:spacing w:line="360" w:lineRule="auto"/>
        <w:ind w:left="360"/>
        <w:jc w:val="both"/>
        <w:rPr>
          <w:rtl/>
        </w:rPr>
      </w:pPr>
      <w:r>
        <w:rPr>
          <w:rFonts w:hint="cs"/>
          <w:sz w:val="24"/>
          <w:rtl/>
        </w:rPr>
        <w:t>אכן, כפי שניתן לראות בתסקיר הראשון והשני, שירות המבחן לא המליץ על ביטול הרשעת הנאשם. אולם, ככל שעבר הזמן והנאשם עבר טיפול פרטני, במקביל לבדיקות נקיות מסם והבעת נכונות להמשיך להיות בקשר רציף מול שירות המבחן – שינה שירות המבחן המלצתו בשני תסקיריו האחרונים והמליץ להימנע מהרשעת הנאשם. שאיפותיו של הנאשם לנהל אורח חיים תקין ויצרני, כמו גם כוונותיו להשתלב בלימודים בתחום השיפוצים – חשובות ומבורכות, אולם אין בהן כדי ללמד על קיומו של נזק קונקרטי ואף לא "</w:t>
      </w:r>
      <w:r>
        <w:rPr>
          <w:rFonts w:hint="cs"/>
          <w:b/>
          <w:bCs/>
          <w:rtl/>
        </w:rPr>
        <w:t>מידת וודאות קרובה לקיומו של נזק קונקרטי</w:t>
      </w:r>
      <w:r>
        <w:rPr>
          <w:rFonts w:hint="cs"/>
          <w:rtl/>
        </w:rPr>
        <w:t>" או "</w:t>
      </w:r>
      <w:r>
        <w:rPr>
          <w:rFonts w:hint="cs"/>
          <w:b/>
          <w:bCs/>
          <w:rtl/>
        </w:rPr>
        <w:t>השפעה שלילית להרשעתו של המערער על עתידו המקצועי ועל סיכוייו להיקלט בעבודה, לפחות במגזר הציבורי</w:t>
      </w:r>
      <w:r>
        <w:rPr>
          <w:rFonts w:hint="cs"/>
          <w:rtl/>
        </w:rPr>
        <w:t>", כפי ב-</w:t>
      </w:r>
      <w:r>
        <w:rPr>
          <w:rFonts w:ascii="Miriam" w:hAnsi="Miriam" w:cs="Miriam"/>
          <w:b/>
          <w:bCs/>
          <w:sz w:val="18"/>
          <w:szCs w:val="22"/>
          <w:rtl/>
        </w:rPr>
        <w:t xml:space="preserve">פס"ד אבו מדיעם </w:t>
      </w:r>
      <w:r>
        <w:rPr>
          <w:rFonts w:hint="cs"/>
          <w:rtl/>
        </w:rPr>
        <w:t xml:space="preserve">– </w:t>
      </w:r>
      <w:r>
        <w:rPr>
          <w:rFonts w:hint="cs"/>
          <w:sz w:val="24"/>
          <w:rtl/>
        </w:rPr>
        <w:t>מקובלת עלי טענת ב"כ המאשימה, כי לא ברור כיצד הרשעה יכולה לפגוע בהמשך עיסוק הנאשם כעצמאי בתחום השיפוצים.</w:t>
      </w:r>
    </w:p>
    <w:p w14:paraId="3AFAC402" w14:textId="77777777" w:rsidR="00955DD7" w:rsidRDefault="00955DD7" w:rsidP="00955DD7">
      <w:pPr>
        <w:pStyle w:val="aa"/>
        <w:widowControl w:val="0"/>
        <w:spacing w:line="360" w:lineRule="auto"/>
        <w:ind w:left="0"/>
        <w:jc w:val="both"/>
        <w:rPr>
          <w:b/>
          <w:bCs/>
          <w:sz w:val="26"/>
          <w:szCs w:val="26"/>
        </w:rPr>
      </w:pPr>
    </w:p>
    <w:p w14:paraId="413E66DB" w14:textId="77777777" w:rsidR="00955DD7" w:rsidRDefault="00955DD7" w:rsidP="00955DD7">
      <w:pPr>
        <w:pStyle w:val="aa"/>
        <w:widowControl w:val="0"/>
        <w:numPr>
          <w:ilvl w:val="0"/>
          <w:numId w:val="1"/>
        </w:numPr>
        <w:spacing w:line="360" w:lineRule="auto"/>
        <w:ind w:left="360"/>
        <w:jc w:val="both"/>
        <w:rPr>
          <w:sz w:val="24"/>
          <w:rtl/>
        </w:rPr>
      </w:pPr>
      <w:r>
        <w:rPr>
          <w:rFonts w:hint="cs"/>
          <w:sz w:val="24"/>
          <w:rtl/>
        </w:rPr>
        <w:t>עולה מהמקובץ, כי הנאשם לא עומד בתנאי השני שנקבע ב-</w:t>
      </w:r>
      <w:r>
        <w:rPr>
          <w:rFonts w:ascii="Miriam" w:hAnsi="Miriam" w:cs="Miriam"/>
          <w:b/>
          <w:bCs/>
          <w:szCs w:val="22"/>
          <w:rtl/>
        </w:rPr>
        <w:t>הלכת כתב</w:t>
      </w:r>
      <w:r>
        <w:rPr>
          <w:rFonts w:hint="cs"/>
          <w:sz w:val="24"/>
          <w:rtl/>
        </w:rPr>
        <w:t xml:space="preserve">. משכך, אין מקום להורות על ביטול הרשעתו. לצד זאת, בהינתן נסיבותיו האישיות המורכבות, ההודאה, החרטה, שיתוף הפעולה עם הרשויות ועם גורמי הטיפול והניקיון מסמים – כל אלו מובילים למסקנה, כי יש מקום לחרוג ממתחם העונש משיקולי שיקום. בהקשר זה אציין, כי אף המאשימה לא חולקת על כך שהנאשם </w:t>
      </w:r>
      <w:r>
        <w:rPr>
          <w:rFonts w:ascii="Times New Roman" w:hAnsi="Times New Roman" w:hint="cs"/>
          <w:sz w:val="24"/>
          <w:rtl/>
        </w:rPr>
        <w:t xml:space="preserve">עבר כברת דרך משמעותית במסגרת ההליך הטיפולי וכי יש מקום לסטות לקולא ולהפחית חודשיים מהרף התחתון של המתחם לו עתרה.  </w:t>
      </w:r>
    </w:p>
    <w:p w14:paraId="11FCA924" w14:textId="77777777" w:rsidR="00955DD7" w:rsidRPr="006B3760" w:rsidRDefault="00955DD7" w:rsidP="00955DD7">
      <w:pPr>
        <w:pStyle w:val="aa"/>
        <w:widowControl w:val="0"/>
        <w:spacing w:line="360" w:lineRule="auto"/>
        <w:jc w:val="both"/>
        <w:rPr>
          <w:sz w:val="26"/>
          <w:szCs w:val="26"/>
        </w:rPr>
      </w:pPr>
    </w:p>
    <w:p w14:paraId="24F18BCB" w14:textId="77777777" w:rsidR="00955DD7" w:rsidRDefault="00955DD7" w:rsidP="00955DD7">
      <w:pPr>
        <w:widowControl w:val="0"/>
        <w:spacing w:line="360" w:lineRule="auto"/>
        <w:jc w:val="both"/>
        <w:rPr>
          <w:rFonts w:ascii="David" w:hAnsi="David"/>
          <w:b/>
          <w:bCs/>
          <w:sz w:val="26"/>
          <w:szCs w:val="26"/>
          <w:rtl/>
        </w:rPr>
      </w:pPr>
      <w:r>
        <w:rPr>
          <w:rFonts w:ascii="David" w:hAnsi="David"/>
          <w:b/>
          <w:bCs/>
          <w:sz w:val="26"/>
          <w:szCs w:val="26"/>
          <w:rtl/>
        </w:rPr>
        <w:t>סוף דבר</w:t>
      </w:r>
    </w:p>
    <w:p w14:paraId="618CA9AF" w14:textId="77777777" w:rsidR="00955DD7" w:rsidRDefault="00955DD7" w:rsidP="00955DD7">
      <w:pPr>
        <w:pStyle w:val="aa"/>
        <w:widowControl w:val="0"/>
        <w:numPr>
          <w:ilvl w:val="0"/>
          <w:numId w:val="1"/>
        </w:numPr>
        <w:spacing w:line="360" w:lineRule="auto"/>
        <w:ind w:left="360"/>
        <w:jc w:val="both"/>
        <w:rPr>
          <w:rFonts w:ascii="Times New Roman" w:hAnsi="Times New Roman"/>
          <w:sz w:val="24"/>
          <w:rtl/>
        </w:rPr>
      </w:pPr>
      <w:r>
        <w:rPr>
          <w:rFonts w:hint="cs"/>
          <w:sz w:val="24"/>
          <w:rtl/>
        </w:rPr>
        <w:t xml:space="preserve">במסגרת גזר הדין לקחתי בחשבון את הצורך בהרתעה אישית ובהרתעת הרבים, בהתאם </w:t>
      </w:r>
      <w:hyperlink r:id="rId81" w:history="1">
        <w:r w:rsidR="00B930B9" w:rsidRPr="00B930B9">
          <w:rPr>
            <w:rStyle w:val="Hyperlink"/>
            <w:rFonts w:hint="eastAsia"/>
            <w:sz w:val="24"/>
            <w:rtl/>
          </w:rPr>
          <w:t>לסעיפים</w:t>
        </w:r>
        <w:r w:rsidR="00B930B9" w:rsidRPr="00B930B9">
          <w:rPr>
            <w:rStyle w:val="Hyperlink"/>
            <w:sz w:val="24"/>
            <w:rtl/>
          </w:rPr>
          <w:t xml:space="preserve"> 40ו</w:t>
        </w:r>
      </w:hyperlink>
      <w:r>
        <w:rPr>
          <w:rFonts w:hint="cs"/>
          <w:sz w:val="24"/>
          <w:rtl/>
        </w:rPr>
        <w:t xml:space="preserve"> ו-</w:t>
      </w:r>
      <w:hyperlink r:id="rId82" w:history="1">
        <w:r w:rsidR="00B930B9" w:rsidRPr="00B930B9">
          <w:rPr>
            <w:rStyle w:val="Hyperlink"/>
            <w:sz w:val="24"/>
            <w:rtl/>
          </w:rPr>
          <w:t>40ז</w:t>
        </w:r>
      </w:hyperlink>
      <w:r>
        <w:rPr>
          <w:rFonts w:hint="cs"/>
          <w:sz w:val="24"/>
          <w:rtl/>
        </w:rPr>
        <w:t xml:space="preserve"> ל-</w:t>
      </w:r>
      <w:hyperlink r:id="rId83" w:history="1">
        <w:r w:rsidR="00DD2041" w:rsidRPr="00DD2041">
          <w:rPr>
            <w:rFonts w:ascii="Miriam" w:hAnsi="Miriam" w:cs="Miriam"/>
            <w:b/>
            <w:bCs/>
            <w:color w:val="0000FF"/>
            <w:szCs w:val="22"/>
            <w:u w:val="single"/>
            <w:rtl/>
          </w:rPr>
          <w:t>חוק העונשין</w:t>
        </w:r>
      </w:hyperlink>
      <w:r>
        <w:rPr>
          <w:rFonts w:hint="cs"/>
          <w:sz w:val="24"/>
          <w:rtl/>
        </w:rPr>
        <w:t xml:space="preserve"> ומצאתי כי בעניינו של הנאשם, אמנם אין מקום לבטל את ההרשעה, אך יש טעמים טובים לחריגה ממתחם העונש ההולם בשל שיקולי שיקום, לפי הוראות </w:t>
      </w:r>
      <w:hyperlink r:id="rId84" w:history="1">
        <w:r w:rsidR="00B930B9" w:rsidRPr="00B930B9">
          <w:rPr>
            <w:rStyle w:val="Hyperlink"/>
            <w:rFonts w:hint="eastAsia"/>
            <w:sz w:val="24"/>
            <w:rtl/>
          </w:rPr>
          <w:t>סעיף</w:t>
        </w:r>
        <w:r w:rsidR="00B930B9" w:rsidRPr="00B930B9">
          <w:rPr>
            <w:rStyle w:val="Hyperlink"/>
            <w:sz w:val="24"/>
            <w:rtl/>
          </w:rPr>
          <w:t xml:space="preserve"> 40ד</w:t>
        </w:r>
      </w:hyperlink>
      <w:r>
        <w:rPr>
          <w:rFonts w:hint="cs"/>
          <w:sz w:val="24"/>
          <w:rtl/>
        </w:rPr>
        <w:t xml:space="preserve"> ל-</w:t>
      </w:r>
      <w:r>
        <w:rPr>
          <w:rFonts w:ascii="Miriam" w:hAnsi="Miriam" w:cs="Miriam"/>
          <w:b/>
          <w:bCs/>
          <w:szCs w:val="22"/>
          <w:rtl/>
        </w:rPr>
        <w:t>חוק העונשין</w:t>
      </w:r>
      <w:r>
        <w:rPr>
          <w:rFonts w:hint="cs"/>
          <w:sz w:val="24"/>
          <w:rtl/>
        </w:rPr>
        <w:t xml:space="preserve">. במסגרת גזר הדין נתתי דעתי להודיית הנאשם בשלב מוקדם מאוד של ההליך, גילו הצעיר, היותו נעדר עבר פלילי, הנזקים שנגרמו לו מביצוע העבירות, ההליך הטיפולי אותו עבר ובו נכון עוד להתמיד. בהינתן כל אלו ובהינתן היקף שיתוף פעולה עם רשויות החוק ועם גורמי הטיפול כמתואר לעיל – </w:t>
      </w:r>
      <w:r>
        <w:rPr>
          <w:rFonts w:hint="cs"/>
          <w:b/>
          <w:bCs/>
          <w:sz w:val="24"/>
          <w:rtl/>
        </w:rPr>
        <w:t>מצאתי לנכון לגזור על הנאשם</w:t>
      </w:r>
      <w:r>
        <w:rPr>
          <w:rFonts w:hint="cs"/>
          <w:b/>
          <w:bCs/>
          <w:rtl/>
        </w:rPr>
        <w:t xml:space="preserve"> את העונש הבא:</w:t>
      </w:r>
    </w:p>
    <w:p w14:paraId="6C568E97" w14:textId="77777777" w:rsidR="00955DD7" w:rsidRDefault="00955DD7" w:rsidP="00955DD7">
      <w:pPr>
        <w:autoSpaceDE w:val="0"/>
        <w:autoSpaceDN w:val="0"/>
        <w:jc w:val="both"/>
      </w:pPr>
    </w:p>
    <w:p w14:paraId="4FA925E6" w14:textId="77777777" w:rsidR="00955DD7" w:rsidRDefault="00955DD7" w:rsidP="00955DD7">
      <w:pPr>
        <w:pStyle w:val="aa"/>
        <w:numPr>
          <w:ilvl w:val="1"/>
          <w:numId w:val="1"/>
        </w:numPr>
        <w:autoSpaceDE w:val="0"/>
        <w:autoSpaceDN w:val="0"/>
        <w:spacing w:line="360" w:lineRule="auto"/>
        <w:ind w:left="794" w:hanging="397"/>
        <w:jc w:val="both"/>
        <w:rPr>
          <w:rtl/>
        </w:rPr>
      </w:pPr>
      <w:r>
        <w:rPr>
          <w:rFonts w:hint="cs"/>
          <w:b/>
          <w:bCs/>
          <w:rtl/>
        </w:rPr>
        <w:t>6 חודשי מאסר על תנאי</w:t>
      </w:r>
      <w:r>
        <w:rPr>
          <w:rFonts w:hint="cs"/>
          <w:rtl/>
        </w:rPr>
        <w:t xml:space="preserve">, למשך 3 שנים מהיום, שלא יעבור כל עבירת פשע על </w:t>
      </w:r>
      <w:r>
        <w:rPr>
          <w:rFonts w:ascii="Miriam" w:hAnsi="Miriam" w:cs="Miriam"/>
          <w:b/>
          <w:bCs/>
          <w:sz w:val="18"/>
          <w:szCs w:val="22"/>
          <w:rtl/>
        </w:rPr>
        <w:t>פקודת הסמים</w:t>
      </w:r>
      <w:r>
        <w:rPr>
          <w:rFonts w:hint="cs"/>
          <w:rtl/>
        </w:rPr>
        <w:t>.</w:t>
      </w:r>
    </w:p>
    <w:p w14:paraId="271FC9E3" w14:textId="77777777" w:rsidR="00955DD7" w:rsidRDefault="00955DD7" w:rsidP="00955DD7">
      <w:pPr>
        <w:pStyle w:val="aa"/>
        <w:autoSpaceDE w:val="0"/>
        <w:autoSpaceDN w:val="0"/>
        <w:ind w:left="794"/>
        <w:jc w:val="both"/>
        <w:rPr>
          <w:rtl/>
        </w:rPr>
      </w:pPr>
    </w:p>
    <w:p w14:paraId="0990E16F" w14:textId="77777777" w:rsidR="00955DD7" w:rsidRDefault="00955DD7" w:rsidP="00955DD7">
      <w:pPr>
        <w:pStyle w:val="aa"/>
        <w:numPr>
          <w:ilvl w:val="1"/>
          <w:numId w:val="1"/>
        </w:numPr>
        <w:autoSpaceDE w:val="0"/>
        <w:autoSpaceDN w:val="0"/>
        <w:spacing w:line="360" w:lineRule="auto"/>
        <w:ind w:left="794" w:hanging="397"/>
        <w:jc w:val="both"/>
        <w:rPr>
          <w:b/>
          <w:bCs/>
          <w:u w:val="single"/>
        </w:rPr>
      </w:pPr>
      <w:r>
        <w:rPr>
          <w:rFonts w:hint="cs"/>
          <w:b/>
          <w:bCs/>
          <w:rtl/>
        </w:rPr>
        <w:t>250 שעות לתועלת הציבור</w:t>
      </w:r>
      <w:r>
        <w:rPr>
          <w:rFonts w:hint="cs"/>
          <w:rtl/>
        </w:rPr>
        <w:t xml:space="preserve"> בהתאם לתכנית שנבנתה עבורו על ידי שירות המבחן (להלן: </w:t>
      </w:r>
      <w:r>
        <w:rPr>
          <w:rFonts w:hint="cs"/>
          <w:b/>
          <w:bCs/>
          <w:rtl/>
        </w:rPr>
        <w:t>צו של"ץ</w:t>
      </w:r>
      <w:r>
        <w:rPr>
          <w:rFonts w:hint="cs"/>
          <w:rtl/>
        </w:rPr>
        <w:t xml:space="preserve">). ככל שיהיה צורך בשינוי מקום ההשמה, שירות המבחן יבצע את ההתאמות הנדרשות וידווח לבית המשפט. </w:t>
      </w:r>
    </w:p>
    <w:p w14:paraId="16251C3E" w14:textId="77777777" w:rsidR="00955DD7" w:rsidRDefault="00955DD7" w:rsidP="00955DD7">
      <w:pPr>
        <w:pStyle w:val="aa"/>
        <w:rPr>
          <w:b/>
          <w:bCs/>
          <w:sz w:val="24"/>
        </w:rPr>
      </w:pPr>
    </w:p>
    <w:p w14:paraId="28B943DA" w14:textId="77777777" w:rsidR="00955DD7" w:rsidRDefault="00955DD7" w:rsidP="00955DD7">
      <w:pPr>
        <w:pStyle w:val="aa"/>
        <w:numPr>
          <w:ilvl w:val="1"/>
          <w:numId w:val="1"/>
        </w:numPr>
        <w:autoSpaceDE w:val="0"/>
        <w:autoSpaceDN w:val="0"/>
        <w:spacing w:line="360" w:lineRule="auto"/>
        <w:ind w:left="794" w:hanging="397"/>
        <w:jc w:val="both"/>
        <w:rPr>
          <w:b/>
          <w:bCs/>
          <w:u w:val="single"/>
        </w:rPr>
      </w:pPr>
      <w:r>
        <w:rPr>
          <w:rFonts w:hint="cs"/>
          <w:sz w:val="24"/>
          <w:rtl/>
        </w:rPr>
        <w:t xml:space="preserve">הנאשם יעמוד בפיקוח שירות המבחן למשך חצי שנה מהיום (להלן: </w:t>
      </w:r>
      <w:r>
        <w:rPr>
          <w:rFonts w:hint="cs"/>
          <w:b/>
          <w:bCs/>
          <w:sz w:val="24"/>
          <w:rtl/>
        </w:rPr>
        <w:t>צו מבחן</w:t>
      </w:r>
      <w:r>
        <w:rPr>
          <w:rFonts w:hint="cs"/>
          <w:sz w:val="24"/>
          <w:rtl/>
        </w:rPr>
        <w:t>).</w:t>
      </w:r>
    </w:p>
    <w:p w14:paraId="666CC70D" w14:textId="77777777" w:rsidR="00955DD7" w:rsidRDefault="00955DD7" w:rsidP="00955DD7">
      <w:pPr>
        <w:pStyle w:val="aa"/>
        <w:autoSpaceDE w:val="0"/>
        <w:autoSpaceDN w:val="0"/>
        <w:ind w:left="794"/>
        <w:jc w:val="both"/>
        <w:rPr>
          <w:sz w:val="24"/>
          <w:rtl/>
        </w:rPr>
      </w:pPr>
    </w:p>
    <w:p w14:paraId="761D3B26" w14:textId="77777777" w:rsidR="00955DD7" w:rsidRDefault="00955DD7" w:rsidP="00955DD7">
      <w:pPr>
        <w:pStyle w:val="aa"/>
        <w:numPr>
          <w:ilvl w:val="1"/>
          <w:numId w:val="1"/>
        </w:numPr>
        <w:autoSpaceDE w:val="0"/>
        <w:autoSpaceDN w:val="0"/>
        <w:spacing w:line="360" w:lineRule="auto"/>
        <w:ind w:left="794" w:hanging="397"/>
        <w:jc w:val="both"/>
        <w:rPr>
          <w:rtl/>
        </w:rPr>
      </w:pPr>
      <w:r>
        <w:rPr>
          <w:rFonts w:hint="cs"/>
          <w:b/>
          <w:bCs/>
          <w:rtl/>
        </w:rPr>
        <w:t>קנס בסך 2,000 ₪ או 20 ימי מאסר תמורתו.</w:t>
      </w:r>
      <w:r>
        <w:rPr>
          <w:rFonts w:hint="cs"/>
          <w:rtl/>
        </w:rPr>
        <w:t xml:space="preserve"> </w:t>
      </w:r>
    </w:p>
    <w:p w14:paraId="5A73238E" w14:textId="77777777" w:rsidR="00955DD7" w:rsidRDefault="00955DD7" w:rsidP="00955DD7">
      <w:pPr>
        <w:pStyle w:val="aa"/>
        <w:autoSpaceDE w:val="0"/>
        <w:autoSpaceDN w:val="0"/>
        <w:spacing w:line="360" w:lineRule="auto"/>
        <w:ind w:left="794"/>
        <w:jc w:val="both"/>
        <w:rPr>
          <w:rtl/>
        </w:rPr>
      </w:pPr>
      <w:r>
        <w:rPr>
          <w:rFonts w:hint="cs"/>
          <w:rtl/>
        </w:rPr>
        <w:t xml:space="preserve">הקנס ישולם ב-10 תשלומים שווים ורצופים, החל מיום 28.6.24 וכל 28 בחודש שלאחריו. </w:t>
      </w:r>
    </w:p>
    <w:p w14:paraId="0E27D714" w14:textId="77777777" w:rsidR="00955DD7" w:rsidRDefault="00955DD7" w:rsidP="00955DD7">
      <w:pPr>
        <w:pStyle w:val="aa"/>
        <w:autoSpaceDE w:val="0"/>
        <w:autoSpaceDN w:val="0"/>
        <w:spacing w:line="360" w:lineRule="auto"/>
        <w:ind w:left="794"/>
        <w:jc w:val="both"/>
        <w:rPr>
          <w:rFonts w:ascii="Times New Roman" w:hAnsi="Times New Roman"/>
        </w:rPr>
      </w:pPr>
      <w:r>
        <w:rPr>
          <w:rFonts w:hint="cs"/>
          <w:rtl/>
        </w:rPr>
        <w:t>אם לא יבוצע תשלום במועדו - תעמוד כל יתרת הקנס לפירעון מיידי.</w:t>
      </w:r>
    </w:p>
    <w:p w14:paraId="2972E199" w14:textId="77777777" w:rsidR="00955DD7" w:rsidRDefault="00955DD7" w:rsidP="00955DD7">
      <w:pPr>
        <w:pStyle w:val="aa"/>
        <w:autoSpaceDE w:val="0"/>
        <w:autoSpaceDN w:val="0"/>
        <w:ind w:left="794"/>
        <w:jc w:val="both"/>
        <w:rPr>
          <w:sz w:val="24"/>
        </w:rPr>
      </w:pPr>
    </w:p>
    <w:p w14:paraId="3745816D" w14:textId="77777777" w:rsidR="00955DD7" w:rsidRDefault="00955DD7" w:rsidP="00955DD7">
      <w:pPr>
        <w:pStyle w:val="aa"/>
        <w:numPr>
          <w:ilvl w:val="1"/>
          <w:numId w:val="1"/>
        </w:numPr>
        <w:autoSpaceDE w:val="0"/>
        <w:autoSpaceDN w:val="0"/>
        <w:spacing w:line="360" w:lineRule="auto"/>
        <w:ind w:left="794" w:hanging="397"/>
        <w:jc w:val="both"/>
      </w:pPr>
      <w:r>
        <w:rPr>
          <w:rFonts w:hint="cs"/>
          <w:b/>
          <w:bCs/>
          <w:rtl/>
        </w:rPr>
        <w:t>3,000 ₪ התחייבות</w:t>
      </w:r>
      <w:r>
        <w:rPr>
          <w:rFonts w:hint="cs"/>
          <w:rtl/>
        </w:rPr>
        <w:t xml:space="preserve">, למשך 3 שנים מהיום, שלא יעבור כל עבירה על </w:t>
      </w:r>
      <w:r>
        <w:rPr>
          <w:rFonts w:ascii="Miriam" w:hAnsi="Miriam" w:cs="Miriam"/>
          <w:bCs/>
          <w:sz w:val="18"/>
          <w:szCs w:val="22"/>
          <w:rtl/>
        </w:rPr>
        <w:t>פקודת הסמים</w:t>
      </w:r>
      <w:r>
        <w:rPr>
          <w:rFonts w:hint="cs"/>
          <w:rtl/>
        </w:rPr>
        <w:t>.</w:t>
      </w:r>
    </w:p>
    <w:p w14:paraId="0082FA15" w14:textId="77777777" w:rsidR="00955DD7" w:rsidRDefault="00955DD7" w:rsidP="00955DD7">
      <w:pPr>
        <w:pStyle w:val="aa"/>
        <w:autoSpaceDE w:val="0"/>
        <w:autoSpaceDN w:val="0"/>
        <w:spacing w:line="360" w:lineRule="auto"/>
        <w:ind w:left="794"/>
        <w:jc w:val="both"/>
      </w:pPr>
      <w:r>
        <w:rPr>
          <w:rFonts w:hint="cs"/>
          <w:rtl/>
        </w:rPr>
        <w:t>על הנאשם להצהיר על ההתחייבות היום. לא יצהיר על ההתחייבות היום – יהיה על הנאשם לרצות 30 ימי מאסר בפועל, על מנת לכפות אותו לעשות כן.</w:t>
      </w:r>
    </w:p>
    <w:p w14:paraId="3BC0B60B" w14:textId="77777777" w:rsidR="00955DD7" w:rsidRDefault="00955DD7" w:rsidP="00955DD7">
      <w:pPr>
        <w:pStyle w:val="aa"/>
        <w:autoSpaceDE w:val="0"/>
        <w:autoSpaceDN w:val="0"/>
        <w:ind w:left="850"/>
        <w:jc w:val="both"/>
        <w:rPr>
          <w:rFonts w:ascii="Times New Roman" w:hAnsi="Times New Roman"/>
          <w:sz w:val="24"/>
          <w:szCs w:val="32"/>
          <w:rtl/>
        </w:rPr>
      </w:pPr>
    </w:p>
    <w:p w14:paraId="6B14A999" w14:textId="77777777" w:rsidR="00955DD7" w:rsidRDefault="00955DD7" w:rsidP="00955DD7">
      <w:pPr>
        <w:pStyle w:val="aa"/>
        <w:numPr>
          <w:ilvl w:val="1"/>
          <w:numId w:val="1"/>
        </w:numPr>
        <w:autoSpaceDE w:val="0"/>
        <w:autoSpaceDN w:val="0"/>
        <w:spacing w:line="360" w:lineRule="auto"/>
        <w:ind w:left="794" w:hanging="397"/>
        <w:jc w:val="both"/>
      </w:pPr>
      <w:r>
        <w:rPr>
          <w:rFonts w:hint="cs"/>
          <w:b/>
          <w:bCs/>
          <w:rtl/>
        </w:rPr>
        <w:t>12 חודשי פסילה מקבל או מהחזיק רישיון נהיגה על תנאי</w:t>
      </w:r>
      <w:r>
        <w:rPr>
          <w:rFonts w:hint="cs"/>
          <w:rtl/>
        </w:rPr>
        <w:t xml:space="preserve">, למשך 3 שנים מהיום, שלא יעבור כל עבירה על </w:t>
      </w:r>
      <w:r>
        <w:rPr>
          <w:rFonts w:ascii="Miriam" w:hAnsi="Miriam" w:cs="Miriam"/>
          <w:b/>
          <w:bCs/>
          <w:szCs w:val="22"/>
          <w:rtl/>
        </w:rPr>
        <w:t>פקודת הסמים</w:t>
      </w:r>
      <w:r>
        <w:rPr>
          <w:rFonts w:hint="cs"/>
          <w:rtl/>
        </w:rPr>
        <w:t>.</w:t>
      </w:r>
    </w:p>
    <w:p w14:paraId="12BB4394" w14:textId="77777777" w:rsidR="00955DD7" w:rsidRDefault="00955DD7" w:rsidP="00955DD7">
      <w:pPr>
        <w:widowControl w:val="0"/>
        <w:spacing w:line="360" w:lineRule="auto"/>
        <w:jc w:val="both"/>
        <w:rPr>
          <w:rFonts w:ascii="David" w:hAnsi="David"/>
        </w:rPr>
      </w:pPr>
    </w:p>
    <w:p w14:paraId="351C34F2" w14:textId="77777777" w:rsidR="00955DD7" w:rsidRDefault="00955DD7" w:rsidP="00955DD7">
      <w:pPr>
        <w:pStyle w:val="aa"/>
        <w:spacing w:line="360" w:lineRule="auto"/>
        <w:ind w:left="0"/>
        <w:jc w:val="both"/>
        <w:rPr>
          <w:b/>
          <w:bCs/>
          <w:u w:val="single"/>
        </w:rPr>
      </w:pPr>
      <w:r>
        <w:rPr>
          <w:rFonts w:hint="cs"/>
          <w:b/>
          <w:bCs/>
          <w:rtl/>
        </w:rPr>
        <w:t>מובהר לנאשם כי אם לא יעמוד בצו המבחן או בצו השל"ץ, יוחזר עניינו לדיון בבית המשפט ודינו ייגזר מחדש.</w:t>
      </w:r>
    </w:p>
    <w:p w14:paraId="1627F9E3" w14:textId="77777777" w:rsidR="00955DD7" w:rsidRDefault="00955DD7" w:rsidP="00955DD7">
      <w:pPr>
        <w:pStyle w:val="aa"/>
        <w:spacing w:line="360" w:lineRule="auto"/>
        <w:ind w:left="0"/>
        <w:jc w:val="both"/>
        <w:rPr>
          <w:b/>
          <w:bCs/>
          <w:u w:val="single"/>
          <w:rtl/>
        </w:rPr>
      </w:pPr>
    </w:p>
    <w:p w14:paraId="16AA485E" w14:textId="77777777" w:rsidR="00955DD7" w:rsidRDefault="00955DD7" w:rsidP="00955DD7">
      <w:pPr>
        <w:pStyle w:val="aa"/>
        <w:spacing w:line="360" w:lineRule="auto"/>
        <w:ind w:left="0"/>
        <w:jc w:val="both"/>
        <w:rPr>
          <w:rFonts w:ascii="Times New Roman" w:hAnsi="Times New Roman"/>
          <w:b/>
          <w:bCs/>
          <w:rtl/>
        </w:rPr>
      </w:pPr>
      <w:r>
        <w:rPr>
          <w:rFonts w:hint="cs"/>
          <w:b/>
          <w:bCs/>
          <w:u w:val="single"/>
          <w:rtl/>
        </w:rPr>
        <w:t>תשומת לב הנאשם כי ניתן לשלם את הקנס באחת הדרכים הבאות</w:t>
      </w:r>
      <w:r>
        <w:rPr>
          <w:rFonts w:hint="cs"/>
          <w:b/>
          <w:bCs/>
          <w:rtl/>
        </w:rPr>
        <w:t>:</w:t>
      </w:r>
    </w:p>
    <w:p w14:paraId="1DA6FBE4" w14:textId="77777777" w:rsidR="00955DD7" w:rsidRDefault="00955DD7" w:rsidP="00955DD7">
      <w:pPr>
        <w:pStyle w:val="aa"/>
        <w:numPr>
          <w:ilvl w:val="0"/>
          <w:numId w:val="4"/>
        </w:numPr>
        <w:spacing w:line="360" w:lineRule="auto"/>
        <w:ind w:left="360"/>
        <w:jc w:val="both"/>
        <w:rPr>
          <w:rtl/>
        </w:rPr>
      </w:pPr>
      <w:r>
        <w:rPr>
          <w:rFonts w:hint="cs"/>
          <w:rtl/>
        </w:rPr>
        <w:t>בכרטיס</w:t>
      </w:r>
      <w:r>
        <w:rPr>
          <w:rFonts w:hint="cs"/>
        </w:rPr>
        <w:t xml:space="preserve"> </w:t>
      </w:r>
      <w:r>
        <w:rPr>
          <w:rFonts w:hint="cs"/>
          <w:rtl/>
        </w:rPr>
        <w:t>אשראי - באתר</w:t>
      </w:r>
      <w:r>
        <w:rPr>
          <w:rFonts w:hint="cs"/>
        </w:rPr>
        <w:t xml:space="preserve"> </w:t>
      </w:r>
      <w:r>
        <w:rPr>
          <w:rFonts w:hint="cs"/>
          <w:rtl/>
        </w:rPr>
        <w:t>המקוון</w:t>
      </w:r>
      <w:r>
        <w:rPr>
          <w:rFonts w:hint="cs"/>
        </w:rPr>
        <w:t xml:space="preserve"> </w:t>
      </w:r>
      <w:r>
        <w:rPr>
          <w:rFonts w:hint="cs"/>
          <w:rtl/>
        </w:rPr>
        <w:t>של</w:t>
      </w:r>
      <w:r>
        <w:rPr>
          <w:rFonts w:hint="cs"/>
        </w:rPr>
        <w:t xml:space="preserve"> </w:t>
      </w:r>
      <w:r>
        <w:rPr>
          <w:rFonts w:hint="cs"/>
          <w:rtl/>
        </w:rPr>
        <w:t>רשות</w:t>
      </w:r>
      <w:r>
        <w:rPr>
          <w:rFonts w:hint="cs"/>
        </w:rPr>
        <w:t xml:space="preserve"> </w:t>
      </w:r>
      <w:r>
        <w:rPr>
          <w:rFonts w:hint="cs"/>
          <w:rtl/>
        </w:rPr>
        <w:t>האכיפה</w:t>
      </w:r>
      <w:r>
        <w:rPr>
          <w:rFonts w:hint="cs"/>
        </w:rPr>
        <w:t xml:space="preserve"> </w:t>
      </w:r>
      <w:r>
        <w:rPr>
          <w:rFonts w:hint="cs"/>
          <w:rtl/>
        </w:rPr>
        <w:t>והגבייה</w:t>
      </w:r>
      <w:r>
        <w:t xml:space="preserve">www.eca.gov.il </w:t>
      </w:r>
      <w:r>
        <w:rPr>
          <w:rFonts w:hint="cs"/>
          <w:rtl/>
        </w:rPr>
        <w:t>.</w:t>
      </w:r>
    </w:p>
    <w:p w14:paraId="2A1A2715" w14:textId="77777777" w:rsidR="00955DD7" w:rsidRDefault="00955DD7" w:rsidP="00955DD7">
      <w:pPr>
        <w:pStyle w:val="aa"/>
        <w:numPr>
          <w:ilvl w:val="0"/>
          <w:numId w:val="4"/>
        </w:numPr>
        <w:spacing w:line="360" w:lineRule="auto"/>
        <w:ind w:left="360"/>
        <w:jc w:val="both"/>
        <w:rPr>
          <w:rtl/>
        </w:rPr>
      </w:pPr>
      <w:r>
        <w:rPr>
          <w:rFonts w:hint="cs"/>
          <w:rtl/>
        </w:rPr>
        <w:t>מוקד</w:t>
      </w:r>
      <w:r>
        <w:rPr>
          <w:rFonts w:hint="cs"/>
        </w:rPr>
        <w:t xml:space="preserve"> </w:t>
      </w:r>
      <w:r>
        <w:rPr>
          <w:rFonts w:hint="cs"/>
          <w:rtl/>
        </w:rPr>
        <w:t>שירות</w:t>
      </w:r>
      <w:r>
        <w:rPr>
          <w:rFonts w:hint="cs"/>
        </w:rPr>
        <w:t xml:space="preserve"> </w:t>
      </w:r>
      <w:r>
        <w:rPr>
          <w:rFonts w:hint="cs"/>
          <w:rtl/>
        </w:rPr>
        <w:t>טלפוני</w:t>
      </w:r>
      <w:r>
        <w:rPr>
          <w:rFonts w:hint="cs"/>
        </w:rPr>
        <w:t xml:space="preserve"> </w:t>
      </w:r>
      <w:r>
        <w:rPr>
          <w:rFonts w:hint="cs"/>
          <w:rtl/>
        </w:rPr>
        <w:t>(בשרות</w:t>
      </w:r>
      <w:r>
        <w:rPr>
          <w:rFonts w:hint="cs"/>
        </w:rPr>
        <w:t xml:space="preserve"> </w:t>
      </w:r>
      <w:r>
        <w:rPr>
          <w:rFonts w:hint="cs"/>
          <w:rtl/>
        </w:rPr>
        <w:t>עצמי) מרכז</w:t>
      </w:r>
      <w:r>
        <w:rPr>
          <w:rFonts w:hint="cs"/>
        </w:rPr>
        <w:t xml:space="preserve"> </w:t>
      </w:r>
      <w:r>
        <w:rPr>
          <w:rFonts w:hint="cs"/>
          <w:rtl/>
        </w:rPr>
        <w:t>גבייה - במספר *</w:t>
      </w:r>
      <w:r>
        <w:t>35592</w:t>
      </w:r>
      <w:r>
        <w:rPr>
          <w:rtl/>
        </w:rPr>
        <w:t xml:space="preserve"> </w:t>
      </w:r>
      <w:r>
        <w:rPr>
          <w:rFonts w:hint="cs"/>
          <w:rtl/>
        </w:rPr>
        <w:t>או</w:t>
      </w:r>
      <w:r>
        <w:t xml:space="preserve">073-2055000 </w:t>
      </w:r>
      <w:r>
        <w:rPr>
          <w:rFonts w:hint="cs"/>
          <w:rtl/>
        </w:rPr>
        <w:t>.</w:t>
      </w:r>
    </w:p>
    <w:p w14:paraId="485A0E85" w14:textId="77777777" w:rsidR="00955DD7" w:rsidRDefault="00955DD7" w:rsidP="00955DD7">
      <w:pPr>
        <w:pStyle w:val="aa"/>
        <w:numPr>
          <w:ilvl w:val="0"/>
          <w:numId w:val="4"/>
        </w:numPr>
        <w:spacing w:line="360" w:lineRule="auto"/>
        <w:ind w:left="360"/>
        <w:jc w:val="both"/>
        <w:rPr>
          <w:rtl/>
        </w:rPr>
      </w:pPr>
      <w:r>
        <w:rPr>
          <w:rFonts w:hint="cs"/>
          <w:rtl/>
        </w:rPr>
        <w:t>במזומן</w:t>
      </w:r>
      <w:r>
        <w:rPr>
          <w:rFonts w:hint="cs"/>
        </w:rPr>
        <w:t xml:space="preserve"> </w:t>
      </w:r>
      <w:r>
        <w:rPr>
          <w:rFonts w:hint="cs"/>
          <w:rtl/>
        </w:rPr>
        <w:t>בכל</w:t>
      </w:r>
      <w:r>
        <w:rPr>
          <w:rFonts w:hint="cs"/>
        </w:rPr>
        <w:t xml:space="preserve"> </w:t>
      </w:r>
      <w:r>
        <w:rPr>
          <w:rFonts w:hint="cs"/>
          <w:rtl/>
        </w:rPr>
        <w:t>סניף</w:t>
      </w:r>
      <w:r>
        <w:rPr>
          <w:rFonts w:hint="cs"/>
        </w:rPr>
        <w:t xml:space="preserve"> </w:t>
      </w:r>
      <w:r>
        <w:rPr>
          <w:rFonts w:hint="cs"/>
          <w:rtl/>
        </w:rPr>
        <w:t>של</w:t>
      </w:r>
      <w:r>
        <w:rPr>
          <w:rFonts w:hint="cs"/>
        </w:rPr>
        <w:t xml:space="preserve"> </w:t>
      </w:r>
      <w:r>
        <w:rPr>
          <w:rFonts w:hint="cs"/>
          <w:rtl/>
        </w:rPr>
        <w:t>בנק</w:t>
      </w:r>
      <w:r>
        <w:rPr>
          <w:rFonts w:hint="cs"/>
        </w:rPr>
        <w:t xml:space="preserve"> </w:t>
      </w:r>
      <w:r>
        <w:rPr>
          <w:rFonts w:hint="cs"/>
          <w:rtl/>
        </w:rPr>
        <w:t>הדואר - בהצגת</w:t>
      </w:r>
      <w:r>
        <w:rPr>
          <w:rFonts w:hint="cs"/>
        </w:rPr>
        <w:t xml:space="preserve"> </w:t>
      </w:r>
      <w:r>
        <w:rPr>
          <w:rFonts w:hint="cs"/>
          <w:rtl/>
        </w:rPr>
        <w:t>תעודת</w:t>
      </w:r>
      <w:r>
        <w:rPr>
          <w:rFonts w:hint="cs"/>
        </w:rPr>
        <w:t xml:space="preserve"> </w:t>
      </w:r>
      <w:r>
        <w:rPr>
          <w:rFonts w:hint="cs"/>
          <w:rtl/>
        </w:rPr>
        <w:t>זהות</w:t>
      </w:r>
      <w:r>
        <w:rPr>
          <w:rFonts w:hint="cs"/>
        </w:rPr>
        <w:t xml:space="preserve"> </w:t>
      </w:r>
      <w:r>
        <w:rPr>
          <w:rFonts w:hint="cs"/>
          <w:rtl/>
        </w:rPr>
        <w:t>בלבד (אין</w:t>
      </w:r>
      <w:r>
        <w:rPr>
          <w:rFonts w:hint="cs"/>
        </w:rPr>
        <w:t xml:space="preserve"> </w:t>
      </w:r>
      <w:r>
        <w:rPr>
          <w:rFonts w:hint="cs"/>
          <w:rtl/>
        </w:rPr>
        <w:t>צורך</w:t>
      </w:r>
      <w:r>
        <w:rPr>
          <w:rFonts w:hint="cs"/>
        </w:rPr>
        <w:t xml:space="preserve"> </w:t>
      </w:r>
      <w:r>
        <w:rPr>
          <w:rFonts w:hint="cs"/>
          <w:rtl/>
        </w:rPr>
        <w:t>בהצגת</w:t>
      </w:r>
      <w:r>
        <w:rPr>
          <w:rFonts w:hint="cs"/>
        </w:rPr>
        <w:t xml:space="preserve"> </w:t>
      </w:r>
      <w:r>
        <w:rPr>
          <w:rFonts w:hint="cs"/>
          <w:rtl/>
        </w:rPr>
        <w:t>בשוברי</w:t>
      </w:r>
      <w:r>
        <w:rPr>
          <w:rFonts w:hint="cs"/>
        </w:rPr>
        <w:t xml:space="preserve"> </w:t>
      </w:r>
      <w:r>
        <w:rPr>
          <w:rFonts w:hint="cs"/>
          <w:rtl/>
        </w:rPr>
        <w:t>תשלום).</w:t>
      </w:r>
    </w:p>
    <w:p w14:paraId="41EBDF81" w14:textId="77777777" w:rsidR="00955DD7" w:rsidRDefault="00955DD7" w:rsidP="00955DD7">
      <w:pPr>
        <w:pStyle w:val="aa"/>
        <w:spacing w:line="360" w:lineRule="auto"/>
        <w:ind w:left="0"/>
        <w:jc w:val="both"/>
      </w:pPr>
      <w:r>
        <w:rPr>
          <w:rFonts w:hint="cs"/>
          <w:b/>
          <w:bCs/>
          <w:rtl/>
        </w:rPr>
        <w:t>לא תשמע טענה שהנאשם לא קיבל שוברי תשלום בדואר</w:t>
      </w:r>
      <w:r>
        <w:rPr>
          <w:rFonts w:hint="cs"/>
          <w:rtl/>
        </w:rPr>
        <w:t>.</w:t>
      </w:r>
    </w:p>
    <w:p w14:paraId="10EA33E1" w14:textId="77777777" w:rsidR="00955DD7" w:rsidRDefault="00955DD7" w:rsidP="00955DD7">
      <w:pPr>
        <w:pStyle w:val="aa"/>
        <w:widowControl w:val="0"/>
        <w:spacing w:line="360" w:lineRule="auto"/>
        <w:jc w:val="both"/>
        <w:rPr>
          <w:sz w:val="24"/>
          <w:rtl/>
        </w:rPr>
      </w:pPr>
    </w:p>
    <w:p w14:paraId="03D4F451" w14:textId="77777777" w:rsidR="00955DD7" w:rsidRDefault="00955DD7" w:rsidP="00955DD7">
      <w:pPr>
        <w:widowControl w:val="0"/>
        <w:spacing w:line="360" w:lineRule="auto"/>
        <w:jc w:val="both"/>
        <w:rPr>
          <w:rFonts w:ascii="David" w:hAnsi="David"/>
          <w:b/>
          <w:bCs/>
        </w:rPr>
      </w:pPr>
      <w:r>
        <w:rPr>
          <w:rFonts w:ascii="David" w:hAnsi="David"/>
          <w:b/>
          <w:bCs/>
          <w:rtl/>
        </w:rPr>
        <w:t>ניתן צו להשמדת הסמים.</w:t>
      </w:r>
    </w:p>
    <w:p w14:paraId="1BAD7609" w14:textId="77777777" w:rsidR="00955DD7" w:rsidRDefault="00955DD7" w:rsidP="00955DD7">
      <w:pPr>
        <w:widowControl w:val="0"/>
        <w:spacing w:line="360" w:lineRule="auto"/>
        <w:jc w:val="both"/>
        <w:rPr>
          <w:rFonts w:ascii="David" w:hAnsi="David"/>
          <w:b/>
          <w:bCs/>
        </w:rPr>
      </w:pPr>
    </w:p>
    <w:p w14:paraId="6895E9FE" w14:textId="77777777" w:rsidR="00955DD7" w:rsidRDefault="00955DD7" w:rsidP="00955DD7">
      <w:pPr>
        <w:widowControl w:val="0"/>
        <w:spacing w:line="360" w:lineRule="auto"/>
        <w:jc w:val="both"/>
        <w:rPr>
          <w:rFonts w:ascii="David" w:hAnsi="David"/>
          <w:b/>
          <w:bCs/>
        </w:rPr>
      </w:pPr>
      <w:r>
        <w:rPr>
          <w:rFonts w:ascii="David" w:hAnsi="David"/>
          <w:b/>
          <w:bCs/>
          <w:rtl/>
        </w:rPr>
        <w:t>ניתן צו כללי למוצגים הנוספים: להשמיד, לחלט ולהשיב לבעלים, לפי שיקול דעת היחידה החוקרת.</w:t>
      </w:r>
    </w:p>
    <w:p w14:paraId="5A3EB45A" w14:textId="77777777" w:rsidR="00955DD7" w:rsidRDefault="00955DD7" w:rsidP="00955DD7">
      <w:pPr>
        <w:widowControl w:val="0"/>
        <w:spacing w:line="360" w:lineRule="auto"/>
        <w:jc w:val="both"/>
        <w:rPr>
          <w:rFonts w:ascii="David" w:hAnsi="David"/>
          <w:b/>
          <w:bCs/>
          <w:u w:val="single"/>
          <w:rtl/>
        </w:rPr>
      </w:pPr>
    </w:p>
    <w:p w14:paraId="3299BCEF" w14:textId="77777777" w:rsidR="00955DD7" w:rsidRDefault="00955DD7" w:rsidP="00955DD7">
      <w:pPr>
        <w:widowControl w:val="0"/>
        <w:spacing w:line="360" w:lineRule="auto"/>
        <w:jc w:val="both"/>
        <w:rPr>
          <w:rFonts w:ascii="David" w:hAnsi="David"/>
          <w:b/>
          <w:bCs/>
          <w:u w:val="single"/>
        </w:rPr>
      </w:pPr>
      <w:r>
        <w:rPr>
          <w:rFonts w:ascii="David" w:hAnsi="David"/>
          <w:b/>
          <w:bCs/>
          <w:u w:val="single"/>
          <w:rtl/>
        </w:rPr>
        <w:t>זכות ערעור לבית-המשפט המחוזי תוך 45 יום.</w:t>
      </w:r>
    </w:p>
    <w:p w14:paraId="4EF1E74D" w14:textId="77777777" w:rsidR="00955DD7" w:rsidRDefault="00955DD7" w:rsidP="00955DD7">
      <w:pPr>
        <w:widowControl w:val="0"/>
        <w:spacing w:line="360" w:lineRule="auto"/>
        <w:jc w:val="both"/>
        <w:rPr>
          <w:rFonts w:ascii="David" w:hAnsi="David"/>
          <w:b/>
          <w:bCs/>
          <w:u w:val="single"/>
          <w:rtl/>
        </w:rPr>
      </w:pPr>
    </w:p>
    <w:p w14:paraId="314363F1" w14:textId="77777777" w:rsidR="00955DD7" w:rsidRDefault="00DD2041" w:rsidP="00955DD7">
      <w:pPr>
        <w:widowControl w:val="0"/>
        <w:spacing w:line="360" w:lineRule="auto"/>
        <w:jc w:val="both"/>
        <w:rPr>
          <w:rFonts w:ascii="David" w:hAnsi="David"/>
          <w:b/>
          <w:bCs/>
          <w:rtl/>
        </w:rPr>
      </w:pPr>
      <w:r w:rsidRPr="00DD2041">
        <w:rPr>
          <w:rFonts w:ascii="David" w:hAnsi="David"/>
          <w:b/>
          <w:bCs/>
          <w:color w:val="FFFFFF"/>
          <w:sz w:val="2"/>
          <w:szCs w:val="2"/>
          <w:u w:val="single"/>
          <w:rtl/>
        </w:rPr>
        <w:t>5129371</w:t>
      </w:r>
      <w:r w:rsidR="00955DD7">
        <w:rPr>
          <w:rFonts w:ascii="David" w:hAnsi="David"/>
          <w:b/>
          <w:bCs/>
          <w:u w:val="single"/>
          <w:rtl/>
        </w:rPr>
        <w:t>המזכירות מתבקשת להעביר עותק גזר הדין לשירות המבחן ולממונה על עבודות השירות</w:t>
      </w:r>
      <w:r w:rsidR="00955DD7">
        <w:rPr>
          <w:rFonts w:ascii="David" w:hAnsi="David"/>
          <w:b/>
          <w:bCs/>
          <w:rtl/>
        </w:rPr>
        <w:t xml:space="preserve">. </w:t>
      </w:r>
    </w:p>
    <w:p w14:paraId="015DEEC5" w14:textId="77777777" w:rsidR="00955DD7" w:rsidRPr="00DD2041" w:rsidRDefault="00DD2041" w:rsidP="00955DD7">
      <w:pPr>
        <w:rPr>
          <w:rFonts w:ascii="Arial" w:hAnsi="Arial"/>
          <w:b/>
          <w:bCs/>
          <w:color w:val="FFFFFF"/>
          <w:sz w:val="2"/>
          <w:szCs w:val="2"/>
          <w:rtl/>
        </w:rPr>
      </w:pPr>
      <w:r w:rsidRPr="00DD2041">
        <w:rPr>
          <w:rFonts w:ascii="Arial" w:hAnsi="Arial"/>
          <w:b/>
          <w:bCs/>
          <w:color w:val="FFFFFF"/>
          <w:sz w:val="2"/>
          <w:szCs w:val="2"/>
          <w:rtl/>
        </w:rPr>
        <w:t>54678313</w:t>
      </w:r>
    </w:p>
    <w:p w14:paraId="0B9DA35B" w14:textId="77777777" w:rsidR="00955DD7" w:rsidRDefault="00DD2041" w:rsidP="00955DD7">
      <w:pPr>
        <w:spacing w:line="360" w:lineRule="auto"/>
        <w:jc w:val="both"/>
        <w:rPr>
          <w:rFonts w:ascii="Arial" w:hAnsi="Arial"/>
          <w:b/>
          <w:bCs/>
          <w:sz w:val="26"/>
          <w:szCs w:val="26"/>
          <w:rtl/>
        </w:rPr>
      </w:pPr>
      <w:bookmarkStart w:id="8" w:name="Nitan"/>
      <w:r>
        <w:rPr>
          <w:rFonts w:ascii="Arial" w:hAnsi="Arial"/>
          <w:b/>
          <w:bCs/>
          <w:sz w:val="26"/>
          <w:szCs w:val="26"/>
          <w:rtl/>
        </w:rPr>
        <w:t xml:space="preserve">ניתן והודע היום,  ד' אייר תשפ"ד, 12 מאי 2024, במעמד הצדדים. </w:t>
      </w:r>
      <w:bookmarkEnd w:id="8"/>
      <w:r w:rsidR="00955DD7">
        <w:rPr>
          <w:rFonts w:ascii="Arial" w:hAnsi="Arial"/>
          <w:b/>
          <w:bCs/>
          <w:sz w:val="26"/>
          <w:szCs w:val="26"/>
          <w:rtl/>
        </w:rPr>
        <w:tab/>
      </w:r>
      <w:r w:rsidR="00955DD7">
        <w:rPr>
          <w:rFonts w:ascii="Arial" w:hAnsi="Arial"/>
          <w:b/>
          <w:bCs/>
          <w:sz w:val="26"/>
          <w:szCs w:val="26"/>
          <w:rtl/>
        </w:rPr>
        <w:tab/>
      </w:r>
      <w:r w:rsidR="00955DD7">
        <w:rPr>
          <w:rFonts w:ascii="Arial" w:hAnsi="Arial"/>
          <w:b/>
          <w:bCs/>
          <w:sz w:val="26"/>
          <w:szCs w:val="26"/>
          <w:rtl/>
        </w:rPr>
        <w:tab/>
      </w:r>
      <w:r w:rsidR="00955DD7">
        <w:rPr>
          <w:rFonts w:ascii="Arial" w:hAnsi="Arial"/>
          <w:b/>
          <w:bCs/>
          <w:sz w:val="26"/>
          <w:szCs w:val="26"/>
          <w:rtl/>
        </w:rPr>
        <w:tab/>
      </w:r>
      <w:r w:rsidR="00955DD7">
        <w:rPr>
          <w:rFonts w:ascii="Arial" w:hAnsi="Arial"/>
          <w:b/>
          <w:bCs/>
          <w:sz w:val="26"/>
          <w:szCs w:val="26"/>
          <w:rtl/>
        </w:rPr>
        <w:tab/>
      </w:r>
      <w:r w:rsidR="00955DD7">
        <w:rPr>
          <w:rFonts w:ascii="Arial" w:hAnsi="Arial"/>
          <w:b/>
          <w:bCs/>
          <w:sz w:val="26"/>
          <w:szCs w:val="26"/>
          <w:rtl/>
        </w:rPr>
        <w:tab/>
      </w:r>
      <w:r w:rsidR="00955DD7">
        <w:rPr>
          <w:rFonts w:ascii="Arial" w:hAnsi="Arial"/>
          <w:b/>
          <w:bCs/>
          <w:sz w:val="26"/>
          <w:szCs w:val="26"/>
          <w:rtl/>
        </w:rPr>
        <w:tab/>
        <w:t xml:space="preserve">         </w:t>
      </w:r>
    </w:p>
    <w:p w14:paraId="39909ED8" w14:textId="77777777" w:rsidR="00955DD7" w:rsidRDefault="00955DD7" w:rsidP="00DD2041">
      <w:pPr>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7C2AA011" w14:textId="77777777" w:rsidR="00955DD7" w:rsidRDefault="00955DD7" w:rsidP="00955DD7">
      <w:pPr>
        <w:jc w:val="center"/>
        <w:rPr>
          <w:rFonts w:ascii="Arial" w:hAnsi="Arial"/>
          <w:b/>
          <w:bCs/>
          <w:sz w:val="26"/>
          <w:szCs w:val="26"/>
          <w:rtl/>
        </w:rPr>
      </w:pPr>
    </w:p>
    <w:p w14:paraId="0A4B9B5F" w14:textId="77777777" w:rsidR="00955DD7" w:rsidRPr="0006280C" w:rsidRDefault="00955DD7" w:rsidP="00955DD7">
      <w:pPr>
        <w:rPr>
          <w:rtl/>
        </w:rPr>
      </w:pPr>
    </w:p>
    <w:p w14:paraId="11945445" w14:textId="77777777" w:rsidR="003836C1" w:rsidRPr="00DD2041" w:rsidRDefault="003836C1" w:rsidP="00DD2041">
      <w:pPr>
        <w:keepNext/>
        <w:rPr>
          <w:rFonts w:ascii="David" w:hAnsi="David"/>
          <w:color w:val="000000"/>
          <w:sz w:val="22"/>
          <w:szCs w:val="22"/>
          <w:rtl/>
        </w:rPr>
      </w:pPr>
    </w:p>
    <w:p w14:paraId="02719CDC" w14:textId="77777777" w:rsidR="00DD2041" w:rsidRPr="00DD2041" w:rsidRDefault="00DD2041" w:rsidP="00DD2041">
      <w:pPr>
        <w:keepNext/>
        <w:rPr>
          <w:rFonts w:ascii="David" w:hAnsi="David"/>
          <w:color w:val="000000"/>
          <w:sz w:val="22"/>
          <w:szCs w:val="22"/>
          <w:rtl/>
        </w:rPr>
      </w:pPr>
      <w:r w:rsidRPr="00DD2041">
        <w:rPr>
          <w:rFonts w:ascii="David" w:hAnsi="David"/>
          <w:color w:val="000000"/>
          <w:sz w:val="22"/>
          <w:szCs w:val="22"/>
          <w:rtl/>
        </w:rPr>
        <w:t>זהר דולב להמן 54678313</w:t>
      </w:r>
    </w:p>
    <w:p w14:paraId="5B9B4377" w14:textId="77777777" w:rsidR="00DD2041" w:rsidRDefault="00DD2041" w:rsidP="00DD2041">
      <w:r w:rsidRPr="00DD2041">
        <w:rPr>
          <w:color w:val="000000"/>
          <w:rtl/>
        </w:rPr>
        <w:t>נוסח מסמך זה כפוף לשינויי ניסוח ועריכה</w:t>
      </w:r>
    </w:p>
    <w:p w14:paraId="6E781821" w14:textId="77777777" w:rsidR="00DD2041" w:rsidRDefault="00DD2041" w:rsidP="00DD2041">
      <w:pPr>
        <w:rPr>
          <w:rtl/>
        </w:rPr>
      </w:pPr>
    </w:p>
    <w:p w14:paraId="10428A0D" w14:textId="77777777" w:rsidR="00DD2041" w:rsidRDefault="00DD2041" w:rsidP="00DD2041">
      <w:pPr>
        <w:jc w:val="center"/>
        <w:rPr>
          <w:color w:val="0000FF"/>
          <w:u w:val="single"/>
        </w:rPr>
      </w:pPr>
      <w:hyperlink r:id="rId85" w:history="1">
        <w:r>
          <w:rPr>
            <w:color w:val="0000FF"/>
            <w:u w:val="single"/>
            <w:rtl/>
          </w:rPr>
          <w:t>בעניין עריכה ושינויים במסמכי פסיקה, חקיקה ועוד באתר נבו – הקש כאן</w:t>
        </w:r>
      </w:hyperlink>
    </w:p>
    <w:p w14:paraId="63B6C31A" w14:textId="77777777" w:rsidR="00DD2041" w:rsidRPr="00DD2041" w:rsidRDefault="00DD2041" w:rsidP="00DD2041">
      <w:pPr>
        <w:jc w:val="center"/>
        <w:rPr>
          <w:color w:val="0000FF"/>
          <w:u w:val="single"/>
        </w:rPr>
      </w:pPr>
    </w:p>
    <w:sectPr w:rsidR="00DD2041" w:rsidRPr="00DD2041" w:rsidSect="00DD2041">
      <w:headerReference w:type="even" r:id="rId86"/>
      <w:headerReference w:type="default" r:id="rId87"/>
      <w:footerReference w:type="even" r:id="rId88"/>
      <w:footerReference w:type="default" r:id="rId89"/>
      <w:pgSz w:w="11907" w:h="16840" w:code="9"/>
      <w:pgMar w:top="1701" w:right="1701" w:bottom="1418" w:left="1701" w:header="709"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E4AED" w14:textId="77777777" w:rsidR="00C3420A" w:rsidRDefault="00C3420A" w:rsidP="00200D67">
      <w:r>
        <w:separator/>
      </w:r>
    </w:p>
  </w:endnote>
  <w:endnote w:type="continuationSeparator" w:id="0">
    <w:p w14:paraId="735DED26" w14:textId="77777777" w:rsidR="00C3420A" w:rsidRDefault="00C3420A" w:rsidP="00200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85AB6" w14:textId="77777777" w:rsidR="00DD2041" w:rsidRDefault="00DD2041" w:rsidP="00DD204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3CD208" w14:textId="77777777" w:rsidR="002A3573" w:rsidRPr="00DD2041" w:rsidRDefault="00DD2041" w:rsidP="00DD204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8B120" w14:textId="77777777" w:rsidR="00DD2041" w:rsidRDefault="00DD2041" w:rsidP="00DD204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0701">
      <w:rPr>
        <w:rFonts w:ascii="FrankRuehl" w:hAnsi="FrankRuehl" w:cs="FrankRuehl"/>
        <w:noProof/>
        <w:rtl/>
      </w:rPr>
      <w:t>1</w:t>
    </w:r>
    <w:r>
      <w:rPr>
        <w:rFonts w:ascii="FrankRuehl" w:hAnsi="FrankRuehl" w:cs="FrankRuehl"/>
        <w:rtl/>
      </w:rPr>
      <w:fldChar w:fldCharType="end"/>
    </w:r>
  </w:p>
  <w:p w14:paraId="1DA00D97" w14:textId="77777777" w:rsidR="002A3573" w:rsidRPr="00DD2041" w:rsidRDefault="00DD2041" w:rsidP="00DD204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3FEC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E435B" w14:textId="77777777" w:rsidR="00C3420A" w:rsidRDefault="00C3420A" w:rsidP="00200D67">
      <w:r>
        <w:separator/>
      </w:r>
    </w:p>
  </w:footnote>
  <w:footnote w:type="continuationSeparator" w:id="0">
    <w:p w14:paraId="3843F01D" w14:textId="77777777" w:rsidR="00C3420A" w:rsidRDefault="00C3420A" w:rsidP="00200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7D955" w14:textId="77777777" w:rsidR="00DD2041" w:rsidRPr="00DD2041" w:rsidRDefault="00DD2041" w:rsidP="00DD204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32356-04-22</w:t>
    </w:r>
    <w:r>
      <w:rPr>
        <w:rFonts w:ascii="David" w:hAnsi="David"/>
        <w:color w:val="000000"/>
        <w:sz w:val="22"/>
        <w:szCs w:val="22"/>
        <w:rtl/>
      </w:rPr>
      <w:tab/>
      <w:t xml:space="preserve"> מדינת ישראל נ' ארתור ריפס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F12F7" w14:textId="77777777" w:rsidR="00DD2041" w:rsidRPr="00DD2041" w:rsidRDefault="00DD2041" w:rsidP="00DD204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32356-04-22</w:t>
    </w:r>
    <w:r>
      <w:rPr>
        <w:rFonts w:ascii="David" w:hAnsi="David"/>
        <w:color w:val="000000"/>
        <w:sz w:val="22"/>
        <w:szCs w:val="22"/>
        <w:rtl/>
      </w:rPr>
      <w:tab/>
      <w:t xml:space="preserve"> מדינת ישראל נ' ארתור ריפס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72749"/>
    <w:multiLevelType w:val="hybridMultilevel"/>
    <w:tmpl w:val="327C2A72"/>
    <w:lvl w:ilvl="0" w:tplc="0AFA96FC">
      <w:start w:val="1"/>
      <w:numFmt w:val="hebrew1"/>
      <w:lvlText w:val="%1)"/>
      <w:lvlJc w:val="left"/>
      <w:pPr>
        <w:ind w:left="972" w:hanging="444"/>
      </w:pPr>
      <w:rPr>
        <w:rFonts w:ascii="David" w:hAnsi="David" w:cs="David" w:hint="default"/>
        <w:b w:val="0"/>
        <w:bCs w:val="0"/>
        <w:sz w:val="24"/>
        <w:szCs w:val="24"/>
      </w:rPr>
    </w:lvl>
    <w:lvl w:ilvl="1" w:tplc="A660323A">
      <w:start w:val="1"/>
      <w:numFmt w:val="lowerLetter"/>
      <w:lvlText w:val="%2."/>
      <w:lvlJc w:val="left"/>
      <w:pPr>
        <w:ind w:left="1608" w:hanging="360"/>
      </w:pPr>
    </w:lvl>
    <w:lvl w:ilvl="2" w:tplc="2D546DEC">
      <w:start w:val="1"/>
      <w:numFmt w:val="lowerRoman"/>
      <w:lvlText w:val="%3."/>
      <w:lvlJc w:val="right"/>
      <w:pPr>
        <w:ind w:left="2328" w:hanging="180"/>
      </w:pPr>
    </w:lvl>
    <w:lvl w:ilvl="3" w:tplc="6FE6285C">
      <w:start w:val="1"/>
      <w:numFmt w:val="decimal"/>
      <w:lvlText w:val="%4."/>
      <w:lvlJc w:val="left"/>
      <w:pPr>
        <w:ind w:left="3048" w:hanging="360"/>
      </w:pPr>
    </w:lvl>
    <w:lvl w:ilvl="4" w:tplc="CCA2D652">
      <w:start w:val="1"/>
      <w:numFmt w:val="lowerLetter"/>
      <w:lvlText w:val="%5."/>
      <w:lvlJc w:val="left"/>
      <w:pPr>
        <w:ind w:left="3768" w:hanging="360"/>
      </w:pPr>
    </w:lvl>
    <w:lvl w:ilvl="5" w:tplc="86FABCC4">
      <w:start w:val="1"/>
      <w:numFmt w:val="lowerRoman"/>
      <w:lvlText w:val="%6."/>
      <w:lvlJc w:val="right"/>
      <w:pPr>
        <w:ind w:left="4488" w:hanging="180"/>
      </w:pPr>
    </w:lvl>
    <w:lvl w:ilvl="6" w:tplc="48F65B5C">
      <w:start w:val="1"/>
      <w:numFmt w:val="decimal"/>
      <w:lvlText w:val="%7."/>
      <w:lvlJc w:val="left"/>
      <w:pPr>
        <w:ind w:left="5208" w:hanging="360"/>
      </w:pPr>
    </w:lvl>
    <w:lvl w:ilvl="7" w:tplc="3600F788">
      <w:start w:val="1"/>
      <w:numFmt w:val="lowerLetter"/>
      <w:lvlText w:val="%8."/>
      <w:lvlJc w:val="left"/>
      <w:pPr>
        <w:ind w:left="5928" w:hanging="360"/>
      </w:pPr>
    </w:lvl>
    <w:lvl w:ilvl="8" w:tplc="B15CA02A">
      <w:start w:val="1"/>
      <w:numFmt w:val="lowerRoman"/>
      <w:lvlText w:val="%9."/>
      <w:lvlJc w:val="right"/>
      <w:pPr>
        <w:ind w:left="6648" w:hanging="180"/>
      </w:pPr>
    </w:lvl>
  </w:abstractNum>
  <w:abstractNum w:abstractNumId="1" w15:restartNumberingAfterBreak="0">
    <w:nsid w:val="6C693E3F"/>
    <w:multiLevelType w:val="hybridMultilevel"/>
    <w:tmpl w:val="9E9414B8"/>
    <w:lvl w:ilvl="0" w:tplc="088E9D7C">
      <w:start w:val="1"/>
      <w:numFmt w:val="decimal"/>
      <w:lvlText w:val="%1."/>
      <w:lvlJc w:val="left"/>
      <w:pPr>
        <w:ind w:left="720" w:hanging="360"/>
      </w:pPr>
      <w:rPr>
        <w:rFonts w:ascii="David" w:hAnsi="David" w:cs="David" w:hint="default"/>
        <w:b w:val="0"/>
        <w:bCs w:val="0"/>
        <w:sz w:val="24"/>
        <w:szCs w:val="24"/>
      </w:rPr>
    </w:lvl>
    <w:lvl w:ilvl="1" w:tplc="3A4CE1E8">
      <w:start w:val="1"/>
      <w:numFmt w:val="hebrew1"/>
      <w:lvlText w:val="%2."/>
      <w:lvlJc w:val="center"/>
      <w:pPr>
        <w:ind w:left="1440" w:hanging="360"/>
      </w:pPr>
      <w:rPr>
        <w:b w:val="0"/>
        <w:bCs w:val="0"/>
      </w:rPr>
    </w:lvl>
    <w:lvl w:ilvl="2" w:tplc="8272D14E">
      <w:start w:val="1"/>
      <w:numFmt w:val="decimal"/>
      <w:lvlText w:val="(%3)"/>
      <w:lvlJc w:val="left"/>
      <w:pPr>
        <w:ind w:left="2160" w:hanging="180"/>
      </w:pPr>
      <w:rPr>
        <w:rFonts w:cs="David"/>
        <w:bCs w:val="0"/>
        <w:iCs w:val="0"/>
        <w:szCs w:val="24"/>
      </w:rPr>
    </w:lvl>
    <w:lvl w:ilvl="3" w:tplc="23D87F3C">
      <w:start w:val="1"/>
      <w:numFmt w:val="decimal"/>
      <w:lvlText w:val="%4."/>
      <w:lvlJc w:val="left"/>
      <w:pPr>
        <w:ind w:left="2880" w:hanging="360"/>
      </w:pPr>
    </w:lvl>
    <w:lvl w:ilvl="4" w:tplc="9A8A4FC4">
      <w:start w:val="1"/>
      <w:numFmt w:val="lowerLetter"/>
      <w:lvlText w:val="%5."/>
      <w:lvlJc w:val="left"/>
      <w:pPr>
        <w:ind w:left="3600" w:hanging="360"/>
      </w:pPr>
    </w:lvl>
    <w:lvl w:ilvl="5" w:tplc="621E84A0">
      <w:start w:val="1"/>
      <w:numFmt w:val="lowerRoman"/>
      <w:lvlText w:val="%6."/>
      <w:lvlJc w:val="right"/>
      <w:pPr>
        <w:ind w:left="4320" w:hanging="180"/>
      </w:pPr>
    </w:lvl>
    <w:lvl w:ilvl="6" w:tplc="51B85160">
      <w:start w:val="1"/>
      <w:numFmt w:val="decimal"/>
      <w:lvlText w:val="%7."/>
      <w:lvlJc w:val="left"/>
      <w:pPr>
        <w:ind w:left="5040" w:hanging="360"/>
      </w:pPr>
    </w:lvl>
    <w:lvl w:ilvl="7" w:tplc="5E344656">
      <w:start w:val="1"/>
      <w:numFmt w:val="lowerLetter"/>
      <w:lvlText w:val="%8."/>
      <w:lvlJc w:val="left"/>
      <w:pPr>
        <w:ind w:left="5760" w:hanging="360"/>
      </w:pPr>
    </w:lvl>
    <w:lvl w:ilvl="8" w:tplc="B6B84ECE">
      <w:start w:val="1"/>
      <w:numFmt w:val="lowerRoman"/>
      <w:lvlText w:val="%9."/>
      <w:lvlJc w:val="right"/>
      <w:pPr>
        <w:ind w:left="6480" w:hanging="180"/>
      </w:pPr>
    </w:lvl>
  </w:abstractNum>
  <w:abstractNum w:abstractNumId="2" w15:restartNumberingAfterBreak="0">
    <w:nsid w:val="6D3856D5"/>
    <w:multiLevelType w:val="hybridMultilevel"/>
    <w:tmpl w:val="E94C95BE"/>
    <w:lvl w:ilvl="0" w:tplc="7F6A9D34">
      <w:start w:val="1"/>
      <w:numFmt w:val="bullet"/>
      <w:lvlText w:val=""/>
      <w:lvlJc w:val="left"/>
      <w:pPr>
        <w:ind w:left="1445" w:hanging="360"/>
      </w:pPr>
      <w:rPr>
        <w:rFonts w:ascii="Symbol" w:hAnsi="Symbol" w:hint="default"/>
      </w:rPr>
    </w:lvl>
    <w:lvl w:ilvl="1" w:tplc="4F8ACA3C">
      <w:start w:val="1"/>
      <w:numFmt w:val="bullet"/>
      <w:lvlText w:val="o"/>
      <w:lvlJc w:val="left"/>
      <w:pPr>
        <w:ind w:left="2165" w:hanging="360"/>
      </w:pPr>
      <w:rPr>
        <w:rFonts w:ascii="Courier New" w:hAnsi="Courier New" w:cs="Courier New" w:hint="default"/>
      </w:rPr>
    </w:lvl>
    <w:lvl w:ilvl="2" w:tplc="E4EE0428">
      <w:start w:val="1"/>
      <w:numFmt w:val="bullet"/>
      <w:lvlText w:val=""/>
      <w:lvlJc w:val="left"/>
      <w:pPr>
        <w:ind w:left="2885" w:hanging="360"/>
      </w:pPr>
      <w:rPr>
        <w:rFonts w:ascii="Wingdings" w:hAnsi="Wingdings" w:hint="default"/>
      </w:rPr>
    </w:lvl>
    <w:lvl w:ilvl="3" w:tplc="E45E7308">
      <w:start w:val="1"/>
      <w:numFmt w:val="bullet"/>
      <w:lvlText w:val=""/>
      <w:lvlJc w:val="left"/>
      <w:pPr>
        <w:ind w:left="3605" w:hanging="360"/>
      </w:pPr>
      <w:rPr>
        <w:rFonts w:ascii="Symbol" w:hAnsi="Symbol" w:hint="default"/>
      </w:rPr>
    </w:lvl>
    <w:lvl w:ilvl="4" w:tplc="5978ACF8">
      <w:start w:val="1"/>
      <w:numFmt w:val="bullet"/>
      <w:lvlText w:val="o"/>
      <w:lvlJc w:val="left"/>
      <w:pPr>
        <w:ind w:left="4325" w:hanging="360"/>
      </w:pPr>
      <w:rPr>
        <w:rFonts w:ascii="Courier New" w:hAnsi="Courier New" w:cs="Courier New" w:hint="default"/>
      </w:rPr>
    </w:lvl>
    <w:lvl w:ilvl="5" w:tplc="20D4EB1C">
      <w:start w:val="1"/>
      <w:numFmt w:val="bullet"/>
      <w:lvlText w:val=""/>
      <w:lvlJc w:val="left"/>
      <w:pPr>
        <w:ind w:left="5045" w:hanging="360"/>
      </w:pPr>
      <w:rPr>
        <w:rFonts w:ascii="Wingdings" w:hAnsi="Wingdings" w:hint="default"/>
      </w:rPr>
    </w:lvl>
    <w:lvl w:ilvl="6" w:tplc="494419A6">
      <w:start w:val="1"/>
      <w:numFmt w:val="bullet"/>
      <w:lvlText w:val=""/>
      <w:lvlJc w:val="left"/>
      <w:pPr>
        <w:ind w:left="5765" w:hanging="360"/>
      </w:pPr>
      <w:rPr>
        <w:rFonts w:ascii="Symbol" w:hAnsi="Symbol" w:hint="default"/>
      </w:rPr>
    </w:lvl>
    <w:lvl w:ilvl="7" w:tplc="3E42F07C">
      <w:start w:val="1"/>
      <w:numFmt w:val="bullet"/>
      <w:lvlText w:val="o"/>
      <w:lvlJc w:val="left"/>
      <w:pPr>
        <w:ind w:left="6485" w:hanging="360"/>
      </w:pPr>
      <w:rPr>
        <w:rFonts w:ascii="Courier New" w:hAnsi="Courier New" w:cs="Courier New" w:hint="default"/>
      </w:rPr>
    </w:lvl>
    <w:lvl w:ilvl="8" w:tplc="7612F8CC">
      <w:start w:val="1"/>
      <w:numFmt w:val="bullet"/>
      <w:lvlText w:val=""/>
      <w:lvlJc w:val="left"/>
      <w:pPr>
        <w:ind w:left="7205" w:hanging="360"/>
      </w:pPr>
      <w:rPr>
        <w:rFonts w:ascii="Wingdings" w:hAnsi="Wingdings" w:hint="default"/>
      </w:rPr>
    </w:lvl>
  </w:abstractNum>
  <w:abstractNum w:abstractNumId="3" w15:restartNumberingAfterBreak="0">
    <w:nsid w:val="7A741771"/>
    <w:multiLevelType w:val="hybridMultilevel"/>
    <w:tmpl w:val="327C2A72"/>
    <w:lvl w:ilvl="0" w:tplc="A3403E90">
      <w:start w:val="1"/>
      <w:numFmt w:val="hebrew1"/>
      <w:lvlText w:val="%1)"/>
      <w:lvlJc w:val="left"/>
      <w:pPr>
        <w:ind w:left="972" w:hanging="444"/>
      </w:pPr>
      <w:rPr>
        <w:rFonts w:ascii="David" w:hAnsi="David" w:cs="David" w:hint="default"/>
        <w:b w:val="0"/>
        <w:bCs w:val="0"/>
        <w:sz w:val="24"/>
        <w:szCs w:val="24"/>
      </w:rPr>
    </w:lvl>
    <w:lvl w:ilvl="1" w:tplc="769A7AB2">
      <w:start w:val="1"/>
      <w:numFmt w:val="lowerLetter"/>
      <w:lvlText w:val="%2."/>
      <w:lvlJc w:val="left"/>
      <w:pPr>
        <w:ind w:left="1608" w:hanging="360"/>
      </w:pPr>
    </w:lvl>
    <w:lvl w:ilvl="2" w:tplc="9A9CFD2C">
      <w:start w:val="1"/>
      <w:numFmt w:val="lowerRoman"/>
      <w:lvlText w:val="%3."/>
      <w:lvlJc w:val="right"/>
      <w:pPr>
        <w:ind w:left="2328" w:hanging="180"/>
      </w:pPr>
    </w:lvl>
    <w:lvl w:ilvl="3" w:tplc="0736FBB4">
      <w:start w:val="1"/>
      <w:numFmt w:val="decimal"/>
      <w:lvlText w:val="%4."/>
      <w:lvlJc w:val="left"/>
      <w:pPr>
        <w:ind w:left="3048" w:hanging="360"/>
      </w:pPr>
    </w:lvl>
    <w:lvl w:ilvl="4" w:tplc="EFB21C84">
      <w:start w:val="1"/>
      <w:numFmt w:val="lowerLetter"/>
      <w:lvlText w:val="%5."/>
      <w:lvlJc w:val="left"/>
      <w:pPr>
        <w:ind w:left="3768" w:hanging="360"/>
      </w:pPr>
    </w:lvl>
    <w:lvl w:ilvl="5" w:tplc="5666FC74">
      <w:start w:val="1"/>
      <w:numFmt w:val="lowerRoman"/>
      <w:lvlText w:val="%6."/>
      <w:lvlJc w:val="right"/>
      <w:pPr>
        <w:ind w:left="4488" w:hanging="180"/>
      </w:pPr>
    </w:lvl>
    <w:lvl w:ilvl="6" w:tplc="92AC3F52">
      <w:start w:val="1"/>
      <w:numFmt w:val="decimal"/>
      <w:lvlText w:val="%7."/>
      <w:lvlJc w:val="left"/>
      <w:pPr>
        <w:ind w:left="5208" w:hanging="360"/>
      </w:pPr>
    </w:lvl>
    <w:lvl w:ilvl="7" w:tplc="BA922C82">
      <w:start w:val="1"/>
      <w:numFmt w:val="lowerLetter"/>
      <w:lvlText w:val="%8."/>
      <w:lvlJc w:val="left"/>
      <w:pPr>
        <w:ind w:left="5928" w:hanging="360"/>
      </w:pPr>
    </w:lvl>
    <w:lvl w:ilvl="8" w:tplc="E20A5B08">
      <w:start w:val="1"/>
      <w:numFmt w:val="lowerRoman"/>
      <w:lvlText w:val="%9."/>
      <w:lvlJc w:val="right"/>
      <w:pPr>
        <w:ind w:left="6648" w:hanging="180"/>
      </w:pPr>
    </w:lvl>
  </w:abstractNum>
  <w:num w:numId="1" w16cid:durableId="18193715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28917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90969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0556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5DD7"/>
    <w:rsid w:val="00061219"/>
    <w:rsid w:val="000A47B1"/>
    <w:rsid w:val="00200D67"/>
    <w:rsid w:val="002A3573"/>
    <w:rsid w:val="003836C1"/>
    <w:rsid w:val="003D0701"/>
    <w:rsid w:val="003F5229"/>
    <w:rsid w:val="00494884"/>
    <w:rsid w:val="00955DD7"/>
    <w:rsid w:val="009A4E4C"/>
    <w:rsid w:val="00B930B9"/>
    <w:rsid w:val="00C3420A"/>
    <w:rsid w:val="00DD2041"/>
    <w:rsid w:val="00EB6BF9"/>
    <w:rsid w:val="00EC401E"/>
    <w:rsid w:val="00F851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9C44AD"/>
  <w15:chartTrackingRefBased/>
  <w15:docId w15:val="{0E9F9E12-C000-4374-941B-FC64C112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5DD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5DD7"/>
    <w:pPr>
      <w:tabs>
        <w:tab w:val="center" w:pos="4153"/>
        <w:tab w:val="right" w:pos="8306"/>
      </w:tabs>
    </w:pPr>
  </w:style>
  <w:style w:type="character" w:customStyle="1" w:styleId="a4">
    <w:name w:val="כותרת עליונה תו"/>
    <w:link w:val="a3"/>
    <w:rsid w:val="00955DD7"/>
    <w:rPr>
      <w:rFonts w:ascii="Times New Roman" w:eastAsia="Times New Roman" w:hAnsi="Times New Roman" w:cs="David"/>
      <w:sz w:val="24"/>
      <w:szCs w:val="24"/>
    </w:rPr>
  </w:style>
  <w:style w:type="paragraph" w:styleId="a5">
    <w:name w:val="footer"/>
    <w:basedOn w:val="a"/>
    <w:link w:val="a6"/>
    <w:rsid w:val="00955DD7"/>
    <w:pPr>
      <w:tabs>
        <w:tab w:val="center" w:pos="4153"/>
        <w:tab w:val="right" w:pos="8306"/>
      </w:tabs>
    </w:pPr>
  </w:style>
  <w:style w:type="character" w:customStyle="1" w:styleId="a6">
    <w:name w:val="כותרת תחתונה תו"/>
    <w:link w:val="a5"/>
    <w:rsid w:val="00955DD7"/>
    <w:rPr>
      <w:rFonts w:ascii="Times New Roman" w:eastAsia="Times New Roman" w:hAnsi="Times New Roman" w:cs="David"/>
      <w:sz w:val="24"/>
      <w:szCs w:val="24"/>
    </w:rPr>
  </w:style>
  <w:style w:type="table" w:styleId="a7">
    <w:name w:val="Table Grid"/>
    <w:basedOn w:val="a1"/>
    <w:rsid w:val="00955DD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5DD7"/>
  </w:style>
  <w:style w:type="character" w:customStyle="1" w:styleId="a9">
    <w:name w:val="פיסקת רשימה תו"/>
    <w:link w:val="aa"/>
    <w:locked/>
    <w:rsid w:val="00955DD7"/>
    <w:rPr>
      <w:rFonts w:ascii="David" w:hAnsi="David" w:cs="David"/>
      <w:szCs w:val="24"/>
      <w:lang w:eastAsia="he-IL"/>
    </w:rPr>
  </w:style>
  <w:style w:type="paragraph" w:styleId="aa">
    <w:name w:val="List Paragraph"/>
    <w:basedOn w:val="a"/>
    <w:link w:val="a9"/>
    <w:qFormat/>
    <w:rsid w:val="00955DD7"/>
    <w:pPr>
      <w:snapToGrid w:val="0"/>
      <w:ind w:left="720"/>
      <w:contextualSpacing/>
    </w:pPr>
    <w:rPr>
      <w:rFonts w:ascii="David" w:eastAsia="Calibri" w:hAnsi="David"/>
      <w:sz w:val="22"/>
      <w:lang w:eastAsia="he-IL"/>
    </w:rPr>
  </w:style>
  <w:style w:type="paragraph" w:customStyle="1" w:styleId="gmail-msonospacing">
    <w:name w:val="gmail-msonospacing"/>
    <w:basedOn w:val="a"/>
    <w:rsid w:val="00955DD7"/>
    <w:pPr>
      <w:bidi w:val="0"/>
      <w:spacing w:before="100" w:beforeAutospacing="1" w:after="100" w:afterAutospacing="1"/>
    </w:pPr>
    <w:rPr>
      <w:rFonts w:eastAsia="Calibri" w:cs="Times New Roman"/>
    </w:rPr>
  </w:style>
  <w:style w:type="character" w:styleId="Hyperlink">
    <w:name w:val="Hyperlink"/>
    <w:rsid w:val="00DD20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6987521" TargetMode="External"/><Relationship Id="rId21" Type="http://schemas.openxmlformats.org/officeDocument/2006/relationships/hyperlink" Target="http://www.nevo.co.il/law/4216/7.c" TargetMode="External"/><Relationship Id="rId42" Type="http://schemas.openxmlformats.org/officeDocument/2006/relationships/hyperlink" Target="http://www.nevo.co.il/case/20911359" TargetMode="External"/><Relationship Id="rId47" Type="http://schemas.openxmlformats.org/officeDocument/2006/relationships/hyperlink" Target="http://www.nevo.co.il/case/5887721" TargetMode="External"/><Relationship Id="rId63" Type="http://schemas.openxmlformats.org/officeDocument/2006/relationships/hyperlink" Target="http://www.nevo.co.il/law/70301/40d" TargetMode="External"/><Relationship Id="rId68" Type="http://schemas.openxmlformats.org/officeDocument/2006/relationships/hyperlink" Target="http://www.nevo.co.il/case/21511777" TargetMode="External"/><Relationship Id="rId84" Type="http://schemas.openxmlformats.org/officeDocument/2006/relationships/hyperlink" Target="http://www.nevo.co.il/law/70301/40d" TargetMode="External"/><Relationship Id="rId89" Type="http://schemas.openxmlformats.org/officeDocument/2006/relationships/footer" Target="footer2.xml"/><Relationship Id="rId16" Type="http://schemas.openxmlformats.org/officeDocument/2006/relationships/hyperlink" Target="http://www.nevo.co.il/law/70301/40g" TargetMode="External"/><Relationship Id="rId11" Type="http://schemas.openxmlformats.org/officeDocument/2006/relationships/hyperlink" Target="http://www.nevo.co.il/law/70301" TargetMode="External"/><Relationship Id="rId32" Type="http://schemas.openxmlformats.org/officeDocument/2006/relationships/hyperlink" Target="http://www.nevo.co.il/law/70301/40ji" TargetMode="External"/><Relationship Id="rId37" Type="http://schemas.openxmlformats.org/officeDocument/2006/relationships/hyperlink" Target="http://www.nevo.co.il/law/4216/37a" TargetMode="External"/><Relationship Id="rId53" Type="http://schemas.openxmlformats.org/officeDocument/2006/relationships/hyperlink" Target="http://www.nevo.co.il/case/26542736" TargetMode="External"/><Relationship Id="rId58" Type="http://schemas.openxmlformats.org/officeDocument/2006/relationships/hyperlink" Target="http://www.nevo.co.il/case/20632055" TargetMode="External"/><Relationship Id="rId74" Type="http://schemas.openxmlformats.org/officeDocument/2006/relationships/hyperlink" Target="http://www.nevo.co.il/case/5716894" TargetMode="External"/><Relationship Id="rId79" Type="http://schemas.openxmlformats.org/officeDocument/2006/relationships/hyperlink" Target="http://www.nevo.co.il/case/10507592"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nevo.co.il/law/70301/40d"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805976" TargetMode="External"/><Relationship Id="rId30" Type="http://schemas.openxmlformats.org/officeDocument/2006/relationships/hyperlink" Target="http://www.nevo.co.il/case/25788880" TargetMode="External"/><Relationship Id="rId35" Type="http://schemas.openxmlformats.org/officeDocument/2006/relationships/hyperlink" Target="http://www.nevo.co.il/law/70301/40h" TargetMode="External"/><Relationship Id="rId43" Type="http://schemas.openxmlformats.org/officeDocument/2006/relationships/hyperlink" Target="http://www.nevo.co.il/case/26884611" TargetMode="External"/><Relationship Id="rId48" Type="http://schemas.openxmlformats.org/officeDocument/2006/relationships/hyperlink" Target="http://www.nevo.co.il/case/377887" TargetMode="External"/><Relationship Id="rId56" Type="http://schemas.openxmlformats.org/officeDocument/2006/relationships/hyperlink" Target="http://www.nevo.co.il/case/24971234"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20911359" TargetMode="External"/><Relationship Id="rId77" Type="http://schemas.openxmlformats.org/officeDocument/2006/relationships/hyperlink" Target="http://www.nevo.co.il/case/2749968" TargetMode="External"/><Relationship Id="rId8" Type="http://schemas.openxmlformats.org/officeDocument/2006/relationships/hyperlink" Target="http://www.nevo.co.il/law/4216/7.a" TargetMode="External"/><Relationship Id="rId51" Type="http://schemas.openxmlformats.org/officeDocument/2006/relationships/hyperlink" Target="http://www.nevo.co.il/case/6120591" TargetMode="External"/><Relationship Id="rId72" Type="http://schemas.openxmlformats.org/officeDocument/2006/relationships/hyperlink" Target="http://www.nevo.co.il/case/5896402" TargetMode="External"/><Relationship Id="rId80" Type="http://schemas.openxmlformats.org/officeDocument/2006/relationships/hyperlink" Target="http://www.nevo.co.il/case/22554239" TargetMode="External"/><Relationship Id="rId85"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h"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40c.b" TargetMode="External"/><Relationship Id="rId46" Type="http://schemas.openxmlformats.org/officeDocument/2006/relationships/hyperlink" Target="http://www.nevo.co.il/case/5993495" TargetMode="External"/><Relationship Id="rId59" Type="http://schemas.openxmlformats.org/officeDocument/2006/relationships/hyperlink" Target="http://www.nevo.co.il/case/8478043" TargetMode="External"/><Relationship Id="rId67" Type="http://schemas.openxmlformats.org/officeDocument/2006/relationships/hyperlink" Target="http://www.nevo.co.il/case/23563121"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5810781" TargetMode="External"/><Relationship Id="rId54" Type="http://schemas.openxmlformats.org/officeDocument/2006/relationships/hyperlink" Target="http://www.nevo.co.il/case/20632055" TargetMode="External"/><Relationship Id="rId62" Type="http://schemas.openxmlformats.org/officeDocument/2006/relationships/hyperlink" Target="http://www.nevo.co.il/case/2304792" TargetMode="External"/><Relationship Id="rId70" Type="http://schemas.openxmlformats.org/officeDocument/2006/relationships/hyperlink" Target="http://www.nevo.co.il/case/7688113" TargetMode="External"/><Relationship Id="rId75" Type="http://schemas.openxmlformats.org/officeDocument/2006/relationships/hyperlink" Target="http://www.nevo.co.il/case/6144854" TargetMode="External"/><Relationship Id="rId83" Type="http://schemas.openxmlformats.org/officeDocument/2006/relationships/hyperlink" Target="http://www.nevo.co.il/law/70301"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f" TargetMode="External"/><Relationship Id="rId23" Type="http://schemas.openxmlformats.org/officeDocument/2006/relationships/hyperlink" Target="http://www.nevo.co.il/case/25685411" TargetMode="External"/><Relationship Id="rId28" Type="http://schemas.openxmlformats.org/officeDocument/2006/relationships/hyperlink" Target="http://www.nevo.co.il/case/27361147"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5191250" TargetMode="External"/><Relationship Id="rId57" Type="http://schemas.openxmlformats.org/officeDocument/2006/relationships/hyperlink" Target="http://www.nevo.co.il/case/23158178" TargetMode="External"/><Relationship Id="rId10" Type="http://schemas.openxmlformats.org/officeDocument/2006/relationships/hyperlink" Target="http://www.nevo.co.il/law/4216/37a" TargetMode="External"/><Relationship Id="rId31" Type="http://schemas.openxmlformats.org/officeDocument/2006/relationships/hyperlink" Target="http://www.nevo.co.il/case/26900100" TargetMode="External"/><Relationship Id="rId44" Type="http://schemas.openxmlformats.org/officeDocument/2006/relationships/hyperlink" Target="http://www.nevo.co.il/case/28170127" TargetMode="External"/><Relationship Id="rId52" Type="http://schemas.openxmlformats.org/officeDocument/2006/relationships/hyperlink" Target="http://www.nevo.co.il/case/5941681" TargetMode="External"/><Relationship Id="rId60" Type="http://schemas.openxmlformats.org/officeDocument/2006/relationships/hyperlink" Target="http://www.nevo.co.il/case/12976857" TargetMode="External"/><Relationship Id="rId65" Type="http://schemas.openxmlformats.org/officeDocument/2006/relationships/hyperlink" Target="http://www.nevo.co.il/case/5608134" TargetMode="External"/><Relationship Id="rId73" Type="http://schemas.openxmlformats.org/officeDocument/2006/relationships/hyperlink" Target="http://www.nevo.co.il/case/5970615" TargetMode="External"/><Relationship Id="rId78" Type="http://schemas.openxmlformats.org/officeDocument/2006/relationships/hyperlink" Target="http://www.nevo.co.il/case/18688689" TargetMode="External"/><Relationship Id="rId81" Type="http://schemas.openxmlformats.org/officeDocument/2006/relationships/hyperlink" Target="http://www.nevo.co.il/law/70301/40f"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 TargetMode="External"/><Relationship Id="rId34" Type="http://schemas.openxmlformats.org/officeDocument/2006/relationships/hyperlink" Target="http://www.nevo.co.il/case/22841413" TargetMode="External"/><Relationship Id="rId50" Type="http://schemas.openxmlformats.org/officeDocument/2006/relationships/hyperlink" Target="http://www.nevo.co.il/case/24345651" TargetMode="External"/><Relationship Id="rId55" Type="http://schemas.openxmlformats.org/officeDocument/2006/relationships/hyperlink" Target="http://www.nevo.co.il/case/25271452" TargetMode="External"/><Relationship Id="rId76" Type="http://schemas.openxmlformats.org/officeDocument/2006/relationships/hyperlink" Target="http://www.nevo.co.il/case/17915064" TargetMode="External"/><Relationship Id="rId7" Type="http://schemas.openxmlformats.org/officeDocument/2006/relationships/hyperlink" Target="http://www.nevo.co.il/law/4216" TargetMode="External"/><Relationship Id="rId71" Type="http://schemas.openxmlformats.org/officeDocument/2006/relationships/hyperlink" Target="http://www.nevo.co.il/case/6244482" TargetMode="External"/><Relationship Id="rId2" Type="http://schemas.openxmlformats.org/officeDocument/2006/relationships/styles" Target="styles.xml"/><Relationship Id="rId29" Type="http://schemas.openxmlformats.org/officeDocument/2006/relationships/hyperlink" Target="http://www.nevo.co.il/case/26356714" TargetMode="External"/><Relationship Id="rId24" Type="http://schemas.openxmlformats.org/officeDocument/2006/relationships/hyperlink" Target="http://www.nevo.co.il/law/70301/40c.a" TargetMode="External"/><Relationship Id="rId40" Type="http://schemas.openxmlformats.org/officeDocument/2006/relationships/hyperlink" Target="http://www.nevo.co.il/law/70301/40ja" TargetMode="External"/><Relationship Id="rId45" Type="http://schemas.openxmlformats.org/officeDocument/2006/relationships/hyperlink" Target="http://www.nevo.co.il/case/5608134" TargetMode="External"/><Relationship Id="rId66" Type="http://schemas.openxmlformats.org/officeDocument/2006/relationships/hyperlink" Target="http://www.nevo.co.il/case/24303115" TargetMode="External"/><Relationship Id="rId87" Type="http://schemas.openxmlformats.org/officeDocument/2006/relationships/header" Target="header2.xml"/><Relationship Id="rId61" Type="http://schemas.openxmlformats.org/officeDocument/2006/relationships/hyperlink" Target="http://www.nevo.co.il/case/5633505" TargetMode="External"/><Relationship Id="rId82" Type="http://schemas.openxmlformats.org/officeDocument/2006/relationships/hyperlink" Target="http://www.nevo.co.il/law/70301/40g" TargetMode="External"/><Relationship Id="rId19" Type="http://schemas.openxmlformats.org/officeDocument/2006/relationships/hyperlink" Target="http://www.nevo.co.il/law/70301/40j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7017</Words>
  <Characters>35086</Characters>
  <Application>Microsoft Office Word</Application>
  <DocSecurity>0</DocSecurity>
  <Lines>292</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42019</CharactersWithSpaces>
  <SharedDoc>false</SharedDoc>
  <HLinks>
    <vt:vector size="474" baseType="variant">
      <vt:variant>
        <vt:i4>393283</vt:i4>
      </vt:variant>
      <vt:variant>
        <vt:i4>234</vt:i4>
      </vt:variant>
      <vt:variant>
        <vt:i4>0</vt:i4>
      </vt:variant>
      <vt:variant>
        <vt:i4>5</vt:i4>
      </vt:variant>
      <vt:variant>
        <vt:lpwstr>http://www.nevo.co.il/advertisements/nevo-100.doc</vt:lpwstr>
      </vt:variant>
      <vt:variant>
        <vt:lpwstr/>
      </vt:variant>
      <vt:variant>
        <vt:i4>6619233</vt:i4>
      </vt:variant>
      <vt:variant>
        <vt:i4>231</vt:i4>
      </vt:variant>
      <vt:variant>
        <vt:i4>0</vt:i4>
      </vt:variant>
      <vt:variant>
        <vt:i4>5</vt:i4>
      </vt:variant>
      <vt:variant>
        <vt:lpwstr>http://www.nevo.co.il/law/70301/40d</vt:lpwstr>
      </vt:variant>
      <vt:variant>
        <vt:lpwstr/>
      </vt:variant>
      <vt:variant>
        <vt:i4>7995492</vt:i4>
      </vt:variant>
      <vt:variant>
        <vt:i4>228</vt:i4>
      </vt:variant>
      <vt:variant>
        <vt:i4>0</vt:i4>
      </vt:variant>
      <vt:variant>
        <vt:i4>5</vt:i4>
      </vt:variant>
      <vt:variant>
        <vt:lpwstr>http://www.nevo.co.il/law/70301</vt:lpwstr>
      </vt:variant>
      <vt:variant>
        <vt:lpwstr/>
      </vt:variant>
      <vt:variant>
        <vt:i4>6619233</vt:i4>
      </vt:variant>
      <vt:variant>
        <vt:i4>225</vt:i4>
      </vt:variant>
      <vt:variant>
        <vt:i4>0</vt:i4>
      </vt:variant>
      <vt:variant>
        <vt:i4>5</vt:i4>
      </vt:variant>
      <vt:variant>
        <vt:lpwstr>http://www.nevo.co.il/law/70301/40g</vt:lpwstr>
      </vt:variant>
      <vt:variant>
        <vt:lpwstr/>
      </vt:variant>
      <vt:variant>
        <vt:i4>6619233</vt:i4>
      </vt:variant>
      <vt:variant>
        <vt:i4>222</vt:i4>
      </vt:variant>
      <vt:variant>
        <vt:i4>0</vt:i4>
      </vt:variant>
      <vt:variant>
        <vt:i4>5</vt:i4>
      </vt:variant>
      <vt:variant>
        <vt:lpwstr>http://www.nevo.co.il/law/70301/40f</vt:lpwstr>
      </vt:variant>
      <vt:variant>
        <vt:lpwstr/>
      </vt:variant>
      <vt:variant>
        <vt:i4>3145841</vt:i4>
      </vt:variant>
      <vt:variant>
        <vt:i4>219</vt:i4>
      </vt:variant>
      <vt:variant>
        <vt:i4>0</vt:i4>
      </vt:variant>
      <vt:variant>
        <vt:i4>5</vt:i4>
      </vt:variant>
      <vt:variant>
        <vt:lpwstr>http://www.nevo.co.il/case/22554239</vt:lpwstr>
      </vt:variant>
      <vt:variant>
        <vt:lpwstr/>
      </vt:variant>
      <vt:variant>
        <vt:i4>3801201</vt:i4>
      </vt:variant>
      <vt:variant>
        <vt:i4>216</vt:i4>
      </vt:variant>
      <vt:variant>
        <vt:i4>0</vt:i4>
      </vt:variant>
      <vt:variant>
        <vt:i4>5</vt:i4>
      </vt:variant>
      <vt:variant>
        <vt:lpwstr>http://www.nevo.co.il/case/10507592</vt:lpwstr>
      </vt:variant>
      <vt:variant>
        <vt:lpwstr/>
      </vt:variant>
      <vt:variant>
        <vt:i4>3604594</vt:i4>
      </vt:variant>
      <vt:variant>
        <vt:i4>213</vt:i4>
      </vt:variant>
      <vt:variant>
        <vt:i4>0</vt:i4>
      </vt:variant>
      <vt:variant>
        <vt:i4>5</vt:i4>
      </vt:variant>
      <vt:variant>
        <vt:lpwstr>http://www.nevo.co.il/case/18688689</vt:lpwstr>
      </vt:variant>
      <vt:variant>
        <vt:lpwstr/>
      </vt:variant>
      <vt:variant>
        <vt:i4>3604604</vt:i4>
      </vt:variant>
      <vt:variant>
        <vt:i4>210</vt:i4>
      </vt:variant>
      <vt:variant>
        <vt:i4>0</vt:i4>
      </vt:variant>
      <vt:variant>
        <vt:i4>5</vt:i4>
      </vt:variant>
      <vt:variant>
        <vt:lpwstr>http://www.nevo.co.il/case/2749968</vt:lpwstr>
      </vt:variant>
      <vt:variant>
        <vt:lpwstr/>
      </vt:variant>
      <vt:variant>
        <vt:i4>3866738</vt:i4>
      </vt:variant>
      <vt:variant>
        <vt:i4>207</vt:i4>
      </vt:variant>
      <vt:variant>
        <vt:i4>0</vt:i4>
      </vt:variant>
      <vt:variant>
        <vt:i4>5</vt:i4>
      </vt:variant>
      <vt:variant>
        <vt:lpwstr>http://www.nevo.co.il/case/17915064</vt:lpwstr>
      </vt:variant>
      <vt:variant>
        <vt:lpwstr/>
      </vt:variant>
      <vt:variant>
        <vt:i4>4063348</vt:i4>
      </vt:variant>
      <vt:variant>
        <vt:i4>204</vt:i4>
      </vt:variant>
      <vt:variant>
        <vt:i4>0</vt:i4>
      </vt:variant>
      <vt:variant>
        <vt:i4>5</vt:i4>
      </vt:variant>
      <vt:variant>
        <vt:lpwstr>http://www.nevo.co.il/case/6144854</vt:lpwstr>
      </vt:variant>
      <vt:variant>
        <vt:lpwstr/>
      </vt:variant>
      <vt:variant>
        <vt:i4>3670140</vt:i4>
      </vt:variant>
      <vt:variant>
        <vt:i4>201</vt:i4>
      </vt:variant>
      <vt:variant>
        <vt:i4>0</vt:i4>
      </vt:variant>
      <vt:variant>
        <vt:i4>5</vt:i4>
      </vt:variant>
      <vt:variant>
        <vt:lpwstr>http://www.nevo.co.il/case/5716894</vt:lpwstr>
      </vt:variant>
      <vt:variant>
        <vt:lpwstr/>
      </vt:variant>
      <vt:variant>
        <vt:i4>3211388</vt:i4>
      </vt:variant>
      <vt:variant>
        <vt:i4>198</vt:i4>
      </vt:variant>
      <vt:variant>
        <vt:i4>0</vt:i4>
      </vt:variant>
      <vt:variant>
        <vt:i4>5</vt:i4>
      </vt:variant>
      <vt:variant>
        <vt:lpwstr>http://www.nevo.co.il/case/5970615</vt:lpwstr>
      </vt:variant>
      <vt:variant>
        <vt:lpwstr/>
      </vt:variant>
      <vt:variant>
        <vt:i4>3801210</vt:i4>
      </vt:variant>
      <vt:variant>
        <vt:i4>195</vt:i4>
      </vt:variant>
      <vt:variant>
        <vt:i4>0</vt:i4>
      </vt:variant>
      <vt:variant>
        <vt:i4>5</vt:i4>
      </vt:variant>
      <vt:variant>
        <vt:lpwstr>http://www.nevo.co.il/case/5896402</vt:lpwstr>
      </vt:variant>
      <vt:variant>
        <vt:lpwstr/>
      </vt:variant>
      <vt:variant>
        <vt:i4>3407994</vt:i4>
      </vt:variant>
      <vt:variant>
        <vt:i4>192</vt:i4>
      </vt:variant>
      <vt:variant>
        <vt:i4>0</vt:i4>
      </vt:variant>
      <vt:variant>
        <vt:i4>5</vt:i4>
      </vt:variant>
      <vt:variant>
        <vt:lpwstr>http://www.nevo.co.il/case/6244482</vt:lpwstr>
      </vt:variant>
      <vt:variant>
        <vt:lpwstr/>
      </vt:variant>
      <vt:variant>
        <vt:i4>3997819</vt:i4>
      </vt:variant>
      <vt:variant>
        <vt:i4>189</vt:i4>
      </vt:variant>
      <vt:variant>
        <vt:i4>0</vt:i4>
      </vt:variant>
      <vt:variant>
        <vt:i4>5</vt:i4>
      </vt:variant>
      <vt:variant>
        <vt:lpwstr>http://www.nevo.co.il/case/7688113</vt:lpwstr>
      </vt:variant>
      <vt:variant>
        <vt:lpwstr/>
      </vt:variant>
      <vt:variant>
        <vt:i4>4128886</vt:i4>
      </vt:variant>
      <vt:variant>
        <vt:i4>186</vt:i4>
      </vt:variant>
      <vt:variant>
        <vt:i4>0</vt:i4>
      </vt:variant>
      <vt:variant>
        <vt:i4>5</vt:i4>
      </vt:variant>
      <vt:variant>
        <vt:lpwstr>http://www.nevo.co.il/case/20911359</vt:lpwstr>
      </vt:variant>
      <vt:variant>
        <vt:lpwstr/>
      </vt:variant>
      <vt:variant>
        <vt:i4>3211379</vt:i4>
      </vt:variant>
      <vt:variant>
        <vt:i4>183</vt:i4>
      </vt:variant>
      <vt:variant>
        <vt:i4>0</vt:i4>
      </vt:variant>
      <vt:variant>
        <vt:i4>5</vt:i4>
      </vt:variant>
      <vt:variant>
        <vt:lpwstr>http://www.nevo.co.il/case/21511777</vt:lpwstr>
      </vt:variant>
      <vt:variant>
        <vt:lpwstr/>
      </vt:variant>
      <vt:variant>
        <vt:i4>3539056</vt:i4>
      </vt:variant>
      <vt:variant>
        <vt:i4>180</vt:i4>
      </vt:variant>
      <vt:variant>
        <vt:i4>0</vt:i4>
      </vt:variant>
      <vt:variant>
        <vt:i4>5</vt:i4>
      </vt:variant>
      <vt:variant>
        <vt:lpwstr>http://www.nevo.co.il/case/23563121</vt:lpwstr>
      </vt:variant>
      <vt:variant>
        <vt:lpwstr/>
      </vt:variant>
      <vt:variant>
        <vt:i4>3342449</vt:i4>
      </vt:variant>
      <vt:variant>
        <vt:i4>177</vt:i4>
      </vt:variant>
      <vt:variant>
        <vt:i4>0</vt:i4>
      </vt:variant>
      <vt:variant>
        <vt:i4>5</vt:i4>
      </vt:variant>
      <vt:variant>
        <vt:lpwstr>http://www.nevo.co.il/case/24303115</vt:lpwstr>
      </vt:variant>
      <vt:variant>
        <vt:lpwstr/>
      </vt:variant>
      <vt:variant>
        <vt:i4>3145849</vt:i4>
      </vt:variant>
      <vt:variant>
        <vt:i4>174</vt:i4>
      </vt:variant>
      <vt:variant>
        <vt:i4>0</vt:i4>
      </vt:variant>
      <vt:variant>
        <vt:i4>5</vt:i4>
      </vt:variant>
      <vt:variant>
        <vt:lpwstr>http://www.nevo.co.il/case/5608134</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6619233</vt:i4>
      </vt:variant>
      <vt:variant>
        <vt:i4>168</vt:i4>
      </vt:variant>
      <vt:variant>
        <vt:i4>0</vt:i4>
      </vt:variant>
      <vt:variant>
        <vt:i4>5</vt:i4>
      </vt:variant>
      <vt:variant>
        <vt:lpwstr>http://www.nevo.co.il/law/70301/40d</vt:lpwstr>
      </vt:variant>
      <vt:variant>
        <vt:lpwstr/>
      </vt:variant>
      <vt:variant>
        <vt:i4>3604602</vt:i4>
      </vt:variant>
      <vt:variant>
        <vt:i4>165</vt:i4>
      </vt:variant>
      <vt:variant>
        <vt:i4>0</vt:i4>
      </vt:variant>
      <vt:variant>
        <vt:i4>5</vt:i4>
      </vt:variant>
      <vt:variant>
        <vt:lpwstr>http://www.nevo.co.il/case/2304792</vt:lpwstr>
      </vt:variant>
      <vt:variant>
        <vt:lpwstr/>
      </vt:variant>
      <vt:variant>
        <vt:i4>3539057</vt:i4>
      </vt:variant>
      <vt:variant>
        <vt:i4>162</vt:i4>
      </vt:variant>
      <vt:variant>
        <vt:i4>0</vt:i4>
      </vt:variant>
      <vt:variant>
        <vt:i4>5</vt:i4>
      </vt:variant>
      <vt:variant>
        <vt:lpwstr>http://www.nevo.co.il/case/5633505</vt:lpwstr>
      </vt:variant>
      <vt:variant>
        <vt:lpwstr/>
      </vt:variant>
      <vt:variant>
        <vt:i4>3866745</vt:i4>
      </vt:variant>
      <vt:variant>
        <vt:i4>159</vt:i4>
      </vt:variant>
      <vt:variant>
        <vt:i4>0</vt:i4>
      </vt:variant>
      <vt:variant>
        <vt:i4>5</vt:i4>
      </vt:variant>
      <vt:variant>
        <vt:lpwstr>http://www.nevo.co.il/case/12976857</vt:lpwstr>
      </vt:variant>
      <vt:variant>
        <vt:lpwstr/>
      </vt:variant>
      <vt:variant>
        <vt:i4>3932284</vt:i4>
      </vt:variant>
      <vt:variant>
        <vt:i4>156</vt:i4>
      </vt:variant>
      <vt:variant>
        <vt:i4>0</vt:i4>
      </vt:variant>
      <vt:variant>
        <vt:i4>5</vt:i4>
      </vt:variant>
      <vt:variant>
        <vt:lpwstr>http://www.nevo.co.il/case/8478043</vt:lpwstr>
      </vt:variant>
      <vt:variant>
        <vt:lpwstr/>
      </vt:variant>
      <vt:variant>
        <vt:i4>3342455</vt:i4>
      </vt:variant>
      <vt:variant>
        <vt:i4>153</vt:i4>
      </vt:variant>
      <vt:variant>
        <vt:i4>0</vt:i4>
      </vt:variant>
      <vt:variant>
        <vt:i4>5</vt:i4>
      </vt:variant>
      <vt:variant>
        <vt:lpwstr>http://www.nevo.co.il/case/20632055</vt:lpwstr>
      </vt:variant>
      <vt:variant>
        <vt:lpwstr/>
      </vt:variant>
      <vt:variant>
        <vt:i4>3932275</vt:i4>
      </vt:variant>
      <vt:variant>
        <vt:i4>150</vt:i4>
      </vt:variant>
      <vt:variant>
        <vt:i4>0</vt:i4>
      </vt:variant>
      <vt:variant>
        <vt:i4>5</vt:i4>
      </vt:variant>
      <vt:variant>
        <vt:lpwstr>http://www.nevo.co.il/case/23158178</vt:lpwstr>
      </vt:variant>
      <vt:variant>
        <vt:lpwstr/>
      </vt:variant>
      <vt:variant>
        <vt:i4>3735669</vt:i4>
      </vt:variant>
      <vt:variant>
        <vt:i4>147</vt:i4>
      </vt:variant>
      <vt:variant>
        <vt:i4>0</vt:i4>
      </vt:variant>
      <vt:variant>
        <vt:i4>5</vt:i4>
      </vt:variant>
      <vt:variant>
        <vt:lpwstr>http://www.nevo.co.il/case/24971234</vt:lpwstr>
      </vt:variant>
      <vt:variant>
        <vt:lpwstr/>
      </vt:variant>
      <vt:variant>
        <vt:i4>3407986</vt:i4>
      </vt:variant>
      <vt:variant>
        <vt:i4>144</vt:i4>
      </vt:variant>
      <vt:variant>
        <vt:i4>0</vt:i4>
      </vt:variant>
      <vt:variant>
        <vt:i4>5</vt:i4>
      </vt:variant>
      <vt:variant>
        <vt:lpwstr>http://www.nevo.co.il/case/25271452</vt:lpwstr>
      </vt:variant>
      <vt:variant>
        <vt:lpwstr/>
      </vt:variant>
      <vt:variant>
        <vt:i4>3342455</vt:i4>
      </vt:variant>
      <vt:variant>
        <vt:i4>141</vt:i4>
      </vt:variant>
      <vt:variant>
        <vt:i4>0</vt:i4>
      </vt:variant>
      <vt:variant>
        <vt:i4>5</vt:i4>
      </vt:variant>
      <vt:variant>
        <vt:lpwstr>http://www.nevo.co.il/case/20632055</vt:lpwstr>
      </vt:variant>
      <vt:variant>
        <vt:lpwstr/>
      </vt:variant>
      <vt:variant>
        <vt:i4>3539057</vt:i4>
      </vt:variant>
      <vt:variant>
        <vt:i4>138</vt:i4>
      </vt:variant>
      <vt:variant>
        <vt:i4>0</vt:i4>
      </vt:variant>
      <vt:variant>
        <vt:i4>5</vt:i4>
      </vt:variant>
      <vt:variant>
        <vt:lpwstr>http://www.nevo.co.il/case/26542736</vt:lpwstr>
      </vt:variant>
      <vt:variant>
        <vt:lpwstr/>
      </vt:variant>
      <vt:variant>
        <vt:i4>3539060</vt:i4>
      </vt:variant>
      <vt:variant>
        <vt:i4>135</vt:i4>
      </vt:variant>
      <vt:variant>
        <vt:i4>0</vt:i4>
      </vt:variant>
      <vt:variant>
        <vt:i4>5</vt:i4>
      </vt:variant>
      <vt:variant>
        <vt:lpwstr>http://www.nevo.co.il/case/5941681</vt:lpwstr>
      </vt:variant>
      <vt:variant>
        <vt:lpwstr/>
      </vt:variant>
      <vt:variant>
        <vt:i4>3145852</vt:i4>
      </vt:variant>
      <vt:variant>
        <vt:i4>132</vt:i4>
      </vt:variant>
      <vt:variant>
        <vt:i4>0</vt:i4>
      </vt:variant>
      <vt:variant>
        <vt:i4>5</vt:i4>
      </vt:variant>
      <vt:variant>
        <vt:lpwstr>http://www.nevo.co.il/case/6120591</vt:lpwstr>
      </vt:variant>
      <vt:variant>
        <vt:lpwstr/>
      </vt:variant>
      <vt:variant>
        <vt:i4>3211378</vt:i4>
      </vt:variant>
      <vt:variant>
        <vt:i4>129</vt:i4>
      </vt:variant>
      <vt:variant>
        <vt:i4>0</vt:i4>
      </vt:variant>
      <vt:variant>
        <vt:i4>5</vt:i4>
      </vt:variant>
      <vt:variant>
        <vt:lpwstr>http://www.nevo.co.il/case/24345651</vt:lpwstr>
      </vt:variant>
      <vt:variant>
        <vt:lpwstr/>
      </vt:variant>
      <vt:variant>
        <vt:i4>3604602</vt:i4>
      </vt:variant>
      <vt:variant>
        <vt:i4>126</vt:i4>
      </vt:variant>
      <vt:variant>
        <vt:i4>0</vt:i4>
      </vt:variant>
      <vt:variant>
        <vt:i4>5</vt:i4>
      </vt:variant>
      <vt:variant>
        <vt:lpwstr>http://www.nevo.co.il/case/25191250</vt:lpwstr>
      </vt:variant>
      <vt:variant>
        <vt:lpwstr/>
      </vt:variant>
      <vt:variant>
        <vt:i4>786507</vt:i4>
      </vt:variant>
      <vt:variant>
        <vt:i4>123</vt:i4>
      </vt:variant>
      <vt:variant>
        <vt:i4>0</vt:i4>
      </vt:variant>
      <vt:variant>
        <vt:i4>5</vt:i4>
      </vt:variant>
      <vt:variant>
        <vt:lpwstr>http://www.nevo.co.il/case/377887</vt:lpwstr>
      </vt:variant>
      <vt:variant>
        <vt:lpwstr/>
      </vt:variant>
      <vt:variant>
        <vt:i4>3866745</vt:i4>
      </vt:variant>
      <vt:variant>
        <vt:i4>120</vt:i4>
      </vt:variant>
      <vt:variant>
        <vt:i4>0</vt:i4>
      </vt:variant>
      <vt:variant>
        <vt:i4>5</vt:i4>
      </vt:variant>
      <vt:variant>
        <vt:lpwstr>http://www.nevo.co.il/case/5887721</vt:lpwstr>
      </vt:variant>
      <vt:variant>
        <vt:lpwstr/>
      </vt:variant>
      <vt:variant>
        <vt:i4>3997815</vt:i4>
      </vt:variant>
      <vt:variant>
        <vt:i4>117</vt:i4>
      </vt:variant>
      <vt:variant>
        <vt:i4>0</vt:i4>
      </vt:variant>
      <vt:variant>
        <vt:i4>5</vt:i4>
      </vt:variant>
      <vt:variant>
        <vt:lpwstr>http://www.nevo.co.il/case/5993495</vt:lpwstr>
      </vt:variant>
      <vt:variant>
        <vt:lpwstr/>
      </vt:variant>
      <vt:variant>
        <vt:i4>3145849</vt:i4>
      </vt:variant>
      <vt:variant>
        <vt:i4>114</vt:i4>
      </vt:variant>
      <vt:variant>
        <vt:i4>0</vt:i4>
      </vt:variant>
      <vt:variant>
        <vt:i4>5</vt:i4>
      </vt:variant>
      <vt:variant>
        <vt:lpwstr>http://www.nevo.co.il/case/5608134</vt:lpwstr>
      </vt:variant>
      <vt:variant>
        <vt:lpwstr/>
      </vt:variant>
      <vt:variant>
        <vt:i4>3211386</vt:i4>
      </vt:variant>
      <vt:variant>
        <vt:i4>111</vt:i4>
      </vt:variant>
      <vt:variant>
        <vt:i4>0</vt:i4>
      </vt:variant>
      <vt:variant>
        <vt:i4>5</vt:i4>
      </vt:variant>
      <vt:variant>
        <vt:lpwstr>http://www.nevo.co.il/case/28170127</vt:lpwstr>
      </vt:variant>
      <vt:variant>
        <vt:lpwstr/>
      </vt:variant>
      <vt:variant>
        <vt:i4>4128892</vt:i4>
      </vt:variant>
      <vt:variant>
        <vt:i4>108</vt:i4>
      </vt:variant>
      <vt:variant>
        <vt:i4>0</vt:i4>
      </vt:variant>
      <vt:variant>
        <vt:i4>5</vt:i4>
      </vt:variant>
      <vt:variant>
        <vt:lpwstr>http://www.nevo.co.il/case/26884611</vt:lpwstr>
      </vt:variant>
      <vt:variant>
        <vt:lpwstr/>
      </vt:variant>
      <vt:variant>
        <vt:i4>4128886</vt:i4>
      </vt:variant>
      <vt:variant>
        <vt:i4>105</vt:i4>
      </vt:variant>
      <vt:variant>
        <vt:i4>0</vt:i4>
      </vt:variant>
      <vt:variant>
        <vt:i4>5</vt:i4>
      </vt:variant>
      <vt:variant>
        <vt:lpwstr>http://www.nevo.co.il/case/20911359</vt:lpwstr>
      </vt:variant>
      <vt:variant>
        <vt:lpwstr/>
      </vt:variant>
      <vt:variant>
        <vt:i4>3276916</vt:i4>
      </vt:variant>
      <vt:variant>
        <vt:i4>102</vt:i4>
      </vt:variant>
      <vt:variant>
        <vt:i4>0</vt:i4>
      </vt:variant>
      <vt:variant>
        <vt:i4>5</vt:i4>
      </vt:variant>
      <vt:variant>
        <vt:lpwstr>http://www.nevo.co.il/case/5810781</vt:lpwstr>
      </vt:variant>
      <vt:variant>
        <vt:lpwstr/>
      </vt:variant>
      <vt:variant>
        <vt:i4>262155</vt:i4>
      </vt:variant>
      <vt:variant>
        <vt:i4>99</vt:i4>
      </vt:variant>
      <vt:variant>
        <vt:i4>0</vt:i4>
      </vt:variant>
      <vt:variant>
        <vt:i4>5</vt:i4>
      </vt:variant>
      <vt:variant>
        <vt:lpwstr>http://www.nevo.co.il/law/70301/40ja</vt:lpwstr>
      </vt:variant>
      <vt:variant>
        <vt:lpwstr/>
      </vt:variant>
      <vt:variant>
        <vt:i4>7995492</vt:i4>
      </vt:variant>
      <vt:variant>
        <vt:i4>96</vt:i4>
      </vt:variant>
      <vt:variant>
        <vt:i4>0</vt:i4>
      </vt:variant>
      <vt:variant>
        <vt:i4>5</vt:i4>
      </vt:variant>
      <vt:variant>
        <vt:lpwstr>http://www.nevo.co.il/law/70301</vt:lpwstr>
      </vt:variant>
      <vt:variant>
        <vt:lpwstr/>
      </vt:variant>
      <vt:variant>
        <vt:i4>4915202</vt:i4>
      </vt:variant>
      <vt:variant>
        <vt:i4>93</vt:i4>
      </vt:variant>
      <vt:variant>
        <vt:i4>0</vt:i4>
      </vt:variant>
      <vt:variant>
        <vt:i4>5</vt:i4>
      </vt:variant>
      <vt:variant>
        <vt:lpwstr>http://www.nevo.co.il/law/70301/40c.b</vt:lpwstr>
      </vt:variant>
      <vt:variant>
        <vt:lpwstr/>
      </vt:variant>
      <vt:variant>
        <vt:i4>2883709</vt:i4>
      </vt:variant>
      <vt:variant>
        <vt:i4>90</vt:i4>
      </vt:variant>
      <vt:variant>
        <vt:i4>0</vt:i4>
      </vt:variant>
      <vt:variant>
        <vt:i4>5</vt:i4>
      </vt:variant>
      <vt:variant>
        <vt:lpwstr>http://www.nevo.co.il/law/4216/37a</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6619233</vt:i4>
      </vt:variant>
      <vt:variant>
        <vt:i4>84</vt:i4>
      </vt:variant>
      <vt:variant>
        <vt:i4>0</vt:i4>
      </vt:variant>
      <vt:variant>
        <vt:i4>5</vt:i4>
      </vt:variant>
      <vt:variant>
        <vt:lpwstr>http://www.nevo.co.il/law/70301/40h</vt:lpwstr>
      </vt:variant>
      <vt:variant>
        <vt:lpwstr/>
      </vt:variant>
      <vt:variant>
        <vt:i4>3801206</vt:i4>
      </vt:variant>
      <vt:variant>
        <vt:i4>81</vt:i4>
      </vt:variant>
      <vt:variant>
        <vt:i4>0</vt:i4>
      </vt:variant>
      <vt:variant>
        <vt:i4>5</vt:i4>
      </vt:variant>
      <vt:variant>
        <vt:lpwstr>http://www.nevo.co.il/case/22841413</vt:lpwstr>
      </vt:variant>
      <vt:variant>
        <vt:lpwstr/>
      </vt:variant>
      <vt:variant>
        <vt:i4>7995492</vt:i4>
      </vt:variant>
      <vt:variant>
        <vt:i4>78</vt:i4>
      </vt:variant>
      <vt:variant>
        <vt:i4>0</vt:i4>
      </vt:variant>
      <vt:variant>
        <vt:i4>5</vt:i4>
      </vt:variant>
      <vt:variant>
        <vt:lpwstr>http://www.nevo.co.il/law/70301</vt:lpwstr>
      </vt:variant>
      <vt:variant>
        <vt:lpwstr/>
      </vt:variant>
      <vt:variant>
        <vt:i4>786443</vt:i4>
      </vt:variant>
      <vt:variant>
        <vt:i4>75</vt:i4>
      </vt:variant>
      <vt:variant>
        <vt:i4>0</vt:i4>
      </vt:variant>
      <vt:variant>
        <vt:i4>5</vt:i4>
      </vt:variant>
      <vt:variant>
        <vt:lpwstr>http://www.nevo.co.il/law/70301/40ji</vt:lpwstr>
      </vt:variant>
      <vt:variant>
        <vt:lpwstr/>
      </vt:variant>
      <vt:variant>
        <vt:i4>3866739</vt:i4>
      </vt:variant>
      <vt:variant>
        <vt:i4>72</vt:i4>
      </vt:variant>
      <vt:variant>
        <vt:i4>0</vt:i4>
      </vt:variant>
      <vt:variant>
        <vt:i4>5</vt:i4>
      </vt:variant>
      <vt:variant>
        <vt:lpwstr>http://www.nevo.co.il/case/26900100</vt:lpwstr>
      </vt:variant>
      <vt:variant>
        <vt:lpwstr/>
      </vt:variant>
      <vt:variant>
        <vt:i4>3473521</vt:i4>
      </vt:variant>
      <vt:variant>
        <vt:i4>69</vt:i4>
      </vt:variant>
      <vt:variant>
        <vt:i4>0</vt:i4>
      </vt:variant>
      <vt:variant>
        <vt:i4>5</vt:i4>
      </vt:variant>
      <vt:variant>
        <vt:lpwstr>http://www.nevo.co.il/case/25788880</vt:lpwstr>
      </vt:variant>
      <vt:variant>
        <vt:lpwstr/>
      </vt:variant>
      <vt:variant>
        <vt:i4>3539056</vt:i4>
      </vt:variant>
      <vt:variant>
        <vt:i4>66</vt:i4>
      </vt:variant>
      <vt:variant>
        <vt:i4>0</vt:i4>
      </vt:variant>
      <vt:variant>
        <vt:i4>5</vt:i4>
      </vt:variant>
      <vt:variant>
        <vt:lpwstr>http://www.nevo.co.il/case/26356714</vt:lpwstr>
      </vt:variant>
      <vt:variant>
        <vt:lpwstr/>
      </vt:variant>
      <vt:variant>
        <vt:i4>3407988</vt:i4>
      </vt:variant>
      <vt:variant>
        <vt:i4>63</vt:i4>
      </vt:variant>
      <vt:variant>
        <vt:i4>0</vt:i4>
      </vt:variant>
      <vt:variant>
        <vt:i4>5</vt:i4>
      </vt:variant>
      <vt:variant>
        <vt:lpwstr>http://www.nevo.co.il/case/27361147</vt:lpwstr>
      </vt:variant>
      <vt:variant>
        <vt:lpwstr/>
      </vt:variant>
      <vt:variant>
        <vt:i4>3801214</vt:i4>
      </vt:variant>
      <vt:variant>
        <vt:i4>60</vt:i4>
      </vt:variant>
      <vt:variant>
        <vt:i4>0</vt:i4>
      </vt:variant>
      <vt:variant>
        <vt:i4>5</vt:i4>
      </vt:variant>
      <vt:variant>
        <vt:lpwstr>http://www.nevo.co.il/case/5805976</vt:lpwstr>
      </vt:variant>
      <vt:variant>
        <vt:lpwstr/>
      </vt:variant>
      <vt:variant>
        <vt:i4>3801208</vt:i4>
      </vt:variant>
      <vt:variant>
        <vt:i4>57</vt:i4>
      </vt:variant>
      <vt:variant>
        <vt:i4>0</vt:i4>
      </vt:variant>
      <vt:variant>
        <vt:i4>5</vt:i4>
      </vt:variant>
      <vt:variant>
        <vt:lpwstr>http://www.nevo.co.il/case/6987521</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3145853</vt:i4>
      </vt:variant>
      <vt:variant>
        <vt:i4>48</vt:i4>
      </vt:variant>
      <vt:variant>
        <vt:i4>0</vt:i4>
      </vt:variant>
      <vt:variant>
        <vt:i4>5</vt:i4>
      </vt:variant>
      <vt:variant>
        <vt:lpwstr>http://www.nevo.co.il/case/25685411</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786443</vt:i4>
      </vt:variant>
      <vt:variant>
        <vt:i4>36</vt:i4>
      </vt:variant>
      <vt:variant>
        <vt:i4>0</vt:i4>
      </vt:variant>
      <vt:variant>
        <vt:i4>5</vt:i4>
      </vt:variant>
      <vt:variant>
        <vt:lpwstr>http://www.nevo.co.il/law/70301/40ji</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6619233</vt:i4>
      </vt:variant>
      <vt:variant>
        <vt:i4>30</vt:i4>
      </vt:variant>
      <vt:variant>
        <vt:i4>0</vt:i4>
      </vt:variant>
      <vt:variant>
        <vt:i4>5</vt:i4>
      </vt:variant>
      <vt:variant>
        <vt:lpwstr>http://www.nevo.co.il/law/70301/40h</vt:lpwstr>
      </vt:variant>
      <vt:variant>
        <vt:lpwstr/>
      </vt:variant>
      <vt:variant>
        <vt:i4>6619233</vt:i4>
      </vt:variant>
      <vt:variant>
        <vt:i4>27</vt:i4>
      </vt:variant>
      <vt:variant>
        <vt:i4>0</vt:i4>
      </vt:variant>
      <vt:variant>
        <vt:i4>5</vt:i4>
      </vt:variant>
      <vt:variant>
        <vt:lpwstr>http://www.nevo.co.il/law/70301/40g</vt:lpwstr>
      </vt:variant>
      <vt:variant>
        <vt:lpwstr/>
      </vt:variant>
      <vt:variant>
        <vt:i4>6619233</vt:i4>
      </vt:variant>
      <vt:variant>
        <vt:i4>24</vt:i4>
      </vt:variant>
      <vt:variant>
        <vt:i4>0</vt:i4>
      </vt:variant>
      <vt:variant>
        <vt:i4>5</vt:i4>
      </vt:variant>
      <vt:variant>
        <vt:lpwstr>http://www.nevo.co.il/law/70301/40f</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2025-04-23T01:26:00Z</dcterms:created>
  <dcterms:modified xsi:type="dcterms:W3CDTF">2025-04-23T01:26:00Z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32356</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ארתור ריפס</vt:lpwstr>
  </property>
  <property fmtid="{D5CDD505-2E9C-101B-9397-08002B2CF9AE}" pid="10" name="LAWYER">
    <vt:lpwstr>ליבי יעקובי;דמטירי דוגמן</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20240512</vt:lpwstr>
  </property>
  <property fmtid="{D5CDD505-2E9C-101B-9397-08002B2CF9AE}" pid="14" name="TYPE_N_DATE">
    <vt:lpwstr>38020240512</vt:lpwstr>
  </property>
  <property fmtid="{D5CDD505-2E9C-101B-9397-08002B2CF9AE}" pid="15" name="WORDNUMPAGES">
    <vt:lpwstr>17</vt:lpwstr>
  </property>
  <property fmtid="{D5CDD505-2E9C-101B-9397-08002B2CF9AE}" pid="16" name="TYPE_ABS_DATE">
    <vt:lpwstr>380020240512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25685411;6987521;5805976;27361147;26356714;25788880;26900100;22841413;5810781;20911359:2;26884611;28170127;5608134:2;5993495;5887721;377887;25191250;24345651;6120591;5941681;26542736;20632055:2;25271452;24971234;23158178;8478043;12976857;5633505;2304792</vt:lpwstr>
  </property>
  <property fmtid="{D5CDD505-2E9C-101B-9397-08002B2CF9AE}" pid="36" name="CASESLISTTMP2">
    <vt:lpwstr>24303115;23563121;21511777;7688113;6244482;5896402;5970615;5716894;6144854;17915064;2749968;18688689;10507592;22554239</vt:lpwstr>
  </property>
  <property fmtid="{D5CDD505-2E9C-101B-9397-08002B2CF9AE}" pid="37" name="LAWLISTTMP1">
    <vt:lpwstr>4216/007.a;007.c;037a</vt:lpwstr>
  </property>
  <property fmtid="{D5CDD505-2E9C-101B-9397-08002B2CF9AE}" pid="38" name="LAWLISTTMP2">
    <vt:lpwstr>70301/040c.a;40ji;040h;040c.b;40ja;040d:2;040f;040g</vt:lpwstr>
  </property>
</Properties>
</file>