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01DDD" w:rsidRPr="00106DCF" w14:paraId="2E7C4471" w14:textId="77777777" w:rsidTr="00AE6DE6">
        <w:trPr>
          <w:trHeight w:hRule="exact" w:val="418"/>
          <w:jc w:val="center"/>
        </w:trPr>
        <w:tc>
          <w:tcPr>
            <w:tcW w:w="8721" w:type="dxa"/>
            <w:gridSpan w:val="2"/>
          </w:tcPr>
          <w:p w14:paraId="3C8752B2" w14:textId="77777777" w:rsidR="00E01DDD" w:rsidRPr="00106DCF" w:rsidRDefault="00E01DDD" w:rsidP="009C532B">
            <w:pPr>
              <w:pStyle w:val="a3"/>
              <w:jc w:val="center"/>
              <w:rPr>
                <w:rFonts w:ascii="Tahoma" w:hAnsi="Tahoma" w:cs="Tahoma"/>
                <w:color w:val="000080"/>
                <w:rtl/>
              </w:rPr>
            </w:pPr>
            <w:bookmarkStart w:id="0" w:name="FirstLawyer"/>
            <w:bookmarkStart w:id="1" w:name="LastJudge"/>
            <w:r w:rsidRPr="00106DCF">
              <w:rPr>
                <w:rFonts w:ascii="Tahoma" w:hAnsi="Tahoma" w:cs="Tahoma"/>
                <w:b/>
                <w:bCs/>
                <w:color w:val="000080"/>
                <w:rtl/>
              </w:rPr>
              <w:t>בית משפט השלום בחדרה</w:t>
            </w:r>
          </w:p>
        </w:tc>
      </w:tr>
      <w:tr w:rsidR="00E01DDD" w:rsidRPr="00106DCF" w14:paraId="55AE7C9B" w14:textId="77777777" w:rsidTr="00AE6DE6">
        <w:trPr>
          <w:trHeight w:val="337"/>
          <w:jc w:val="center"/>
        </w:trPr>
        <w:tc>
          <w:tcPr>
            <w:tcW w:w="5054" w:type="dxa"/>
          </w:tcPr>
          <w:p w14:paraId="705A6B5B" w14:textId="77777777" w:rsidR="00E01DDD" w:rsidRPr="00106DCF" w:rsidRDefault="00E01DDD" w:rsidP="009C532B">
            <w:pPr>
              <w:rPr>
                <w:rFonts w:cs="FrankRuehl"/>
                <w:sz w:val="28"/>
                <w:szCs w:val="28"/>
                <w:rtl/>
              </w:rPr>
            </w:pPr>
            <w:r w:rsidRPr="00106DCF">
              <w:rPr>
                <w:rFonts w:cs="FrankRuehl"/>
                <w:sz w:val="28"/>
                <w:szCs w:val="28"/>
                <w:rtl/>
              </w:rPr>
              <w:t>ת"פ</w:t>
            </w:r>
            <w:r w:rsidRPr="00106DCF">
              <w:rPr>
                <w:rFonts w:cs="FrankRuehl" w:hint="cs"/>
                <w:sz w:val="28"/>
                <w:szCs w:val="28"/>
                <w:rtl/>
              </w:rPr>
              <w:t xml:space="preserve"> </w:t>
            </w:r>
            <w:r w:rsidRPr="00106DCF">
              <w:rPr>
                <w:rFonts w:cs="FrankRuehl"/>
                <w:sz w:val="28"/>
                <w:szCs w:val="28"/>
                <w:rtl/>
              </w:rPr>
              <w:t>33197-04-22</w:t>
            </w:r>
            <w:r w:rsidRPr="00106DCF">
              <w:rPr>
                <w:rFonts w:cs="FrankRuehl" w:hint="cs"/>
                <w:sz w:val="28"/>
                <w:szCs w:val="28"/>
                <w:rtl/>
              </w:rPr>
              <w:t xml:space="preserve"> </w:t>
            </w:r>
            <w:r w:rsidRPr="00106DCF">
              <w:rPr>
                <w:rFonts w:cs="FrankRuehl"/>
                <w:sz w:val="28"/>
                <w:szCs w:val="28"/>
                <w:rtl/>
              </w:rPr>
              <w:t>מדינת ישראל נ' וייס</w:t>
            </w:r>
          </w:p>
          <w:p w14:paraId="57D566C3" w14:textId="77777777" w:rsidR="00E01DDD" w:rsidRPr="00106DCF" w:rsidRDefault="00E01DDD" w:rsidP="009C532B">
            <w:pPr>
              <w:pStyle w:val="a3"/>
              <w:rPr>
                <w:rFonts w:cs="FrankRuehl"/>
                <w:sz w:val="28"/>
                <w:szCs w:val="28"/>
                <w:rtl/>
              </w:rPr>
            </w:pPr>
          </w:p>
        </w:tc>
        <w:tc>
          <w:tcPr>
            <w:tcW w:w="3667" w:type="dxa"/>
          </w:tcPr>
          <w:p w14:paraId="30D4257A" w14:textId="77777777" w:rsidR="00E01DDD" w:rsidRPr="00106DCF" w:rsidRDefault="00E01DDD" w:rsidP="009C532B">
            <w:pPr>
              <w:pStyle w:val="a3"/>
              <w:jc w:val="right"/>
              <w:rPr>
                <w:rFonts w:cs="FrankRuehl"/>
                <w:sz w:val="28"/>
                <w:szCs w:val="28"/>
                <w:rtl/>
              </w:rPr>
            </w:pPr>
          </w:p>
        </w:tc>
      </w:tr>
    </w:tbl>
    <w:p w14:paraId="21EF247F" w14:textId="77777777" w:rsidR="00E01DDD" w:rsidRPr="00106DCF" w:rsidRDefault="00E01DDD" w:rsidP="00E01DDD">
      <w:pPr>
        <w:pStyle w:val="a3"/>
        <w:rPr>
          <w:rtl/>
        </w:rPr>
      </w:pPr>
      <w:r w:rsidRPr="00106DCF">
        <w:rPr>
          <w:rFonts w:hint="cs"/>
          <w:rtl/>
        </w:rPr>
        <w:t xml:space="preserve"> </w:t>
      </w:r>
    </w:p>
    <w:p w14:paraId="6E57DBF9" w14:textId="77777777" w:rsidR="00E01DDD" w:rsidRPr="00106DCF" w:rsidRDefault="00E01DDD" w:rsidP="00E01DDD">
      <w:pPr>
        <w:rPr>
          <w:rtl/>
        </w:rPr>
      </w:pPr>
    </w:p>
    <w:p w14:paraId="3B9ED65E" w14:textId="77777777" w:rsidR="00E01DDD" w:rsidRPr="00106DCF" w:rsidRDefault="00E01DDD" w:rsidP="00E01D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01DDD" w:rsidRPr="00106DCF" w14:paraId="1EA78F6F" w14:textId="77777777" w:rsidTr="00E01DDD">
        <w:trPr>
          <w:trHeight w:val="295"/>
          <w:jc w:val="center"/>
        </w:trPr>
        <w:tc>
          <w:tcPr>
            <w:tcW w:w="923" w:type="dxa"/>
            <w:tcBorders>
              <w:top w:val="nil"/>
              <w:left w:val="nil"/>
              <w:bottom w:val="nil"/>
              <w:right w:val="nil"/>
            </w:tcBorders>
            <w:shd w:val="clear" w:color="auto" w:fill="auto"/>
          </w:tcPr>
          <w:p w14:paraId="5792B82D" w14:textId="77777777" w:rsidR="00E01DDD" w:rsidRPr="00106DCF" w:rsidRDefault="00E01DDD" w:rsidP="00E01DDD">
            <w:pPr>
              <w:jc w:val="both"/>
              <w:rPr>
                <w:rFonts w:ascii="David" w:hAnsi="David"/>
                <w:sz w:val="26"/>
                <w:szCs w:val="26"/>
              </w:rPr>
            </w:pPr>
            <w:r w:rsidRPr="00106DC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2B082FF" w14:textId="77777777" w:rsidR="00E01DDD" w:rsidRPr="00106DCF" w:rsidRDefault="00E01DDD" w:rsidP="009C532B">
            <w:pPr>
              <w:rPr>
                <w:rFonts w:ascii="David" w:hAnsi="David"/>
                <w:b/>
                <w:bCs/>
                <w:sz w:val="26"/>
                <w:szCs w:val="26"/>
                <w:rtl/>
              </w:rPr>
            </w:pPr>
            <w:r w:rsidRPr="00106DCF">
              <w:rPr>
                <w:rFonts w:ascii="David" w:hAnsi="David"/>
                <w:b/>
                <w:bCs/>
                <w:sz w:val="26"/>
                <w:szCs w:val="26"/>
                <w:rtl/>
              </w:rPr>
              <w:t>כבוד השופט  אלכס אחטר</w:t>
            </w:r>
          </w:p>
          <w:p w14:paraId="389E32A6" w14:textId="77777777" w:rsidR="00E01DDD" w:rsidRPr="00106DCF" w:rsidRDefault="00E01DDD" w:rsidP="009C532B">
            <w:pPr>
              <w:rPr>
                <w:rFonts w:ascii="David" w:hAnsi="David"/>
                <w:sz w:val="26"/>
                <w:szCs w:val="26"/>
                <w:rtl/>
              </w:rPr>
            </w:pPr>
          </w:p>
          <w:p w14:paraId="2809E51F" w14:textId="77777777" w:rsidR="00E01DDD" w:rsidRPr="00106DCF" w:rsidRDefault="00E01DDD" w:rsidP="00E01DDD">
            <w:pPr>
              <w:jc w:val="both"/>
              <w:rPr>
                <w:rFonts w:ascii="David" w:hAnsi="David"/>
                <w:sz w:val="26"/>
                <w:szCs w:val="26"/>
              </w:rPr>
            </w:pPr>
          </w:p>
        </w:tc>
      </w:tr>
      <w:tr w:rsidR="00E01DDD" w:rsidRPr="00106DCF" w14:paraId="7F731770" w14:textId="77777777" w:rsidTr="00E01DDD">
        <w:trPr>
          <w:trHeight w:val="355"/>
          <w:jc w:val="center"/>
        </w:trPr>
        <w:tc>
          <w:tcPr>
            <w:tcW w:w="923" w:type="dxa"/>
            <w:tcBorders>
              <w:top w:val="nil"/>
              <w:left w:val="nil"/>
              <w:bottom w:val="nil"/>
              <w:right w:val="nil"/>
            </w:tcBorders>
            <w:shd w:val="clear" w:color="auto" w:fill="auto"/>
          </w:tcPr>
          <w:p w14:paraId="1D365F81" w14:textId="77777777" w:rsidR="00E01DDD" w:rsidRPr="00106DCF" w:rsidRDefault="00E01DDD" w:rsidP="00E01DDD">
            <w:pPr>
              <w:jc w:val="both"/>
              <w:rPr>
                <w:rFonts w:ascii="David" w:hAnsi="David"/>
                <w:sz w:val="26"/>
                <w:szCs w:val="26"/>
              </w:rPr>
            </w:pPr>
            <w:bookmarkStart w:id="2" w:name="FirstAppellant"/>
            <w:r w:rsidRPr="00106DCF">
              <w:rPr>
                <w:rFonts w:ascii="David" w:hAnsi="David"/>
                <w:sz w:val="26"/>
                <w:szCs w:val="26"/>
                <w:rtl/>
              </w:rPr>
              <w:t>בעניין:</w:t>
            </w:r>
          </w:p>
        </w:tc>
        <w:tc>
          <w:tcPr>
            <w:tcW w:w="3219" w:type="dxa"/>
            <w:tcBorders>
              <w:top w:val="nil"/>
              <w:left w:val="nil"/>
              <w:bottom w:val="nil"/>
              <w:right w:val="nil"/>
            </w:tcBorders>
            <w:shd w:val="clear" w:color="auto" w:fill="auto"/>
          </w:tcPr>
          <w:p w14:paraId="49FAAAF5" w14:textId="77777777" w:rsidR="00E01DDD" w:rsidRPr="00106DCF" w:rsidRDefault="00E01DDD" w:rsidP="00E01DDD">
            <w:pPr>
              <w:suppressLineNumbers/>
            </w:pPr>
            <w:r w:rsidRPr="00106DCF">
              <w:rPr>
                <w:rFonts w:ascii="Arial" w:hAnsi="Arial" w:hint="cs"/>
                <w:b/>
                <w:bCs/>
                <w:sz w:val="26"/>
                <w:szCs w:val="26"/>
                <w:rtl/>
              </w:rPr>
              <w:t>ה</w:t>
            </w:r>
            <w:r w:rsidRPr="00106DCF">
              <w:rPr>
                <w:rFonts w:ascii="Arial" w:hAnsi="Arial"/>
                <w:b/>
                <w:bCs/>
                <w:sz w:val="26"/>
                <w:szCs w:val="26"/>
                <w:rtl/>
              </w:rPr>
              <w:t>מאשימה</w:t>
            </w:r>
          </w:p>
          <w:p w14:paraId="307D63B4" w14:textId="77777777" w:rsidR="00E01DDD" w:rsidRPr="00106DCF" w:rsidRDefault="00E01DDD" w:rsidP="009C532B">
            <w:pPr>
              <w:rPr>
                <w:rFonts w:ascii="David" w:hAnsi="David"/>
                <w:sz w:val="26"/>
                <w:szCs w:val="26"/>
              </w:rPr>
            </w:pPr>
          </w:p>
        </w:tc>
        <w:tc>
          <w:tcPr>
            <w:tcW w:w="4678" w:type="dxa"/>
            <w:tcBorders>
              <w:top w:val="nil"/>
              <w:left w:val="nil"/>
              <w:bottom w:val="nil"/>
              <w:right w:val="nil"/>
            </w:tcBorders>
            <w:shd w:val="clear" w:color="auto" w:fill="auto"/>
            <w:vAlign w:val="center"/>
          </w:tcPr>
          <w:p w14:paraId="5566BD0B" w14:textId="77777777" w:rsidR="00E01DDD" w:rsidRPr="00106DCF" w:rsidRDefault="00E01DDD" w:rsidP="00E01DDD">
            <w:pPr>
              <w:suppressLineNumbers/>
            </w:pPr>
            <w:r w:rsidRPr="00106DCF">
              <w:rPr>
                <w:rFonts w:ascii="Arial" w:hAnsi="Arial"/>
                <w:b/>
                <w:bCs/>
                <w:sz w:val="26"/>
                <w:szCs w:val="26"/>
                <w:rtl/>
              </w:rPr>
              <w:t>מדינת ישראל</w:t>
            </w:r>
            <w:r w:rsidRPr="00106DCF">
              <w:rPr>
                <w:rFonts w:ascii="Arial" w:hAnsi="Arial" w:hint="cs"/>
                <w:b/>
                <w:bCs/>
                <w:sz w:val="26"/>
                <w:szCs w:val="26"/>
                <w:rtl/>
              </w:rPr>
              <w:t xml:space="preserve"> </w:t>
            </w:r>
            <w:r w:rsidRPr="00106DCF">
              <w:rPr>
                <w:rFonts w:ascii="Arial" w:hAnsi="Arial"/>
                <w:b/>
                <w:bCs/>
                <w:sz w:val="26"/>
                <w:szCs w:val="26"/>
                <w:rtl/>
              </w:rPr>
              <w:t>ע"י ב"כ עוה"ד</w:t>
            </w:r>
            <w:r w:rsidRPr="00106DCF">
              <w:rPr>
                <w:rFonts w:hint="cs"/>
                <w:b/>
                <w:bCs/>
                <w:rtl/>
              </w:rPr>
              <w:t xml:space="preserve"> מידד אזרזר</w:t>
            </w:r>
          </w:p>
          <w:p w14:paraId="616F21DD" w14:textId="77777777" w:rsidR="00E01DDD" w:rsidRPr="00106DCF" w:rsidRDefault="00E01DDD" w:rsidP="009C532B">
            <w:pPr>
              <w:rPr>
                <w:rFonts w:ascii="David" w:hAnsi="David"/>
                <w:sz w:val="26"/>
                <w:szCs w:val="26"/>
              </w:rPr>
            </w:pPr>
          </w:p>
        </w:tc>
      </w:tr>
      <w:bookmarkEnd w:id="2"/>
      <w:tr w:rsidR="00E01DDD" w:rsidRPr="00106DCF" w14:paraId="77C680AB" w14:textId="77777777" w:rsidTr="00E01DDD">
        <w:trPr>
          <w:trHeight w:val="355"/>
          <w:jc w:val="center"/>
        </w:trPr>
        <w:tc>
          <w:tcPr>
            <w:tcW w:w="923" w:type="dxa"/>
            <w:tcBorders>
              <w:top w:val="nil"/>
              <w:left w:val="nil"/>
              <w:bottom w:val="nil"/>
              <w:right w:val="nil"/>
            </w:tcBorders>
            <w:shd w:val="clear" w:color="auto" w:fill="auto"/>
          </w:tcPr>
          <w:p w14:paraId="7D572310" w14:textId="77777777" w:rsidR="00E01DDD" w:rsidRPr="00106DCF" w:rsidRDefault="00E01DDD" w:rsidP="00E01DD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2E914ED" w14:textId="77777777" w:rsidR="00E01DDD" w:rsidRPr="00106DCF" w:rsidRDefault="00E01DDD" w:rsidP="00E01DDD">
            <w:pPr>
              <w:jc w:val="center"/>
              <w:rPr>
                <w:rFonts w:ascii="David" w:hAnsi="David"/>
                <w:b/>
                <w:bCs/>
                <w:sz w:val="26"/>
                <w:szCs w:val="26"/>
                <w:rtl/>
              </w:rPr>
            </w:pPr>
          </w:p>
          <w:p w14:paraId="12D4822C" w14:textId="77777777" w:rsidR="00E01DDD" w:rsidRPr="00106DCF" w:rsidRDefault="00E01DDD" w:rsidP="00E01DDD">
            <w:pPr>
              <w:jc w:val="center"/>
              <w:rPr>
                <w:rFonts w:ascii="David" w:hAnsi="David"/>
                <w:b/>
                <w:bCs/>
                <w:sz w:val="26"/>
                <w:szCs w:val="26"/>
                <w:rtl/>
              </w:rPr>
            </w:pPr>
            <w:r w:rsidRPr="00106DCF">
              <w:rPr>
                <w:rFonts w:ascii="David" w:hAnsi="David"/>
                <w:b/>
                <w:bCs/>
                <w:sz w:val="26"/>
                <w:szCs w:val="26"/>
                <w:rtl/>
              </w:rPr>
              <w:t>נגד</w:t>
            </w:r>
          </w:p>
          <w:p w14:paraId="7D927CB1" w14:textId="77777777" w:rsidR="00E01DDD" w:rsidRPr="00106DCF" w:rsidRDefault="00E01DDD" w:rsidP="00E01DDD">
            <w:pPr>
              <w:jc w:val="both"/>
              <w:rPr>
                <w:rFonts w:ascii="David" w:hAnsi="David"/>
                <w:sz w:val="26"/>
                <w:szCs w:val="26"/>
              </w:rPr>
            </w:pPr>
          </w:p>
        </w:tc>
      </w:tr>
      <w:tr w:rsidR="00E01DDD" w:rsidRPr="00106DCF" w14:paraId="23514659" w14:textId="77777777" w:rsidTr="00E01DDD">
        <w:trPr>
          <w:trHeight w:val="355"/>
          <w:jc w:val="center"/>
        </w:trPr>
        <w:tc>
          <w:tcPr>
            <w:tcW w:w="923" w:type="dxa"/>
            <w:tcBorders>
              <w:top w:val="nil"/>
              <w:left w:val="nil"/>
              <w:bottom w:val="nil"/>
              <w:right w:val="nil"/>
            </w:tcBorders>
            <w:shd w:val="clear" w:color="auto" w:fill="auto"/>
          </w:tcPr>
          <w:p w14:paraId="15430F64" w14:textId="77777777" w:rsidR="00E01DDD" w:rsidRPr="00106DCF" w:rsidRDefault="00E01DDD" w:rsidP="009C532B">
            <w:pPr>
              <w:rPr>
                <w:rFonts w:ascii="David" w:hAnsi="David"/>
                <w:sz w:val="26"/>
                <w:szCs w:val="26"/>
                <w:rtl/>
              </w:rPr>
            </w:pPr>
          </w:p>
        </w:tc>
        <w:tc>
          <w:tcPr>
            <w:tcW w:w="3219" w:type="dxa"/>
            <w:tcBorders>
              <w:top w:val="nil"/>
              <w:left w:val="nil"/>
              <w:bottom w:val="nil"/>
              <w:right w:val="nil"/>
            </w:tcBorders>
            <w:shd w:val="clear" w:color="auto" w:fill="auto"/>
          </w:tcPr>
          <w:p w14:paraId="48B23F20" w14:textId="77777777" w:rsidR="00E01DDD" w:rsidRPr="00106DCF" w:rsidRDefault="00E01DDD" w:rsidP="009C532B">
            <w:pPr>
              <w:rPr>
                <w:rFonts w:ascii="Arial" w:hAnsi="Arial"/>
                <w:b/>
                <w:bCs/>
                <w:sz w:val="26"/>
                <w:szCs w:val="26"/>
                <w:rtl/>
              </w:rPr>
            </w:pPr>
            <w:r w:rsidRPr="00106DC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92C999F" w14:textId="77777777" w:rsidR="00E01DDD" w:rsidRPr="00106DCF" w:rsidRDefault="00E01DDD" w:rsidP="00E01DDD">
            <w:pPr>
              <w:suppressLineNumbers/>
            </w:pPr>
            <w:r w:rsidRPr="00106DCF">
              <w:rPr>
                <w:rFonts w:ascii="Arial" w:hAnsi="Arial"/>
                <w:b/>
                <w:bCs/>
                <w:sz w:val="26"/>
                <w:szCs w:val="26"/>
                <w:rtl/>
              </w:rPr>
              <w:t>ניצן וייס</w:t>
            </w:r>
            <w:r w:rsidRPr="00106DCF">
              <w:rPr>
                <w:rFonts w:ascii="Arial" w:hAnsi="Arial" w:hint="cs"/>
                <w:b/>
                <w:bCs/>
                <w:sz w:val="26"/>
                <w:szCs w:val="26"/>
                <w:rtl/>
              </w:rPr>
              <w:t xml:space="preserve"> </w:t>
            </w:r>
            <w:r w:rsidRPr="00106DCF">
              <w:rPr>
                <w:rFonts w:ascii="Arial" w:hAnsi="Arial"/>
                <w:b/>
                <w:bCs/>
                <w:sz w:val="26"/>
                <w:szCs w:val="26"/>
                <w:rtl/>
              </w:rPr>
              <w:t>ע"י ב"כ עוה"ד</w:t>
            </w:r>
            <w:r w:rsidRPr="00106DCF">
              <w:rPr>
                <w:rFonts w:hint="cs"/>
                <w:rtl/>
              </w:rPr>
              <w:t xml:space="preserve"> </w:t>
            </w:r>
            <w:r w:rsidRPr="00106DCF">
              <w:rPr>
                <w:rFonts w:hint="cs"/>
                <w:b/>
                <w:bCs/>
                <w:rtl/>
              </w:rPr>
              <w:t>גדעון קוסטא</w:t>
            </w:r>
          </w:p>
          <w:p w14:paraId="3F0E5149" w14:textId="77777777" w:rsidR="00E01DDD" w:rsidRPr="00106DCF" w:rsidRDefault="00E01DDD" w:rsidP="009C532B">
            <w:pPr>
              <w:rPr>
                <w:rFonts w:ascii="David" w:hAnsi="David"/>
                <w:sz w:val="26"/>
                <w:szCs w:val="26"/>
              </w:rPr>
            </w:pPr>
          </w:p>
        </w:tc>
      </w:tr>
    </w:tbl>
    <w:p w14:paraId="00047C3C" w14:textId="77777777" w:rsidR="00254BC9" w:rsidRDefault="00254BC9" w:rsidP="00A14765">
      <w:pPr>
        <w:rPr>
          <w:sz w:val="26"/>
          <w:szCs w:val="26"/>
          <w:rtl/>
        </w:rPr>
      </w:pPr>
      <w:bookmarkStart w:id="3" w:name="Links_Kitvei_Start"/>
    </w:p>
    <w:p w14:paraId="471EAA3E" w14:textId="77777777" w:rsidR="00254BC9" w:rsidRPr="00254BC9" w:rsidRDefault="00254BC9" w:rsidP="00254BC9">
      <w:pPr>
        <w:spacing w:after="120" w:line="240" w:lineRule="exact"/>
        <w:ind w:left="283" w:hanging="283"/>
        <w:jc w:val="both"/>
        <w:rPr>
          <w:rFonts w:ascii="FrankRuehl" w:hAnsi="FrankRuehl" w:cs="FrankRuehl"/>
          <w:rtl/>
        </w:rPr>
      </w:pPr>
    </w:p>
    <w:bookmarkEnd w:id="3"/>
    <w:p w14:paraId="7E75D8F3" w14:textId="77777777" w:rsidR="00254BC9" w:rsidRPr="00254BC9" w:rsidRDefault="00254BC9" w:rsidP="00254BC9">
      <w:pPr>
        <w:spacing w:after="120" w:line="240" w:lineRule="exact"/>
        <w:ind w:left="283" w:hanging="283"/>
        <w:jc w:val="both"/>
        <w:rPr>
          <w:rStyle w:val="Hyperlink"/>
          <w:rFonts w:ascii="FrankRuehl" w:hAnsi="FrankRuehl" w:cs="FrankRuehl"/>
          <w:u w:val="none"/>
        </w:rPr>
      </w:pPr>
      <w:r w:rsidRPr="00254BC9">
        <w:rPr>
          <w:rFonts w:ascii="FrankRuehl" w:hAnsi="FrankRuehl" w:cs="FrankRuehl"/>
          <w:rtl/>
        </w:rPr>
        <w:t>כתבי עת:</w:t>
      </w:r>
      <w:r w:rsidRPr="00254BC9">
        <w:rPr>
          <w:rFonts w:ascii="FrankRuehl" w:hAnsi="FrankRuehl" w:cs="FrankRuehl"/>
          <w:color w:val="0000FF"/>
          <w:rtl/>
        </w:rPr>
        <w:fldChar w:fldCharType="begin"/>
      </w:r>
      <w:r w:rsidRPr="00254BC9">
        <w:rPr>
          <w:rFonts w:ascii="FrankRuehl" w:hAnsi="FrankRuehl" w:cs="FrankRuehl"/>
          <w:color w:val="0000FF"/>
          <w:rtl/>
        </w:rPr>
        <w:instrText xml:space="preserve"> </w:instrText>
      </w:r>
      <w:r w:rsidRPr="00254BC9">
        <w:rPr>
          <w:rFonts w:ascii="FrankRuehl" w:hAnsi="FrankRuehl" w:cs="FrankRuehl"/>
          <w:color w:val="0000FF"/>
        </w:rPr>
        <w:instrText xml:space="preserve">HYPERLINK </w:instrText>
      </w:r>
      <w:r w:rsidRPr="00254BC9">
        <w:rPr>
          <w:rFonts w:ascii="FrankRuehl" w:hAnsi="FrankRuehl" w:cs="FrankRuehl"/>
          <w:color w:val="0000FF"/>
          <w:rtl/>
        </w:rPr>
        <w:instrText>"</w:instrText>
      </w:r>
      <w:r w:rsidRPr="00254BC9">
        <w:rPr>
          <w:rFonts w:ascii="FrankRuehl" w:hAnsi="FrankRuehl" w:cs="FrankRuehl"/>
          <w:color w:val="0000FF"/>
        </w:rPr>
        <w:instrText>http://www.nevo.co.il/safrut/book/974"</w:instrText>
      </w:r>
      <w:r w:rsidRPr="00254BC9">
        <w:rPr>
          <w:rFonts w:ascii="FrankRuehl" w:hAnsi="FrankRuehl" w:cs="FrankRuehl"/>
          <w:color w:val="0000FF"/>
          <w:rtl/>
        </w:rPr>
        <w:instrText xml:space="preserve"> </w:instrText>
      </w:r>
      <w:r w:rsidRPr="00254BC9">
        <w:rPr>
          <w:rFonts w:ascii="FrankRuehl" w:hAnsi="FrankRuehl" w:cs="FrankRuehl"/>
          <w:color w:val="0000FF"/>
          <w:rtl/>
        </w:rPr>
      </w:r>
      <w:r w:rsidRPr="00254BC9">
        <w:rPr>
          <w:rFonts w:ascii="FrankRuehl" w:hAnsi="FrankRuehl" w:cs="FrankRuehl"/>
          <w:color w:val="0000FF"/>
          <w:rtl/>
        </w:rPr>
        <w:fldChar w:fldCharType="separate"/>
      </w:r>
    </w:p>
    <w:p w14:paraId="0A10D479" w14:textId="77777777" w:rsidR="00254BC9" w:rsidRPr="00254BC9" w:rsidRDefault="00254BC9" w:rsidP="00254BC9">
      <w:pPr>
        <w:spacing w:after="120" w:line="240" w:lineRule="exact"/>
        <w:ind w:left="283" w:hanging="283"/>
        <w:jc w:val="both"/>
        <w:rPr>
          <w:rFonts w:ascii="FrankRuehl" w:hAnsi="FrankRuehl" w:cs="FrankRuehl"/>
        </w:rPr>
      </w:pPr>
      <w:r w:rsidRPr="00254BC9">
        <w:rPr>
          <w:rStyle w:val="Hyperlink"/>
          <w:rFonts w:ascii="FrankRuehl" w:hAnsi="FrankRuehl" w:cs="FrankRuehl"/>
          <w:u w:val="none"/>
          <w:rtl/>
        </w:rPr>
        <w:t>מרדכי בן דרור, "בית המשפט העליון - מבנה חדש והערכות חדשה", המשפט, א (תשנ"ג) 15</w:t>
      </w:r>
      <w:r w:rsidRPr="00254BC9">
        <w:rPr>
          <w:rFonts w:ascii="FrankRuehl" w:hAnsi="FrankRuehl" w:cs="FrankRuehl"/>
          <w:color w:val="0000FF"/>
          <w:rtl/>
        </w:rPr>
        <w:fldChar w:fldCharType="end"/>
      </w:r>
    </w:p>
    <w:p w14:paraId="42B3D28A" w14:textId="77777777" w:rsidR="00254BC9" w:rsidRDefault="00254BC9" w:rsidP="00254BC9">
      <w:pPr>
        <w:rPr>
          <w:sz w:val="26"/>
          <w:szCs w:val="26"/>
          <w:rtl/>
        </w:rPr>
      </w:pPr>
      <w:bookmarkStart w:id="4" w:name="Links_Kitvei_End"/>
      <w:bookmarkStart w:id="5" w:name="LawTable"/>
      <w:bookmarkEnd w:id="4"/>
      <w:bookmarkEnd w:id="5"/>
    </w:p>
    <w:p w14:paraId="07A0D4E6" w14:textId="77777777" w:rsidR="00254BC9" w:rsidRPr="00254BC9" w:rsidRDefault="00254BC9" w:rsidP="00254BC9">
      <w:pPr>
        <w:spacing w:before="120" w:after="120" w:line="240" w:lineRule="exact"/>
        <w:ind w:left="283" w:hanging="283"/>
        <w:jc w:val="both"/>
        <w:rPr>
          <w:rFonts w:ascii="FrankRuehl" w:hAnsi="FrankRuehl" w:cs="FrankRuehl"/>
          <w:rtl/>
        </w:rPr>
      </w:pPr>
    </w:p>
    <w:p w14:paraId="40142A16" w14:textId="77777777" w:rsidR="00254BC9" w:rsidRPr="00254BC9" w:rsidRDefault="00254BC9" w:rsidP="00254BC9">
      <w:pPr>
        <w:spacing w:before="120" w:after="120" w:line="240" w:lineRule="exact"/>
        <w:ind w:left="283" w:hanging="283"/>
        <w:jc w:val="both"/>
        <w:rPr>
          <w:rFonts w:ascii="FrankRuehl" w:hAnsi="FrankRuehl" w:cs="FrankRuehl"/>
          <w:rtl/>
        </w:rPr>
      </w:pPr>
    </w:p>
    <w:p w14:paraId="609F601D" w14:textId="77777777" w:rsidR="00254BC9" w:rsidRPr="00254BC9" w:rsidRDefault="00254BC9" w:rsidP="00254BC9">
      <w:pPr>
        <w:spacing w:before="120" w:after="120" w:line="240" w:lineRule="exact"/>
        <w:ind w:left="283" w:hanging="283"/>
        <w:jc w:val="both"/>
        <w:rPr>
          <w:rFonts w:ascii="FrankRuehl" w:hAnsi="FrankRuehl" w:cs="FrankRuehl"/>
          <w:rtl/>
        </w:rPr>
      </w:pPr>
      <w:r w:rsidRPr="00254BC9">
        <w:rPr>
          <w:rFonts w:ascii="FrankRuehl" w:hAnsi="FrankRuehl" w:cs="FrankRuehl"/>
          <w:rtl/>
        </w:rPr>
        <w:t xml:space="preserve">חקיקה שאוזכרה: </w:t>
      </w:r>
    </w:p>
    <w:p w14:paraId="5D37155F" w14:textId="77777777" w:rsidR="00254BC9" w:rsidRPr="00254BC9" w:rsidRDefault="00254BC9" w:rsidP="00254BC9">
      <w:pPr>
        <w:spacing w:before="120" w:after="120" w:line="240" w:lineRule="exact"/>
        <w:ind w:left="283" w:hanging="283"/>
        <w:jc w:val="both"/>
        <w:rPr>
          <w:rFonts w:ascii="FrankRuehl" w:hAnsi="FrankRuehl" w:cs="FrankRuehl"/>
          <w:rtl/>
        </w:rPr>
      </w:pPr>
      <w:hyperlink r:id="rId7" w:history="1">
        <w:r w:rsidRPr="00254BC9">
          <w:rPr>
            <w:rFonts w:ascii="FrankRuehl" w:hAnsi="FrankRuehl" w:cs="FrankRuehl"/>
            <w:color w:val="0000FF"/>
            <w:rtl/>
          </w:rPr>
          <w:t>פקודת הסמים המסוכנים [נוסח חדש], תשל"ג-1973</w:t>
        </w:r>
      </w:hyperlink>
      <w:r w:rsidRPr="00254BC9">
        <w:rPr>
          <w:rFonts w:ascii="FrankRuehl" w:hAnsi="FrankRuehl" w:cs="FrankRuehl"/>
          <w:rtl/>
        </w:rPr>
        <w:t xml:space="preserve">: סע'  </w:t>
      </w:r>
      <w:hyperlink r:id="rId8" w:history="1">
        <w:r w:rsidRPr="00254BC9">
          <w:rPr>
            <w:rFonts w:ascii="FrankRuehl" w:hAnsi="FrankRuehl" w:cs="FrankRuehl"/>
            <w:color w:val="0000FF"/>
            <w:rtl/>
          </w:rPr>
          <w:t>6</w:t>
        </w:r>
      </w:hyperlink>
      <w:r w:rsidRPr="00254BC9">
        <w:rPr>
          <w:rFonts w:ascii="FrankRuehl" w:hAnsi="FrankRuehl" w:cs="FrankRuehl"/>
          <w:rtl/>
        </w:rPr>
        <w:t xml:space="preserve">, </w:t>
      </w:r>
      <w:hyperlink r:id="rId9" w:history="1">
        <w:r w:rsidRPr="00254BC9">
          <w:rPr>
            <w:rFonts w:ascii="FrankRuehl" w:hAnsi="FrankRuehl" w:cs="FrankRuehl"/>
            <w:color w:val="0000FF"/>
            <w:rtl/>
          </w:rPr>
          <w:t>7.א.</w:t>
        </w:r>
      </w:hyperlink>
      <w:r w:rsidRPr="00254BC9">
        <w:rPr>
          <w:rFonts w:ascii="FrankRuehl" w:hAnsi="FrankRuehl" w:cs="FrankRuehl"/>
          <w:rtl/>
        </w:rPr>
        <w:t xml:space="preserve">, </w:t>
      </w:r>
      <w:hyperlink r:id="rId10" w:history="1">
        <w:r w:rsidRPr="00254BC9">
          <w:rPr>
            <w:rFonts w:ascii="FrankRuehl" w:hAnsi="FrankRuehl" w:cs="FrankRuehl"/>
            <w:color w:val="0000FF"/>
            <w:rtl/>
          </w:rPr>
          <w:t>7.ג</w:t>
        </w:r>
      </w:hyperlink>
    </w:p>
    <w:p w14:paraId="253BB960" w14:textId="77777777" w:rsidR="00254BC9" w:rsidRPr="00254BC9" w:rsidRDefault="00254BC9" w:rsidP="00254BC9">
      <w:pPr>
        <w:spacing w:before="120" w:after="120" w:line="240" w:lineRule="exact"/>
        <w:ind w:left="283" w:hanging="283"/>
        <w:jc w:val="both"/>
        <w:rPr>
          <w:rFonts w:ascii="FrankRuehl" w:hAnsi="FrankRuehl" w:cs="FrankRuehl"/>
          <w:rtl/>
        </w:rPr>
      </w:pPr>
      <w:hyperlink r:id="rId11" w:history="1">
        <w:r w:rsidRPr="00254BC9">
          <w:rPr>
            <w:rFonts w:ascii="FrankRuehl" w:hAnsi="FrankRuehl" w:cs="FrankRuehl"/>
            <w:color w:val="0000FF"/>
            <w:rtl/>
          </w:rPr>
          <w:t>חוק העונשין, תשל"ז-1977</w:t>
        </w:r>
      </w:hyperlink>
      <w:r w:rsidRPr="00254BC9">
        <w:rPr>
          <w:rFonts w:ascii="FrankRuehl" w:hAnsi="FrankRuehl" w:cs="FrankRuehl"/>
          <w:rtl/>
        </w:rPr>
        <w:t xml:space="preserve">: סע'  </w:t>
      </w:r>
      <w:hyperlink r:id="rId12" w:history="1">
        <w:r w:rsidRPr="00254BC9">
          <w:rPr>
            <w:rFonts w:ascii="FrankRuehl" w:hAnsi="FrankRuehl" w:cs="FrankRuehl"/>
            <w:color w:val="0000FF"/>
            <w:rtl/>
          </w:rPr>
          <w:t>40ד'</w:t>
        </w:r>
      </w:hyperlink>
      <w:r w:rsidRPr="00254BC9">
        <w:rPr>
          <w:rFonts w:ascii="FrankRuehl" w:hAnsi="FrankRuehl" w:cs="FrankRuehl"/>
          <w:rtl/>
        </w:rPr>
        <w:t xml:space="preserve">, </w:t>
      </w:r>
      <w:hyperlink r:id="rId13" w:history="1">
        <w:r w:rsidRPr="00254BC9">
          <w:rPr>
            <w:rFonts w:ascii="FrankRuehl" w:hAnsi="FrankRuehl" w:cs="FrankRuehl"/>
            <w:color w:val="0000FF"/>
            <w:rtl/>
          </w:rPr>
          <w:t>40 ה'</w:t>
        </w:r>
      </w:hyperlink>
      <w:r w:rsidRPr="00254BC9">
        <w:rPr>
          <w:rFonts w:ascii="FrankRuehl" w:hAnsi="FrankRuehl" w:cs="FrankRuehl"/>
          <w:rtl/>
        </w:rPr>
        <w:t xml:space="preserve">, </w:t>
      </w:r>
      <w:hyperlink r:id="rId14" w:history="1">
        <w:r w:rsidRPr="00254BC9">
          <w:rPr>
            <w:rFonts w:ascii="FrankRuehl" w:hAnsi="FrankRuehl" w:cs="FrankRuehl"/>
            <w:color w:val="0000FF"/>
            <w:rtl/>
          </w:rPr>
          <w:t>40ט'</w:t>
        </w:r>
      </w:hyperlink>
      <w:r w:rsidRPr="00254BC9">
        <w:rPr>
          <w:rFonts w:ascii="FrankRuehl" w:hAnsi="FrankRuehl" w:cs="FrankRuehl"/>
          <w:rtl/>
        </w:rPr>
        <w:t xml:space="preserve">, </w:t>
      </w:r>
      <w:hyperlink r:id="rId15" w:history="1">
        <w:r w:rsidRPr="00254BC9">
          <w:rPr>
            <w:rFonts w:ascii="FrankRuehl" w:hAnsi="FrankRuehl" w:cs="FrankRuehl"/>
            <w:color w:val="0000FF"/>
            <w:rtl/>
          </w:rPr>
          <w:t>40יא'</w:t>
        </w:r>
      </w:hyperlink>
    </w:p>
    <w:p w14:paraId="7F4365DF" w14:textId="77777777" w:rsidR="00254BC9" w:rsidRPr="00254BC9" w:rsidRDefault="00254BC9" w:rsidP="00254BC9">
      <w:pPr>
        <w:rPr>
          <w:sz w:val="26"/>
          <w:szCs w:val="26"/>
          <w:rtl/>
        </w:rPr>
      </w:pPr>
      <w:bookmarkStart w:id="6" w:name="LawTable_End"/>
      <w:bookmarkEnd w:id="6"/>
    </w:p>
    <w:p w14:paraId="57A81F96" w14:textId="77777777" w:rsidR="00E01DDD" w:rsidRPr="00254BC9" w:rsidRDefault="00E01DDD" w:rsidP="00A1476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01DDD" w14:paraId="4C3FD9CC" w14:textId="77777777" w:rsidTr="00E01DDD">
        <w:trPr>
          <w:trHeight w:val="355"/>
          <w:jc w:val="center"/>
        </w:trPr>
        <w:tc>
          <w:tcPr>
            <w:tcW w:w="8820" w:type="dxa"/>
            <w:tcBorders>
              <w:top w:val="nil"/>
              <w:left w:val="nil"/>
              <w:bottom w:val="nil"/>
              <w:right w:val="nil"/>
            </w:tcBorders>
            <w:shd w:val="clear" w:color="auto" w:fill="auto"/>
          </w:tcPr>
          <w:p w14:paraId="67D095D5" w14:textId="77777777" w:rsidR="00106DCF" w:rsidRPr="00106DCF" w:rsidRDefault="00106DCF" w:rsidP="00106DCF">
            <w:pPr>
              <w:jc w:val="center"/>
              <w:rPr>
                <w:rFonts w:ascii="David" w:hAnsi="David"/>
                <w:b/>
                <w:bCs/>
                <w:sz w:val="32"/>
                <w:szCs w:val="32"/>
                <w:u w:val="single"/>
                <w:rtl/>
              </w:rPr>
            </w:pPr>
            <w:bookmarkStart w:id="7" w:name="PsakDin" w:colFirst="0" w:colLast="0"/>
            <w:bookmarkEnd w:id="0"/>
            <w:bookmarkEnd w:id="1"/>
            <w:r w:rsidRPr="00106DCF">
              <w:rPr>
                <w:rFonts w:ascii="David" w:hAnsi="David"/>
                <w:b/>
                <w:bCs/>
                <w:sz w:val="32"/>
                <w:szCs w:val="32"/>
                <w:u w:val="single"/>
                <w:rtl/>
              </w:rPr>
              <w:t>גזר דין</w:t>
            </w:r>
          </w:p>
          <w:p w14:paraId="4810EC23" w14:textId="77777777" w:rsidR="00E01DDD" w:rsidRPr="00106DCF" w:rsidRDefault="00E01DDD" w:rsidP="00106DCF">
            <w:pPr>
              <w:jc w:val="center"/>
              <w:rPr>
                <w:rFonts w:ascii="David" w:hAnsi="David"/>
                <w:bCs/>
                <w:sz w:val="32"/>
                <w:szCs w:val="32"/>
                <w:u w:val="single"/>
                <w:rtl/>
              </w:rPr>
            </w:pPr>
          </w:p>
        </w:tc>
      </w:tr>
      <w:bookmarkEnd w:id="7"/>
    </w:tbl>
    <w:p w14:paraId="48935434" w14:textId="77777777" w:rsidR="00E01DDD" w:rsidRPr="004C6AEA" w:rsidRDefault="00E01DDD" w:rsidP="00E01DDD">
      <w:pPr>
        <w:spacing w:after="160" w:line="360" w:lineRule="auto"/>
        <w:rPr>
          <w:rFonts w:ascii="David" w:eastAsia="Calibri" w:hAnsi="David"/>
          <w:b/>
          <w:bCs/>
        </w:rPr>
      </w:pPr>
    </w:p>
    <w:p w14:paraId="57123AB6" w14:textId="77777777" w:rsidR="00E01DDD" w:rsidRPr="004C6AEA" w:rsidRDefault="00E01DDD" w:rsidP="00E01DDD">
      <w:pPr>
        <w:numPr>
          <w:ilvl w:val="0"/>
          <w:numId w:val="1"/>
        </w:numPr>
        <w:spacing w:after="160" w:line="360" w:lineRule="auto"/>
        <w:contextualSpacing/>
        <w:jc w:val="both"/>
        <w:rPr>
          <w:rFonts w:ascii="David" w:eastAsia="Calibri" w:hAnsi="David"/>
          <w:rtl/>
        </w:rPr>
      </w:pPr>
      <w:bookmarkStart w:id="8" w:name="ABSTRACT_START"/>
      <w:bookmarkEnd w:id="8"/>
      <w:r w:rsidRPr="004C6AEA">
        <w:rPr>
          <w:rFonts w:ascii="David" w:eastAsia="Calibri" w:hAnsi="David"/>
          <w:rtl/>
        </w:rPr>
        <w:t xml:space="preserve">הנאשם הורשע על פי הודאתו בעבירות המיוחסות לו בכתב האישום: </w:t>
      </w:r>
      <w:r w:rsidRPr="004C6AEA">
        <w:rPr>
          <w:rFonts w:ascii="David" w:eastAsia="Calibri" w:hAnsi="David"/>
          <w:b/>
          <w:bCs/>
          <w:rtl/>
        </w:rPr>
        <w:t>החזקה או שימוש בסמים שלא לצריכה עצמית</w:t>
      </w:r>
      <w:r w:rsidRPr="004C6AEA">
        <w:rPr>
          <w:rFonts w:ascii="David" w:eastAsia="Calibri" w:hAnsi="David"/>
          <w:rtl/>
        </w:rPr>
        <w:t xml:space="preserve"> – עבירה לפי </w:t>
      </w:r>
      <w:hyperlink r:id="rId16" w:history="1">
        <w:r w:rsidR="00AE6DE6" w:rsidRPr="00AE6DE6">
          <w:rPr>
            <w:rStyle w:val="Hyperlink"/>
            <w:rFonts w:ascii="David" w:eastAsia="Calibri" w:hAnsi="David"/>
            <w:rtl/>
          </w:rPr>
          <w:t>סעיף 7(א)+(ג)</w:t>
        </w:r>
      </w:hyperlink>
      <w:r w:rsidRPr="004C6AEA">
        <w:rPr>
          <w:rFonts w:ascii="David" w:eastAsia="Calibri" w:hAnsi="David"/>
          <w:rtl/>
        </w:rPr>
        <w:t xml:space="preserve"> רישא ל</w:t>
      </w:r>
      <w:hyperlink r:id="rId17" w:history="1">
        <w:r w:rsidR="00106DCF" w:rsidRPr="00106DCF">
          <w:rPr>
            <w:rFonts w:ascii="David" w:eastAsia="Calibri" w:hAnsi="David"/>
            <w:color w:val="0000FF"/>
            <w:u w:val="single"/>
            <w:rtl/>
          </w:rPr>
          <w:t>פקודת הסמים המסוכנים</w:t>
        </w:r>
      </w:hyperlink>
      <w:r w:rsidRPr="004C6AEA">
        <w:rPr>
          <w:rFonts w:ascii="David" w:eastAsia="Calibri" w:hAnsi="David"/>
          <w:rtl/>
        </w:rPr>
        <w:t xml:space="preserve"> (נוסח חדש), התשל"ג – 1973.  גידול, ייצור הכנה והפקה של סם מסוכן – עבירה לפי </w:t>
      </w:r>
      <w:hyperlink r:id="rId18" w:history="1">
        <w:r w:rsidR="00AE6DE6" w:rsidRPr="00AE6DE6">
          <w:rPr>
            <w:rStyle w:val="Hyperlink"/>
            <w:rFonts w:ascii="David" w:eastAsia="Calibri" w:hAnsi="David"/>
            <w:rtl/>
          </w:rPr>
          <w:t>סעיף 6</w:t>
        </w:r>
      </w:hyperlink>
      <w:r w:rsidRPr="004C6AEA">
        <w:rPr>
          <w:rFonts w:ascii="David" w:eastAsia="Calibri" w:hAnsi="David"/>
          <w:rtl/>
        </w:rPr>
        <w:t xml:space="preserve"> ל</w:t>
      </w:r>
      <w:hyperlink r:id="rId19" w:history="1">
        <w:r w:rsidR="00106DCF" w:rsidRPr="00106DCF">
          <w:rPr>
            <w:rFonts w:ascii="David" w:eastAsia="Calibri" w:hAnsi="David"/>
            <w:color w:val="0000FF"/>
            <w:u w:val="single"/>
            <w:rtl/>
          </w:rPr>
          <w:t>פקודת הסמים המסוכנים</w:t>
        </w:r>
      </w:hyperlink>
      <w:r w:rsidRPr="004C6AEA">
        <w:rPr>
          <w:rFonts w:ascii="David" w:eastAsia="Calibri" w:hAnsi="David"/>
          <w:rtl/>
        </w:rPr>
        <w:t xml:space="preserve"> (נוסח חדש), התשל"ג – 1973. </w:t>
      </w:r>
    </w:p>
    <w:p w14:paraId="71634091" w14:textId="77777777" w:rsidR="00E01DDD" w:rsidRPr="004C6AEA" w:rsidRDefault="00E01DDD" w:rsidP="00E01DDD">
      <w:pPr>
        <w:spacing w:after="160" w:line="360" w:lineRule="auto"/>
        <w:ind w:left="720"/>
        <w:contextualSpacing/>
        <w:jc w:val="both"/>
        <w:rPr>
          <w:rFonts w:ascii="David" w:eastAsia="Calibri" w:hAnsi="David"/>
        </w:rPr>
      </w:pPr>
      <w:bookmarkStart w:id="9" w:name="ABSTRACT_END"/>
      <w:bookmarkEnd w:id="9"/>
    </w:p>
    <w:p w14:paraId="07B0DC76"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הצדדים הגיעו להסדר בדבר הסכמה עונשית, מאסר שריצויו יהיה בדרך של עבודות שירות</w:t>
      </w:r>
      <w:r w:rsidRPr="004C6AEA">
        <w:rPr>
          <w:rFonts w:ascii="Calibri" w:eastAsia="Calibri" w:hAnsi="Calibri" w:cs="Arial"/>
          <w:sz w:val="22"/>
          <w:szCs w:val="22"/>
          <w:rtl/>
        </w:rPr>
        <w:t xml:space="preserve"> </w:t>
      </w:r>
      <w:r w:rsidRPr="004C6AEA">
        <w:rPr>
          <w:rFonts w:ascii="David" w:eastAsia="Calibri" w:hAnsi="David"/>
          <w:rtl/>
        </w:rPr>
        <w:t xml:space="preserve">לצד ענישה הצופה פני עתיד וקנס וכן לאמץ כל ענישה נוספת לרבות צו מבחן, כאשר כל אחד מהצדדים יוכל לטעון באשר </w:t>
      </w:r>
      <w:r>
        <w:rPr>
          <w:rFonts w:ascii="David" w:eastAsia="Calibri" w:hAnsi="David" w:hint="cs"/>
          <w:rtl/>
        </w:rPr>
        <w:t>למשך</w:t>
      </w:r>
      <w:r w:rsidRPr="004C6AEA">
        <w:rPr>
          <w:rFonts w:ascii="David" w:eastAsia="Calibri" w:hAnsi="David"/>
          <w:rtl/>
        </w:rPr>
        <w:t xml:space="preserve"> תקופת המאסר אותה ירצה הנאשם בעבודות שירות. המאשימה עותרת לתקופה שלא תפחת מתשעה חודשים לצד ענישה נלווית ואילו </w:t>
      </w:r>
      <w:r w:rsidRPr="004C6AEA">
        <w:rPr>
          <w:rFonts w:ascii="David" w:eastAsia="Calibri" w:hAnsi="David"/>
          <w:rtl/>
        </w:rPr>
        <w:lastRenderedPageBreak/>
        <w:t xml:space="preserve">ב"כ הנאשם טוען כי יש להסתפק בהמלצת שירות המבחן לצו של"צ ולחילופין לנוכח הסכמת הצדדים, על תקופה קצרה של עבודות שירות. הצדדים הסכימו על חילוט הציוד והשמדת המוצגים. </w:t>
      </w:r>
    </w:p>
    <w:p w14:paraId="27064FFE" w14:textId="77777777" w:rsidR="00E01DDD" w:rsidRPr="004C6AEA" w:rsidRDefault="00E01DDD" w:rsidP="00E01DDD">
      <w:pPr>
        <w:spacing w:after="160" w:line="360" w:lineRule="auto"/>
        <w:ind w:left="720"/>
        <w:contextualSpacing/>
        <w:jc w:val="both"/>
        <w:rPr>
          <w:rFonts w:ascii="David" w:eastAsia="Calibri" w:hAnsi="David"/>
          <w:rtl/>
        </w:rPr>
      </w:pPr>
    </w:p>
    <w:p w14:paraId="383794CC"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יצוין כי  ביום 19.7.23, לאחר שטענו הצדדים בפניי,  נדחתה בקשת המאשימה להכריז על הנאשם כסוחר סמים מן הטעם כי סעד זה לא הוזכר בכתב האיש</w:t>
      </w:r>
      <w:r>
        <w:rPr>
          <w:rFonts w:ascii="David" w:eastAsia="Calibri" w:hAnsi="David"/>
          <w:rtl/>
        </w:rPr>
        <w:t>ום, לנוכח מועד העלאת  הבקשה, ול</w:t>
      </w:r>
      <w:r>
        <w:rPr>
          <w:rFonts w:ascii="David" w:eastAsia="Calibri" w:hAnsi="David" w:hint="cs"/>
          <w:rtl/>
        </w:rPr>
        <w:t>נ</w:t>
      </w:r>
      <w:r w:rsidRPr="004C6AEA">
        <w:rPr>
          <w:rFonts w:ascii="David" w:eastAsia="Calibri" w:hAnsi="David"/>
          <w:rtl/>
        </w:rPr>
        <w:t>וכח הנימוקים המיוחדים המפורטים בתסקיר שירות המבחן אשר יש בהם להצדיק את דחיית  הבקשה להצהיר על הנאשם כסוחר סמים ולהורות על חילוט כספו.</w:t>
      </w:r>
    </w:p>
    <w:p w14:paraId="47542190" w14:textId="77777777" w:rsidR="00E01DDD" w:rsidRPr="004C6AEA" w:rsidRDefault="00E01DDD" w:rsidP="00E01DDD">
      <w:pPr>
        <w:spacing w:after="160" w:line="360" w:lineRule="auto"/>
        <w:ind w:left="720"/>
        <w:contextualSpacing/>
        <w:jc w:val="both"/>
        <w:rPr>
          <w:rFonts w:ascii="David" w:eastAsia="Calibri" w:hAnsi="David"/>
        </w:rPr>
      </w:pPr>
    </w:p>
    <w:p w14:paraId="019867C9" w14:textId="77777777" w:rsidR="00E01DDD" w:rsidRPr="004C6AEA" w:rsidRDefault="00E01DDD" w:rsidP="00E01DDD">
      <w:pPr>
        <w:spacing w:after="160" w:line="360" w:lineRule="auto"/>
        <w:ind w:left="720"/>
        <w:contextualSpacing/>
        <w:jc w:val="both"/>
        <w:rPr>
          <w:rFonts w:ascii="David" w:eastAsia="Calibri" w:hAnsi="David"/>
          <w:b/>
          <w:bCs/>
          <w:u w:val="single"/>
          <w:rtl/>
        </w:rPr>
      </w:pPr>
      <w:r w:rsidRPr="004C6AEA">
        <w:rPr>
          <w:rFonts w:ascii="David" w:eastAsia="Calibri" w:hAnsi="David"/>
          <w:b/>
          <w:bCs/>
          <w:u w:val="single"/>
          <w:rtl/>
        </w:rPr>
        <w:t>כתב האישום</w:t>
      </w:r>
    </w:p>
    <w:p w14:paraId="4ED22EA9"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כעולה מעובדות כתב האישום ביום 13.4.22 בסמוך לשעה 14:40, בוצע חיפוש משטרתי כדין בביתו של הנאשם. במהלך החיפוש התגלה כי הנאשם גידל בביתו 32 שתילים של סם מסוג קנבוס במשקל כולל של 12.75796 ק"ג נטו. </w:t>
      </w:r>
    </w:p>
    <w:p w14:paraId="7054DC6A" w14:textId="77777777" w:rsidR="00E01DDD" w:rsidRPr="004C6AEA" w:rsidRDefault="00E01DDD" w:rsidP="00E01DDD">
      <w:pPr>
        <w:spacing w:after="160" w:line="256" w:lineRule="auto"/>
        <w:ind w:left="720"/>
        <w:contextualSpacing/>
        <w:rPr>
          <w:rFonts w:ascii="David" w:eastAsia="Calibri" w:hAnsi="David"/>
        </w:rPr>
      </w:pPr>
    </w:p>
    <w:p w14:paraId="0298BDB5"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כמו כן, נמצא כי הנאשם החזיק במרתף הבית, בתוך 16 אדניות ובשלוש שקיות סם מסוג</w:t>
      </w:r>
      <w:r>
        <w:rPr>
          <w:rFonts w:ascii="David" w:eastAsia="Calibri" w:hAnsi="David"/>
          <w:rtl/>
        </w:rPr>
        <w:t xml:space="preserve"> קנבוס במשקל כולל של 1.81153 ק"</w:t>
      </w:r>
      <w:r>
        <w:rPr>
          <w:rFonts w:ascii="David" w:eastAsia="Calibri" w:hAnsi="David" w:hint="cs"/>
          <w:rtl/>
        </w:rPr>
        <w:t>ג</w:t>
      </w:r>
      <w:r w:rsidRPr="004C6AEA">
        <w:rPr>
          <w:rFonts w:ascii="David" w:eastAsia="Calibri" w:hAnsi="David"/>
          <w:rtl/>
        </w:rPr>
        <w:t xml:space="preserve"> נטו וזאת שלא לצריכה עצמית, שלא כדין וללא אישור המנהל. </w:t>
      </w:r>
    </w:p>
    <w:p w14:paraId="38B26B26" w14:textId="77777777" w:rsidR="00E01DDD" w:rsidRPr="004C6AEA" w:rsidRDefault="00E01DDD" w:rsidP="00E01DDD">
      <w:pPr>
        <w:spacing w:after="160" w:line="256" w:lineRule="auto"/>
        <w:ind w:left="720"/>
        <w:contextualSpacing/>
        <w:rPr>
          <w:rFonts w:ascii="David" w:eastAsia="Calibri" w:hAnsi="David"/>
        </w:rPr>
      </w:pPr>
    </w:p>
    <w:p w14:paraId="2FC55298"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לצורך גידול הסמים, הנאשם השתמש בציוד רב לגידול חקלאי כפי המפורט בכתב האישום. עוד נתפסו במסגרת החיפוש, סכומי כסף כדלקמן: 25,000 ₪ ו- 240$. </w:t>
      </w:r>
    </w:p>
    <w:p w14:paraId="3FFE6E21" w14:textId="77777777" w:rsidR="00E01DDD" w:rsidRPr="004C6AEA" w:rsidRDefault="00E01DDD" w:rsidP="00E01DDD">
      <w:pPr>
        <w:spacing w:after="160" w:line="256" w:lineRule="auto"/>
        <w:ind w:left="720"/>
        <w:contextualSpacing/>
        <w:rPr>
          <w:rFonts w:ascii="David" w:eastAsia="Calibri" w:hAnsi="David"/>
        </w:rPr>
      </w:pPr>
    </w:p>
    <w:p w14:paraId="1ED3CAD2"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במעשיו המתוארים לעיל, ביצע הנאשם עבירות כדלקמן: </w:t>
      </w:r>
    </w:p>
    <w:p w14:paraId="3E18A42B" w14:textId="77777777" w:rsidR="00E01DDD" w:rsidRPr="004C6AEA" w:rsidRDefault="00E01DDD" w:rsidP="00E01DDD">
      <w:pPr>
        <w:spacing w:after="160" w:line="256" w:lineRule="auto"/>
        <w:ind w:left="720"/>
        <w:contextualSpacing/>
        <w:rPr>
          <w:rFonts w:ascii="David" w:eastAsia="Calibri" w:hAnsi="David"/>
        </w:rPr>
      </w:pPr>
    </w:p>
    <w:p w14:paraId="525EE335"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א. גידל, ייצר הפיק והכין סם מסוכן מסוג קנבוס במשקל כולל של 12.7 ק"ג נטו, ללא היתר וללא רישיון ושלא לצריכתו העצמית. </w:t>
      </w:r>
    </w:p>
    <w:p w14:paraId="1D3F3D13" w14:textId="77777777" w:rsidR="00E01DDD" w:rsidRPr="004C6AEA" w:rsidRDefault="00E01DDD" w:rsidP="00E01DDD">
      <w:pPr>
        <w:spacing w:after="160" w:line="256" w:lineRule="auto"/>
        <w:ind w:left="720"/>
        <w:contextualSpacing/>
        <w:rPr>
          <w:rFonts w:ascii="David" w:eastAsia="Calibri" w:hAnsi="David"/>
        </w:rPr>
      </w:pPr>
    </w:p>
    <w:p w14:paraId="1E16CD0F"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ב. החזיק סם מסוכן מסוג קנבוס במשקל כולל של 1.8 ק"ג נטו, ללא היתר וללא רישיון ושלא לצריכה עצמית. </w:t>
      </w:r>
    </w:p>
    <w:p w14:paraId="6BC5730A" w14:textId="77777777" w:rsidR="00E01DDD" w:rsidRPr="004C6AEA" w:rsidRDefault="00E01DDD" w:rsidP="00E01DDD">
      <w:pPr>
        <w:spacing w:after="160" w:line="256" w:lineRule="auto"/>
        <w:ind w:left="720"/>
        <w:contextualSpacing/>
        <w:rPr>
          <w:rFonts w:ascii="David" w:eastAsia="Calibri" w:hAnsi="David"/>
        </w:rPr>
      </w:pPr>
    </w:p>
    <w:p w14:paraId="10DB487D"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ג. החזיק ברשותו כלים המשמשים להכנת ולגידול סם מסוכן, ללא היתר וללא רישיון, מאת המנהל, שלא לצריכתו העצמית וכן נתפסו אצלו סכומי כסף כפי שפורט לעיל. </w:t>
      </w:r>
    </w:p>
    <w:p w14:paraId="47788EA5" w14:textId="77777777" w:rsidR="00E01DDD" w:rsidRPr="004C6AEA" w:rsidRDefault="00E01DDD" w:rsidP="00E01DDD">
      <w:pPr>
        <w:spacing w:after="160" w:line="256" w:lineRule="auto"/>
        <w:ind w:left="720"/>
        <w:contextualSpacing/>
        <w:rPr>
          <w:rFonts w:ascii="David" w:eastAsia="Calibri" w:hAnsi="David"/>
          <w:b/>
          <w:bCs/>
          <w:u w:val="single"/>
        </w:rPr>
      </w:pPr>
    </w:p>
    <w:p w14:paraId="7705225C" w14:textId="77777777" w:rsidR="00E01DDD" w:rsidRDefault="00E01DDD" w:rsidP="00E01DDD">
      <w:pPr>
        <w:spacing w:after="160" w:line="256" w:lineRule="auto"/>
        <w:ind w:left="720"/>
        <w:contextualSpacing/>
        <w:rPr>
          <w:rFonts w:ascii="David" w:eastAsia="Calibri" w:hAnsi="David"/>
          <w:b/>
          <w:bCs/>
          <w:u w:val="single"/>
          <w:rtl/>
        </w:rPr>
      </w:pPr>
      <w:r w:rsidRPr="004C6AEA">
        <w:rPr>
          <w:rFonts w:ascii="David" w:eastAsia="Calibri" w:hAnsi="David"/>
          <w:b/>
          <w:bCs/>
          <w:u w:val="single"/>
          <w:rtl/>
        </w:rPr>
        <w:t>תסקיר שירות המבחן</w:t>
      </w:r>
    </w:p>
    <w:p w14:paraId="1B041C22" w14:textId="77777777" w:rsidR="00E01DDD" w:rsidRPr="004C6AEA" w:rsidRDefault="00E01DDD" w:rsidP="00E01DDD">
      <w:pPr>
        <w:spacing w:after="160" w:line="256" w:lineRule="auto"/>
        <w:ind w:left="720"/>
        <w:contextualSpacing/>
        <w:rPr>
          <w:rFonts w:ascii="David" w:eastAsia="Calibri" w:hAnsi="David"/>
          <w:b/>
          <w:bCs/>
          <w:u w:val="single"/>
          <w:rtl/>
        </w:rPr>
      </w:pPr>
    </w:p>
    <w:p w14:paraId="07B80FCF" w14:textId="77777777" w:rsidR="00E01DDD" w:rsidRPr="004C6AEA" w:rsidRDefault="00E01DDD" w:rsidP="00E01DDD">
      <w:pPr>
        <w:numPr>
          <w:ilvl w:val="0"/>
          <w:numId w:val="1"/>
        </w:numPr>
        <w:spacing w:after="160" w:line="360" w:lineRule="auto"/>
        <w:contextualSpacing/>
        <w:jc w:val="both"/>
        <w:rPr>
          <w:rFonts w:ascii="David" w:eastAsia="Calibri" w:hAnsi="David"/>
          <w:rtl/>
        </w:rPr>
      </w:pPr>
      <w:r w:rsidRPr="004C6AEA">
        <w:rPr>
          <w:rFonts w:ascii="David" w:eastAsia="Calibri" w:hAnsi="David"/>
          <w:rtl/>
        </w:rPr>
        <w:t xml:space="preserve">הנאשם הורשע בעבירות המיוחסות לו בכתב האישום וזאת בהתאם להודאתו מיום 6.9.22. במועד זה הגיעו הצדדים להסכמה דיונית לפיה עניינו יעבור לשירות המבחן וכלל שיתקבל תסקיר חיובי, יטענו הצדדים לענישה בדמות מאסר שירוצה בעבודות שירות לתקופה שתיקבע על ידי בית המשפט וכן ענישה הצופה פני עתיד וקנס.  </w:t>
      </w:r>
    </w:p>
    <w:p w14:paraId="3B43284E" w14:textId="77777777" w:rsidR="00E01DDD" w:rsidRPr="004C6AEA" w:rsidRDefault="00E01DDD" w:rsidP="00E01DDD">
      <w:pPr>
        <w:spacing w:after="160" w:line="360" w:lineRule="auto"/>
        <w:ind w:left="720"/>
        <w:contextualSpacing/>
        <w:jc w:val="both"/>
        <w:rPr>
          <w:rFonts w:ascii="David" w:eastAsia="Calibri" w:hAnsi="David"/>
        </w:rPr>
      </w:pPr>
    </w:p>
    <w:p w14:paraId="1A6E0357" w14:textId="77777777" w:rsidR="00E01DDD" w:rsidRPr="004C6AEA" w:rsidRDefault="00E01DDD" w:rsidP="00E01DDD">
      <w:pPr>
        <w:spacing w:after="160" w:line="360" w:lineRule="auto"/>
        <w:ind w:left="720"/>
        <w:contextualSpacing/>
        <w:jc w:val="both"/>
        <w:rPr>
          <w:rFonts w:ascii="David" w:eastAsia="Calibri" w:hAnsi="David"/>
        </w:rPr>
      </w:pPr>
      <w:r w:rsidRPr="004C6AEA">
        <w:rPr>
          <w:rFonts w:ascii="David" w:eastAsia="Calibri" w:hAnsi="David"/>
          <w:rtl/>
        </w:rPr>
        <w:t>ביום 16.04.23 הוגש תסקיר לפיו הנאשם שיתף פעולה באופן מלא, הביע חרטה ונטל אחריות על מעשיו. הנאשם תואר כבעל ערכים אישיותיים נורמטיביים, חרף נסיבות חיים מורכבות ומצב נפשי ורגשי לא פשוט. צוין כי ההליך המשפטי הנוכחי מהווה גורם מרתיע עבורו וכי הסיכוי להישנות עבירות דומות פחת על רקע הכרתו במצבו הנפשי ופנייתו לטיפול מותאם, הוצאת רישיון לשימוש בקנבוס והכרתו כנכה במשרד הביטחון.</w:t>
      </w:r>
    </w:p>
    <w:p w14:paraId="0982F3A1" w14:textId="77777777" w:rsidR="00E01DDD" w:rsidRPr="004C6AEA" w:rsidRDefault="00E01DDD" w:rsidP="00E01DDD">
      <w:pPr>
        <w:spacing w:after="160" w:line="360" w:lineRule="auto"/>
        <w:ind w:left="720"/>
        <w:contextualSpacing/>
        <w:jc w:val="both"/>
        <w:rPr>
          <w:rFonts w:ascii="David" w:eastAsia="Calibri" w:hAnsi="David"/>
        </w:rPr>
      </w:pPr>
    </w:p>
    <w:p w14:paraId="7FC924DA"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עוד צוין כי הליך טיפולי יהווה גורם מייצב ומחזק ויסייע להפחתת הסיכון להישנות התנהגות עבריינית. על כן הומלץ להעמידו לצו מבחן למשך שנה בפיקוח מול גורמי טיפול כשבסופה יוגש תסקיר מסכם. </w:t>
      </w:r>
    </w:p>
    <w:p w14:paraId="6297B654" w14:textId="77777777" w:rsidR="00E01DDD" w:rsidRPr="004C6AEA" w:rsidRDefault="00E01DDD" w:rsidP="00E01DDD">
      <w:pPr>
        <w:spacing w:after="160" w:line="360" w:lineRule="auto"/>
        <w:ind w:left="720"/>
        <w:contextualSpacing/>
        <w:jc w:val="both"/>
        <w:rPr>
          <w:rFonts w:ascii="David" w:eastAsia="Calibri" w:hAnsi="David"/>
        </w:rPr>
      </w:pPr>
    </w:p>
    <w:p w14:paraId="713AAD86"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לגבי ענישה  שתרוצה בעבודות שירות, עלה חשש בתסקיר כי ענישה מסוג זה עלולה להוות גורם דחק, אשר יכולה להוביל לנסיגה במצבו ותקשה עליו להשקיע את המשאבים הרגשיים בטיפול ובשמירה על תפקוד תעסוקתיים כגורמים התורמים משמעותית ליציבות בחייו. </w:t>
      </w:r>
    </w:p>
    <w:p w14:paraId="731FD4EE" w14:textId="77777777" w:rsidR="00E01DDD" w:rsidRPr="004C6AEA" w:rsidRDefault="00E01DDD" w:rsidP="00E01DDD">
      <w:pPr>
        <w:spacing w:after="160" w:line="360" w:lineRule="auto"/>
        <w:ind w:left="720"/>
        <w:contextualSpacing/>
        <w:jc w:val="both"/>
        <w:rPr>
          <w:rFonts w:ascii="David" w:eastAsia="Calibri" w:hAnsi="David"/>
        </w:rPr>
      </w:pPr>
    </w:p>
    <w:p w14:paraId="273893FE"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עוד נכתב כי ככל שבית המשפט יטיל צו לשל"צ בהיקף משמעותי של 300 שעות, תגובש תכנית של"צ מתאימה שתוגש לאישור בית המשפט, כאשר במקרה הנדון יש בתכנית כזו כדי להציב לנאשם גבול הרתעתי ברור למעשיו לצד שיקולי שיקומו. </w:t>
      </w:r>
    </w:p>
    <w:p w14:paraId="40922F8B" w14:textId="77777777" w:rsidR="00E01DDD" w:rsidRPr="004C6AEA" w:rsidRDefault="00E01DDD" w:rsidP="00E01DDD">
      <w:pPr>
        <w:spacing w:after="160" w:line="360" w:lineRule="auto"/>
        <w:ind w:left="720"/>
        <w:contextualSpacing/>
        <w:rPr>
          <w:rFonts w:ascii="David" w:eastAsia="Calibri" w:hAnsi="David"/>
        </w:rPr>
      </w:pPr>
    </w:p>
    <w:p w14:paraId="4336D125"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 </w:t>
      </w:r>
      <w:r w:rsidRPr="004C6AEA">
        <w:rPr>
          <w:rFonts w:ascii="David" w:eastAsia="Calibri" w:hAnsi="David" w:hint="cs"/>
          <w:rtl/>
        </w:rPr>
        <w:t>ביום 19.7.23 הוגשה חוות דעת לפיה הנאשם נמצא מתאים לביצוע עבודות שירות במועצה המקומית זיכרון יעקב החל מיום 12.9.23.</w:t>
      </w:r>
    </w:p>
    <w:p w14:paraId="290256A1" w14:textId="77777777" w:rsidR="00E01DDD" w:rsidRPr="004C6AEA" w:rsidRDefault="00E01DDD" w:rsidP="00E01DDD">
      <w:pPr>
        <w:spacing w:after="160" w:line="360" w:lineRule="auto"/>
        <w:ind w:left="720"/>
        <w:contextualSpacing/>
        <w:jc w:val="both"/>
        <w:rPr>
          <w:rFonts w:ascii="David" w:eastAsia="Calibri" w:hAnsi="David"/>
        </w:rPr>
      </w:pPr>
    </w:p>
    <w:p w14:paraId="59C21E53" w14:textId="77777777" w:rsidR="00E01DDD" w:rsidRPr="004C6AEA" w:rsidRDefault="00E01DDD" w:rsidP="00E01DDD">
      <w:pPr>
        <w:spacing w:after="160" w:line="360" w:lineRule="auto"/>
        <w:ind w:left="720"/>
        <w:contextualSpacing/>
        <w:jc w:val="both"/>
        <w:rPr>
          <w:rFonts w:ascii="David" w:eastAsia="Calibri" w:hAnsi="David"/>
          <w:b/>
          <w:bCs/>
          <w:u w:val="single"/>
          <w:rtl/>
        </w:rPr>
      </w:pPr>
      <w:r w:rsidRPr="004C6AEA">
        <w:rPr>
          <w:rFonts w:ascii="David" w:eastAsia="Calibri" w:hAnsi="David"/>
          <w:b/>
          <w:bCs/>
          <w:u w:val="single"/>
          <w:rtl/>
        </w:rPr>
        <w:t>טיעוני הצדדים</w:t>
      </w:r>
    </w:p>
    <w:p w14:paraId="07124D11"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ביום 19/7/23 נשמעו בפני טיעוני הצדדים לעונש. המאשימה הגישה תמונות (ת/1) החדר בו גודל  הסם, השתילים והציוד. </w:t>
      </w:r>
    </w:p>
    <w:p w14:paraId="642342C4" w14:textId="77777777" w:rsidR="00E01DDD" w:rsidRPr="004C6AEA" w:rsidRDefault="00E01DDD" w:rsidP="00E01DDD">
      <w:pPr>
        <w:spacing w:after="160" w:line="360" w:lineRule="auto"/>
        <w:ind w:left="720"/>
        <w:contextualSpacing/>
        <w:jc w:val="both"/>
        <w:rPr>
          <w:rFonts w:ascii="David" w:eastAsia="Calibri" w:hAnsi="David"/>
        </w:rPr>
      </w:pPr>
    </w:p>
    <w:p w14:paraId="37C53EE2"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המאשימה טענה כי עצם הסטייה ממתחם הענישה בעבירות בהן הורשע הנאשם מצדיקה  עונש של 9 חודשי </w:t>
      </w:r>
      <w:r>
        <w:rPr>
          <w:rFonts w:ascii="David" w:eastAsia="Calibri" w:hAnsi="David" w:hint="cs"/>
          <w:rtl/>
        </w:rPr>
        <w:t>מאסר ב</w:t>
      </w:r>
      <w:r w:rsidRPr="004C6AEA">
        <w:rPr>
          <w:rFonts w:ascii="David" w:eastAsia="Calibri" w:hAnsi="David"/>
          <w:rtl/>
        </w:rPr>
        <w:t xml:space="preserve">עבודות שירות, עונש אשר לוקח בחשבון את הנסיבות הקונקרטיות של הנאשם ושל העבירות בהן הורשע. המאשימה הפנתה למקרים דומים לשיטתה, אשר גם בהם התחשבו בעובדה כי לנאשמים שם לא היו עבר פלילי או הרשעות קודמות ונקבעו מאסרים בפועל ועל כן ראוי לקבוע מאסר בדרך של עבודות שירות שלא יפחת מתשעה חודשים לצד ענישה נלווית. </w:t>
      </w:r>
      <w:r w:rsidRPr="004C6AEA">
        <w:rPr>
          <w:rFonts w:ascii="David" w:eastAsia="Calibri" w:hAnsi="David"/>
          <w:u w:val="single"/>
          <w:rtl/>
        </w:rPr>
        <w:t>המאשימה הפנתה לפסיקה מטעמה</w:t>
      </w:r>
      <w:r w:rsidRPr="004C6AEA">
        <w:rPr>
          <w:rFonts w:ascii="David" w:eastAsia="Calibri" w:hAnsi="David"/>
          <w:rtl/>
        </w:rPr>
        <w:t>:</w:t>
      </w:r>
    </w:p>
    <w:p w14:paraId="250A2A3D" w14:textId="77777777" w:rsidR="00E01DDD" w:rsidRPr="004C6AEA" w:rsidRDefault="00E01DDD" w:rsidP="00E01DDD">
      <w:pPr>
        <w:spacing w:after="160" w:line="360" w:lineRule="auto"/>
        <w:ind w:left="720"/>
        <w:contextualSpacing/>
        <w:jc w:val="both"/>
        <w:rPr>
          <w:rFonts w:ascii="David" w:eastAsia="Calibri" w:hAnsi="David"/>
        </w:rPr>
      </w:pPr>
    </w:p>
    <w:p w14:paraId="12031A3D" w14:textId="77777777" w:rsidR="00E01DDD" w:rsidRPr="004C6AEA" w:rsidRDefault="00106DCF" w:rsidP="00E01DDD">
      <w:pPr>
        <w:spacing w:after="160" w:line="360" w:lineRule="auto"/>
        <w:ind w:left="720"/>
        <w:contextualSpacing/>
        <w:jc w:val="both"/>
        <w:rPr>
          <w:rFonts w:ascii="David" w:eastAsia="Calibri" w:hAnsi="David"/>
          <w:rtl/>
        </w:rPr>
      </w:pPr>
      <w:hyperlink r:id="rId20" w:history="1">
        <w:r w:rsidRPr="00106DCF">
          <w:rPr>
            <w:rFonts w:ascii="David" w:eastAsia="Calibri" w:hAnsi="David"/>
            <w:color w:val="0000FF"/>
            <w:u w:val="single"/>
            <w:rtl/>
          </w:rPr>
          <w:t>רע"פ 666/20</w:t>
        </w:r>
      </w:hyperlink>
      <w:r w:rsidR="00E01DDD" w:rsidRPr="004C6AEA">
        <w:rPr>
          <w:rFonts w:ascii="David" w:eastAsia="Calibri" w:hAnsi="David"/>
          <w:rtl/>
        </w:rPr>
        <w:t xml:space="preserve"> </w:t>
      </w:r>
      <w:r w:rsidR="00E01DDD" w:rsidRPr="004C6AEA">
        <w:rPr>
          <w:rFonts w:ascii="David" w:eastAsia="Calibri" w:hAnsi="David"/>
          <w:b/>
          <w:bCs/>
          <w:rtl/>
        </w:rPr>
        <w:t>עידן יהושע נ' מדינת ישראל</w:t>
      </w:r>
      <w:r w:rsidR="00E01DDD" w:rsidRPr="004C6AEA">
        <w:rPr>
          <w:rFonts w:ascii="David" w:eastAsia="Calibri" w:hAnsi="David"/>
          <w:rtl/>
        </w:rPr>
        <w:t xml:space="preserve"> (03.02.20) –נדחתה בקשת ערעור של נאשם שבית המשפט המחוזי דחה אף הוא, והותיר את העונש שקבע בית המשפט השלום של מאסר בפועל ל-12 חודשים לצד ענישה נלווית, לאחר שהורשע  בגידול למעלה ממאה שתילי סם והחזיק ב- 1.7 ק"ג סם וציוד רב, כאשר הנאשם סבל מתסמונת אספרגר ו- </w:t>
      </w:r>
      <w:r w:rsidR="00E01DDD" w:rsidRPr="004C6AEA">
        <w:rPr>
          <w:rFonts w:ascii="David" w:eastAsia="Calibri" w:hAnsi="David"/>
        </w:rPr>
        <w:t>OCD</w:t>
      </w:r>
      <w:r w:rsidR="00E01DDD" w:rsidRPr="004C6AEA">
        <w:rPr>
          <w:rFonts w:ascii="David" w:eastAsia="Calibri" w:hAnsi="David"/>
          <w:rtl/>
        </w:rPr>
        <w:t xml:space="preserve"> </w:t>
      </w:r>
      <w:r w:rsidR="00E01DDD" w:rsidRPr="004C6AEA">
        <w:rPr>
          <w:rFonts w:ascii="David" w:eastAsia="Calibri" w:hAnsi="David" w:hint="cs"/>
          <w:rtl/>
        </w:rPr>
        <w:t>נעדר עבר פלילי שהחל בטיפול בטרם ההליך הפלילי והוגש בעניינו תסקיר עם המלצה טיפולית.</w:t>
      </w:r>
    </w:p>
    <w:p w14:paraId="1C1252DB" w14:textId="77777777" w:rsidR="00E01DDD" w:rsidRPr="004C6AEA" w:rsidRDefault="00E01DDD" w:rsidP="00E01DDD">
      <w:pPr>
        <w:spacing w:after="160" w:line="360" w:lineRule="auto"/>
        <w:ind w:left="720"/>
        <w:contextualSpacing/>
        <w:jc w:val="both"/>
        <w:rPr>
          <w:rFonts w:ascii="David" w:eastAsia="Calibri" w:hAnsi="David"/>
        </w:rPr>
      </w:pPr>
    </w:p>
    <w:p w14:paraId="060153FC" w14:textId="77777777" w:rsidR="00E01DDD" w:rsidRPr="004C6AEA" w:rsidRDefault="00106DCF" w:rsidP="00E01DDD">
      <w:pPr>
        <w:spacing w:after="160" w:line="360" w:lineRule="auto"/>
        <w:ind w:left="720"/>
        <w:contextualSpacing/>
        <w:jc w:val="both"/>
        <w:rPr>
          <w:rFonts w:ascii="David" w:eastAsia="Calibri" w:hAnsi="David"/>
          <w:rtl/>
        </w:rPr>
      </w:pPr>
      <w:hyperlink r:id="rId21" w:history="1">
        <w:r w:rsidRPr="00106DCF">
          <w:rPr>
            <w:rFonts w:ascii="David" w:eastAsia="Calibri" w:hAnsi="David"/>
            <w:color w:val="0000FF"/>
            <w:u w:val="single"/>
            <w:rtl/>
          </w:rPr>
          <w:t>רע"פ 513/21</w:t>
        </w:r>
      </w:hyperlink>
      <w:r w:rsidR="00E01DDD" w:rsidRPr="004C6AEA">
        <w:rPr>
          <w:rFonts w:ascii="David" w:eastAsia="Calibri" w:hAnsi="David"/>
          <w:rtl/>
        </w:rPr>
        <w:t xml:space="preserve"> </w:t>
      </w:r>
      <w:r w:rsidR="00E01DDD" w:rsidRPr="004C6AEA">
        <w:rPr>
          <w:rFonts w:ascii="David" w:eastAsia="Calibri" w:hAnsi="David"/>
          <w:b/>
          <w:bCs/>
          <w:rtl/>
        </w:rPr>
        <w:t>עידן יהושע נ' מדינת ישראל</w:t>
      </w:r>
      <w:r w:rsidR="00E01DDD" w:rsidRPr="004C6AEA">
        <w:rPr>
          <w:rFonts w:ascii="David" w:eastAsia="Calibri" w:hAnsi="David"/>
          <w:rtl/>
        </w:rPr>
        <w:t xml:space="preserve"> (04.03.21) – נדחתה בקשת ערעור של נאשם שבית המשפט המחוזי החמיר את עונשו מצו של"צ ל-10 חודשי מאסר בפועל לאחר שהורשע בגידול 60 שתילי קנביס במשקל של 10 ק"ג כאשר הנאשם אדם נורמטיבי, נעדר עבר פלילי שהחל בטיפול בטרם ההליך הפלילי והוגש בעניינו תסקיר עם המלצה טיפולית. נאמר כי בית המשפט המחוזי שם דגש על מדיניות הענישה בעבירת גידול סמים שככלל מצדיקה הטלת עונשי מאסר בפועל ואין בכך עיוות דין.</w:t>
      </w:r>
    </w:p>
    <w:p w14:paraId="7BFF9567" w14:textId="77777777" w:rsidR="00E01DDD" w:rsidRPr="004C6AEA" w:rsidRDefault="00E01DDD" w:rsidP="00E01DDD">
      <w:pPr>
        <w:spacing w:after="160" w:line="360" w:lineRule="auto"/>
        <w:ind w:left="720"/>
        <w:contextualSpacing/>
        <w:jc w:val="both"/>
        <w:rPr>
          <w:rFonts w:ascii="David" w:eastAsia="Calibri" w:hAnsi="David"/>
        </w:rPr>
      </w:pPr>
    </w:p>
    <w:p w14:paraId="17138CBA"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b/>
          <w:bCs/>
          <w:rtl/>
        </w:rPr>
        <w:t>מנגד</w:t>
      </w:r>
      <w:r w:rsidRPr="004C6AEA">
        <w:rPr>
          <w:rFonts w:ascii="David" w:eastAsia="Calibri" w:hAnsi="David"/>
          <w:rtl/>
        </w:rPr>
        <w:t xml:space="preserve">, חזר הסניגור על נסיבותיו האישיות המורכבות של הנאשם, על עברו הצבאי ואישיותו הצבאית (נ/1) ועל פנייתו לעזרה (נ/2) כמו גם להמלצות תסקיר המבחן. הסניגור טען כי הנאשם אב לשלושה קטינים וביקש כי אם בית המשפט לא יקבל את המלצת שירות המבחן כלשונה בתסקיר, יגזור על הנאשם מאסר שירוצו בעבודות שירות לתקופה קצובה וקצרה לצורך שיקומו. </w:t>
      </w:r>
      <w:r w:rsidRPr="004C6AEA">
        <w:rPr>
          <w:rFonts w:ascii="David" w:eastAsia="Calibri" w:hAnsi="David"/>
          <w:u w:val="single"/>
          <w:rtl/>
        </w:rPr>
        <w:t>הסניגור הפנה לפסיקה מטעמו</w:t>
      </w:r>
      <w:r w:rsidRPr="004C6AEA">
        <w:rPr>
          <w:rFonts w:ascii="David" w:eastAsia="Calibri" w:hAnsi="David"/>
          <w:rtl/>
        </w:rPr>
        <w:t>:</w:t>
      </w:r>
    </w:p>
    <w:p w14:paraId="640A7C3B" w14:textId="77777777" w:rsidR="00E01DDD" w:rsidRPr="004C6AEA" w:rsidRDefault="00E01DDD" w:rsidP="00E01DDD">
      <w:pPr>
        <w:spacing w:after="160" w:line="360" w:lineRule="auto"/>
        <w:ind w:left="720"/>
        <w:contextualSpacing/>
        <w:jc w:val="both"/>
        <w:rPr>
          <w:rFonts w:ascii="David" w:eastAsia="Calibri" w:hAnsi="David"/>
        </w:rPr>
      </w:pPr>
    </w:p>
    <w:p w14:paraId="014CDA46"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ע"פ </w:t>
      </w:r>
      <w:hyperlink r:id="rId22" w:history="1">
        <w:r w:rsidR="00A14765" w:rsidRPr="00A14765">
          <w:rPr>
            <w:rFonts w:ascii="David" w:eastAsia="Calibri" w:hAnsi="David"/>
            <w:color w:val="0000FF"/>
            <w:u w:val="single"/>
            <w:rtl/>
          </w:rPr>
          <w:t xml:space="preserve">28110-10-15 </w:t>
        </w:r>
      </w:hyperlink>
      <w:r w:rsidRPr="004C6AEA">
        <w:rPr>
          <w:rFonts w:ascii="David" w:eastAsia="Calibri" w:hAnsi="David"/>
          <w:rtl/>
        </w:rPr>
        <w:t xml:space="preserve"> </w:t>
      </w:r>
      <w:r w:rsidRPr="004C6AEA">
        <w:rPr>
          <w:rFonts w:ascii="David" w:eastAsia="Calibri" w:hAnsi="David"/>
          <w:b/>
          <w:bCs/>
          <w:rtl/>
        </w:rPr>
        <w:t>מ"י נ' עידן דוד</w:t>
      </w:r>
      <w:r w:rsidRPr="004C6AEA">
        <w:rPr>
          <w:rFonts w:ascii="David" w:eastAsia="Calibri" w:hAnsi="David"/>
          <w:rtl/>
        </w:rPr>
        <w:t xml:space="preserve"> (17.12.15)- נדחתה בקשת ערעור של המאשימה על קביעת בית המשפט לפיה עונשו של הנאשם יוותר עבודות של"צ מאסר על תנאי וקנס, לאחר שהורשע בגידול 21 שתילי קנביס והחזיק בסם מסוג קנבוס במשקל של 3.6 ק"ג כאשר הנאשם סובל מסוכרת, בעל נסיבות חיים לא פשוטות, מצוקתו הנפשית, היותו נעדר עבר פלילי והוגש בעניינו תסקיר עם המלצה טיפולית והימנעות מהרשעה.</w:t>
      </w:r>
    </w:p>
    <w:p w14:paraId="7C5E660D" w14:textId="77777777" w:rsidR="00E01DDD" w:rsidRPr="004C6AEA" w:rsidRDefault="00E01DDD" w:rsidP="00E01DDD">
      <w:pPr>
        <w:spacing w:after="160" w:line="360" w:lineRule="auto"/>
        <w:ind w:left="720"/>
        <w:contextualSpacing/>
        <w:jc w:val="both"/>
        <w:rPr>
          <w:rFonts w:ascii="David" w:eastAsia="Calibri" w:hAnsi="David"/>
        </w:rPr>
      </w:pPr>
    </w:p>
    <w:p w14:paraId="4C7DEA86" w14:textId="77777777" w:rsidR="00E01DDD" w:rsidRPr="004C6AEA" w:rsidRDefault="00106DCF" w:rsidP="00E01DDD">
      <w:pPr>
        <w:spacing w:after="160" w:line="360" w:lineRule="auto"/>
        <w:ind w:left="720"/>
        <w:contextualSpacing/>
        <w:jc w:val="both"/>
        <w:rPr>
          <w:rFonts w:ascii="David" w:eastAsia="Calibri" w:hAnsi="David"/>
        </w:rPr>
      </w:pPr>
      <w:hyperlink r:id="rId23" w:history="1">
        <w:r w:rsidRPr="00106DCF">
          <w:rPr>
            <w:rFonts w:ascii="David" w:eastAsia="Calibri" w:hAnsi="David"/>
            <w:color w:val="0000FF"/>
            <w:u w:val="single"/>
            <w:rtl/>
          </w:rPr>
          <w:t>ת"פ 10814-01-20</w:t>
        </w:r>
      </w:hyperlink>
      <w:r w:rsidR="00E01DDD" w:rsidRPr="004C6AEA">
        <w:rPr>
          <w:rFonts w:ascii="David" w:eastAsia="Calibri" w:hAnsi="David"/>
          <w:rtl/>
        </w:rPr>
        <w:t xml:space="preserve"> </w:t>
      </w:r>
      <w:r w:rsidR="00E01DDD" w:rsidRPr="004C6AEA">
        <w:rPr>
          <w:rFonts w:ascii="David" w:eastAsia="Calibri" w:hAnsi="David"/>
          <w:b/>
          <w:bCs/>
          <w:rtl/>
        </w:rPr>
        <w:t>מ"י נ' ד'מ'</w:t>
      </w:r>
      <w:r w:rsidR="00E01DDD" w:rsidRPr="004C6AEA">
        <w:rPr>
          <w:rFonts w:ascii="David" w:eastAsia="Calibri" w:hAnsi="David"/>
          <w:rtl/>
        </w:rPr>
        <w:t xml:space="preserve"> (19.7.21) - נגזר עונשו של נאשם שהורשע בגידול 44 שתילי קנביס במשקל של 13.86 ק"ג לחמישה חודשי מאסר שירוצו בעבודות שירות, פיקוח שירות המבחן, מאסר על תנאי וקנס כאשר הנאשם אדם נורמטיבי, נעדר עבר פלילי שהחל בטיפול בטרם ההליך הפלילי והוגש בעניינו תסקיר עם המלצה טיפולית.</w:t>
      </w:r>
    </w:p>
    <w:p w14:paraId="159AE7FB" w14:textId="77777777" w:rsidR="00E01DDD" w:rsidRPr="004C6AEA" w:rsidRDefault="00E01DDD" w:rsidP="00E01DDD">
      <w:pPr>
        <w:spacing w:after="160" w:line="360" w:lineRule="auto"/>
        <w:ind w:left="720"/>
        <w:contextualSpacing/>
        <w:jc w:val="both"/>
        <w:rPr>
          <w:rFonts w:ascii="David" w:eastAsia="Calibri" w:hAnsi="David"/>
        </w:rPr>
      </w:pPr>
    </w:p>
    <w:p w14:paraId="72C23EBB"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b/>
          <w:bCs/>
          <w:u w:val="single"/>
          <w:rtl/>
        </w:rPr>
        <w:t>דיון והכרעה</w:t>
      </w:r>
    </w:p>
    <w:p w14:paraId="20ED6EC4"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תיקון 113 ל</w:t>
      </w:r>
      <w:hyperlink r:id="rId24" w:history="1">
        <w:r w:rsidR="00106DCF" w:rsidRPr="00106DCF">
          <w:rPr>
            <w:rFonts w:ascii="David" w:eastAsia="Calibri" w:hAnsi="David"/>
            <w:color w:val="0000FF"/>
            <w:u w:val="single"/>
            <w:rtl/>
          </w:rPr>
          <w:t>חוק העונשין</w:t>
        </w:r>
      </w:hyperlink>
      <w:r w:rsidRPr="004C6AEA">
        <w:rPr>
          <w:rFonts w:ascii="David" w:eastAsia="Calibri" w:hAnsi="David"/>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5" w:history="1">
        <w:r w:rsidR="00AE6DE6" w:rsidRPr="00AE6DE6">
          <w:rPr>
            <w:rStyle w:val="Hyperlink"/>
            <w:rFonts w:ascii="David" w:eastAsia="Calibri" w:hAnsi="David"/>
            <w:rtl/>
          </w:rPr>
          <w:t>בסעיף 40ט'</w:t>
        </w:r>
      </w:hyperlink>
      <w:r w:rsidRPr="004C6AEA">
        <w:rPr>
          <w:rFonts w:ascii="David" w:eastAsia="Calibri" w:hAnsi="David"/>
          <w:rtl/>
        </w:rPr>
        <w:t xml:space="preserve"> ל</w:t>
      </w:r>
      <w:hyperlink r:id="rId26" w:history="1">
        <w:r w:rsidR="00106DCF" w:rsidRPr="00106DCF">
          <w:rPr>
            <w:rFonts w:ascii="David" w:eastAsia="Calibri" w:hAnsi="David"/>
            <w:color w:val="0000FF"/>
            <w:u w:val="single"/>
            <w:rtl/>
          </w:rPr>
          <w:t>חוק העונשין</w:t>
        </w:r>
      </w:hyperlink>
      <w:r w:rsidRPr="004C6AEA">
        <w:rPr>
          <w:rFonts w:ascii="David" w:eastAsia="Calibri" w:hAnsi="David"/>
          <w:rtl/>
        </w:rPr>
        <w:t xml:space="preserve">. </w:t>
      </w:r>
    </w:p>
    <w:p w14:paraId="4FBF1F28" w14:textId="77777777" w:rsidR="00E01DDD" w:rsidRPr="004C6AEA" w:rsidRDefault="00E01DDD" w:rsidP="00E01DDD">
      <w:pPr>
        <w:spacing w:after="160" w:line="360" w:lineRule="auto"/>
        <w:ind w:left="720"/>
        <w:contextualSpacing/>
        <w:jc w:val="both"/>
        <w:rPr>
          <w:rFonts w:ascii="David" w:eastAsia="Calibri" w:hAnsi="David"/>
        </w:rPr>
      </w:pPr>
    </w:p>
    <w:p w14:paraId="721B2615"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7" w:history="1">
        <w:r w:rsidR="00AE6DE6" w:rsidRPr="00AE6DE6">
          <w:rPr>
            <w:rStyle w:val="Hyperlink"/>
            <w:rFonts w:ascii="David" w:eastAsia="Calibri" w:hAnsi="David"/>
            <w:rtl/>
          </w:rPr>
          <w:t>בסעיף 40יא'</w:t>
        </w:r>
      </w:hyperlink>
      <w:r w:rsidRPr="004C6AEA">
        <w:rPr>
          <w:rFonts w:ascii="David" w:eastAsia="Calibri" w:hAnsi="David"/>
          <w:rtl/>
        </w:rPr>
        <w:t xml:space="preserve"> לחוק. </w:t>
      </w:r>
    </w:p>
    <w:p w14:paraId="1690EAB1" w14:textId="77777777" w:rsidR="00E01DDD" w:rsidRPr="004C6AEA" w:rsidRDefault="00E01DDD" w:rsidP="00E01DDD">
      <w:pPr>
        <w:spacing w:after="160" w:line="360" w:lineRule="auto"/>
        <w:ind w:left="720"/>
        <w:contextualSpacing/>
        <w:jc w:val="both"/>
        <w:rPr>
          <w:rFonts w:ascii="David" w:eastAsia="Calibri" w:hAnsi="David"/>
        </w:rPr>
      </w:pPr>
    </w:p>
    <w:p w14:paraId="508853E7"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בית המשפט רשאי לחרוג ממתחם העונש ההולם בשל שיקולי שיקום או הגנה על שלום הציבור לפי </w:t>
      </w:r>
      <w:hyperlink r:id="rId28" w:history="1">
        <w:r w:rsidR="00AE6DE6" w:rsidRPr="00AE6DE6">
          <w:rPr>
            <w:rStyle w:val="Hyperlink"/>
            <w:rFonts w:ascii="David" w:eastAsia="Calibri" w:hAnsi="David"/>
            <w:rtl/>
          </w:rPr>
          <w:t>סעיפים 40ד'</w:t>
        </w:r>
      </w:hyperlink>
      <w:r w:rsidRPr="004C6AEA">
        <w:rPr>
          <w:rFonts w:ascii="David" w:eastAsia="Calibri" w:hAnsi="David"/>
          <w:rtl/>
        </w:rPr>
        <w:t xml:space="preserve"> ו</w:t>
      </w:r>
      <w:hyperlink r:id="rId29" w:history="1">
        <w:r w:rsidR="00AE6DE6" w:rsidRPr="00AE6DE6">
          <w:rPr>
            <w:rStyle w:val="Hyperlink"/>
            <w:rFonts w:ascii="David" w:eastAsia="Calibri" w:hAnsi="David"/>
            <w:rtl/>
          </w:rPr>
          <w:t>40 ה'</w:t>
        </w:r>
      </w:hyperlink>
      <w:r w:rsidRPr="004C6AEA">
        <w:rPr>
          <w:rFonts w:ascii="David" w:eastAsia="Calibri" w:hAnsi="David"/>
          <w:rtl/>
        </w:rPr>
        <w:t xml:space="preserve"> לחוק. </w:t>
      </w:r>
    </w:p>
    <w:p w14:paraId="1907A953" w14:textId="77777777" w:rsidR="00E01DDD" w:rsidRPr="004C6AEA" w:rsidRDefault="00E01DDD" w:rsidP="00E01DDD">
      <w:pPr>
        <w:spacing w:after="160" w:line="360" w:lineRule="auto"/>
        <w:ind w:left="720"/>
        <w:contextualSpacing/>
        <w:jc w:val="both"/>
        <w:rPr>
          <w:rFonts w:ascii="David" w:eastAsia="Calibri" w:hAnsi="David"/>
        </w:rPr>
      </w:pPr>
    </w:p>
    <w:p w14:paraId="55F797EA"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בענייננו אכן מדובר בעבירות חמורות אולם אין להתעלם גם מנסיבות עברו הצבאי של הנאשם אשר בגינן הוכר כנכה במשרד הביטחון ונראה כי לנכותו זו (יחד עם נסיבות חיים לא פשוטות) יש זיקה להזדקקותו לרישיון שימוש בקנבוס ולביצוע העבירות, לדאבון הלב. בהתאם לתסקיר המבחן שהוגש מדובר בנאשם בעל ערכים נורמטיביים, אב לשלושה קטינים, זקוק לטיפול עקב אירועי העבר, הביע חרטה ונטל אחריות ואף מטופל, ללא עבר פלילי או הרשעות קודמות. </w:t>
      </w:r>
    </w:p>
    <w:p w14:paraId="168BBFC8" w14:textId="77777777" w:rsidR="00E01DDD" w:rsidRPr="004C6AEA" w:rsidRDefault="00E01DDD" w:rsidP="00E01DDD">
      <w:pPr>
        <w:spacing w:after="160" w:line="360" w:lineRule="auto"/>
        <w:ind w:left="720"/>
        <w:contextualSpacing/>
        <w:jc w:val="both"/>
        <w:rPr>
          <w:rFonts w:ascii="David" w:eastAsia="Calibri" w:hAnsi="David"/>
        </w:rPr>
      </w:pPr>
    </w:p>
    <w:p w14:paraId="0A4911FC" w14:textId="77777777" w:rsidR="00E01DDD" w:rsidRPr="004C6AEA" w:rsidRDefault="00E01DDD" w:rsidP="00E01DDD">
      <w:pPr>
        <w:spacing w:after="160" w:line="360" w:lineRule="auto"/>
        <w:ind w:left="720"/>
        <w:contextualSpacing/>
        <w:jc w:val="both"/>
        <w:rPr>
          <w:rFonts w:ascii="David" w:eastAsia="Calibri" w:hAnsi="David"/>
        </w:rPr>
      </w:pPr>
      <w:r w:rsidRPr="004C6AEA">
        <w:rPr>
          <w:rFonts w:ascii="David" w:eastAsia="Calibri" w:hAnsi="David"/>
          <w:b/>
          <w:bCs/>
          <w:u w:val="single"/>
          <w:rtl/>
        </w:rPr>
        <w:t>קביעת מתחם העונש ההולם</w:t>
      </w:r>
    </w:p>
    <w:p w14:paraId="3043981C"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עבירות הסמים פוגעות בשלומו ובריאותו של הציבור. גידול סם בכמויות גדולות והחזקה שלא לצריכה עצמית תורמות להפצת הסם. בנוסף לשימוש בסם עצמו, ההתמכרות לסמים והצורך במימונם יוצרת מעגלים רחבים של פשיעה בתחום הרכוש ובתחומים נוספים. </w:t>
      </w:r>
    </w:p>
    <w:p w14:paraId="2C2F406A" w14:textId="77777777" w:rsidR="00E01DDD" w:rsidRPr="004C6AEA" w:rsidRDefault="00E01DDD" w:rsidP="00E01DDD">
      <w:pPr>
        <w:spacing w:after="160" w:line="360" w:lineRule="auto"/>
        <w:ind w:left="720"/>
        <w:contextualSpacing/>
        <w:jc w:val="both"/>
        <w:rPr>
          <w:rFonts w:ascii="David" w:eastAsia="Calibri" w:hAnsi="David"/>
        </w:rPr>
      </w:pPr>
    </w:p>
    <w:p w14:paraId="2BC6FEF9" w14:textId="77777777" w:rsidR="00E01DDD" w:rsidRPr="004C6AEA" w:rsidRDefault="00E01DDD" w:rsidP="00E01DDD">
      <w:pPr>
        <w:numPr>
          <w:ilvl w:val="0"/>
          <w:numId w:val="1"/>
        </w:numPr>
        <w:spacing w:after="160" w:line="360" w:lineRule="auto"/>
        <w:contextualSpacing/>
        <w:jc w:val="both"/>
        <w:rPr>
          <w:rFonts w:ascii="David" w:eastAsia="Calibri" w:hAnsi="David"/>
        </w:rPr>
      </w:pPr>
      <w:r w:rsidRPr="004C6AEA">
        <w:rPr>
          <w:rFonts w:ascii="David" w:eastAsia="Calibri" w:hAnsi="David"/>
          <w:rtl/>
        </w:rPr>
        <w:t xml:space="preserve">בתי המשפט עמדו על </w:t>
      </w:r>
      <w:r w:rsidRPr="004C6AEA">
        <w:rPr>
          <w:rFonts w:ascii="David" w:eastAsia="Calibri" w:hAnsi="David"/>
          <w:b/>
          <w:bCs/>
          <w:u w:val="single"/>
          <w:rtl/>
        </w:rPr>
        <w:t>הצורך בענישה משמעותית בעבירות אלו</w:t>
      </w:r>
      <w:r w:rsidRPr="004C6AEA">
        <w:rPr>
          <w:rFonts w:ascii="David" w:eastAsia="Calibri" w:hAnsi="David"/>
          <w:rtl/>
        </w:rPr>
        <w:t>, המביאה בחשבון בין היתר את כמות הסם ואת חלקו של הנאשם בביצוע העבירות (</w:t>
      </w:r>
      <w:hyperlink r:id="rId30" w:history="1">
        <w:r w:rsidR="00106DCF" w:rsidRPr="00106DCF">
          <w:rPr>
            <w:rFonts w:ascii="David" w:eastAsia="Calibri" w:hAnsi="David"/>
            <w:color w:val="0000FF"/>
            <w:u w:val="single"/>
            <w:rtl/>
          </w:rPr>
          <w:t>רע"פ 7906/19</w:t>
        </w:r>
      </w:hyperlink>
      <w:r w:rsidRPr="004C6AEA">
        <w:rPr>
          <w:rFonts w:ascii="David" w:eastAsia="Calibri" w:hAnsi="David"/>
          <w:rtl/>
        </w:rPr>
        <w:t xml:space="preserve"> אדרי נ' מדינת ישראל (03.12.19)). להלן תובא סקירת ההלכות שנקבעו:</w:t>
      </w:r>
    </w:p>
    <w:p w14:paraId="0C304F7B" w14:textId="77777777" w:rsidR="00E01DDD" w:rsidRPr="004C6AEA" w:rsidRDefault="00E01DDD" w:rsidP="00E01DDD">
      <w:pPr>
        <w:spacing w:after="160" w:line="360" w:lineRule="auto"/>
        <w:ind w:left="720"/>
        <w:contextualSpacing/>
        <w:jc w:val="both"/>
        <w:rPr>
          <w:rFonts w:ascii="David" w:eastAsia="Calibri" w:hAnsi="David"/>
        </w:rPr>
      </w:pPr>
    </w:p>
    <w:p w14:paraId="3465DDED"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ב</w:t>
      </w:r>
      <w:hyperlink r:id="rId31" w:history="1">
        <w:r w:rsidR="00106DCF" w:rsidRPr="00106DCF">
          <w:rPr>
            <w:rFonts w:ascii="David" w:eastAsia="Calibri" w:hAnsi="David"/>
            <w:color w:val="0000FF"/>
            <w:u w:val="single"/>
            <w:rtl/>
          </w:rPr>
          <w:t>ע"פ 4387/20</w:t>
        </w:r>
      </w:hyperlink>
      <w:r w:rsidRPr="004C6AEA">
        <w:rPr>
          <w:rFonts w:ascii="David" w:eastAsia="Calibri" w:hAnsi="David"/>
          <w:rtl/>
        </w:rPr>
        <w:t xml:space="preserve"> </w:t>
      </w:r>
      <w:r w:rsidRPr="004C6AEA">
        <w:rPr>
          <w:rFonts w:ascii="David" w:eastAsia="Calibri" w:hAnsi="David"/>
          <w:b/>
          <w:bCs/>
          <w:rtl/>
        </w:rPr>
        <w:t>מדינת ישראל נ' דרור</w:t>
      </w:r>
      <w:r w:rsidRPr="004C6AEA">
        <w:rPr>
          <w:rFonts w:ascii="David" w:eastAsia="Calibri" w:hAnsi="David"/>
          <w:rtl/>
        </w:rPr>
        <w:t xml:space="preserve"> (8.2.2021) נכתב:</w:t>
      </w:r>
    </w:p>
    <w:p w14:paraId="42FFA86F"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b/>
          <w:bCs/>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p>
    <w:p w14:paraId="64ED9445" w14:textId="77777777" w:rsidR="00E01DDD" w:rsidRPr="004C6AEA" w:rsidRDefault="00E01DDD" w:rsidP="00E01DDD">
      <w:pPr>
        <w:spacing w:after="160" w:line="360" w:lineRule="auto"/>
        <w:ind w:left="720"/>
        <w:contextualSpacing/>
        <w:jc w:val="both"/>
        <w:rPr>
          <w:rFonts w:ascii="David" w:eastAsia="Calibri" w:hAnsi="David"/>
        </w:rPr>
      </w:pPr>
    </w:p>
    <w:p w14:paraId="095E1521" w14:textId="77777777" w:rsidR="00E01DDD" w:rsidRPr="004C6AEA" w:rsidRDefault="00E01DDD" w:rsidP="00E01DDD">
      <w:pPr>
        <w:spacing w:after="160" w:line="360" w:lineRule="auto"/>
        <w:ind w:left="720"/>
        <w:contextualSpacing/>
        <w:jc w:val="both"/>
        <w:rPr>
          <w:rFonts w:ascii="David" w:eastAsia="Calibri" w:hAnsi="David"/>
        </w:rPr>
      </w:pPr>
      <w:r w:rsidRPr="004C6AEA">
        <w:rPr>
          <w:rFonts w:ascii="David" w:eastAsia="Calibri" w:hAnsi="David"/>
          <w:rtl/>
        </w:rPr>
        <w:t>ב</w:t>
      </w:r>
      <w:hyperlink r:id="rId32" w:history="1">
        <w:r w:rsidR="00106DCF" w:rsidRPr="00106DCF">
          <w:rPr>
            <w:rFonts w:ascii="David" w:eastAsia="Calibri" w:hAnsi="David"/>
            <w:color w:val="0000FF"/>
            <w:u w:val="single"/>
            <w:rtl/>
          </w:rPr>
          <w:t>עפ"ג (מרכז) 72782-12-18</w:t>
        </w:r>
      </w:hyperlink>
      <w:r w:rsidRPr="004C6AEA">
        <w:rPr>
          <w:rFonts w:ascii="David" w:eastAsia="Calibri" w:hAnsi="David"/>
          <w:rtl/>
        </w:rPr>
        <w:t xml:space="preserve"> </w:t>
      </w:r>
      <w:r w:rsidRPr="004C6AEA">
        <w:rPr>
          <w:rFonts w:ascii="David" w:eastAsia="Calibri" w:hAnsi="David"/>
          <w:b/>
          <w:bCs/>
          <w:rtl/>
        </w:rPr>
        <w:t>אדרי נ' מדינת ישראל</w:t>
      </w:r>
      <w:r w:rsidRPr="004C6AEA">
        <w:rPr>
          <w:rFonts w:ascii="David" w:eastAsia="Calibri" w:hAnsi="David"/>
          <w:rtl/>
        </w:rPr>
        <w:t xml:space="preserve"> (29.10.19) נאמר:</w:t>
      </w:r>
    </w:p>
    <w:p w14:paraId="795D4257"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b/>
          <w:bCs/>
          <w:rtl/>
        </w:rPr>
        <w:t>"אין צורך להכביר מילים אודות החומרה היתרה הטמונה בעבירות מהסוג שביצעו המערערים. תופעת המעבדות לגידול סמים הפכה ל"מכת מדינה" ושומה על בתי המשפט לתת כתף למלחמה בתופעה זו נוכח פוטנציאל הנזק הרב הגלום בה.</w:t>
      </w:r>
    </w:p>
    <w:p w14:paraId="09C6FC05" w14:textId="77777777" w:rsidR="00E01DDD" w:rsidRPr="004C6AEA" w:rsidRDefault="00E01DDD" w:rsidP="00E01DDD">
      <w:pPr>
        <w:spacing w:after="160" w:line="360" w:lineRule="auto"/>
        <w:ind w:left="720"/>
        <w:contextualSpacing/>
        <w:jc w:val="both"/>
        <w:rPr>
          <w:rFonts w:ascii="David" w:eastAsia="Calibri" w:hAnsi="David"/>
          <w:b/>
          <w:bCs/>
          <w:rtl/>
        </w:rPr>
      </w:pPr>
    </w:p>
    <w:p w14:paraId="31BEFB66"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ב</w:t>
      </w:r>
      <w:hyperlink r:id="rId33" w:history="1">
        <w:r w:rsidR="00106DCF" w:rsidRPr="00106DCF">
          <w:rPr>
            <w:rFonts w:ascii="David" w:eastAsia="Calibri" w:hAnsi="David"/>
            <w:color w:val="0000FF"/>
            <w:u w:val="single"/>
            <w:rtl/>
          </w:rPr>
          <w:t>ע"פ 8713/21</w:t>
        </w:r>
      </w:hyperlink>
      <w:r w:rsidRPr="004C6AEA">
        <w:rPr>
          <w:rFonts w:ascii="David" w:eastAsia="Calibri" w:hAnsi="David"/>
          <w:rtl/>
        </w:rPr>
        <w:t xml:space="preserve"> </w:t>
      </w:r>
      <w:r w:rsidRPr="004C6AEA">
        <w:rPr>
          <w:rFonts w:ascii="David" w:eastAsia="Calibri" w:hAnsi="David"/>
          <w:b/>
          <w:bCs/>
          <w:rtl/>
        </w:rPr>
        <w:t>דור בן חמו נ' מדינת ישראל</w:t>
      </w:r>
      <w:r w:rsidRPr="004C6AEA">
        <w:rPr>
          <w:rFonts w:ascii="David" w:eastAsia="Calibri" w:hAnsi="David"/>
          <w:rtl/>
        </w:rPr>
        <w:t xml:space="preserve"> (07.06.22) – הורשע הנאשם בבית משפט קמא, על סמך הודאתו, בעבירות של ייצור הכנה והפקת סם מסוכן, החזקת סם מסוכן שלא לצריכה עצמית, החזקת כלים ונטילת חשמל. הנאשם החזיק בבית 153 שתילים במשקל של 52.1 ק"ג נטו. בית המשפט קמא קבע מתחם עונש הולם הנע בין 16 ל-36 חודשי מאסר בפועל והשית על הנאשם עונש </w:t>
      </w:r>
      <w:hyperlink r:id="rId34" w:history="1">
        <w:r w:rsidR="00106DCF" w:rsidRPr="00106DCF">
          <w:rPr>
            <w:rFonts w:ascii="David" w:eastAsia="Calibri" w:hAnsi="David"/>
            <w:color w:val="0000FF"/>
            <w:u w:val="single"/>
            <w:rtl/>
          </w:rPr>
          <w:t xml:space="preserve">בן 16 חודשים. בית המשפט העליון </w:t>
        </w:r>
      </w:hyperlink>
      <w:r w:rsidRPr="004C6AEA">
        <w:rPr>
          <w:rFonts w:ascii="David" w:eastAsia="Calibri" w:hAnsi="David"/>
          <w:u w:val="single"/>
          <w:rtl/>
        </w:rPr>
        <w:t xml:space="preserve">  קיבל את ערעור ההגנה על חומרת העונש והשית על הנאשם עונש של 9 חודשי מאסר בפועל שירוצו בעבודות שירות</w:t>
      </w:r>
      <w:r w:rsidRPr="004C6AEA">
        <w:rPr>
          <w:rFonts w:ascii="David" w:eastAsia="Calibri" w:hAnsi="David"/>
          <w:rtl/>
        </w:rPr>
        <w:t>, ובתוך כך הדגיש כי ההקלה בעונש מתבססת על הליך השיקום המשמעותי ונסיבותיו האישיות של הנאשם, וכי הוא אינו חולק כלל ועיקר על מדיניות הענישה שנקבעה על ידי בית משפט קמא.</w:t>
      </w:r>
    </w:p>
    <w:p w14:paraId="06BF38A6" w14:textId="77777777" w:rsidR="00E01DDD" w:rsidRPr="004C6AEA" w:rsidRDefault="00E01DDD" w:rsidP="00E01DDD">
      <w:pPr>
        <w:spacing w:after="160" w:line="360" w:lineRule="auto"/>
        <w:ind w:left="720"/>
        <w:contextualSpacing/>
        <w:jc w:val="both"/>
        <w:rPr>
          <w:rFonts w:ascii="David" w:eastAsia="Calibri" w:hAnsi="David"/>
          <w:rtl/>
        </w:rPr>
      </w:pPr>
    </w:p>
    <w:p w14:paraId="70ECDB72"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ב</w:t>
      </w:r>
      <w:hyperlink r:id="rId35" w:history="1">
        <w:r w:rsidR="00106DCF" w:rsidRPr="00106DCF">
          <w:rPr>
            <w:rFonts w:ascii="David" w:eastAsia="Calibri" w:hAnsi="David"/>
            <w:color w:val="0000FF"/>
            <w:u w:val="single"/>
            <w:rtl/>
          </w:rPr>
          <w:t>ע"פ 6162/21</w:t>
        </w:r>
      </w:hyperlink>
      <w:r w:rsidRPr="004C6AEA">
        <w:rPr>
          <w:rFonts w:ascii="David" w:eastAsia="Calibri" w:hAnsi="David"/>
          <w:rtl/>
        </w:rPr>
        <w:t xml:space="preserve"> </w:t>
      </w:r>
      <w:r w:rsidRPr="004C6AEA">
        <w:rPr>
          <w:rFonts w:ascii="David" w:eastAsia="Calibri" w:hAnsi="David"/>
          <w:b/>
          <w:bCs/>
          <w:rtl/>
        </w:rPr>
        <w:t>ניסים אזיזוב נ' מדינת ישראל</w:t>
      </w:r>
      <w:r w:rsidRPr="004C6AEA">
        <w:rPr>
          <w:rFonts w:ascii="David" w:eastAsia="Calibri" w:hAnsi="David"/>
          <w:rtl/>
        </w:rPr>
        <w:t xml:space="preserve"> (09.03.22) הורשע הנאשם בבית משפט קמא, על סמך הודאתו במסגרת הסדר טיעון, בעבירות של ייצור הכנה והפקת סם מסוכן, החזקת סם מסוכן שלא לצריכה עצמית ונטילת חשמל מים או גז. הנאשם הצטייד במכשירים למדידת לחות, מאוררים, מערכת השקיה, חומרי דישון, מערכת חשמל וגופי תאורה. הנאשם גידל כ-255 שתילי קנבוס במשקל של 70 ק"ג. בית המשפט המחוזי קבע מתחם עונש הולם הנע בין 25 ל-50 חודשי מאסר בפועל והשית על הנאשם עונש בן 28 חודשים לצד ענישה נלווית. ערעור שהוגש מטעם ההגנה לבית המשפט העליון על חומרת העונש התקבל, תוך שהודגש כי ברגיל העונש שהושת על הנאשם לא היה מצדיק התערבות ערכאת הערעור. ואולם בית המשפט ציין כי נוכח נסיבות חריגות המתקיימות בעניינו של הנאשם ביניהן העובדה שמגדל את שלושת ילדיו הקטינים לבדו והחשש מהנזק שיגרם להם אם ישלח למאסר, הגמילה שעבר ביוזמתו מסמים והליך שיקום משמעותי, הרי שמדובר במקרה בו יש להקל בעונש, </w:t>
      </w:r>
      <w:r w:rsidRPr="004C6AEA">
        <w:rPr>
          <w:rFonts w:ascii="David" w:eastAsia="Calibri" w:hAnsi="David"/>
          <w:u w:val="single"/>
          <w:rtl/>
        </w:rPr>
        <w:t>והשית עליו 9 חודשי מאסר לריצוי בעבודות שירות</w:t>
      </w:r>
      <w:r w:rsidRPr="004C6AEA">
        <w:rPr>
          <w:rFonts w:ascii="David" w:eastAsia="Calibri" w:hAnsi="David"/>
          <w:rtl/>
        </w:rPr>
        <w:t>.</w:t>
      </w:r>
    </w:p>
    <w:p w14:paraId="49AB8585" w14:textId="77777777" w:rsidR="00E01DDD" w:rsidRPr="004C6AEA" w:rsidRDefault="00E01DDD" w:rsidP="00E01DDD">
      <w:pPr>
        <w:spacing w:after="160" w:line="360" w:lineRule="auto"/>
        <w:ind w:left="720"/>
        <w:contextualSpacing/>
        <w:jc w:val="both"/>
        <w:rPr>
          <w:rFonts w:ascii="David" w:eastAsia="Calibri" w:hAnsi="David"/>
          <w:rtl/>
        </w:rPr>
      </w:pPr>
    </w:p>
    <w:p w14:paraId="542E28BD"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ב</w:t>
      </w:r>
      <w:hyperlink r:id="rId36" w:history="1">
        <w:r w:rsidR="00106DCF" w:rsidRPr="00106DCF">
          <w:rPr>
            <w:rFonts w:ascii="David" w:eastAsia="Calibri" w:hAnsi="David"/>
            <w:color w:val="0000FF"/>
            <w:u w:val="single"/>
            <w:rtl/>
          </w:rPr>
          <w:t>ע"פ 126/22</w:t>
        </w:r>
      </w:hyperlink>
      <w:r w:rsidRPr="004C6AEA">
        <w:rPr>
          <w:rFonts w:ascii="David" w:eastAsia="Calibri" w:hAnsi="David"/>
          <w:rtl/>
        </w:rPr>
        <w:t xml:space="preserve"> </w:t>
      </w:r>
      <w:r w:rsidRPr="004C6AEA">
        <w:rPr>
          <w:rFonts w:ascii="David" w:eastAsia="Calibri" w:hAnsi="David"/>
          <w:b/>
          <w:bCs/>
          <w:rtl/>
        </w:rPr>
        <w:t>מדינת ישראל נ' פלוני</w:t>
      </w:r>
      <w:r w:rsidRPr="004C6AEA">
        <w:rPr>
          <w:rFonts w:ascii="David" w:eastAsia="Calibri" w:hAnsi="David"/>
          <w:rtl/>
        </w:rPr>
        <w:t xml:space="preserve"> (27.04.22) הורשע הנאשם,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בעת מעצרו של הנאשם נמצאו בדירתו 286 שתילים במשקל 63.23 ק"ג נטו. 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w:t>
      </w:r>
    </w:p>
    <w:p w14:paraId="09DDCA4F" w14:textId="77777777" w:rsidR="00E01DDD" w:rsidRPr="004C6AEA" w:rsidRDefault="00E01DDD" w:rsidP="00E01DDD">
      <w:pPr>
        <w:spacing w:after="160" w:line="360" w:lineRule="auto"/>
        <w:ind w:left="720"/>
        <w:contextualSpacing/>
        <w:jc w:val="both"/>
        <w:rPr>
          <w:rFonts w:ascii="David" w:eastAsia="Calibri" w:hAnsi="David"/>
          <w:rtl/>
        </w:rPr>
      </w:pPr>
    </w:p>
    <w:p w14:paraId="1CA6DE8A"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בית המשפט העליון קיבל את ערעור המדינה על קולת העונש באופן חלקי, תוך שציין כי 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כי הרף התחתון של המתחם נמוך ביחס לפסיקה הנוהגת במקרים דומים כמו גם העונש שהושת עליו, </w:t>
      </w:r>
      <w:r w:rsidRPr="004C6AEA">
        <w:rPr>
          <w:rFonts w:ascii="David" w:eastAsia="Calibri" w:hAnsi="David"/>
          <w:u w:val="single"/>
          <w:rtl/>
        </w:rPr>
        <w:t>והשית עליו 18 חודשי מאסר לריצוי בפועל.</w:t>
      </w:r>
      <w:r w:rsidRPr="004C6AEA">
        <w:rPr>
          <w:rFonts w:ascii="David" w:eastAsia="Calibri" w:hAnsi="David"/>
          <w:rtl/>
        </w:rPr>
        <w:t xml:space="preserve"> אשר לקנס, קבע כי אינו חורג ממדיניות הענישה הנוהגת ודחה את הערעור בנוגע לרכיב זה.</w:t>
      </w:r>
    </w:p>
    <w:p w14:paraId="48B4238E" w14:textId="77777777" w:rsidR="00E01DDD" w:rsidRPr="004C6AEA" w:rsidRDefault="00E01DDD" w:rsidP="00E01DDD">
      <w:pPr>
        <w:spacing w:after="160" w:line="360" w:lineRule="auto"/>
        <w:ind w:left="720"/>
        <w:contextualSpacing/>
        <w:jc w:val="both"/>
        <w:rPr>
          <w:rFonts w:ascii="David" w:eastAsia="Calibri" w:hAnsi="David"/>
          <w:rtl/>
        </w:rPr>
      </w:pPr>
    </w:p>
    <w:p w14:paraId="41C4ED1B"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ב</w:t>
      </w:r>
      <w:hyperlink r:id="rId37" w:history="1">
        <w:r w:rsidR="00106DCF" w:rsidRPr="00106DCF">
          <w:rPr>
            <w:rFonts w:ascii="David" w:eastAsia="Calibri" w:hAnsi="David"/>
            <w:color w:val="0000FF"/>
            <w:u w:val="single"/>
            <w:rtl/>
          </w:rPr>
          <w:t>רע"פ 8563/18</w:t>
        </w:r>
      </w:hyperlink>
      <w:r w:rsidRPr="004C6AEA">
        <w:rPr>
          <w:rFonts w:ascii="David" w:eastAsia="Calibri" w:hAnsi="David"/>
          <w:rtl/>
        </w:rPr>
        <w:t xml:space="preserve"> </w:t>
      </w:r>
      <w:r w:rsidRPr="004C6AEA">
        <w:rPr>
          <w:rFonts w:ascii="David" w:eastAsia="Calibri" w:hAnsi="David"/>
          <w:b/>
          <w:bCs/>
          <w:rtl/>
        </w:rPr>
        <w:t>שרפוב נ' מדינת ישראל</w:t>
      </w:r>
      <w:r w:rsidRPr="004C6AEA">
        <w:rPr>
          <w:rFonts w:ascii="David" w:eastAsia="Calibri" w:hAnsi="David"/>
          <w:rtl/>
        </w:rPr>
        <w:t xml:space="preserve"> (12.12.18), שם מדובר היה בגידול 18 ק"ג קנאביס על-פני 8 חודשים נקבע מתחם ענישה שבין 10 חודשי מאסר עד 30 חודשי מאסר, והנאשם נדון ל – </w:t>
      </w:r>
      <w:r w:rsidRPr="004C6AEA">
        <w:rPr>
          <w:rFonts w:ascii="David" w:eastAsia="Calibri" w:hAnsi="David"/>
          <w:u w:val="single"/>
          <w:rtl/>
        </w:rPr>
        <w:t>10 חודשי מאסר בפועל</w:t>
      </w:r>
      <w:r w:rsidRPr="004C6AEA">
        <w:rPr>
          <w:rFonts w:ascii="David" w:eastAsia="Calibri" w:hAnsi="David"/>
          <w:rtl/>
        </w:rPr>
        <w:t xml:space="preserve"> בהתחשב בנטילת אחריות, היעדר עבר פלילי, נסיבות אישיות והמלצת שירות המבחן. </w:t>
      </w:r>
    </w:p>
    <w:p w14:paraId="3AC8FB94" w14:textId="77777777" w:rsidR="00E01DDD" w:rsidRPr="004C6AEA" w:rsidRDefault="00E01DDD" w:rsidP="00E01DDD">
      <w:pPr>
        <w:spacing w:after="160" w:line="360" w:lineRule="auto"/>
        <w:ind w:left="720"/>
        <w:contextualSpacing/>
        <w:jc w:val="both"/>
        <w:rPr>
          <w:rFonts w:ascii="David" w:eastAsia="Calibri" w:hAnsi="David"/>
          <w:rtl/>
        </w:rPr>
      </w:pPr>
    </w:p>
    <w:p w14:paraId="4B681D47" w14:textId="77777777" w:rsidR="00E01DDD" w:rsidRPr="004C6AEA" w:rsidRDefault="00E01DDD" w:rsidP="00E01DDD">
      <w:pPr>
        <w:spacing w:after="160" w:line="360" w:lineRule="auto"/>
        <w:ind w:left="720"/>
        <w:contextualSpacing/>
        <w:jc w:val="both"/>
        <w:rPr>
          <w:rFonts w:ascii="David" w:eastAsia="Calibri" w:hAnsi="David"/>
          <w:rtl/>
        </w:rPr>
      </w:pPr>
      <w:r w:rsidRPr="004C6AEA">
        <w:rPr>
          <w:rFonts w:ascii="David" w:eastAsia="Calibri" w:hAnsi="David"/>
          <w:rtl/>
        </w:rPr>
        <w:t xml:space="preserve">ברע"פ 6889/17 פילברג נ' מדינת ישראל  (11.09.17) מדובר היה בגידול 19 ק"ג קנאביס, ונקבע מתחם ענישה של 12 עד 36 חודשי מאסר בפועל. בית משפט השלום הביא בחשבון את גילו הצעיר של הנאשם, היעדר עבר פלילי, הודאתו, ותסקירים חיוביים וגזר עליו, מטעמי שיקום, 6 חודשי מאסר בעבודות שירות, ואילו בית-המשפט המחוזי החמיר בענישה וגזר על אותו נאשם </w:t>
      </w:r>
      <w:r w:rsidRPr="004C6AEA">
        <w:rPr>
          <w:rFonts w:ascii="David" w:eastAsia="Calibri" w:hAnsi="David"/>
          <w:u w:val="single"/>
          <w:rtl/>
        </w:rPr>
        <w:t>9 חודשי מאסר בפועל</w:t>
      </w:r>
      <w:r w:rsidRPr="004C6AEA">
        <w:rPr>
          <w:rFonts w:ascii="David" w:eastAsia="Calibri" w:hAnsi="David"/>
          <w:rtl/>
        </w:rPr>
        <w:t xml:space="preserve">, ובקשת רשות הערעור לבית המשפט העליון נדחתה. </w:t>
      </w:r>
    </w:p>
    <w:p w14:paraId="743815B1" w14:textId="77777777" w:rsidR="00E01DDD" w:rsidRPr="004C6AEA" w:rsidRDefault="00E01DDD" w:rsidP="00E01DDD">
      <w:pPr>
        <w:spacing w:after="160" w:line="360" w:lineRule="auto"/>
        <w:ind w:left="720"/>
        <w:contextualSpacing/>
        <w:jc w:val="both"/>
        <w:rPr>
          <w:rFonts w:ascii="David" w:eastAsia="Calibri" w:hAnsi="David"/>
          <w:rtl/>
        </w:rPr>
      </w:pPr>
    </w:p>
    <w:p w14:paraId="26A50C88" w14:textId="77777777" w:rsidR="00E01DDD" w:rsidRPr="004C6AEA" w:rsidRDefault="00E01DDD" w:rsidP="00E01DDD">
      <w:pPr>
        <w:numPr>
          <w:ilvl w:val="0"/>
          <w:numId w:val="1"/>
        </w:numPr>
        <w:spacing w:after="160" w:line="360" w:lineRule="auto"/>
        <w:contextualSpacing/>
        <w:jc w:val="both"/>
        <w:rPr>
          <w:rFonts w:ascii="David" w:eastAsia="Calibri" w:hAnsi="David"/>
          <w:b/>
          <w:bCs/>
          <w:rtl/>
        </w:rPr>
      </w:pPr>
      <w:r w:rsidRPr="004C6AEA">
        <w:rPr>
          <w:rFonts w:ascii="David" w:eastAsia="Calibri" w:hAnsi="David"/>
          <w:rtl/>
        </w:rPr>
        <w:t xml:space="preserve">לצד זאת קיימת פסיקה </w:t>
      </w:r>
      <w:r w:rsidRPr="004C6AEA">
        <w:rPr>
          <w:rFonts w:ascii="David" w:eastAsia="Calibri" w:hAnsi="David"/>
          <w:b/>
          <w:bCs/>
          <w:u w:val="single"/>
          <w:rtl/>
        </w:rPr>
        <w:t>שבה נמנעו בתי משפט מלמצות את הדין</w:t>
      </w:r>
      <w:r w:rsidRPr="004C6AEA">
        <w:rPr>
          <w:rFonts w:ascii="David" w:eastAsia="Calibri" w:hAnsi="David"/>
          <w:rtl/>
        </w:rPr>
        <w:t xml:space="preserve"> עם נאשמים בעבירות מסוג זה והסתפקו בהטלת עונש מאסר לריצוי בעבודות שירות, אך זאת כאשר התקיימו נסיבות שהיה בהן כדי להצדיק הימנעות מהטלת עונש מאסר לריצוי מאחורי סורג ובריח. </w:t>
      </w:r>
    </w:p>
    <w:p w14:paraId="24DE802B" w14:textId="77777777" w:rsidR="00E01DDD" w:rsidRPr="004C6AEA" w:rsidRDefault="00E01DDD" w:rsidP="00E01DDD">
      <w:pPr>
        <w:spacing w:after="160" w:line="360" w:lineRule="auto"/>
        <w:ind w:left="720"/>
        <w:contextualSpacing/>
        <w:jc w:val="both"/>
        <w:rPr>
          <w:rFonts w:ascii="David" w:eastAsia="Calibri" w:hAnsi="David"/>
        </w:rPr>
      </w:pPr>
    </w:p>
    <w:p w14:paraId="06E7C565" w14:textId="77777777" w:rsidR="00E01DDD" w:rsidRPr="004C6AEA" w:rsidRDefault="00E01DDD" w:rsidP="00E01DDD">
      <w:pPr>
        <w:spacing w:after="160" w:line="360" w:lineRule="auto"/>
        <w:ind w:left="720"/>
        <w:contextualSpacing/>
        <w:jc w:val="both"/>
        <w:rPr>
          <w:rFonts w:ascii="David" w:eastAsia="Calibri" w:hAnsi="David"/>
          <w:b/>
          <w:bCs/>
          <w:rtl/>
        </w:rPr>
      </w:pPr>
      <w:r w:rsidRPr="004C6AEA">
        <w:rPr>
          <w:rFonts w:ascii="David" w:eastAsia="Calibri" w:hAnsi="David"/>
          <w:rtl/>
        </w:rPr>
        <w:t>ב</w:t>
      </w:r>
      <w:hyperlink r:id="rId38" w:history="1">
        <w:r w:rsidR="00106DCF" w:rsidRPr="00106DCF">
          <w:rPr>
            <w:rFonts w:ascii="David" w:eastAsia="Calibri" w:hAnsi="David"/>
            <w:color w:val="0000FF"/>
            <w:u w:val="single"/>
            <w:rtl/>
          </w:rPr>
          <w:t>עפ"ג (מחוזי חיפה) 45010-01-20</w:t>
        </w:r>
      </w:hyperlink>
      <w:r w:rsidRPr="004C6AEA">
        <w:rPr>
          <w:rFonts w:ascii="David" w:eastAsia="Calibri" w:hAnsi="David"/>
          <w:rtl/>
        </w:rPr>
        <w:t xml:space="preserve"> </w:t>
      </w:r>
      <w:r w:rsidRPr="004C6AEA">
        <w:rPr>
          <w:rFonts w:ascii="David" w:eastAsia="Calibri" w:hAnsi="David"/>
          <w:b/>
          <w:bCs/>
          <w:rtl/>
        </w:rPr>
        <w:t>מדינת ישראל נ' סטולרו</w:t>
      </w:r>
      <w:r w:rsidRPr="004C6AEA">
        <w:rPr>
          <w:rFonts w:ascii="David" w:eastAsia="Calibri" w:hAnsi="David"/>
          <w:rtl/>
        </w:rPr>
        <w:t xml:space="preserve"> (12.7.20) סקר בית-המשפט המחוזי את הפסיקה הרלוונטית וציין, שקיים מנעד של ענישה והעונש הקונקרטי תלוי בנסיבותיו של כל מקרה, סוג הסם, כמותו, נסיבות החזקתו, ונסיבותיו של הנאשם כשהעונש נגזר לאחר שקלול של מלוא הנתונים, וקבע: </w:t>
      </w:r>
    </w:p>
    <w:p w14:paraId="048C6A05" w14:textId="77777777" w:rsidR="00E01DDD" w:rsidRPr="004C6AEA" w:rsidRDefault="00E01DDD" w:rsidP="00E01DDD">
      <w:pPr>
        <w:spacing w:after="160" w:line="360" w:lineRule="auto"/>
        <w:ind w:left="720"/>
        <w:contextualSpacing/>
        <w:jc w:val="both"/>
        <w:rPr>
          <w:rFonts w:ascii="David" w:eastAsia="Calibri" w:hAnsi="David"/>
        </w:rPr>
      </w:pPr>
    </w:p>
    <w:p w14:paraId="19CBE962" w14:textId="77777777" w:rsidR="00E01DDD" w:rsidRPr="004C6AEA" w:rsidRDefault="00E01DDD" w:rsidP="00E01DDD">
      <w:pPr>
        <w:spacing w:after="160" w:line="360" w:lineRule="auto"/>
        <w:ind w:left="720"/>
        <w:contextualSpacing/>
        <w:jc w:val="both"/>
        <w:rPr>
          <w:rFonts w:ascii="David" w:eastAsia="Calibri" w:hAnsi="David"/>
          <w:b/>
          <w:bCs/>
          <w:rtl/>
        </w:rPr>
      </w:pPr>
      <w:r w:rsidRPr="004C6AEA">
        <w:rPr>
          <w:rFonts w:ascii="David" w:eastAsia="Calibri" w:hAnsi="David"/>
          <w:b/>
          <w:bCs/>
          <w:rtl/>
        </w:rPr>
        <w:t xml:space="preserve">"מסקירת פסיקת בתי המשפט העוסקים בעבירות הסמים, מצאנו – כבכל מקרה - כי הענישה מגוונת ותלויה בנסיבות כל מקרה, זאת בעיקר על פי סוג וכמות הסם, נסיבות אחזקתו, כמו גם נסיבותיו של הנאשם (גיל, מצב אישי, עבר פלילי, שיקום, תסקיר חיובי וכו'), כשבסופו של דבר על בית המשפט לשקלל את מלוא הנתונים ובכל מקרה להגיע לתוצאה על פי הנסיבות הספציפיות. כך, עולה כי בנסיבות דומות של גידול סם מסוג קנבוס בדירה בכמות שבין 4 ועד 19 ק"ג, נקבעו מתחמי ענישה בין 8 ועד 24 חודשי מאסר, כאשר ניתן להסיק כי ריצוי העונש הוא בדרך כלל במאסר בפועל, אלא באותם מקרים בהם הסתפק בית המשפט במאסר בעבודות שירות ברף התחתון של המתחם, </w:t>
      </w:r>
      <w:r w:rsidRPr="004C6AEA">
        <w:rPr>
          <w:rFonts w:ascii="David" w:eastAsia="Calibri" w:hAnsi="David"/>
          <w:rtl/>
        </w:rPr>
        <w:t xml:space="preserve">או בחריגה ממשית ממתחם הענישה כאשר שוכנע כי הנאשם עבר שיקום ושינוי ממשי" (ההדגשה במקור). </w:t>
      </w:r>
    </w:p>
    <w:p w14:paraId="3EC5047B" w14:textId="77777777" w:rsidR="00E01DDD" w:rsidRPr="004C6AEA" w:rsidRDefault="00E01DDD" w:rsidP="00E01DDD">
      <w:pPr>
        <w:spacing w:after="160" w:line="360" w:lineRule="auto"/>
        <w:ind w:left="720"/>
        <w:contextualSpacing/>
        <w:jc w:val="both"/>
        <w:rPr>
          <w:rFonts w:ascii="David" w:eastAsia="Calibri" w:hAnsi="David"/>
          <w:b/>
          <w:bCs/>
        </w:rPr>
      </w:pPr>
    </w:p>
    <w:p w14:paraId="2749BF26"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rtl/>
        </w:rPr>
        <w:t>ב</w:t>
      </w:r>
      <w:hyperlink r:id="rId39" w:history="1">
        <w:r w:rsidR="00106DCF" w:rsidRPr="00106DCF">
          <w:rPr>
            <w:rFonts w:ascii="David" w:eastAsia="Calibri" w:hAnsi="David"/>
            <w:color w:val="0000FF"/>
            <w:u w:val="single"/>
            <w:rtl/>
          </w:rPr>
          <w:t>ע"פ 4285/17</w:t>
        </w:r>
      </w:hyperlink>
      <w:r w:rsidRPr="004C6AEA">
        <w:rPr>
          <w:rFonts w:ascii="David" w:eastAsia="Calibri" w:hAnsi="David"/>
          <w:rtl/>
        </w:rPr>
        <w:t xml:space="preserve"> </w:t>
      </w:r>
      <w:r w:rsidRPr="004C6AEA">
        <w:rPr>
          <w:rFonts w:ascii="David" w:eastAsia="Calibri" w:hAnsi="David"/>
          <w:b/>
          <w:bCs/>
          <w:rtl/>
        </w:rPr>
        <w:t>יצחקי נ' מדינת ישראל</w:t>
      </w:r>
      <w:r w:rsidRPr="004C6AEA">
        <w:rPr>
          <w:rFonts w:ascii="David" w:eastAsia="Calibri" w:hAnsi="David"/>
          <w:rtl/>
        </w:rPr>
        <w:t xml:space="preserve"> (11.06.18) התקבל (בהסכמה) הערעור על חומרת העונש ונקבע כי המערערת </w:t>
      </w:r>
      <w:r w:rsidRPr="004C6AEA">
        <w:rPr>
          <w:rFonts w:ascii="David" w:eastAsia="Calibri" w:hAnsi="David"/>
          <w:u w:val="single"/>
          <w:rtl/>
        </w:rPr>
        <w:t>תרצה 6 חודשי מאסר בעבודות שירות</w:t>
      </w:r>
      <w:r w:rsidRPr="004C6AEA">
        <w:rPr>
          <w:rFonts w:ascii="David" w:eastAsia="Calibri" w:hAnsi="David"/>
          <w:rtl/>
        </w:rPr>
        <w:t xml:space="preserve"> בגין הרשעתה בעבירה של גידול 100 ק"ג קנבוס יחד עם אחר וזאת, חלף 12 חודשי מאסר שהושתו עליה בבית המשפט המחוזי, תוך חריגה מטעמי שיקום ממתחם העונש ההולם שעמד על 48-24 חודשים.</w:t>
      </w:r>
    </w:p>
    <w:p w14:paraId="5336CDD3"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rtl/>
        </w:rPr>
        <w:t xml:space="preserve">בת"פ (חי') 65264-01-21 </w:t>
      </w:r>
      <w:r w:rsidRPr="004C6AEA">
        <w:rPr>
          <w:rFonts w:ascii="David" w:eastAsia="Calibri" w:hAnsi="David"/>
          <w:b/>
          <w:bCs/>
          <w:rtl/>
        </w:rPr>
        <w:t>מדינת ישראל נ' חן</w:t>
      </w:r>
      <w:r w:rsidRPr="004C6AEA">
        <w:rPr>
          <w:rFonts w:ascii="David" w:eastAsia="Calibri" w:hAnsi="David"/>
          <w:rtl/>
        </w:rPr>
        <w:t xml:space="preserve"> (05.01.21) נגזרו על בני זוג שהורשעו בגידול כ-70 ק"ג קנבוס, </w:t>
      </w:r>
      <w:r w:rsidRPr="004C6AEA">
        <w:rPr>
          <w:rFonts w:ascii="David" w:eastAsia="Calibri" w:hAnsi="David"/>
          <w:u w:val="single"/>
          <w:rtl/>
        </w:rPr>
        <w:t>6 חודשי מאסר (על הגבר) ו-9 חודשי מאסר (על האישה) שניהם בעבודות שירות</w:t>
      </w:r>
      <w:r w:rsidRPr="004C6AEA">
        <w:rPr>
          <w:rFonts w:ascii="David" w:eastAsia="Calibri" w:hAnsi="David"/>
          <w:rtl/>
        </w:rPr>
        <w:t>.</w:t>
      </w:r>
    </w:p>
    <w:p w14:paraId="7882FA41" w14:textId="77777777" w:rsidR="00E01DDD" w:rsidRPr="004C6AEA" w:rsidRDefault="00E01DDD" w:rsidP="00E01DDD">
      <w:pPr>
        <w:spacing w:after="160" w:line="360" w:lineRule="auto"/>
        <w:ind w:left="720"/>
        <w:contextualSpacing/>
        <w:jc w:val="both"/>
        <w:rPr>
          <w:rFonts w:ascii="David" w:eastAsia="Calibri" w:hAnsi="David"/>
          <w:b/>
          <w:bCs/>
          <w:rtl/>
        </w:rPr>
      </w:pPr>
    </w:p>
    <w:p w14:paraId="53C79150"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rtl/>
        </w:rPr>
        <w:t>ב</w:t>
      </w:r>
      <w:hyperlink r:id="rId40" w:history="1">
        <w:r w:rsidR="00106DCF" w:rsidRPr="00106DCF">
          <w:rPr>
            <w:rFonts w:ascii="David" w:eastAsia="Calibri" w:hAnsi="David"/>
            <w:color w:val="0000FF"/>
            <w:u w:val="single"/>
            <w:rtl/>
          </w:rPr>
          <w:t>עפ"ג (חיפה) 54910-04-21</w:t>
        </w:r>
      </w:hyperlink>
      <w:r w:rsidRPr="004C6AEA">
        <w:rPr>
          <w:rFonts w:ascii="David" w:eastAsia="Calibri" w:hAnsi="David"/>
          <w:rtl/>
        </w:rPr>
        <w:t xml:space="preserve"> </w:t>
      </w:r>
      <w:r w:rsidRPr="004C6AEA">
        <w:rPr>
          <w:rFonts w:ascii="David" w:eastAsia="Calibri" w:hAnsi="David"/>
          <w:b/>
          <w:bCs/>
          <w:rtl/>
        </w:rPr>
        <w:t>מדינת ישראל נ' בן עזרי</w:t>
      </w:r>
      <w:r w:rsidRPr="004C6AEA">
        <w:rPr>
          <w:rFonts w:ascii="David" w:eastAsia="Calibri" w:hAnsi="David"/>
          <w:rtl/>
        </w:rPr>
        <w:t xml:space="preserve"> (19.07.21), התקבל ערעור המדינה על קולת העונש שהוטל על הנאשם – 4 חודשי עבודות שירות לאחר שהורשע בגידול 100 שתילים במשקל 17 ק"ג והחזקת סם במשקל 8 ק"ג. בית המשפט המחוזי החמיר את עונשו של הנאשם </w:t>
      </w:r>
      <w:r w:rsidRPr="004C6AEA">
        <w:rPr>
          <w:rFonts w:ascii="David" w:eastAsia="Calibri" w:hAnsi="David"/>
          <w:u w:val="single"/>
          <w:rtl/>
        </w:rPr>
        <w:t xml:space="preserve">ל-9 חודשי עבודות שירות </w:t>
      </w:r>
      <w:r w:rsidRPr="004C6AEA">
        <w:rPr>
          <w:rFonts w:ascii="David" w:eastAsia="Calibri" w:hAnsi="David"/>
          <w:rtl/>
        </w:rPr>
        <w:t>וקבע שיש להימנע משליחת הנאשם אל מאחורי סורג ובריח אך משום שיקולי שיקום, הליך שיקומי שעובר הנאשם ותסקירים חיוביים.</w:t>
      </w:r>
    </w:p>
    <w:p w14:paraId="2A1E9416" w14:textId="77777777" w:rsidR="00E01DDD" w:rsidRPr="004C6AEA" w:rsidRDefault="00E01DDD" w:rsidP="00E01DDD">
      <w:pPr>
        <w:spacing w:after="160" w:line="360" w:lineRule="auto"/>
        <w:jc w:val="both"/>
        <w:rPr>
          <w:rFonts w:ascii="David" w:eastAsia="Calibri" w:hAnsi="David"/>
          <w:b/>
          <w:bCs/>
          <w:rtl/>
        </w:rPr>
      </w:pPr>
    </w:p>
    <w:p w14:paraId="7223EAA7" w14:textId="77777777" w:rsidR="00E01DDD" w:rsidRPr="004C6AEA" w:rsidRDefault="00E01DDD" w:rsidP="00E01DDD">
      <w:pPr>
        <w:numPr>
          <w:ilvl w:val="0"/>
          <w:numId w:val="1"/>
        </w:numPr>
        <w:spacing w:after="160" w:line="360" w:lineRule="auto"/>
        <w:contextualSpacing/>
        <w:jc w:val="both"/>
        <w:rPr>
          <w:rFonts w:ascii="David" w:eastAsia="Calibri" w:hAnsi="David"/>
          <w:b/>
          <w:bCs/>
        </w:rPr>
      </w:pPr>
      <w:r w:rsidRPr="004C6AEA">
        <w:rPr>
          <w:rFonts w:ascii="David" w:eastAsia="Calibri" w:hAnsi="David"/>
          <w:rtl/>
        </w:rPr>
        <w:t xml:space="preserve">על כן ולאור כל האמור לעיל, בהתחשב בשיקולים האמורים ובנסיבות המקרה דנא, אני קובע כי מתחם העונש ההולם ביחס לעבירות בהן הורשע הנאשם, </w:t>
      </w:r>
      <w:r w:rsidRPr="004C6AEA">
        <w:rPr>
          <w:rFonts w:ascii="David" w:eastAsia="Calibri" w:hAnsi="David"/>
          <w:b/>
          <w:bCs/>
          <w:u w:val="single"/>
          <w:rtl/>
        </w:rPr>
        <w:t>הינו  בין 7 חודשי מאסר ועד 24 חודשי מאסר בפועל לצד ענישה נלווית.</w:t>
      </w:r>
    </w:p>
    <w:p w14:paraId="66EE00A0" w14:textId="77777777" w:rsidR="00E01DDD" w:rsidRPr="004C6AEA" w:rsidRDefault="00E01DDD" w:rsidP="00E01DDD">
      <w:pPr>
        <w:spacing w:after="160" w:line="360" w:lineRule="auto"/>
        <w:ind w:left="720"/>
        <w:contextualSpacing/>
        <w:jc w:val="both"/>
        <w:rPr>
          <w:rFonts w:ascii="David" w:eastAsia="Calibri" w:hAnsi="David"/>
          <w:b/>
          <w:bCs/>
        </w:rPr>
      </w:pPr>
    </w:p>
    <w:p w14:paraId="539AF2FC"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b/>
          <w:bCs/>
          <w:u w:val="single"/>
          <w:rtl/>
        </w:rPr>
        <w:t>גזירת עונשו של הנאשם בתוך מתחם העונש ההולם</w:t>
      </w:r>
      <w:r w:rsidRPr="004C6AEA">
        <w:rPr>
          <w:rFonts w:ascii="David" w:eastAsia="Calibri" w:hAnsi="David"/>
          <w:rtl/>
        </w:rPr>
        <w:t>:</w:t>
      </w:r>
    </w:p>
    <w:p w14:paraId="7A6886DC" w14:textId="77777777" w:rsidR="00E01DDD" w:rsidRPr="004C6AEA" w:rsidRDefault="00E01DDD" w:rsidP="00E01DDD">
      <w:pPr>
        <w:spacing w:after="160" w:line="256" w:lineRule="auto"/>
        <w:ind w:left="720"/>
        <w:contextualSpacing/>
        <w:rPr>
          <w:rFonts w:ascii="David" w:eastAsia="Calibri" w:hAnsi="David"/>
        </w:rPr>
      </w:pPr>
    </w:p>
    <w:p w14:paraId="170A938B" w14:textId="77777777" w:rsidR="00E01DDD" w:rsidRPr="004C6AEA" w:rsidRDefault="00E01DDD" w:rsidP="00E01DDD">
      <w:pPr>
        <w:numPr>
          <w:ilvl w:val="0"/>
          <w:numId w:val="1"/>
        </w:numPr>
        <w:spacing w:after="160" w:line="360" w:lineRule="auto"/>
        <w:contextualSpacing/>
        <w:jc w:val="both"/>
        <w:rPr>
          <w:rFonts w:ascii="David" w:eastAsia="Calibri" w:hAnsi="David"/>
          <w:b/>
          <w:bCs/>
          <w:rtl/>
        </w:rPr>
      </w:pPr>
      <w:r w:rsidRPr="004C6AEA">
        <w:rPr>
          <w:rFonts w:ascii="David" w:eastAsia="Calibri" w:hAnsi="David"/>
          <w:rtl/>
        </w:rPr>
        <w:t>על שיקולי ענישה, עמד בהרחבה כב' בית המשפט העליון ב</w:t>
      </w:r>
      <w:hyperlink r:id="rId41" w:history="1">
        <w:r w:rsidR="00106DCF" w:rsidRPr="00106DCF">
          <w:rPr>
            <w:rFonts w:ascii="David" w:eastAsia="Calibri" w:hAnsi="David"/>
            <w:color w:val="0000FF"/>
            <w:u w:val="single"/>
            <w:rtl/>
          </w:rPr>
          <w:t>ע"פ 11699/05</w:t>
        </w:r>
      </w:hyperlink>
      <w:r w:rsidRPr="004C6AEA">
        <w:rPr>
          <w:rFonts w:ascii="David" w:eastAsia="Calibri" w:hAnsi="David"/>
          <w:rtl/>
        </w:rPr>
        <w:t xml:space="preserve"> </w:t>
      </w:r>
      <w:r w:rsidRPr="004C6AEA">
        <w:rPr>
          <w:rFonts w:ascii="David" w:eastAsia="Calibri" w:hAnsi="David"/>
          <w:b/>
          <w:bCs/>
          <w:rtl/>
        </w:rPr>
        <w:t xml:space="preserve">סרפו נ' מ"י </w:t>
      </w:r>
      <w:r w:rsidRPr="004C6AEA">
        <w:rPr>
          <w:rFonts w:ascii="David" w:eastAsia="Calibri" w:hAnsi="David"/>
          <w:rtl/>
        </w:rPr>
        <w:t>(23/6/08):</w:t>
      </w:r>
    </w:p>
    <w:p w14:paraId="0BCB0B73"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b/>
          <w:bCs/>
          <w:rtl/>
        </w:rPr>
        <w:t>"מלאכת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w:t>
      </w:r>
    </w:p>
    <w:p w14:paraId="0782E6FD" w14:textId="77777777" w:rsidR="00E01DDD" w:rsidRPr="004C6AEA" w:rsidRDefault="00E01DDD" w:rsidP="00E01DDD">
      <w:pPr>
        <w:spacing w:after="160" w:line="360" w:lineRule="auto"/>
        <w:ind w:left="720"/>
        <w:contextualSpacing/>
        <w:jc w:val="both"/>
        <w:rPr>
          <w:rFonts w:ascii="David" w:eastAsia="Calibri" w:hAnsi="David"/>
          <w:b/>
          <w:bCs/>
        </w:rPr>
      </w:pPr>
    </w:p>
    <w:p w14:paraId="43E431D4" w14:textId="77777777" w:rsidR="00E01DDD" w:rsidRDefault="00E01DDD" w:rsidP="00E01DDD">
      <w:pPr>
        <w:spacing w:after="160" w:line="360" w:lineRule="auto"/>
        <w:ind w:left="720"/>
        <w:contextualSpacing/>
        <w:jc w:val="both"/>
        <w:rPr>
          <w:rFonts w:ascii="David" w:eastAsia="Calibri" w:hAnsi="David"/>
          <w:b/>
          <w:bCs/>
          <w:rtl/>
        </w:rPr>
      </w:pPr>
      <w:r w:rsidRPr="004C6AEA">
        <w:rPr>
          <w:rFonts w:ascii="David" w:eastAsia="Calibri" w:hAnsi="David"/>
          <w:b/>
          <w:bCs/>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w:t>
      </w:r>
      <w:r w:rsidRPr="004C6AEA">
        <w:rPr>
          <w:rFonts w:ascii="David" w:eastAsia="Calibri" w:hAnsi="David"/>
          <w:rtl/>
        </w:rPr>
        <w:t xml:space="preserve"> (</w:t>
      </w:r>
      <w:hyperlink r:id="rId42" w:history="1">
        <w:r w:rsidR="00106DCF" w:rsidRPr="00106DCF">
          <w:rPr>
            <w:rFonts w:ascii="David" w:eastAsia="Calibri" w:hAnsi="David"/>
            <w:color w:val="0000FF"/>
            <w:u w:val="single"/>
            <w:rtl/>
          </w:rPr>
          <w:t>ע"פ 212/79</w:t>
        </w:r>
      </w:hyperlink>
      <w:r w:rsidRPr="004C6AEA">
        <w:rPr>
          <w:rFonts w:ascii="David" w:eastAsia="Calibri" w:hAnsi="David"/>
          <w:rtl/>
        </w:rPr>
        <w:t xml:space="preserve"> פלוני נ' מדינת ישראל, פ"ד לד(2) 421, 434 (1979))....".</w:t>
      </w:r>
    </w:p>
    <w:p w14:paraId="24587B84" w14:textId="77777777" w:rsidR="00E01DDD" w:rsidRPr="004C6AEA" w:rsidRDefault="00E01DDD" w:rsidP="00E01DDD">
      <w:pPr>
        <w:spacing w:after="160" w:line="360" w:lineRule="auto"/>
        <w:contextualSpacing/>
        <w:jc w:val="both"/>
        <w:rPr>
          <w:rFonts w:ascii="David" w:eastAsia="Calibri" w:hAnsi="David"/>
          <w:b/>
          <w:bCs/>
        </w:rPr>
      </w:pPr>
    </w:p>
    <w:p w14:paraId="71874733" w14:textId="77777777" w:rsidR="00E01DDD" w:rsidRPr="004C6AEA" w:rsidRDefault="00E01DDD" w:rsidP="00E01DDD">
      <w:pPr>
        <w:numPr>
          <w:ilvl w:val="0"/>
          <w:numId w:val="1"/>
        </w:numPr>
        <w:spacing w:after="160" w:line="360" w:lineRule="auto"/>
        <w:contextualSpacing/>
        <w:jc w:val="both"/>
        <w:rPr>
          <w:rFonts w:ascii="David" w:eastAsia="Calibri" w:hAnsi="David"/>
          <w:b/>
          <w:bCs/>
        </w:rPr>
      </w:pPr>
      <w:r w:rsidRPr="004C6AEA">
        <w:rPr>
          <w:rFonts w:ascii="David" w:eastAsia="Calibri" w:hAnsi="David"/>
          <w:rtl/>
        </w:rPr>
        <w:t>בענייננו הנאשם הורשע בעבירות של גידול ייצור והחזקת סם שלא לצריכה עצמית ולא הוכרז כסוחר סמים. הנאשם אוחז ברישיון שימוש בקנבוס לצריכה עצמית ומהראיות עולה כי השימוש בסם הקנבוס הנו בזיקה ישירה לנסיבותיו האישיות ולשירותו הצבאי. נסיבותיו המיוחדות של הנאשם מתוארות בתסקיר המבחן אשר מ</w:t>
      </w:r>
      <w:r>
        <w:rPr>
          <w:rFonts w:ascii="David" w:eastAsia="Calibri" w:hAnsi="David" w:hint="cs"/>
          <w:rtl/>
        </w:rPr>
        <w:t xml:space="preserve">פאת </w:t>
      </w:r>
      <w:r w:rsidRPr="004C6AEA">
        <w:rPr>
          <w:rFonts w:ascii="David" w:eastAsia="Calibri" w:hAnsi="David"/>
          <w:rtl/>
        </w:rPr>
        <w:t xml:space="preserve">צנעת הפרט לא אחזור עליהן אולם יש בהן כדי לקבל את הסכמת הצדדים בנוגע לענישה, מאסר שירוצה בדרך של עבודות שירות לצד ענישה נלווית. </w:t>
      </w:r>
    </w:p>
    <w:p w14:paraId="6DC35DF8" w14:textId="77777777" w:rsidR="00E01DDD" w:rsidRPr="004C6AEA" w:rsidRDefault="00E01DDD" w:rsidP="00E01DDD">
      <w:pPr>
        <w:spacing w:after="160" w:line="360" w:lineRule="auto"/>
        <w:ind w:left="720"/>
        <w:contextualSpacing/>
        <w:jc w:val="both"/>
        <w:rPr>
          <w:rFonts w:ascii="David" w:eastAsia="Calibri" w:hAnsi="David"/>
          <w:b/>
          <w:bCs/>
        </w:rPr>
      </w:pPr>
    </w:p>
    <w:p w14:paraId="7AF8E967" w14:textId="77777777" w:rsidR="00E01DDD" w:rsidRPr="004C6AEA" w:rsidRDefault="00E01DDD" w:rsidP="00E01DDD">
      <w:pPr>
        <w:spacing w:after="160" w:line="360" w:lineRule="auto"/>
        <w:ind w:left="720"/>
        <w:contextualSpacing/>
        <w:jc w:val="both"/>
        <w:rPr>
          <w:rFonts w:ascii="David" w:eastAsia="Calibri" w:hAnsi="David"/>
          <w:b/>
          <w:bCs/>
        </w:rPr>
      </w:pPr>
      <w:r w:rsidRPr="004C6AEA">
        <w:rPr>
          <w:rFonts w:ascii="David" w:eastAsia="Calibri" w:hAnsi="David"/>
          <w:rtl/>
        </w:rPr>
        <w:t xml:space="preserve">עוד אציין כי הנאשם על פי דברי בא כוחו הודה מיד במשטרה לקח אחריות על מעשיו וחסך זמן שיפוטי יקר. לנוכח האמור, אמקם את הנאשם </w:t>
      </w:r>
      <w:r w:rsidRPr="004C6AEA">
        <w:rPr>
          <w:rFonts w:ascii="David" w:eastAsia="Calibri" w:hAnsi="David"/>
          <w:b/>
          <w:bCs/>
          <w:u w:val="single"/>
          <w:rtl/>
        </w:rPr>
        <w:t>ברף התחתון של מתחם העונש ההולם</w:t>
      </w:r>
      <w:r w:rsidRPr="004C6AEA">
        <w:rPr>
          <w:rFonts w:ascii="David" w:eastAsia="Calibri" w:hAnsi="David"/>
          <w:rtl/>
        </w:rPr>
        <w:t>.</w:t>
      </w:r>
    </w:p>
    <w:p w14:paraId="3A1F0D6E" w14:textId="77777777" w:rsidR="00E01DDD" w:rsidRPr="004C6AEA" w:rsidRDefault="00E01DDD" w:rsidP="00E01DDD">
      <w:pPr>
        <w:spacing w:after="160" w:line="256" w:lineRule="auto"/>
        <w:ind w:left="720"/>
        <w:contextualSpacing/>
        <w:rPr>
          <w:rFonts w:ascii="David" w:eastAsia="Calibri" w:hAnsi="David"/>
        </w:rPr>
      </w:pPr>
    </w:p>
    <w:p w14:paraId="5452F5EC" w14:textId="77777777" w:rsidR="00E01DDD" w:rsidRPr="004C6AEA" w:rsidRDefault="00E01DDD" w:rsidP="00E01DDD">
      <w:pPr>
        <w:numPr>
          <w:ilvl w:val="0"/>
          <w:numId w:val="1"/>
        </w:numPr>
        <w:spacing w:after="160" w:line="360" w:lineRule="auto"/>
        <w:contextualSpacing/>
        <w:jc w:val="both"/>
        <w:rPr>
          <w:rFonts w:ascii="David" w:eastAsia="Calibri" w:hAnsi="David"/>
          <w:b/>
          <w:bCs/>
          <w:rtl/>
        </w:rPr>
      </w:pPr>
      <w:r w:rsidRPr="004C6AEA">
        <w:rPr>
          <w:rFonts w:ascii="David" w:eastAsia="Calibri" w:hAnsi="David"/>
          <w:rtl/>
        </w:rPr>
        <w:t xml:space="preserve">משנאמר כל זאת, ולאחר שנשקלו כל השיקולים הרלוונטיים אשר צוינו לעיל, תוך עריכת איזון בין רכיבי הענישה השונים, אני מטיל על הנאשם את העונשים הבאים: </w:t>
      </w:r>
    </w:p>
    <w:p w14:paraId="0DB14B16" w14:textId="77777777" w:rsidR="00E01DDD" w:rsidRPr="004C6AEA" w:rsidRDefault="00E01DDD" w:rsidP="00E01DDD">
      <w:pPr>
        <w:spacing w:after="160" w:line="360" w:lineRule="auto"/>
        <w:jc w:val="both"/>
        <w:rPr>
          <w:rFonts w:ascii="David" w:eastAsia="Calibri" w:hAnsi="David"/>
          <w:b/>
          <w:bCs/>
        </w:rPr>
      </w:pPr>
    </w:p>
    <w:p w14:paraId="659A3121" w14:textId="77777777" w:rsidR="00E01DDD" w:rsidRPr="004C6AEA" w:rsidRDefault="00E01DDD" w:rsidP="00E01DDD">
      <w:pPr>
        <w:numPr>
          <w:ilvl w:val="0"/>
          <w:numId w:val="2"/>
        </w:numPr>
        <w:spacing w:after="160" w:line="360" w:lineRule="auto"/>
        <w:contextualSpacing/>
        <w:jc w:val="both"/>
        <w:rPr>
          <w:rFonts w:ascii="David" w:eastAsia="Calibri" w:hAnsi="David"/>
          <w:rtl/>
        </w:rPr>
      </w:pPr>
      <w:r w:rsidRPr="004C6AEA">
        <w:rPr>
          <w:rFonts w:ascii="David" w:eastAsia="Calibri" w:hAnsi="David"/>
          <w:rtl/>
        </w:rPr>
        <w:t>7 חודשי מאסר אשר ירוצו בעבודות שירות מיום 12/09/23 כפי האמור בחוות דעת יחידת ברקאי – עבודות שירות מיום 19.7.23</w:t>
      </w:r>
      <w:r>
        <w:rPr>
          <w:rFonts w:ascii="David" w:eastAsia="Calibri" w:hAnsi="David" w:hint="cs"/>
          <w:rtl/>
        </w:rPr>
        <w:t xml:space="preserve">,במועצה המקומית זיכרון יעקב הנאשם יתייצב לביצוע עבודות השירות עד ולא יאוחר מהשעה 10:00 במשרדי הממונה על עבודות השירות לצורך קליטתו. </w:t>
      </w:r>
    </w:p>
    <w:p w14:paraId="675BAA49" w14:textId="77777777" w:rsidR="00E01DDD" w:rsidRPr="004C6AEA" w:rsidRDefault="00E01DDD" w:rsidP="00E01DDD">
      <w:pPr>
        <w:spacing w:after="160" w:line="360" w:lineRule="auto"/>
        <w:ind w:left="810"/>
        <w:contextualSpacing/>
        <w:jc w:val="both"/>
        <w:rPr>
          <w:rFonts w:ascii="David" w:eastAsia="Calibri" w:hAnsi="David"/>
        </w:rPr>
      </w:pPr>
    </w:p>
    <w:p w14:paraId="42A0908E" w14:textId="77777777" w:rsidR="00E01DDD" w:rsidRDefault="00E01DDD" w:rsidP="00E01DDD">
      <w:pPr>
        <w:numPr>
          <w:ilvl w:val="0"/>
          <w:numId w:val="2"/>
        </w:numPr>
        <w:spacing w:after="160" w:line="360" w:lineRule="auto"/>
        <w:contextualSpacing/>
        <w:jc w:val="both"/>
        <w:rPr>
          <w:rFonts w:ascii="David" w:eastAsia="Calibri" w:hAnsi="David"/>
        </w:rPr>
      </w:pPr>
      <w:r w:rsidRPr="003A24D3">
        <w:rPr>
          <w:rFonts w:ascii="David" w:eastAsia="Calibri" w:hAnsi="David"/>
          <w:rtl/>
        </w:rPr>
        <w:t xml:space="preserve">אני מעמיד את הנאשם בפיקוח שירות המבחן למשך 12 חודשים. </w:t>
      </w:r>
      <w:r w:rsidRPr="003A24D3">
        <w:rPr>
          <w:rFonts w:ascii="David" w:eastAsia="Calibri" w:hAnsi="David" w:hint="cs"/>
          <w:rtl/>
        </w:rPr>
        <w:t xml:space="preserve">שירות המבחן יגבש עבור הנאשם תוכנית שיקומית מתאימה. </w:t>
      </w:r>
    </w:p>
    <w:p w14:paraId="24D66FDA" w14:textId="77777777" w:rsidR="00E01DDD" w:rsidRPr="003A24D3" w:rsidRDefault="00E01DDD" w:rsidP="00E01DDD">
      <w:pPr>
        <w:spacing w:after="160" w:line="360" w:lineRule="auto"/>
        <w:ind w:left="810"/>
        <w:contextualSpacing/>
        <w:jc w:val="both"/>
        <w:rPr>
          <w:rFonts w:ascii="David" w:eastAsia="Calibri" w:hAnsi="David"/>
          <w:rtl/>
        </w:rPr>
      </w:pPr>
    </w:p>
    <w:p w14:paraId="518DD6FC" w14:textId="77777777" w:rsidR="00E01DDD" w:rsidRPr="004C6AEA" w:rsidRDefault="00E01DDD" w:rsidP="00E01DDD">
      <w:pPr>
        <w:numPr>
          <w:ilvl w:val="0"/>
          <w:numId w:val="2"/>
        </w:numPr>
        <w:spacing w:after="160" w:line="360" w:lineRule="auto"/>
        <w:contextualSpacing/>
        <w:jc w:val="both"/>
        <w:rPr>
          <w:rFonts w:ascii="David" w:eastAsia="Calibri" w:hAnsi="David"/>
        </w:rPr>
      </w:pPr>
      <w:r w:rsidRPr="004C6AEA">
        <w:rPr>
          <w:rFonts w:ascii="David" w:eastAsia="Calibri" w:hAnsi="David"/>
          <w:rtl/>
        </w:rPr>
        <w:t xml:space="preserve">10 חודשי מאסר על תנאי למשך 3 שנים והתנאי הוא שהנאשם לא יעבור בפרק זמן זה, על עבירות בהן הורשע בתיק זה או  על כל עבירה לפי </w:t>
      </w:r>
      <w:hyperlink r:id="rId43" w:history="1">
        <w:r w:rsidR="00106DCF" w:rsidRPr="00106DCF">
          <w:rPr>
            <w:rFonts w:ascii="David" w:eastAsia="Calibri" w:hAnsi="David"/>
            <w:color w:val="0000FF"/>
            <w:u w:val="single"/>
            <w:rtl/>
          </w:rPr>
          <w:t>פקודת הסמים המסוכנים</w:t>
        </w:r>
      </w:hyperlink>
      <w:r>
        <w:rPr>
          <w:rFonts w:ascii="David" w:eastAsia="Calibri" w:hAnsi="David"/>
          <w:rtl/>
        </w:rPr>
        <w:t xml:space="preserve"> מסוג פשע ויורשע בה</w:t>
      </w:r>
      <w:r>
        <w:rPr>
          <w:rFonts w:ascii="David" w:eastAsia="Calibri" w:hAnsi="David" w:hint="cs"/>
          <w:rtl/>
        </w:rPr>
        <w:t xml:space="preserve"> על פי פקודת הסמים המסוכנים. </w:t>
      </w:r>
    </w:p>
    <w:p w14:paraId="497D64C0" w14:textId="77777777" w:rsidR="00E01DDD" w:rsidRPr="003A24D3" w:rsidRDefault="00E01DDD" w:rsidP="00E01DDD">
      <w:pPr>
        <w:spacing w:after="160" w:line="360" w:lineRule="auto"/>
        <w:ind w:left="810"/>
        <w:contextualSpacing/>
        <w:jc w:val="both"/>
        <w:rPr>
          <w:rFonts w:ascii="David" w:eastAsia="Calibri" w:hAnsi="David"/>
        </w:rPr>
      </w:pPr>
    </w:p>
    <w:p w14:paraId="6A8F0678" w14:textId="77777777" w:rsidR="00E01DDD" w:rsidRDefault="00E01DDD" w:rsidP="00E01DDD">
      <w:pPr>
        <w:numPr>
          <w:ilvl w:val="0"/>
          <w:numId w:val="2"/>
        </w:numPr>
        <w:spacing w:after="160" w:line="360" w:lineRule="auto"/>
        <w:contextualSpacing/>
        <w:jc w:val="both"/>
        <w:rPr>
          <w:rFonts w:ascii="David" w:eastAsia="Calibri" w:hAnsi="David"/>
        </w:rPr>
      </w:pPr>
      <w:r w:rsidRPr="004C6AEA">
        <w:rPr>
          <w:rFonts w:ascii="David" w:eastAsia="Calibri" w:hAnsi="David"/>
          <w:rtl/>
        </w:rPr>
        <w:t>קנס בסך 15,000 ₪.</w:t>
      </w:r>
      <w:r>
        <w:rPr>
          <w:rFonts w:ascii="David" w:eastAsia="Calibri" w:hAnsi="David" w:hint="cs"/>
          <w:rtl/>
        </w:rPr>
        <w:t xml:space="preserve"> סכום הקנס יקוזז מסכום הכספים שנתפסו בביתו של הנאשם והיתרה בהעדר החלטה אחרת לסתור תוחזר לנאשם.</w:t>
      </w:r>
    </w:p>
    <w:p w14:paraId="0BF818F1" w14:textId="77777777" w:rsidR="00E01DDD" w:rsidRDefault="00E01DDD" w:rsidP="00E01DDD">
      <w:pPr>
        <w:spacing w:after="160" w:line="360" w:lineRule="auto"/>
        <w:ind w:left="360"/>
        <w:contextualSpacing/>
        <w:jc w:val="both"/>
        <w:rPr>
          <w:rFonts w:ascii="David" w:eastAsia="Calibri" w:hAnsi="David"/>
        </w:rPr>
      </w:pPr>
    </w:p>
    <w:p w14:paraId="47E185E1" w14:textId="77777777" w:rsidR="00E01DDD" w:rsidRPr="003A24D3" w:rsidRDefault="00E01DDD" w:rsidP="00E01DDD">
      <w:pPr>
        <w:spacing w:after="160" w:line="360" w:lineRule="auto"/>
        <w:contextualSpacing/>
        <w:jc w:val="both"/>
        <w:rPr>
          <w:rFonts w:ascii="David" w:eastAsia="Calibri" w:hAnsi="David"/>
          <w:b/>
          <w:bCs/>
          <w:u w:val="single"/>
          <w:rtl/>
        </w:rPr>
      </w:pPr>
      <w:r w:rsidRPr="003A24D3">
        <w:rPr>
          <w:rFonts w:ascii="David" w:eastAsia="Calibri" w:hAnsi="David"/>
          <w:b/>
          <w:bCs/>
          <w:u w:val="single"/>
          <w:rtl/>
        </w:rPr>
        <w:t xml:space="preserve"> ניתן בזאת צו להשמדת הסמים וכן צו לחילוט התפוסים.</w:t>
      </w:r>
    </w:p>
    <w:p w14:paraId="31D9E8A6" w14:textId="77777777" w:rsidR="00E01DDD" w:rsidRPr="003A24D3" w:rsidRDefault="00E01DDD" w:rsidP="00E01DDD">
      <w:pPr>
        <w:spacing w:after="160" w:line="360" w:lineRule="auto"/>
        <w:ind w:firstLine="720"/>
        <w:jc w:val="both"/>
        <w:rPr>
          <w:rFonts w:ascii="David" w:eastAsia="Calibri" w:hAnsi="David"/>
          <w:b/>
          <w:bCs/>
          <w:u w:val="single"/>
          <w:rtl/>
        </w:rPr>
      </w:pPr>
      <w:r w:rsidRPr="003A24D3">
        <w:rPr>
          <w:rFonts w:ascii="David" w:eastAsia="Calibri" w:hAnsi="David" w:hint="cs"/>
          <w:b/>
          <w:bCs/>
          <w:u w:val="single"/>
          <w:rtl/>
        </w:rPr>
        <w:t xml:space="preserve">מורה בזאת על חילוט הציוד שנתפס בביתו של הנאשם. </w:t>
      </w:r>
    </w:p>
    <w:p w14:paraId="0FBEEEF7" w14:textId="77777777" w:rsidR="00E01DDD" w:rsidRDefault="00E01DDD" w:rsidP="00E01DDD">
      <w:pPr>
        <w:spacing w:after="160" w:line="360" w:lineRule="auto"/>
        <w:ind w:firstLine="720"/>
        <w:jc w:val="both"/>
        <w:rPr>
          <w:rFonts w:ascii="David" w:eastAsia="Calibri" w:hAnsi="David"/>
          <w:rtl/>
        </w:rPr>
      </w:pPr>
    </w:p>
    <w:p w14:paraId="2AE23839" w14:textId="77777777" w:rsidR="00E01DDD" w:rsidRPr="004C6AEA" w:rsidRDefault="00106DCF" w:rsidP="00E01DDD">
      <w:pPr>
        <w:spacing w:after="160" w:line="360" w:lineRule="auto"/>
        <w:ind w:firstLine="720"/>
        <w:jc w:val="both"/>
        <w:rPr>
          <w:rFonts w:ascii="David" w:eastAsia="Calibri" w:hAnsi="David"/>
          <w:rtl/>
        </w:rPr>
      </w:pPr>
      <w:r w:rsidRPr="00106DCF">
        <w:rPr>
          <w:rFonts w:ascii="David" w:eastAsia="Calibri" w:hAnsi="David"/>
          <w:color w:val="FFFFFF"/>
          <w:sz w:val="2"/>
          <w:szCs w:val="2"/>
          <w:rtl/>
        </w:rPr>
        <w:t>5129371</w:t>
      </w:r>
      <w:r w:rsidR="00E01DDD" w:rsidRPr="004C6AEA">
        <w:rPr>
          <w:rFonts w:ascii="David" w:eastAsia="Calibri" w:hAnsi="David"/>
          <w:rtl/>
        </w:rPr>
        <w:t xml:space="preserve">זכות ערעור לבית המשפט המחוזי בחיפה תוך 45 ימים מהיום. </w:t>
      </w:r>
    </w:p>
    <w:p w14:paraId="4393A8EA" w14:textId="77777777" w:rsidR="00E01DDD" w:rsidRPr="00106DCF" w:rsidRDefault="00106DCF" w:rsidP="00E01DDD">
      <w:pPr>
        <w:rPr>
          <w:rFonts w:ascii="Arial" w:hAnsi="Arial"/>
          <w:b/>
          <w:bCs/>
          <w:color w:val="FFFFFF"/>
          <w:sz w:val="2"/>
          <w:szCs w:val="2"/>
          <w:rtl/>
        </w:rPr>
      </w:pPr>
      <w:r w:rsidRPr="00106DCF">
        <w:rPr>
          <w:rFonts w:ascii="Arial" w:hAnsi="Arial"/>
          <w:b/>
          <w:bCs/>
          <w:color w:val="FFFFFF"/>
          <w:sz w:val="2"/>
          <w:szCs w:val="2"/>
          <w:rtl/>
        </w:rPr>
        <w:t>54678313</w:t>
      </w:r>
    </w:p>
    <w:p w14:paraId="12C3FA6B" w14:textId="77777777" w:rsidR="00E01DDD" w:rsidRPr="000F2247" w:rsidRDefault="00E01DDD" w:rsidP="00E01DDD">
      <w:pPr>
        <w:rPr>
          <w:rFonts w:ascii="Arial" w:hAnsi="Arial"/>
          <w:b/>
          <w:bCs/>
          <w:sz w:val="26"/>
          <w:szCs w:val="26"/>
          <w:rtl/>
        </w:rPr>
      </w:pPr>
    </w:p>
    <w:p w14:paraId="036A9372" w14:textId="77777777" w:rsidR="00E01DDD" w:rsidRPr="000F2247" w:rsidRDefault="00106DCF" w:rsidP="00E01DDD">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י"ג אב תשפ"ג, 31 יולי 2023, בהעדר הצדדים. </w:t>
      </w:r>
      <w:bookmarkEnd w:id="10"/>
      <w:r w:rsidR="00E01DDD">
        <w:rPr>
          <w:rFonts w:ascii="Arial" w:hAnsi="Arial"/>
          <w:b/>
          <w:bCs/>
          <w:sz w:val="26"/>
          <w:szCs w:val="26"/>
          <w:rtl/>
        </w:rPr>
        <w:tab/>
      </w:r>
      <w:r w:rsidR="00E01DDD">
        <w:rPr>
          <w:rFonts w:ascii="Arial" w:hAnsi="Arial"/>
          <w:b/>
          <w:bCs/>
          <w:sz w:val="26"/>
          <w:szCs w:val="26"/>
          <w:rtl/>
        </w:rPr>
        <w:tab/>
      </w:r>
      <w:r w:rsidR="00E01DDD">
        <w:rPr>
          <w:rFonts w:ascii="Arial" w:hAnsi="Arial"/>
          <w:b/>
          <w:bCs/>
          <w:sz w:val="26"/>
          <w:szCs w:val="26"/>
          <w:rtl/>
        </w:rPr>
        <w:tab/>
      </w:r>
      <w:r w:rsidR="00E01DDD">
        <w:rPr>
          <w:rFonts w:ascii="Arial" w:hAnsi="Arial"/>
          <w:b/>
          <w:bCs/>
          <w:sz w:val="26"/>
          <w:szCs w:val="26"/>
          <w:rtl/>
        </w:rPr>
        <w:tab/>
      </w:r>
      <w:r w:rsidR="00E01DDD">
        <w:rPr>
          <w:rFonts w:ascii="Arial" w:hAnsi="Arial"/>
          <w:b/>
          <w:bCs/>
          <w:sz w:val="26"/>
          <w:szCs w:val="26"/>
          <w:rtl/>
        </w:rPr>
        <w:tab/>
      </w:r>
      <w:r w:rsidR="00E01DDD">
        <w:rPr>
          <w:rFonts w:ascii="Arial" w:hAnsi="Arial"/>
          <w:b/>
          <w:bCs/>
          <w:sz w:val="26"/>
          <w:szCs w:val="26"/>
          <w:rtl/>
        </w:rPr>
        <w:tab/>
      </w:r>
      <w:r w:rsidR="00E01DDD">
        <w:rPr>
          <w:rFonts w:ascii="Arial" w:hAnsi="Arial"/>
          <w:b/>
          <w:bCs/>
          <w:sz w:val="26"/>
          <w:szCs w:val="26"/>
          <w:rtl/>
        </w:rPr>
        <w:tab/>
      </w:r>
      <w:r w:rsidR="00E01DDD">
        <w:rPr>
          <w:rFonts w:ascii="Arial" w:hAnsi="Arial" w:hint="cs"/>
          <w:b/>
          <w:bCs/>
          <w:sz w:val="26"/>
          <w:szCs w:val="26"/>
          <w:rtl/>
        </w:rPr>
        <w:t xml:space="preserve">         </w:t>
      </w:r>
    </w:p>
    <w:p w14:paraId="2AA73536" w14:textId="77777777" w:rsidR="00E01DDD" w:rsidRPr="000F2247" w:rsidRDefault="00E01DDD" w:rsidP="00106DC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B12651" w14:textId="77777777" w:rsidR="00E01DDD" w:rsidRPr="000F2247" w:rsidRDefault="00E01DDD" w:rsidP="00E01DDD">
      <w:pPr>
        <w:jc w:val="center"/>
        <w:rPr>
          <w:rFonts w:ascii="Arial" w:hAnsi="Arial"/>
          <w:b/>
          <w:bCs/>
          <w:sz w:val="26"/>
          <w:szCs w:val="26"/>
          <w:rtl/>
        </w:rPr>
      </w:pPr>
    </w:p>
    <w:p w14:paraId="0617D921" w14:textId="77777777" w:rsidR="00FA583D" w:rsidRPr="00106DCF" w:rsidRDefault="00FA583D" w:rsidP="00106DCF">
      <w:pPr>
        <w:keepNext/>
        <w:rPr>
          <w:rFonts w:ascii="David" w:hAnsi="David"/>
          <w:color w:val="000000"/>
          <w:sz w:val="22"/>
          <w:szCs w:val="22"/>
          <w:rtl/>
        </w:rPr>
      </w:pPr>
    </w:p>
    <w:p w14:paraId="5BF18973" w14:textId="77777777" w:rsidR="00106DCF" w:rsidRPr="00106DCF" w:rsidRDefault="00106DCF" w:rsidP="00106DCF">
      <w:pPr>
        <w:keepNext/>
        <w:rPr>
          <w:rFonts w:ascii="David" w:hAnsi="David"/>
          <w:color w:val="000000"/>
          <w:sz w:val="22"/>
          <w:szCs w:val="22"/>
          <w:rtl/>
        </w:rPr>
      </w:pPr>
      <w:r w:rsidRPr="00106DCF">
        <w:rPr>
          <w:rFonts w:ascii="David" w:hAnsi="David"/>
          <w:color w:val="000000"/>
          <w:sz w:val="22"/>
          <w:szCs w:val="22"/>
          <w:rtl/>
        </w:rPr>
        <w:t>אלכס אחטר 54678313</w:t>
      </w:r>
    </w:p>
    <w:p w14:paraId="5C32DF09" w14:textId="77777777" w:rsidR="00106DCF" w:rsidRDefault="00106DCF" w:rsidP="00106DCF">
      <w:r w:rsidRPr="00106DCF">
        <w:rPr>
          <w:color w:val="000000"/>
          <w:rtl/>
        </w:rPr>
        <w:t>נוסח מסמך זה כפוף לשינויי ניסוח ועריכה</w:t>
      </w:r>
    </w:p>
    <w:p w14:paraId="26A34971" w14:textId="77777777" w:rsidR="00106DCF" w:rsidRDefault="00106DCF" w:rsidP="00106DCF">
      <w:pPr>
        <w:rPr>
          <w:rtl/>
        </w:rPr>
      </w:pPr>
    </w:p>
    <w:p w14:paraId="6145407A" w14:textId="77777777" w:rsidR="00106DCF" w:rsidRDefault="00106DCF" w:rsidP="00106DC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8C76CA6" w14:textId="77777777" w:rsidR="00106DCF" w:rsidRPr="00106DCF" w:rsidRDefault="00106DCF" w:rsidP="00106DCF">
      <w:pPr>
        <w:jc w:val="center"/>
        <w:rPr>
          <w:color w:val="0000FF"/>
          <w:u w:val="single"/>
        </w:rPr>
      </w:pPr>
    </w:p>
    <w:sectPr w:rsidR="00106DCF" w:rsidRPr="00106DCF" w:rsidSect="00106DC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303E0" w14:textId="77777777" w:rsidR="009B36CB" w:rsidRDefault="009B36CB" w:rsidP="00371202">
      <w:r>
        <w:separator/>
      </w:r>
    </w:p>
  </w:endnote>
  <w:endnote w:type="continuationSeparator" w:id="0">
    <w:p w14:paraId="4850C3E8" w14:textId="77777777" w:rsidR="009B36CB" w:rsidRDefault="009B36CB" w:rsidP="0037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3B588" w14:textId="77777777" w:rsidR="00106DCF" w:rsidRDefault="00106DCF" w:rsidP="00106D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57D80E" w14:textId="77777777" w:rsidR="009C532B" w:rsidRPr="00106DCF" w:rsidRDefault="00106DCF" w:rsidP="00106D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B5426" w14:textId="77777777" w:rsidR="00106DCF" w:rsidRDefault="00106DCF" w:rsidP="00106D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31D7">
      <w:rPr>
        <w:rFonts w:ascii="FrankRuehl" w:hAnsi="FrankRuehl" w:cs="FrankRuehl"/>
        <w:noProof/>
        <w:rtl/>
      </w:rPr>
      <w:t>1</w:t>
    </w:r>
    <w:r>
      <w:rPr>
        <w:rFonts w:ascii="FrankRuehl" w:hAnsi="FrankRuehl" w:cs="FrankRuehl"/>
        <w:rtl/>
      </w:rPr>
      <w:fldChar w:fldCharType="end"/>
    </w:r>
  </w:p>
  <w:p w14:paraId="68E80F0B" w14:textId="77777777" w:rsidR="009C532B" w:rsidRPr="00106DCF" w:rsidRDefault="00106DCF" w:rsidP="00106DC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8AF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1CCC1" w14:textId="77777777" w:rsidR="009B36CB" w:rsidRDefault="009B36CB" w:rsidP="00371202">
      <w:r>
        <w:separator/>
      </w:r>
    </w:p>
  </w:footnote>
  <w:footnote w:type="continuationSeparator" w:id="0">
    <w:p w14:paraId="052FB8D5" w14:textId="77777777" w:rsidR="009B36CB" w:rsidRDefault="009B36CB" w:rsidP="00371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42583" w14:textId="77777777" w:rsidR="00106DCF" w:rsidRPr="00106DCF" w:rsidRDefault="00106DCF" w:rsidP="00106D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33197-04-22</w:t>
    </w:r>
    <w:r>
      <w:rPr>
        <w:rFonts w:ascii="David" w:hAnsi="David"/>
        <w:color w:val="000000"/>
        <w:sz w:val="22"/>
        <w:szCs w:val="22"/>
        <w:rtl/>
      </w:rPr>
      <w:tab/>
      <w:t xml:space="preserve"> מדינת ישראל נ' ניצן וייס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7D7EA" w14:textId="77777777" w:rsidR="00106DCF" w:rsidRPr="00106DCF" w:rsidRDefault="00106DCF" w:rsidP="00106D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33197-04-22</w:t>
    </w:r>
    <w:r>
      <w:rPr>
        <w:rFonts w:ascii="David" w:hAnsi="David"/>
        <w:color w:val="000000"/>
        <w:sz w:val="22"/>
        <w:szCs w:val="22"/>
        <w:rtl/>
      </w:rPr>
      <w:tab/>
      <w:t xml:space="preserve"> מדינת ישראל נ' ניצן וייס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089"/>
    <w:multiLevelType w:val="hybridMultilevel"/>
    <w:tmpl w:val="F958650E"/>
    <w:lvl w:ilvl="0" w:tplc="B42A2C68">
      <w:start w:val="1"/>
      <w:numFmt w:val="decimal"/>
      <w:lvlText w:val="%1."/>
      <w:lvlJc w:val="left"/>
      <w:pPr>
        <w:ind w:left="810" w:hanging="45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60744B"/>
    <w:multiLevelType w:val="hybridMultilevel"/>
    <w:tmpl w:val="97DAE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7641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2864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1DDD"/>
    <w:rsid w:val="0005077F"/>
    <w:rsid w:val="00106DCF"/>
    <w:rsid w:val="001B5A3B"/>
    <w:rsid w:val="00254BC9"/>
    <w:rsid w:val="00371202"/>
    <w:rsid w:val="005E31D7"/>
    <w:rsid w:val="005F6736"/>
    <w:rsid w:val="009A263E"/>
    <w:rsid w:val="009B36CB"/>
    <w:rsid w:val="009C532B"/>
    <w:rsid w:val="00A14765"/>
    <w:rsid w:val="00A478B0"/>
    <w:rsid w:val="00AE6DE6"/>
    <w:rsid w:val="00AF5BBA"/>
    <w:rsid w:val="00E01DDD"/>
    <w:rsid w:val="00FA583D"/>
    <w:rsid w:val="00FF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A38582"/>
  <w15:chartTrackingRefBased/>
  <w15:docId w15:val="{13495561-5126-4ECA-BF11-ACE3C10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1D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1DDD"/>
    <w:pPr>
      <w:tabs>
        <w:tab w:val="center" w:pos="4153"/>
        <w:tab w:val="right" w:pos="8306"/>
      </w:tabs>
    </w:pPr>
  </w:style>
  <w:style w:type="character" w:customStyle="1" w:styleId="a4">
    <w:name w:val="כותרת עליונה תו"/>
    <w:link w:val="a3"/>
    <w:rsid w:val="00E01DDD"/>
    <w:rPr>
      <w:rFonts w:ascii="Times New Roman" w:eastAsia="Times New Roman" w:hAnsi="Times New Roman" w:cs="David"/>
      <w:sz w:val="24"/>
      <w:szCs w:val="24"/>
    </w:rPr>
  </w:style>
  <w:style w:type="paragraph" w:styleId="a5">
    <w:name w:val="footer"/>
    <w:basedOn w:val="a"/>
    <w:link w:val="a6"/>
    <w:rsid w:val="00E01DDD"/>
    <w:pPr>
      <w:tabs>
        <w:tab w:val="center" w:pos="4153"/>
        <w:tab w:val="right" w:pos="8306"/>
      </w:tabs>
    </w:pPr>
  </w:style>
  <w:style w:type="character" w:customStyle="1" w:styleId="a6">
    <w:name w:val="כותרת תחתונה תו"/>
    <w:link w:val="a5"/>
    <w:rsid w:val="00E01DDD"/>
    <w:rPr>
      <w:rFonts w:ascii="Times New Roman" w:eastAsia="Times New Roman" w:hAnsi="Times New Roman" w:cs="David"/>
      <w:sz w:val="24"/>
      <w:szCs w:val="24"/>
    </w:rPr>
  </w:style>
  <w:style w:type="table" w:styleId="a7">
    <w:name w:val="Table Grid"/>
    <w:basedOn w:val="a1"/>
    <w:rsid w:val="00E01D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1DDD"/>
  </w:style>
  <w:style w:type="character" w:styleId="Hyperlink">
    <w:name w:val="Hyperlink"/>
    <w:rsid w:val="00106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e"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2695050" TargetMode="External"/><Relationship Id="rId21" Type="http://schemas.openxmlformats.org/officeDocument/2006/relationships/hyperlink" Target="http://www.nevo.co.il/case/27347635" TargetMode="External"/><Relationship Id="rId34" Type="http://schemas.openxmlformats.org/officeDocument/2006/relationships/hyperlink" Target="http://www.nevo.co.il/safrut/book/974" TargetMode="External"/><Relationship Id="rId42" Type="http://schemas.openxmlformats.org/officeDocument/2006/relationships/hyperlink" Target="http://www.nevo.co.il/case/1791471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law/70301/40e"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277147" TargetMode="External"/><Relationship Id="rId37" Type="http://schemas.openxmlformats.org/officeDocument/2006/relationships/hyperlink" Target="http://www.nevo.co.il/case/25202760" TargetMode="External"/><Relationship Id="rId40" Type="http://schemas.openxmlformats.org/officeDocument/2006/relationships/hyperlink" Target="http://www.nevo.co.il/case/275738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6334908"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28226828"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797877"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0632055"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case/26230247" TargetMode="External"/><Relationship Id="rId35" Type="http://schemas.openxmlformats.org/officeDocument/2006/relationships/hyperlink" Target="http://www.nevo.co.il/case/27922147"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8187752" TargetMode="External"/><Relationship Id="rId38" Type="http://schemas.openxmlformats.org/officeDocument/2006/relationships/hyperlink" Target="http://www.nevo.co.il/case/26376566" TargetMode="External"/><Relationship Id="rId46" Type="http://schemas.openxmlformats.org/officeDocument/2006/relationships/header" Target="header2.xml"/><Relationship Id="rId20" Type="http://schemas.openxmlformats.org/officeDocument/2006/relationships/hyperlink" Target="http://www.nevo.co.il/case/26396568" TargetMode="External"/><Relationship Id="rId41" Type="http://schemas.openxmlformats.org/officeDocument/2006/relationships/hyperlink" Target="http://www.nevo.co.il/case/576490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3170</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18988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3997813</vt:i4>
      </vt:variant>
      <vt:variant>
        <vt:i4>108</vt:i4>
      </vt:variant>
      <vt:variant>
        <vt:i4>0</vt:i4>
      </vt:variant>
      <vt:variant>
        <vt:i4>5</vt:i4>
      </vt:variant>
      <vt:variant>
        <vt:lpwstr>http://www.nevo.co.il/case/17914714</vt:lpwstr>
      </vt:variant>
      <vt:variant>
        <vt:lpwstr/>
      </vt:variant>
      <vt:variant>
        <vt:i4>3735671</vt:i4>
      </vt:variant>
      <vt:variant>
        <vt:i4>105</vt:i4>
      </vt:variant>
      <vt:variant>
        <vt:i4>0</vt:i4>
      </vt:variant>
      <vt:variant>
        <vt:i4>5</vt:i4>
      </vt:variant>
      <vt:variant>
        <vt:lpwstr>http://www.nevo.co.il/case/5764903</vt:lpwstr>
      </vt:variant>
      <vt:variant>
        <vt:lpwstr/>
      </vt:variant>
      <vt:variant>
        <vt:i4>3407996</vt:i4>
      </vt:variant>
      <vt:variant>
        <vt:i4>102</vt:i4>
      </vt:variant>
      <vt:variant>
        <vt:i4>0</vt:i4>
      </vt:variant>
      <vt:variant>
        <vt:i4>5</vt:i4>
      </vt:variant>
      <vt:variant>
        <vt:lpwstr>http://www.nevo.co.il/case/27573801</vt:lpwstr>
      </vt:variant>
      <vt:variant>
        <vt:lpwstr/>
      </vt:variant>
      <vt:variant>
        <vt:i4>3407999</vt:i4>
      </vt:variant>
      <vt:variant>
        <vt:i4>99</vt:i4>
      </vt:variant>
      <vt:variant>
        <vt:i4>0</vt:i4>
      </vt:variant>
      <vt:variant>
        <vt:i4>5</vt:i4>
      </vt:variant>
      <vt:variant>
        <vt:lpwstr>http://www.nevo.co.il/case/22695050</vt:lpwstr>
      </vt:variant>
      <vt:variant>
        <vt:lpwstr/>
      </vt:variant>
      <vt:variant>
        <vt:i4>3211376</vt:i4>
      </vt:variant>
      <vt:variant>
        <vt:i4>96</vt:i4>
      </vt:variant>
      <vt:variant>
        <vt:i4>0</vt:i4>
      </vt:variant>
      <vt:variant>
        <vt:i4>5</vt:i4>
      </vt:variant>
      <vt:variant>
        <vt:lpwstr>http://www.nevo.co.il/case/26376566</vt:lpwstr>
      </vt:variant>
      <vt:variant>
        <vt:lpwstr/>
      </vt:variant>
      <vt:variant>
        <vt:i4>3407990</vt:i4>
      </vt:variant>
      <vt:variant>
        <vt:i4>93</vt:i4>
      </vt:variant>
      <vt:variant>
        <vt:i4>0</vt:i4>
      </vt:variant>
      <vt:variant>
        <vt:i4>5</vt:i4>
      </vt:variant>
      <vt:variant>
        <vt:lpwstr>http://www.nevo.co.il/case/25202760</vt:lpwstr>
      </vt:variant>
      <vt:variant>
        <vt:lpwstr/>
      </vt:variant>
      <vt:variant>
        <vt:i4>3407990</vt:i4>
      </vt:variant>
      <vt:variant>
        <vt:i4>90</vt:i4>
      </vt:variant>
      <vt:variant>
        <vt:i4>0</vt:i4>
      </vt:variant>
      <vt:variant>
        <vt:i4>5</vt:i4>
      </vt:variant>
      <vt:variant>
        <vt:lpwstr>http://www.nevo.co.il/case/28226828</vt:lpwstr>
      </vt:variant>
      <vt:variant>
        <vt:lpwstr/>
      </vt:variant>
      <vt:variant>
        <vt:i4>3997808</vt:i4>
      </vt:variant>
      <vt:variant>
        <vt:i4>87</vt:i4>
      </vt:variant>
      <vt:variant>
        <vt:i4>0</vt:i4>
      </vt:variant>
      <vt:variant>
        <vt:i4>5</vt:i4>
      </vt:variant>
      <vt:variant>
        <vt:lpwstr>http://www.nevo.co.il/case/27922147</vt:lpwstr>
      </vt:variant>
      <vt:variant>
        <vt:lpwstr/>
      </vt:variant>
      <vt:variant>
        <vt:i4>4587529</vt:i4>
      </vt:variant>
      <vt:variant>
        <vt:i4>84</vt:i4>
      </vt:variant>
      <vt:variant>
        <vt:i4>0</vt:i4>
      </vt:variant>
      <vt:variant>
        <vt:i4>5</vt:i4>
      </vt:variant>
      <vt:variant>
        <vt:lpwstr>http://www.nevo.co.il/safrut/book/974</vt:lpwstr>
      </vt:variant>
      <vt:variant>
        <vt:lpwstr/>
      </vt:variant>
      <vt:variant>
        <vt:i4>3211379</vt:i4>
      </vt:variant>
      <vt:variant>
        <vt:i4>81</vt:i4>
      </vt:variant>
      <vt:variant>
        <vt:i4>0</vt:i4>
      </vt:variant>
      <vt:variant>
        <vt:i4>5</vt:i4>
      </vt:variant>
      <vt:variant>
        <vt:lpwstr>http://www.nevo.co.il/case/28187752</vt:lpwstr>
      </vt:variant>
      <vt:variant>
        <vt:lpwstr/>
      </vt:variant>
      <vt:variant>
        <vt:i4>3342455</vt:i4>
      </vt:variant>
      <vt:variant>
        <vt:i4>78</vt:i4>
      </vt:variant>
      <vt:variant>
        <vt:i4>0</vt:i4>
      </vt:variant>
      <vt:variant>
        <vt:i4>5</vt:i4>
      </vt:variant>
      <vt:variant>
        <vt:lpwstr>http://www.nevo.co.il/case/25277147</vt:lpwstr>
      </vt:variant>
      <vt:variant>
        <vt:lpwstr/>
      </vt:variant>
      <vt:variant>
        <vt:i4>3473523</vt:i4>
      </vt:variant>
      <vt:variant>
        <vt:i4>75</vt:i4>
      </vt:variant>
      <vt:variant>
        <vt:i4>0</vt:i4>
      </vt:variant>
      <vt:variant>
        <vt:i4>5</vt:i4>
      </vt:variant>
      <vt:variant>
        <vt:lpwstr>http://www.nevo.co.il/case/26797877</vt:lpwstr>
      </vt:variant>
      <vt:variant>
        <vt:lpwstr/>
      </vt:variant>
      <vt:variant>
        <vt:i4>3407987</vt:i4>
      </vt:variant>
      <vt:variant>
        <vt:i4>72</vt:i4>
      </vt:variant>
      <vt:variant>
        <vt:i4>0</vt:i4>
      </vt:variant>
      <vt:variant>
        <vt:i4>5</vt:i4>
      </vt:variant>
      <vt:variant>
        <vt:lpwstr>http://www.nevo.co.il/case/26230247</vt:lpwstr>
      </vt:variant>
      <vt:variant>
        <vt:lpwstr/>
      </vt:variant>
      <vt:variant>
        <vt:i4>6619233</vt:i4>
      </vt:variant>
      <vt:variant>
        <vt:i4>69</vt:i4>
      </vt:variant>
      <vt:variant>
        <vt:i4>0</vt:i4>
      </vt:variant>
      <vt:variant>
        <vt:i4>5</vt:i4>
      </vt:variant>
      <vt:variant>
        <vt:lpwstr>http://www.nevo.co.il/law/70301/40e</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3473528</vt:i4>
      </vt:variant>
      <vt:variant>
        <vt:i4>51</vt:i4>
      </vt:variant>
      <vt:variant>
        <vt:i4>0</vt:i4>
      </vt:variant>
      <vt:variant>
        <vt:i4>5</vt:i4>
      </vt:variant>
      <vt:variant>
        <vt:lpwstr>http://www.nevo.co.il/case/26334908</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3211390</vt:i4>
      </vt:variant>
      <vt:variant>
        <vt:i4>42</vt:i4>
      </vt:variant>
      <vt:variant>
        <vt:i4>0</vt:i4>
      </vt:variant>
      <vt:variant>
        <vt:i4>5</vt:i4>
      </vt:variant>
      <vt:variant>
        <vt:lpwstr>http://www.nevo.co.il/case/26396568</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33197</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ניצן וייס</vt:lpwstr>
  </property>
  <property fmtid="{D5CDD505-2E9C-101B-9397-08002B2CF9AE}" pid="10" name="LAWYER">
    <vt:lpwstr>מידד אזרזר;גדעון קוסטא</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20230731</vt:lpwstr>
  </property>
  <property fmtid="{D5CDD505-2E9C-101B-9397-08002B2CF9AE}" pid="14" name="TYPE_N_DATE">
    <vt:lpwstr>38020230731</vt:lpwstr>
  </property>
  <property fmtid="{D5CDD505-2E9C-101B-9397-08002B2CF9AE}" pid="15" name="WORDNUMPAGES">
    <vt:lpwstr>10</vt:lpwstr>
  </property>
  <property fmtid="{D5CDD505-2E9C-101B-9397-08002B2CF9AE}" pid="16" name="TYPE_ABS_DATE">
    <vt:lpwstr>380020230731</vt:lpwstr>
  </property>
  <property fmtid="{D5CDD505-2E9C-101B-9397-08002B2CF9AE}" pid="17" name="ISABSTRACT">
    <vt:lpwstr>Y</vt:lpwstr>
  </property>
  <property fmtid="{D5CDD505-2E9C-101B-9397-08002B2CF9AE}" pid="18" name="CASESLISTTMP1">
    <vt:lpwstr>26396568;27347635;20632055;26334908;26230247;26797877;25277147;28187752;27922147;28226828;25202760;26376566;22695050;27573801;5764903;17914714</vt:lpwstr>
  </property>
  <property fmtid="{D5CDD505-2E9C-101B-9397-08002B2CF9AE}" pid="19" name="BOOKLISTTMP1">
    <vt:lpwstr>974</vt:lpwstr>
  </property>
  <property fmtid="{D5CDD505-2E9C-101B-9397-08002B2CF9AE}" pid="20" name="LAWLISTTMP1">
    <vt:lpwstr>4216/007.a;007.c;006</vt:lpwstr>
  </property>
  <property fmtid="{D5CDD505-2E9C-101B-9397-08002B2CF9AE}" pid="21" name="LAWLISTTMP2">
    <vt:lpwstr>70301/040i;40ja;040d;040e</vt:lpwstr>
  </property>
</Properties>
</file>