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A42F9D" w:rsidRPr="00BF2F4F" w14:paraId="4FE4008F" w14:textId="77777777" w:rsidTr="008461C3">
        <w:trPr>
          <w:gridAfter w:val="1"/>
          <w:wAfter w:w="99" w:type="dxa"/>
          <w:trHeight w:hRule="exact" w:val="418"/>
          <w:jc w:val="center"/>
        </w:trPr>
        <w:tc>
          <w:tcPr>
            <w:tcW w:w="8721" w:type="dxa"/>
            <w:gridSpan w:val="4"/>
          </w:tcPr>
          <w:p w14:paraId="1B561157" w14:textId="77777777" w:rsidR="00A42F9D" w:rsidRPr="00BF2F4F" w:rsidRDefault="00A42F9D" w:rsidP="006A311D">
            <w:pPr>
              <w:pStyle w:val="a3"/>
              <w:jc w:val="center"/>
              <w:rPr>
                <w:rFonts w:ascii="Tahoma" w:hAnsi="Tahoma" w:cs="Tahoma"/>
                <w:color w:val="000080"/>
                <w:rtl/>
              </w:rPr>
            </w:pPr>
            <w:bookmarkStart w:id="0" w:name="LastJudge"/>
            <w:r w:rsidRPr="00BF2F4F">
              <w:rPr>
                <w:rFonts w:ascii="Tahoma" w:hAnsi="Tahoma" w:cs="Tahoma"/>
                <w:b/>
                <w:bCs/>
                <w:color w:val="000080"/>
                <w:rtl/>
              </w:rPr>
              <w:t>בית משפט השלום בבאר שבע</w:t>
            </w:r>
          </w:p>
        </w:tc>
      </w:tr>
      <w:tr w:rsidR="00A42F9D" w:rsidRPr="00BF2F4F" w14:paraId="16341F6A" w14:textId="77777777" w:rsidTr="008461C3">
        <w:trPr>
          <w:gridAfter w:val="1"/>
          <w:wAfter w:w="99" w:type="dxa"/>
          <w:trHeight w:val="337"/>
          <w:jc w:val="center"/>
        </w:trPr>
        <w:tc>
          <w:tcPr>
            <w:tcW w:w="5055" w:type="dxa"/>
            <w:gridSpan w:val="3"/>
          </w:tcPr>
          <w:p w14:paraId="78F65280" w14:textId="77777777" w:rsidR="00A42F9D" w:rsidRPr="00BF2F4F" w:rsidRDefault="00A42F9D" w:rsidP="006A311D">
            <w:pPr>
              <w:rPr>
                <w:rFonts w:cs="FrankRuehl"/>
                <w:sz w:val="28"/>
                <w:szCs w:val="28"/>
                <w:rtl/>
              </w:rPr>
            </w:pPr>
            <w:r w:rsidRPr="00BF2F4F">
              <w:rPr>
                <w:rFonts w:cs="FrankRuehl"/>
                <w:sz w:val="28"/>
                <w:szCs w:val="28"/>
                <w:rtl/>
              </w:rPr>
              <w:t>ת"פ</w:t>
            </w:r>
            <w:r w:rsidRPr="00BF2F4F">
              <w:rPr>
                <w:rFonts w:cs="FrankRuehl" w:hint="cs"/>
                <w:sz w:val="28"/>
                <w:szCs w:val="28"/>
                <w:rtl/>
              </w:rPr>
              <w:t xml:space="preserve"> </w:t>
            </w:r>
            <w:r w:rsidRPr="00BF2F4F">
              <w:rPr>
                <w:rFonts w:cs="FrankRuehl"/>
                <w:sz w:val="28"/>
                <w:szCs w:val="28"/>
                <w:rtl/>
              </w:rPr>
              <w:t>34018-04-22</w:t>
            </w:r>
            <w:r w:rsidRPr="00BF2F4F">
              <w:rPr>
                <w:rFonts w:cs="FrankRuehl" w:hint="cs"/>
                <w:sz w:val="28"/>
                <w:szCs w:val="28"/>
                <w:rtl/>
              </w:rPr>
              <w:t xml:space="preserve"> </w:t>
            </w:r>
            <w:r w:rsidRPr="00BF2F4F">
              <w:rPr>
                <w:rFonts w:cs="FrankRuehl"/>
                <w:sz w:val="28"/>
                <w:szCs w:val="28"/>
                <w:rtl/>
              </w:rPr>
              <w:t>מדינת ישראל נ' הואשלה</w:t>
            </w:r>
          </w:p>
          <w:p w14:paraId="1CC7EF90" w14:textId="77777777" w:rsidR="00A42F9D" w:rsidRPr="00BF2F4F" w:rsidRDefault="00A42F9D" w:rsidP="006A311D">
            <w:pPr>
              <w:pStyle w:val="a3"/>
              <w:rPr>
                <w:rFonts w:cs="FrankRuehl"/>
                <w:sz w:val="28"/>
                <w:szCs w:val="28"/>
                <w:rtl/>
              </w:rPr>
            </w:pPr>
          </w:p>
        </w:tc>
        <w:tc>
          <w:tcPr>
            <w:tcW w:w="3666" w:type="dxa"/>
          </w:tcPr>
          <w:p w14:paraId="3D3E32EA" w14:textId="77777777" w:rsidR="00A42F9D" w:rsidRPr="00BF2F4F" w:rsidRDefault="00A42F9D" w:rsidP="006A311D">
            <w:pPr>
              <w:pStyle w:val="a3"/>
              <w:jc w:val="right"/>
              <w:rPr>
                <w:rFonts w:cs="FrankRuehl"/>
                <w:sz w:val="28"/>
                <w:szCs w:val="28"/>
                <w:rtl/>
              </w:rPr>
            </w:pPr>
          </w:p>
        </w:tc>
      </w:tr>
      <w:tr w:rsidR="00A42F9D" w:rsidRPr="00BF2F4F" w14:paraId="4FB377B5" w14:textId="77777777" w:rsidTr="008461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8A5E844" w14:textId="77777777" w:rsidR="00A42F9D" w:rsidRPr="00BF2F4F" w:rsidRDefault="00A42F9D" w:rsidP="00A42F9D">
            <w:pPr>
              <w:jc w:val="both"/>
              <w:rPr>
                <w:rFonts w:ascii="David" w:hAnsi="David"/>
                <w:sz w:val="26"/>
                <w:szCs w:val="26"/>
              </w:rPr>
            </w:pPr>
            <w:r w:rsidRPr="00BF2F4F">
              <w:rPr>
                <w:rFonts w:hint="cs"/>
                <w:rtl/>
              </w:rPr>
              <w:t xml:space="preserve"> </w:t>
            </w:r>
            <w:r w:rsidRPr="00BF2F4F">
              <w:rPr>
                <w:rFonts w:ascii="David" w:hAnsi="David" w:hint="cs"/>
                <w:sz w:val="26"/>
                <w:szCs w:val="26"/>
                <w:rtl/>
              </w:rPr>
              <w:t>ל</w:t>
            </w:r>
            <w:r w:rsidRPr="00BF2F4F">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FCC72D6" w14:textId="77777777" w:rsidR="00A42F9D" w:rsidRPr="00BF2F4F" w:rsidRDefault="00A42F9D" w:rsidP="006A311D">
            <w:pPr>
              <w:rPr>
                <w:rFonts w:ascii="David" w:hAnsi="David"/>
                <w:b/>
                <w:bCs/>
                <w:sz w:val="26"/>
                <w:szCs w:val="26"/>
                <w:rtl/>
              </w:rPr>
            </w:pPr>
            <w:r w:rsidRPr="00BF2F4F">
              <w:rPr>
                <w:rFonts w:ascii="David" w:hAnsi="David"/>
                <w:b/>
                <w:bCs/>
                <w:sz w:val="26"/>
                <w:szCs w:val="26"/>
                <w:rtl/>
              </w:rPr>
              <w:t>כבוד השופטת  אורית קרץ</w:t>
            </w:r>
          </w:p>
          <w:p w14:paraId="215E586E" w14:textId="77777777" w:rsidR="00A42F9D" w:rsidRPr="00BF2F4F" w:rsidRDefault="00A42F9D" w:rsidP="006A311D">
            <w:pPr>
              <w:rPr>
                <w:rFonts w:ascii="David" w:hAnsi="David"/>
                <w:sz w:val="26"/>
                <w:szCs w:val="26"/>
                <w:rtl/>
              </w:rPr>
            </w:pPr>
          </w:p>
          <w:p w14:paraId="3B7341E3" w14:textId="77777777" w:rsidR="00A42F9D" w:rsidRPr="00BF2F4F" w:rsidRDefault="00A42F9D" w:rsidP="00A42F9D">
            <w:pPr>
              <w:jc w:val="both"/>
              <w:rPr>
                <w:rFonts w:ascii="David" w:hAnsi="David"/>
                <w:sz w:val="26"/>
                <w:szCs w:val="26"/>
              </w:rPr>
            </w:pPr>
          </w:p>
        </w:tc>
      </w:tr>
      <w:tr w:rsidR="00A42F9D" w:rsidRPr="00BF2F4F" w14:paraId="58C5F092" w14:textId="77777777" w:rsidTr="008461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3043737" w14:textId="77777777" w:rsidR="00A42F9D" w:rsidRPr="00BF2F4F" w:rsidRDefault="00A42F9D" w:rsidP="00A42F9D">
            <w:pPr>
              <w:jc w:val="both"/>
              <w:rPr>
                <w:rFonts w:ascii="David" w:hAnsi="David"/>
                <w:sz w:val="26"/>
                <w:szCs w:val="26"/>
              </w:rPr>
            </w:pPr>
            <w:bookmarkStart w:id="1" w:name="FirstAppellant"/>
            <w:bookmarkStart w:id="2" w:name="FirstLawyer"/>
            <w:r w:rsidRPr="00BF2F4F">
              <w:rPr>
                <w:rFonts w:ascii="David" w:hAnsi="David"/>
                <w:sz w:val="26"/>
                <w:szCs w:val="26"/>
                <w:rtl/>
              </w:rPr>
              <w:t>בעניין:</w:t>
            </w:r>
          </w:p>
        </w:tc>
        <w:tc>
          <w:tcPr>
            <w:tcW w:w="3219" w:type="dxa"/>
            <w:tcBorders>
              <w:top w:val="nil"/>
              <w:left w:val="nil"/>
              <w:bottom w:val="nil"/>
              <w:right w:val="nil"/>
            </w:tcBorders>
            <w:shd w:val="clear" w:color="auto" w:fill="auto"/>
          </w:tcPr>
          <w:p w14:paraId="43C7185D" w14:textId="77777777" w:rsidR="00A42F9D" w:rsidRPr="00BF2F4F" w:rsidRDefault="00A42F9D" w:rsidP="00A42F9D">
            <w:pPr>
              <w:suppressLineNumbers/>
              <w:rPr>
                <w:sz w:val="26"/>
                <w:szCs w:val="26"/>
              </w:rPr>
            </w:pPr>
            <w:r w:rsidRPr="00BF2F4F">
              <w:rPr>
                <w:rFonts w:ascii="Arial" w:hAnsi="Arial" w:hint="cs"/>
                <w:b/>
                <w:bCs/>
                <w:sz w:val="26"/>
                <w:szCs w:val="26"/>
                <w:rtl/>
              </w:rPr>
              <w:t>ה</w:t>
            </w:r>
            <w:r w:rsidRPr="00BF2F4F">
              <w:rPr>
                <w:rFonts w:ascii="Arial" w:hAnsi="Arial"/>
                <w:b/>
                <w:bCs/>
                <w:sz w:val="26"/>
                <w:szCs w:val="26"/>
                <w:rtl/>
              </w:rPr>
              <w:t>מאשימה</w:t>
            </w:r>
          </w:p>
          <w:p w14:paraId="47FE8A64" w14:textId="77777777" w:rsidR="00A42F9D" w:rsidRPr="00BF2F4F" w:rsidRDefault="00A42F9D" w:rsidP="006A311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B0FF9AB" w14:textId="77777777" w:rsidR="00A42F9D" w:rsidRPr="00BF2F4F" w:rsidRDefault="00A42F9D" w:rsidP="00A42F9D">
            <w:pPr>
              <w:suppressLineNumbers/>
              <w:rPr>
                <w:rFonts w:ascii="Arial" w:hAnsi="Arial"/>
                <w:b/>
                <w:bCs/>
                <w:sz w:val="26"/>
                <w:szCs w:val="26"/>
                <w:rtl/>
              </w:rPr>
            </w:pPr>
            <w:r w:rsidRPr="00BF2F4F">
              <w:rPr>
                <w:rFonts w:ascii="Arial" w:hAnsi="Arial"/>
                <w:b/>
                <w:bCs/>
                <w:sz w:val="26"/>
                <w:szCs w:val="26"/>
                <w:rtl/>
              </w:rPr>
              <w:t>מדינת ישראל</w:t>
            </w:r>
            <w:r w:rsidRPr="00BF2F4F">
              <w:rPr>
                <w:rFonts w:ascii="Arial" w:hAnsi="Arial" w:hint="cs"/>
                <w:b/>
                <w:bCs/>
                <w:sz w:val="26"/>
                <w:szCs w:val="26"/>
                <w:rtl/>
              </w:rPr>
              <w:t xml:space="preserve"> </w:t>
            </w:r>
          </w:p>
          <w:p w14:paraId="7EE9D8B4" w14:textId="77777777" w:rsidR="00A42F9D" w:rsidRPr="00BF2F4F" w:rsidRDefault="00A42F9D" w:rsidP="00A42F9D">
            <w:pPr>
              <w:suppressLineNumbers/>
              <w:rPr>
                <w:sz w:val="26"/>
                <w:szCs w:val="26"/>
              </w:rPr>
            </w:pPr>
            <w:r w:rsidRPr="00BF2F4F">
              <w:rPr>
                <w:rFonts w:ascii="Arial" w:hAnsi="Arial"/>
                <w:sz w:val="26"/>
                <w:szCs w:val="26"/>
                <w:rtl/>
              </w:rPr>
              <w:t xml:space="preserve">ע"י ב"כ </w:t>
            </w:r>
            <w:r w:rsidRPr="00BF2F4F">
              <w:rPr>
                <w:rFonts w:ascii="Arial" w:hAnsi="Arial" w:hint="cs"/>
                <w:sz w:val="26"/>
                <w:szCs w:val="26"/>
                <w:rtl/>
              </w:rPr>
              <w:t>מתמחה יגאל קלנטרוב</w:t>
            </w:r>
          </w:p>
          <w:p w14:paraId="6C2B6B72" w14:textId="77777777" w:rsidR="00A42F9D" w:rsidRPr="00BF2F4F" w:rsidRDefault="00A42F9D" w:rsidP="006A311D">
            <w:pPr>
              <w:rPr>
                <w:rFonts w:ascii="David" w:hAnsi="David"/>
                <w:sz w:val="26"/>
                <w:szCs w:val="26"/>
              </w:rPr>
            </w:pPr>
          </w:p>
        </w:tc>
      </w:tr>
      <w:bookmarkEnd w:id="1"/>
      <w:bookmarkEnd w:id="2"/>
      <w:tr w:rsidR="00A42F9D" w:rsidRPr="00BF2F4F" w14:paraId="0EB62DDA" w14:textId="77777777" w:rsidTr="008461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CAAEA21" w14:textId="77777777" w:rsidR="00A42F9D" w:rsidRPr="00BF2F4F" w:rsidRDefault="00A42F9D" w:rsidP="00A42F9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3E4CCB5" w14:textId="77777777" w:rsidR="00A42F9D" w:rsidRPr="00BF2F4F" w:rsidRDefault="00A42F9D" w:rsidP="00A42F9D">
            <w:pPr>
              <w:jc w:val="center"/>
              <w:rPr>
                <w:rFonts w:ascii="David" w:hAnsi="David"/>
                <w:b/>
                <w:bCs/>
                <w:sz w:val="26"/>
                <w:szCs w:val="26"/>
                <w:rtl/>
              </w:rPr>
            </w:pPr>
          </w:p>
          <w:p w14:paraId="7B8DF1A0" w14:textId="77777777" w:rsidR="00A42F9D" w:rsidRPr="00BF2F4F" w:rsidRDefault="00A42F9D" w:rsidP="00A42F9D">
            <w:pPr>
              <w:jc w:val="center"/>
              <w:rPr>
                <w:rFonts w:ascii="David" w:hAnsi="David"/>
                <w:b/>
                <w:bCs/>
                <w:sz w:val="26"/>
                <w:szCs w:val="26"/>
                <w:rtl/>
              </w:rPr>
            </w:pPr>
            <w:r w:rsidRPr="00BF2F4F">
              <w:rPr>
                <w:rFonts w:ascii="David" w:hAnsi="David"/>
                <w:b/>
                <w:bCs/>
                <w:sz w:val="26"/>
                <w:szCs w:val="26"/>
                <w:rtl/>
              </w:rPr>
              <w:t>נגד</w:t>
            </w:r>
          </w:p>
          <w:p w14:paraId="0F7B77F8" w14:textId="77777777" w:rsidR="00A42F9D" w:rsidRPr="00BF2F4F" w:rsidRDefault="00A42F9D" w:rsidP="00A42F9D">
            <w:pPr>
              <w:jc w:val="both"/>
              <w:rPr>
                <w:rFonts w:ascii="David" w:hAnsi="David"/>
                <w:sz w:val="26"/>
                <w:szCs w:val="26"/>
              </w:rPr>
            </w:pPr>
          </w:p>
        </w:tc>
      </w:tr>
      <w:tr w:rsidR="00A42F9D" w:rsidRPr="00BF2F4F" w14:paraId="39BD8A93" w14:textId="77777777" w:rsidTr="008461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E09C5FB" w14:textId="77777777" w:rsidR="00A42F9D" w:rsidRPr="00BF2F4F" w:rsidRDefault="00A42F9D" w:rsidP="006A311D">
            <w:pPr>
              <w:rPr>
                <w:rFonts w:ascii="David" w:hAnsi="David"/>
                <w:sz w:val="26"/>
                <w:szCs w:val="26"/>
                <w:rtl/>
              </w:rPr>
            </w:pPr>
          </w:p>
        </w:tc>
        <w:tc>
          <w:tcPr>
            <w:tcW w:w="3219" w:type="dxa"/>
            <w:tcBorders>
              <w:top w:val="nil"/>
              <w:left w:val="nil"/>
              <w:bottom w:val="nil"/>
              <w:right w:val="nil"/>
            </w:tcBorders>
            <w:shd w:val="clear" w:color="auto" w:fill="auto"/>
          </w:tcPr>
          <w:p w14:paraId="57FD1A74" w14:textId="77777777" w:rsidR="00A42F9D" w:rsidRPr="00BF2F4F" w:rsidRDefault="00A42F9D" w:rsidP="006A311D">
            <w:pPr>
              <w:rPr>
                <w:rFonts w:ascii="Arial" w:hAnsi="Arial"/>
                <w:b/>
                <w:bCs/>
                <w:sz w:val="26"/>
                <w:szCs w:val="26"/>
                <w:rtl/>
              </w:rPr>
            </w:pPr>
            <w:r w:rsidRPr="00BF2F4F">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3ECC01D" w14:textId="77777777" w:rsidR="00A42F9D" w:rsidRPr="00BF2F4F" w:rsidRDefault="00A42F9D" w:rsidP="00A42F9D">
            <w:pPr>
              <w:suppressLineNumbers/>
              <w:rPr>
                <w:rFonts w:ascii="Arial" w:hAnsi="Arial"/>
                <w:b/>
                <w:bCs/>
                <w:sz w:val="26"/>
                <w:szCs w:val="26"/>
                <w:rtl/>
              </w:rPr>
            </w:pPr>
            <w:r w:rsidRPr="00BF2F4F">
              <w:rPr>
                <w:rFonts w:ascii="Arial" w:hAnsi="Arial"/>
                <w:b/>
                <w:bCs/>
                <w:sz w:val="26"/>
                <w:szCs w:val="26"/>
                <w:rtl/>
              </w:rPr>
              <w:t>סאבר הואשלה</w:t>
            </w:r>
            <w:r w:rsidRPr="00BF2F4F">
              <w:rPr>
                <w:rFonts w:ascii="Arial" w:hAnsi="Arial" w:hint="cs"/>
                <w:b/>
                <w:bCs/>
                <w:sz w:val="26"/>
                <w:szCs w:val="26"/>
                <w:rtl/>
              </w:rPr>
              <w:t xml:space="preserve"> </w:t>
            </w:r>
          </w:p>
          <w:p w14:paraId="4C92E88F" w14:textId="77777777" w:rsidR="00A42F9D" w:rsidRPr="00BF2F4F" w:rsidRDefault="00A42F9D" w:rsidP="00A42F9D">
            <w:pPr>
              <w:suppressLineNumbers/>
              <w:rPr>
                <w:sz w:val="26"/>
                <w:szCs w:val="26"/>
              </w:rPr>
            </w:pPr>
            <w:r w:rsidRPr="00BF2F4F">
              <w:rPr>
                <w:rFonts w:ascii="Arial" w:hAnsi="Arial"/>
                <w:sz w:val="26"/>
                <w:szCs w:val="26"/>
                <w:rtl/>
              </w:rPr>
              <w:t>ע"י ב"כ עוה"ד</w:t>
            </w:r>
            <w:r w:rsidRPr="00BF2F4F">
              <w:rPr>
                <w:rFonts w:hint="cs"/>
                <w:sz w:val="26"/>
                <w:szCs w:val="26"/>
                <w:rtl/>
              </w:rPr>
              <w:t xml:space="preserve"> אבנר שמש</w:t>
            </w:r>
          </w:p>
          <w:p w14:paraId="3AF08F7D" w14:textId="77777777" w:rsidR="00A42F9D" w:rsidRPr="00BF2F4F" w:rsidRDefault="00A42F9D" w:rsidP="006A311D">
            <w:pPr>
              <w:rPr>
                <w:rFonts w:ascii="David" w:hAnsi="David"/>
                <w:sz w:val="26"/>
                <w:szCs w:val="26"/>
              </w:rPr>
            </w:pPr>
          </w:p>
        </w:tc>
      </w:tr>
    </w:tbl>
    <w:p w14:paraId="3779ECEA" w14:textId="77777777" w:rsidR="00BF2F4F" w:rsidRPr="00BF2F4F" w:rsidRDefault="00BF2F4F" w:rsidP="00BF2F4F">
      <w:pPr>
        <w:spacing w:before="120" w:after="120" w:line="240" w:lineRule="exact"/>
        <w:ind w:left="283" w:hanging="283"/>
        <w:jc w:val="both"/>
        <w:rPr>
          <w:rFonts w:ascii="FrankRuehl" w:hAnsi="FrankRuehl" w:cs="FrankRuehl"/>
          <w:rtl/>
        </w:rPr>
      </w:pPr>
    </w:p>
    <w:p w14:paraId="5B8299BC" w14:textId="77777777" w:rsidR="00BF2F4F" w:rsidRPr="00BF2F4F" w:rsidRDefault="00BF2F4F" w:rsidP="00BF2F4F">
      <w:pPr>
        <w:rPr>
          <w:sz w:val="26"/>
          <w:szCs w:val="26"/>
          <w:rtl/>
        </w:rPr>
      </w:pPr>
    </w:p>
    <w:p w14:paraId="3C509B23" w14:textId="77777777" w:rsidR="008461C3" w:rsidRPr="008461C3" w:rsidRDefault="008461C3" w:rsidP="008461C3">
      <w:pPr>
        <w:spacing w:before="120" w:after="120" w:line="240" w:lineRule="exact"/>
        <w:ind w:left="283" w:hanging="283"/>
        <w:jc w:val="both"/>
        <w:rPr>
          <w:rFonts w:ascii="FrankRuehl" w:hAnsi="FrankRuehl" w:cs="FrankRuehl"/>
          <w:rtl/>
        </w:rPr>
      </w:pPr>
      <w:bookmarkStart w:id="3" w:name="LawTable"/>
      <w:bookmarkEnd w:id="3"/>
    </w:p>
    <w:p w14:paraId="7B5C5F62" w14:textId="77777777" w:rsidR="008461C3" w:rsidRPr="008461C3" w:rsidRDefault="008461C3" w:rsidP="008461C3">
      <w:pPr>
        <w:spacing w:before="120" w:after="120" w:line="240" w:lineRule="exact"/>
        <w:ind w:left="283" w:hanging="283"/>
        <w:jc w:val="both"/>
        <w:rPr>
          <w:rFonts w:ascii="FrankRuehl" w:hAnsi="FrankRuehl" w:cs="FrankRuehl"/>
          <w:rtl/>
        </w:rPr>
      </w:pPr>
      <w:r w:rsidRPr="008461C3">
        <w:rPr>
          <w:rFonts w:ascii="FrankRuehl" w:hAnsi="FrankRuehl" w:cs="FrankRuehl"/>
          <w:rtl/>
        </w:rPr>
        <w:t xml:space="preserve">חקיקה שאוזכרה: </w:t>
      </w:r>
    </w:p>
    <w:p w14:paraId="21C4325B" w14:textId="77777777" w:rsidR="008461C3" w:rsidRPr="008461C3" w:rsidRDefault="008461C3" w:rsidP="008461C3">
      <w:pPr>
        <w:spacing w:before="120" w:after="120" w:line="240" w:lineRule="exact"/>
        <w:ind w:left="283" w:hanging="283"/>
        <w:jc w:val="both"/>
        <w:rPr>
          <w:rFonts w:ascii="FrankRuehl" w:hAnsi="FrankRuehl" w:cs="FrankRuehl"/>
          <w:color w:val="0000FF"/>
          <w:rtl/>
        </w:rPr>
      </w:pPr>
      <w:hyperlink r:id="rId7" w:history="1">
        <w:r w:rsidRPr="008461C3">
          <w:rPr>
            <w:rStyle w:val="Hyperlink"/>
            <w:rFonts w:ascii="FrankRuehl" w:hAnsi="FrankRuehl" w:cs="FrankRuehl"/>
            <w:u w:val="none"/>
            <w:rtl/>
          </w:rPr>
          <w:t>פקודת הסמים המסוכנים [נוסח חדש], תשל"ג-1973</w:t>
        </w:r>
      </w:hyperlink>
      <w:r w:rsidRPr="008461C3">
        <w:rPr>
          <w:rFonts w:ascii="FrankRuehl" w:hAnsi="FrankRuehl" w:cs="FrankRuehl"/>
          <w:color w:val="0000FF"/>
          <w:rtl/>
        </w:rPr>
        <w:t xml:space="preserve">: סע'  </w:t>
      </w:r>
      <w:hyperlink r:id="rId8" w:history="1">
        <w:r w:rsidRPr="008461C3">
          <w:rPr>
            <w:rStyle w:val="Hyperlink"/>
            <w:rFonts w:ascii="FrankRuehl" w:hAnsi="FrankRuehl" w:cs="FrankRuehl"/>
            <w:u w:val="none"/>
          </w:rPr>
          <w:t>13</w:t>
        </w:r>
      </w:hyperlink>
      <w:r w:rsidRPr="008461C3">
        <w:rPr>
          <w:rFonts w:ascii="FrankRuehl" w:hAnsi="FrankRuehl" w:cs="FrankRuehl"/>
          <w:color w:val="0000FF"/>
          <w:rtl/>
        </w:rPr>
        <w:t xml:space="preserve">, </w:t>
      </w:r>
      <w:hyperlink r:id="rId9" w:history="1">
        <w:r w:rsidRPr="008461C3">
          <w:rPr>
            <w:rStyle w:val="Hyperlink"/>
            <w:rFonts w:ascii="FrankRuehl" w:hAnsi="FrankRuehl" w:cs="FrankRuehl"/>
            <w:u w:val="none"/>
          </w:rPr>
          <w:t>19</w:t>
        </w:r>
        <w:r w:rsidRPr="008461C3">
          <w:rPr>
            <w:rStyle w:val="Hyperlink"/>
            <w:rFonts w:ascii="FrankRuehl" w:hAnsi="FrankRuehl" w:cs="FrankRuehl"/>
            <w:u w:val="none"/>
            <w:rtl/>
          </w:rPr>
          <w:t>א</w:t>
        </w:r>
      </w:hyperlink>
    </w:p>
    <w:p w14:paraId="7ECC9B5B" w14:textId="77777777" w:rsidR="008461C3" w:rsidRPr="008461C3" w:rsidRDefault="008461C3" w:rsidP="008461C3">
      <w:pPr>
        <w:spacing w:before="120" w:after="120" w:line="240" w:lineRule="exact"/>
        <w:ind w:left="283" w:hanging="283"/>
        <w:jc w:val="both"/>
        <w:rPr>
          <w:rFonts w:ascii="FrankRuehl" w:hAnsi="FrankRuehl" w:cs="FrankRuehl"/>
          <w:color w:val="0000FF"/>
          <w:rtl/>
        </w:rPr>
      </w:pPr>
      <w:hyperlink r:id="rId10" w:history="1">
        <w:r w:rsidRPr="008461C3">
          <w:rPr>
            <w:rStyle w:val="Hyperlink"/>
            <w:rFonts w:ascii="FrankRuehl" w:hAnsi="FrankRuehl" w:cs="FrankRuehl"/>
            <w:u w:val="none"/>
            <w:rtl/>
          </w:rPr>
          <w:t>חוק העונשין, תשל"ז-1977</w:t>
        </w:r>
      </w:hyperlink>
      <w:r w:rsidRPr="008461C3">
        <w:rPr>
          <w:rFonts w:ascii="FrankRuehl" w:hAnsi="FrankRuehl" w:cs="FrankRuehl"/>
          <w:color w:val="0000FF"/>
          <w:rtl/>
        </w:rPr>
        <w:t xml:space="preserve">: סע'  </w:t>
      </w:r>
      <w:hyperlink r:id="rId11" w:history="1">
        <w:r w:rsidRPr="008461C3">
          <w:rPr>
            <w:rStyle w:val="Hyperlink"/>
            <w:rFonts w:ascii="FrankRuehl" w:hAnsi="FrankRuehl" w:cs="FrankRuehl"/>
            <w:u w:val="none"/>
          </w:rPr>
          <w:t>40</w:t>
        </w:r>
        <w:r w:rsidRPr="008461C3">
          <w:rPr>
            <w:rStyle w:val="Hyperlink"/>
            <w:rFonts w:ascii="FrankRuehl" w:hAnsi="FrankRuehl" w:cs="FrankRuehl"/>
            <w:u w:val="none"/>
            <w:rtl/>
          </w:rPr>
          <w:t>ב</w:t>
        </w:r>
      </w:hyperlink>
      <w:r w:rsidRPr="008461C3">
        <w:rPr>
          <w:rFonts w:ascii="FrankRuehl" w:hAnsi="FrankRuehl" w:cs="FrankRuehl"/>
          <w:color w:val="0000FF"/>
          <w:rtl/>
        </w:rPr>
        <w:t xml:space="preserve">, </w:t>
      </w:r>
      <w:hyperlink r:id="rId12" w:history="1">
        <w:r w:rsidRPr="008461C3">
          <w:rPr>
            <w:rStyle w:val="Hyperlink"/>
            <w:rFonts w:ascii="FrankRuehl" w:hAnsi="FrankRuehl" w:cs="FrankRuehl"/>
            <w:u w:val="none"/>
          </w:rPr>
          <w:t>40</w:t>
        </w:r>
        <w:r w:rsidRPr="008461C3">
          <w:rPr>
            <w:rStyle w:val="Hyperlink"/>
            <w:rFonts w:ascii="FrankRuehl" w:hAnsi="FrankRuehl" w:cs="FrankRuehl"/>
            <w:u w:val="none"/>
            <w:rtl/>
          </w:rPr>
          <w:t>ג</w:t>
        </w:r>
      </w:hyperlink>
      <w:r w:rsidRPr="008461C3">
        <w:rPr>
          <w:rFonts w:ascii="FrankRuehl" w:hAnsi="FrankRuehl" w:cs="FrankRuehl"/>
          <w:color w:val="0000FF"/>
          <w:rtl/>
        </w:rPr>
        <w:t xml:space="preserve">, </w:t>
      </w:r>
      <w:hyperlink r:id="rId13" w:history="1">
        <w:r w:rsidRPr="008461C3">
          <w:rPr>
            <w:rStyle w:val="Hyperlink"/>
            <w:rFonts w:ascii="FrankRuehl" w:hAnsi="FrankRuehl" w:cs="FrankRuehl"/>
            <w:u w:val="none"/>
          </w:rPr>
          <w:t>40</w:t>
        </w:r>
        <w:r w:rsidRPr="008461C3">
          <w:rPr>
            <w:rStyle w:val="Hyperlink"/>
            <w:rFonts w:ascii="FrankRuehl" w:hAnsi="FrankRuehl" w:cs="FrankRuehl"/>
            <w:u w:val="none"/>
            <w:rtl/>
          </w:rPr>
          <w:t>ג</w:t>
        </w:r>
      </w:hyperlink>
      <w:r w:rsidRPr="008461C3">
        <w:rPr>
          <w:rFonts w:ascii="FrankRuehl" w:hAnsi="FrankRuehl" w:cs="FrankRuehl"/>
          <w:color w:val="0000FF"/>
          <w:rtl/>
        </w:rPr>
        <w:t>(ב)</w:t>
      </w:r>
    </w:p>
    <w:p w14:paraId="0A70EB25" w14:textId="77777777" w:rsidR="00A42F9D" w:rsidRPr="008461C3" w:rsidRDefault="00A42F9D" w:rsidP="008461C3">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42F9D" w14:paraId="5F8D8BA5" w14:textId="77777777" w:rsidTr="00A42F9D">
        <w:trPr>
          <w:trHeight w:val="355"/>
          <w:jc w:val="center"/>
        </w:trPr>
        <w:tc>
          <w:tcPr>
            <w:tcW w:w="8820" w:type="dxa"/>
            <w:tcBorders>
              <w:top w:val="nil"/>
              <w:left w:val="nil"/>
              <w:bottom w:val="nil"/>
              <w:right w:val="nil"/>
            </w:tcBorders>
            <w:shd w:val="clear" w:color="auto" w:fill="auto"/>
          </w:tcPr>
          <w:p w14:paraId="28F9B24D" w14:textId="77777777" w:rsidR="00BF2F4F" w:rsidRPr="00BF2F4F" w:rsidRDefault="00BF2F4F" w:rsidP="00BF2F4F">
            <w:pPr>
              <w:jc w:val="center"/>
              <w:rPr>
                <w:rFonts w:ascii="David" w:hAnsi="David"/>
                <w:b/>
                <w:bCs/>
                <w:sz w:val="32"/>
                <w:szCs w:val="32"/>
                <w:u w:val="single"/>
                <w:rtl/>
              </w:rPr>
            </w:pPr>
            <w:bookmarkStart w:id="5" w:name="PsakDin" w:colFirst="0" w:colLast="0"/>
            <w:bookmarkEnd w:id="0"/>
            <w:r w:rsidRPr="00BF2F4F">
              <w:rPr>
                <w:rFonts w:ascii="David" w:hAnsi="David"/>
                <w:b/>
                <w:bCs/>
                <w:sz w:val="32"/>
                <w:szCs w:val="32"/>
                <w:u w:val="single"/>
                <w:rtl/>
              </w:rPr>
              <w:t>גזר דין</w:t>
            </w:r>
          </w:p>
          <w:p w14:paraId="0E39EEDF" w14:textId="77777777" w:rsidR="00A42F9D" w:rsidRPr="00BF2F4F" w:rsidRDefault="00A42F9D" w:rsidP="00BF2F4F">
            <w:pPr>
              <w:jc w:val="center"/>
              <w:rPr>
                <w:rFonts w:ascii="David" w:hAnsi="David"/>
                <w:bCs/>
                <w:sz w:val="32"/>
                <w:szCs w:val="32"/>
                <w:u w:val="single"/>
                <w:rtl/>
              </w:rPr>
            </w:pPr>
          </w:p>
        </w:tc>
      </w:tr>
      <w:bookmarkEnd w:id="5"/>
    </w:tbl>
    <w:p w14:paraId="54332057" w14:textId="77777777" w:rsidR="00A42F9D" w:rsidRDefault="00A42F9D" w:rsidP="00A42F9D">
      <w:pPr>
        <w:spacing w:line="360" w:lineRule="auto"/>
        <w:jc w:val="both"/>
        <w:rPr>
          <w:rFonts w:ascii="Arial" w:hAnsi="Arial"/>
          <w:b/>
          <w:bCs/>
          <w:rtl/>
        </w:rPr>
      </w:pPr>
    </w:p>
    <w:p w14:paraId="486C9CEB" w14:textId="77777777" w:rsidR="00A42F9D" w:rsidRDefault="00A42F9D" w:rsidP="00A42F9D">
      <w:pPr>
        <w:spacing w:before="120" w:after="120" w:line="360" w:lineRule="auto"/>
        <w:jc w:val="both"/>
        <w:rPr>
          <w:rFonts w:ascii="Arial" w:hAnsi="Arial"/>
        </w:rPr>
      </w:pPr>
      <w:r>
        <w:rPr>
          <w:rFonts w:ascii="Arial" w:hAnsi="Arial"/>
          <w:b/>
          <w:bCs/>
          <w:rtl/>
        </w:rPr>
        <w:t>כתב האישום והסדר הטיעון</w:t>
      </w:r>
    </w:p>
    <w:p w14:paraId="09CCD21E" w14:textId="77777777" w:rsidR="00A42F9D" w:rsidRDefault="00A42F9D" w:rsidP="00A42F9D">
      <w:pPr>
        <w:pStyle w:val="a9"/>
        <w:numPr>
          <w:ilvl w:val="0"/>
          <w:numId w:val="1"/>
        </w:numPr>
        <w:spacing w:before="120" w:after="120" w:line="360" w:lineRule="auto"/>
        <w:contextualSpacing w:val="0"/>
        <w:jc w:val="both"/>
        <w:rPr>
          <w:rFonts w:ascii="Arial" w:hAnsi="Arial"/>
          <w:rtl/>
        </w:rPr>
      </w:pPr>
      <w:bookmarkStart w:id="6" w:name="ABSTRACT_START"/>
      <w:bookmarkEnd w:id="6"/>
      <w:r>
        <w:rPr>
          <w:rFonts w:ascii="Arial" w:hAnsi="Arial"/>
          <w:rtl/>
        </w:rPr>
        <w:t xml:space="preserve">הנאשם הורשע על פי הודאתו במסגרת הסדר טיעון, בעבירה של אספקת סם מסוכן, בניגוד </w:t>
      </w:r>
      <w:hyperlink r:id="rId14" w:history="1">
        <w:r w:rsidR="008461C3" w:rsidRPr="008461C3">
          <w:rPr>
            <w:rStyle w:val="Hyperlink"/>
            <w:rFonts w:ascii="Arial" w:hAnsi="Arial"/>
            <w:color w:val="0000FF"/>
            <w:rtl/>
          </w:rPr>
          <w:t>לסעיף 13</w:t>
        </w:r>
      </w:hyperlink>
      <w:r>
        <w:rPr>
          <w:rFonts w:ascii="Arial" w:hAnsi="Arial"/>
          <w:rtl/>
        </w:rPr>
        <w:t xml:space="preserve"> וסעיף </w:t>
      </w:r>
      <w:hyperlink r:id="rId15" w:history="1">
        <w:r w:rsidR="008461C3" w:rsidRPr="008461C3">
          <w:rPr>
            <w:rStyle w:val="Hyperlink"/>
            <w:rFonts w:ascii="Arial" w:hAnsi="Arial"/>
            <w:color w:val="0000FF"/>
            <w:rtl/>
          </w:rPr>
          <w:t>19א</w:t>
        </w:r>
      </w:hyperlink>
      <w:r>
        <w:rPr>
          <w:rFonts w:ascii="Arial" w:hAnsi="Arial"/>
          <w:rtl/>
        </w:rPr>
        <w:t xml:space="preserve"> ל</w:t>
      </w:r>
      <w:hyperlink r:id="rId16" w:history="1">
        <w:r w:rsidR="00BF2F4F" w:rsidRPr="00BF2F4F">
          <w:rPr>
            <w:rFonts w:ascii="Arial" w:hAnsi="Arial"/>
            <w:color w:val="0000FF"/>
            <w:u w:val="single"/>
            <w:rtl/>
          </w:rPr>
          <w:t>פקודת הסמים המסוכנים</w:t>
        </w:r>
      </w:hyperlink>
      <w:r>
        <w:rPr>
          <w:rFonts w:ascii="Arial" w:hAnsi="Arial"/>
          <w:rtl/>
        </w:rPr>
        <w:t xml:space="preserve"> [נוסח חדש], תשל"ג – 1973.</w:t>
      </w:r>
    </w:p>
    <w:p w14:paraId="11A58E36" w14:textId="77777777" w:rsidR="00A42F9D" w:rsidRDefault="00A42F9D" w:rsidP="00A42F9D">
      <w:pPr>
        <w:pStyle w:val="a9"/>
        <w:spacing w:before="120" w:after="120" w:line="360" w:lineRule="auto"/>
        <w:ind w:left="360"/>
        <w:contextualSpacing w:val="0"/>
        <w:jc w:val="both"/>
        <w:rPr>
          <w:rFonts w:ascii="Arial" w:hAnsi="Arial"/>
        </w:rPr>
      </w:pPr>
      <w:r>
        <w:rPr>
          <w:rFonts w:ascii="Arial" w:hAnsi="Arial"/>
          <w:rtl/>
        </w:rPr>
        <w:t>בהתאם לעובדות כתב האישום המתוקן, בתאריך 01.03.20 בסמוך לשעה 17:30, הגיע הנאשם לביתה של יובל  וסיפק לה סם מסוכן מסוג קנבוס במשקל נטו של 18.08 גרם, ללא תמורה, מבלי שהדבר הותר לו בפקודה, בתקנות או ברישיון מאת המנהל.</w:t>
      </w:r>
    </w:p>
    <w:p w14:paraId="174D61C5" w14:textId="77777777" w:rsidR="00A42F9D" w:rsidRDefault="00A42F9D" w:rsidP="00A42F9D">
      <w:pPr>
        <w:pStyle w:val="a9"/>
        <w:numPr>
          <w:ilvl w:val="0"/>
          <w:numId w:val="1"/>
        </w:numPr>
        <w:spacing w:before="120" w:after="120" w:line="360" w:lineRule="auto"/>
        <w:contextualSpacing w:val="0"/>
        <w:jc w:val="both"/>
        <w:rPr>
          <w:rFonts w:ascii="Arial" w:hAnsi="Arial"/>
          <w:rtl/>
        </w:rPr>
      </w:pPr>
      <w:bookmarkStart w:id="7" w:name="ABSTRACT_END"/>
      <w:bookmarkEnd w:id="7"/>
      <w:r>
        <w:rPr>
          <w:rFonts w:ascii="Arial" w:hAnsi="Arial"/>
          <w:rtl/>
        </w:rPr>
        <w:t>ביום 29.01.23 נערך בין הצדדים הסדר טיעון, במסגרתו תוקן כתב האישום והנאשם הודה והורשע בעובדות ובעבירה שבכתב האישום המתוקן. הסדר הטיעון לא כלל הסכמה לעניין העונש, אך הוסכם כי הנאשם יופנה להערכת שירות המבחן למבוגרים, אשר לבקשת ההגנה, יבחן גם את שאלת הרשעת הנאשם.</w:t>
      </w:r>
    </w:p>
    <w:p w14:paraId="0EAC863B" w14:textId="77777777" w:rsidR="00A42F9D" w:rsidRDefault="00A42F9D" w:rsidP="00A42F9D">
      <w:pPr>
        <w:spacing w:before="120" w:after="120" w:line="360" w:lineRule="auto"/>
        <w:jc w:val="both"/>
        <w:rPr>
          <w:rFonts w:ascii="Arial" w:hAnsi="Arial"/>
          <w:rtl/>
        </w:rPr>
      </w:pPr>
      <w:r>
        <w:rPr>
          <w:rFonts w:ascii="Arial" w:hAnsi="Arial"/>
          <w:b/>
          <w:bCs/>
          <w:rtl/>
        </w:rPr>
        <w:t>הערכת שירות המבחן למבוגרים</w:t>
      </w:r>
    </w:p>
    <w:p w14:paraId="0BA639BD" w14:textId="77777777" w:rsidR="00A42F9D" w:rsidRDefault="00A42F9D" w:rsidP="00A42F9D">
      <w:pPr>
        <w:pStyle w:val="a9"/>
        <w:numPr>
          <w:ilvl w:val="0"/>
          <w:numId w:val="1"/>
        </w:numPr>
        <w:spacing w:before="120" w:after="120" w:line="360" w:lineRule="auto"/>
        <w:contextualSpacing w:val="0"/>
        <w:jc w:val="both"/>
        <w:rPr>
          <w:rFonts w:ascii="Arial" w:hAnsi="Arial"/>
          <w:rtl/>
        </w:rPr>
      </w:pPr>
      <w:r>
        <w:rPr>
          <w:rFonts w:ascii="Arial" w:hAnsi="Arial"/>
          <w:rtl/>
        </w:rPr>
        <w:lastRenderedPageBreak/>
        <w:t>בעניינו של הנאשם הוגשו שלושה תסקירים.</w:t>
      </w:r>
    </w:p>
    <w:p w14:paraId="0301B2E6"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u w:val="single"/>
          <w:rtl/>
        </w:rPr>
        <w:t>בתסקיר מיום 14.09.23</w:t>
      </w:r>
      <w:r>
        <w:rPr>
          <w:rFonts w:ascii="Arial" w:hAnsi="Arial"/>
          <w:rtl/>
        </w:rPr>
        <w:t xml:space="preserve"> צוין כי הנאשם כבן 35, אב לשלושה ילדים בגילאי 8 - 13, מתגורר ביישוב קצר א סר ועובד בחברת "זר מעדנים" בתפקיד נהג.</w:t>
      </w:r>
    </w:p>
    <w:p w14:paraId="7338CD9C"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ביחס למצבו הרפואי הנאשם מסר כי הוא סובל מסכרת נעורים.</w:t>
      </w:r>
    </w:p>
    <w:p w14:paraId="6534D262"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 xml:space="preserve">שירות המבחן סקר את הסביבה המשפחתית והחינוכית בה גדל הנאשם. </w:t>
      </w:r>
    </w:p>
    <w:p w14:paraId="3677DBFC"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בהתייחסות להיסטוריה העבריינית של הנאשם צוין כי הנאשם נעדר הרשעות קודמות ושולל צריכת סמים ואלכוהול או מעורבות בהימורים.</w:t>
      </w:r>
    </w:p>
    <w:p w14:paraId="2F3F18FB"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הנאשם הוזמן לעשר בדיקות שתן, מתוכן 7 יצאו נקיות משרידי סם, מבדיקה אחת נעדר, בבדיקה אחת לא הצליח למסור שתן ובדיקה אחת יצאה חיובית לשרידי הרואין. הנאשם הכחיש שימוש בהרואין ומסר שהסיע במסגרת עבודתו עובד שעישן הרואין.</w:t>
      </w:r>
    </w:p>
    <w:p w14:paraId="22AE2522"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ביחס לעבירה- הנאשם הודה בביצוע העבירה, אך נטל אחריות חלקית. לדבריו, הוא ויובל הכירו במסגרת עבודתם המשותפת וניהלו מערכת יחסים זוגית. ביום העבירה, היא ביקשה ממנו להביא לה חבילה מבן זוגה לשעבר ואמרה לו לא לפתוח את החבילה. כאשר הוא הגיע לביתה עם החבילה, חיכו לו שוטרים ועצרו אותו בגין חשד לסחר בסמים. לדברי הנאשם, יובל ובן זוגה לשעבר טמנו לו פח והוא חש נבגד, אך סלח להם, כיוון שנפטרו.</w:t>
      </w:r>
    </w:p>
    <w:p w14:paraId="0DD35BED"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הנאשם מסר, כי הפיק לקחים מהתנהגותו ולא סביר שיעבור שוב עבירה פלילית.</w:t>
      </w:r>
    </w:p>
    <w:p w14:paraId="007A4D05"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שירות המבחן התרשם כי הנאשם זקוק להתערבות טיפולית והנאשם הביע הסכמתו להשתלב בהליך טיפולי.</w:t>
      </w:r>
    </w:p>
    <w:p w14:paraId="6EE97BF3"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u w:val="single"/>
          <w:rtl/>
        </w:rPr>
        <w:t>בתסקיר מיום 07.12.23</w:t>
      </w:r>
      <w:r>
        <w:rPr>
          <w:rFonts w:ascii="Arial" w:hAnsi="Arial"/>
          <w:rtl/>
        </w:rPr>
        <w:t xml:space="preserve"> נמסר כי הנאשם השתלב בקבוצה טיפולית בחודש אוקטובר 2023, אולם הקבוצה לא נפתחה לאור המצב הביטחוני. הנאשם מסר ארבע בדיקות אשר לא אותרו בהן שרידי סמים.</w:t>
      </w:r>
    </w:p>
    <w:p w14:paraId="0E450FE5"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במהלך התקופה לא נפתחו נגד הנאשם תיקים נוספים.</w:t>
      </w:r>
    </w:p>
    <w:p w14:paraId="0A7F7187"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שירות המבחן המליץ על הטלת ענישה שיקומית בדמות צו של"צ בהיקף 340 שעות לצד צו מבחן למשך שנה, במהלכו ישתלב במסגרת טיפולית.</w:t>
      </w:r>
    </w:p>
    <w:p w14:paraId="5632F766"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 xml:space="preserve">לאור התרשמות שירות המבחן כי הותרת ההרשעה על כנה לא תביא לפגיעה קונקרטית בנאשם או בסיכויי שיקומו ולאור נטילת אחריות חלקית בלבד על העבירה, שירות המבחן לא בא בהמלצה לביטול ההרשעה. </w:t>
      </w:r>
    </w:p>
    <w:p w14:paraId="7C49D619"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u w:val="single"/>
          <w:rtl/>
        </w:rPr>
        <w:lastRenderedPageBreak/>
        <w:t>בתסקיר מיום 13.02.24</w:t>
      </w:r>
      <w:r>
        <w:rPr>
          <w:rFonts w:ascii="Arial" w:hAnsi="Arial"/>
          <w:rtl/>
        </w:rPr>
        <w:t xml:space="preserve"> נמסר כי הנאשם הגיע למפגש אחד אך נעדר מחמישה מפגשים ולא הודיע על היעדרותו. בשיחה מול הנאשם מסר כי לאור מחלת הסכרת ממנה </w:t>
      </w:r>
      <w:r>
        <w:rPr>
          <w:rFonts w:ascii="Arial" w:hAnsi="Arial" w:hint="cs"/>
          <w:rtl/>
        </w:rPr>
        <w:t xml:space="preserve">הוא </w:t>
      </w:r>
      <w:r>
        <w:rPr>
          <w:rFonts w:ascii="Arial" w:hAnsi="Arial"/>
          <w:rtl/>
        </w:rPr>
        <w:t xml:space="preserve">סובל, </w:t>
      </w:r>
      <w:r>
        <w:rPr>
          <w:rFonts w:ascii="Arial" w:hAnsi="Arial" w:hint="cs"/>
          <w:rtl/>
        </w:rPr>
        <w:t xml:space="preserve">הוא </w:t>
      </w:r>
      <w:r>
        <w:rPr>
          <w:rFonts w:ascii="Arial" w:hAnsi="Arial"/>
          <w:rtl/>
        </w:rPr>
        <w:t>לא יכול להתחייב להליך הטיפולי ומבקש להפסיק את השתתפותו בקבוצה.</w:t>
      </w:r>
    </w:p>
    <w:p w14:paraId="37A77950"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לאור האמור, שירות המבחן נמנע מהמלצה טיפולית בעניינו של הנאשם ושב על המלצתו לענישה בדמות צו של"צ בהיקף 340 שעות.</w:t>
      </w:r>
    </w:p>
    <w:p w14:paraId="2EE5D232" w14:textId="77777777" w:rsidR="00A42F9D" w:rsidRDefault="00A42F9D" w:rsidP="00A42F9D">
      <w:pPr>
        <w:spacing w:before="120" w:after="120" w:line="360" w:lineRule="auto"/>
        <w:jc w:val="both"/>
        <w:rPr>
          <w:rFonts w:ascii="Arial" w:hAnsi="Arial"/>
        </w:rPr>
      </w:pPr>
      <w:r>
        <w:rPr>
          <w:rFonts w:ascii="Arial" w:hAnsi="Arial"/>
          <w:b/>
          <w:bCs/>
          <w:rtl/>
        </w:rPr>
        <w:t>ראיות לעונש</w:t>
      </w:r>
    </w:p>
    <w:p w14:paraId="41BDA3BA"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לא הוגשו ראיות לעניין העונש.</w:t>
      </w:r>
    </w:p>
    <w:p w14:paraId="233EEF10" w14:textId="77777777" w:rsidR="00A42F9D" w:rsidRDefault="00A42F9D" w:rsidP="00A42F9D">
      <w:pPr>
        <w:pStyle w:val="a9"/>
        <w:spacing w:before="120" w:after="120" w:line="360" w:lineRule="auto"/>
        <w:ind w:left="360"/>
        <w:contextualSpacing w:val="0"/>
        <w:jc w:val="both"/>
        <w:rPr>
          <w:rFonts w:ascii="Arial" w:hAnsi="Arial"/>
          <w:rtl/>
        </w:rPr>
      </w:pPr>
    </w:p>
    <w:p w14:paraId="40660025" w14:textId="77777777" w:rsidR="00A42F9D" w:rsidRDefault="00A42F9D" w:rsidP="00A42F9D">
      <w:pPr>
        <w:spacing w:before="120" w:after="120" w:line="360" w:lineRule="auto"/>
        <w:jc w:val="both"/>
        <w:rPr>
          <w:rFonts w:ascii="Arial" w:hAnsi="Arial"/>
        </w:rPr>
      </w:pPr>
      <w:r>
        <w:rPr>
          <w:rFonts w:ascii="Arial" w:hAnsi="Arial"/>
          <w:b/>
          <w:bCs/>
          <w:rtl/>
        </w:rPr>
        <w:t>טענות הצדדים</w:t>
      </w:r>
    </w:p>
    <w:p w14:paraId="24206249" w14:textId="77777777" w:rsidR="00A42F9D" w:rsidRDefault="00A42F9D" w:rsidP="00A42F9D">
      <w:pPr>
        <w:pStyle w:val="a9"/>
        <w:numPr>
          <w:ilvl w:val="0"/>
          <w:numId w:val="1"/>
        </w:numPr>
        <w:spacing w:before="120" w:after="120" w:line="360" w:lineRule="auto"/>
        <w:contextualSpacing w:val="0"/>
        <w:jc w:val="both"/>
        <w:rPr>
          <w:rFonts w:ascii="Arial" w:hAnsi="Arial"/>
          <w:rtl/>
        </w:rPr>
      </w:pPr>
      <w:r>
        <w:rPr>
          <w:rFonts w:ascii="Arial" w:hAnsi="Arial"/>
          <w:u w:val="single"/>
          <w:rtl/>
        </w:rPr>
        <w:t>ב"כ המאשימה</w:t>
      </w:r>
      <w:r>
        <w:rPr>
          <w:rFonts w:ascii="Arial" w:hAnsi="Arial"/>
          <w:rtl/>
        </w:rPr>
        <w:t xml:space="preserve"> עתר למתחם ענישה הנע בין 6 חודשי מאסר</w:t>
      </w:r>
      <w:r>
        <w:rPr>
          <w:rFonts w:ascii="Arial" w:hAnsi="Arial" w:hint="cs"/>
          <w:rtl/>
        </w:rPr>
        <w:t>,</w:t>
      </w:r>
      <w:r>
        <w:rPr>
          <w:rFonts w:ascii="Arial" w:hAnsi="Arial"/>
          <w:rtl/>
        </w:rPr>
        <w:t xml:space="preserve"> אשר יכול שירוצו בעבודות שירות</w:t>
      </w:r>
      <w:r>
        <w:rPr>
          <w:rFonts w:ascii="Arial" w:hAnsi="Arial" w:hint="cs"/>
          <w:rtl/>
        </w:rPr>
        <w:t>,</w:t>
      </w:r>
      <w:r>
        <w:rPr>
          <w:rFonts w:ascii="Arial" w:hAnsi="Arial"/>
          <w:rtl/>
        </w:rPr>
        <w:t xml:space="preserve"> ועד 12 חודשי מאסר בפועל.</w:t>
      </w:r>
    </w:p>
    <w:p w14:paraId="09675201"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 xml:space="preserve">ב"כ המאשימה עמד על הערכים המוגנים שנפגעו מביצוע העבירה, </w:t>
      </w:r>
      <w:r>
        <w:rPr>
          <w:rFonts w:ascii="David" w:hAnsi="David"/>
          <w:rtl/>
        </w:rPr>
        <w:t xml:space="preserve">על התוצאות הקשות הנובעות מביצוע העבירה ועל הצורך בהתמודדות </w:t>
      </w:r>
      <w:r>
        <w:rPr>
          <w:rFonts w:ascii="David" w:hAnsi="David" w:hint="cs"/>
          <w:rtl/>
        </w:rPr>
        <w:t xml:space="preserve">עם </w:t>
      </w:r>
      <w:r>
        <w:rPr>
          <w:rFonts w:ascii="David" w:hAnsi="David"/>
          <w:rtl/>
        </w:rPr>
        <w:t>העבירה בצורה אפקטיבית.</w:t>
      </w:r>
    </w:p>
    <w:p w14:paraId="5BC1AEC7" w14:textId="77777777" w:rsidR="00A42F9D" w:rsidRDefault="00A42F9D" w:rsidP="00A42F9D">
      <w:pPr>
        <w:pStyle w:val="a9"/>
        <w:spacing w:before="120" w:after="120" w:line="360" w:lineRule="auto"/>
        <w:ind w:left="360"/>
        <w:contextualSpacing w:val="0"/>
        <w:jc w:val="both"/>
        <w:rPr>
          <w:rFonts w:ascii="Arial" w:hAnsi="Arial"/>
          <w:rtl/>
        </w:rPr>
      </w:pPr>
      <w:r>
        <w:rPr>
          <w:rFonts w:ascii="Arial" w:hAnsi="Arial"/>
          <w:rtl/>
        </w:rPr>
        <w:t>בנסיבות הקשורות לביצוע העבירה ב"כ המאשימה ביקש להתחשב בכמות הסם שסיפק הנאשם, אשר גבוהה מהכמות המוגדרת בחוק לצריכה עצמית, וניתן להפיק ממנה מספר רב של מנות סם וטען שהעובדה שהנאשם הגיע עד לעיר דימונה בשעות אחר הצהריים והביא ליובל סמים בכמות העולה על הכמות המוגדרת בחוק כהחזקה לצריכה עצמית עד לפתח ביתה, מעידה על גישה קלה לסמים ויכולת להפיצם.</w:t>
      </w:r>
    </w:p>
    <w:p w14:paraId="305AEDE6"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בנסיבות שאינן קשורות לביצוע העבירה ב"כ המאשימה התייחס לכך שהנאשם הודה וחסך זמן שיפוטי. מנגד ב"כ המאשימה הפנה לתסקירי שירות המבחן שהוגשו בעניינו של הנאשם, מהם עולה כי הנאשם נוטל אחריות חלקית למעשיו ומציג עמדה קרבנית. בנוסף הוא ביקש להתחשב בעובדה שבאחת מבדיקות השתן שמסר הנאשם נמצאו שרידי הרואין והדגיש את העובדה שהנאשם ביקש להפסיק השתתפותו בקבוצה הטיפולית.</w:t>
      </w:r>
    </w:p>
    <w:p w14:paraId="2B654FB9"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לאור הנסיבות שפירט שאינן קשורות לביצוע העבירה, ב"כ המאשימה עתר לגזור את עונשו של הנאשם בחלקו התחתון של מתחם הענישה אך לא בתחתיתו לצד מאסר מותנה מרתיע, קנס, פסילה בפועל ועל תנאי של רישיון הנהיגה והתחייבות להימנע מעבירה.</w:t>
      </w:r>
    </w:p>
    <w:p w14:paraId="68B02467"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u w:val="single"/>
          <w:rtl/>
        </w:rPr>
        <w:t>ב"כ הנאשם</w:t>
      </w:r>
      <w:r>
        <w:rPr>
          <w:rFonts w:ascii="Arial" w:hAnsi="Arial"/>
          <w:rtl/>
        </w:rPr>
        <w:t xml:space="preserve"> טען כי מתחם העונש לו עתרה התביעה אינו הולם את העבירה ונסיבות ביצועה ועתר למתחם ענישה הנע בין של"צ ועד חודשיים מאסר לריצוי בדרך של עבודות שירות.</w:t>
      </w:r>
    </w:p>
    <w:p w14:paraId="48716619"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 xml:space="preserve">ב"כ הנאשם טען כי מידת הפגיעה בערכים המוגנים הינה נמוכה לאור סוג הסם, כמות הסם המזערית והפוטנציאל הנמוך לנזק, הוא טען שהפסיקה אליה הפנתה התביעה עוסקת בסחר בסם מסוכן ולא באספקת סם ללא תמורה וביקש להתחשב במסגרת הנסיבות שאינן קשורות בביצוע העבירה במצבו הבריאותי והמשפחתי של הנאשם כמפורט בתסקיר שירות המבחן, בהעדר הרשעות קודמות, בנטילת האחריות ובעובדה שהנאשם לא ביצע עבירות נוספות ובדיקות שתן שמסר היו ללא שרידי סם, עובדות שיש בהם כדי להעיד על שיקומו. ב"כ הנאשם טען שעונש מאסר לרבות בעבודות שירות יביא לפגיעה ממשית בנאשם. </w:t>
      </w:r>
    </w:p>
    <w:p w14:paraId="4166AF63"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באשר להליך הטיפולי ב"כ הנאשם טען שחלה התדרדרות במצבו הבריאותי של הנאשם, שבגינה נמנע ממנו להמשיך את  הקשר עם שירות המבחן. לטענתו העילה להפסקת הטיפול הייתה מוצדקת, לראיה -  שירות המבחן המליץ על של"צ גם לאחר הפסקת הטיפול.</w:t>
      </w:r>
    </w:p>
    <w:p w14:paraId="1B634ECC"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באשר להתייחסות שירות המבחן לנושא ההרשעה ב"כ הנאשם טען כי הותרת ההרשעה על כנה עלולה לגרום לנאשם לפגיעה קונקרטית, כיוון שהוא עובד במטבח במפעל רותם ופעם בשנה בודקים במרשם הפלילי את עובדי הקבלן. ב"כ הנאשם לא הציג אסמכתאות לטענה והודיע שהוא לא עומד על הבקשה לסיים ההליך באי הרשעה.</w:t>
      </w:r>
    </w:p>
    <w:p w14:paraId="4BD295D1"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לאור הנסיבות הקשורות ושאינן קשורות לביצוע העבירה ב"כ הנאשם עתר לאמץ את המלצת שירות המבחן לעניין העונש ולהטיל על הנאשם צו של"צ.</w:t>
      </w:r>
    </w:p>
    <w:p w14:paraId="68CA451F"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u w:val="single"/>
          <w:rtl/>
        </w:rPr>
        <w:t xml:space="preserve">הנאשם בדברו האחרון  </w:t>
      </w:r>
      <w:r>
        <w:rPr>
          <w:rFonts w:ascii="Arial" w:hAnsi="Arial"/>
          <w:rtl/>
        </w:rPr>
        <w:t>מסר כי הוא מצטער על מה שקרה. לדבריו, הכיר את יובל בעבודה, גר עמה כחצי שנה בדימונה וניסה לסייע לה להפסיק עם הסמים.</w:t>
      </w:r>
    </w:p>
    <w:p w14:paraId="32CA9A11" w14:textId="77777777" w:rsidR="00A42F9D" w:rsidRDefault="00A42F9D" w:rsidP="00A42F9D">
      <w:pPr>
        <w:spacing w:before="120" w:after="120" w:line="360" w:lineRule="auto"/>
        <w:jc w:val="both"/>
        <w:rPr>
          <w:rFonts w:ascii="Arial" w:hAnsi="Arial"/>
          <w:rtl/>
        </w:rPr>
      </w:pPr>
      <w:r>
        <w:rPr>
          <w:rFonts w:ascii="Arial" w:hAnsi="Arial"/>
          <w:b/>
          <w:bCs/>
          <w:rtl/>
        </w:rPr>
        <w:t>דיון והכרעה</w:t>
      </w:r>
    </w:p>
    <w:p w14:paraId="218555EB"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בהתאם לתיקון 113 ל</w:t>
      </w:r>
      <w:hyperlink r:id="rId17" w:history="1">
        <w:r w:rsidR="00BF2F4F" w:rsidRPr="00BF2F4F">
          <w:rPr>
            <w:rFonts w:ascii="Arial" w:hAnsi="Arial"/>
            <w:color w:val="0000FF"/>
            <w:u w:val="single"/>
            <w:rtl/>
          </w:rPr>
          <w:t>חוק העונשין</w:t>
        </w:r>
      </w:hyperlink>
      <w:r>
        <w:rPr>
          <w:rFonts w:ascii="Arial" w:hAnsi="Arial"/>
          <w:rtl/>
        </w:rPr>
        <w:t xml:space="preserve"> התשל"ז-1977 (להלן: </w:t>
      </w:r>
      <w:r>
        <w:rPr>
          <w:rFonts w:ascii="Arial" w:hAnsi="Arial"/>
          <w:b/>
          <w:bCs/>
          <w:rtl/>
        </w:rPr>
        <w:t>חוק העונשין</w:t>
      </w:r>
      <w:r>
        <w:rPr>
          <w:rFonts w:ascii="Arial" w:hAnsi="Arial"/>
          <w:rtl/>
        </w:rPr>
        <w:t xml:space="preserve">), גזירת דין מורכבת משלושה שלבים עיקריים: </w:t>
      </w:r>
    </w:p>
    <w:p w14:paraId="133DE6C0" w14:textId="77777777" w:rsidR="00A42F9D" w:rsidRDefault="00A42F9D" w:rsidP="00A42F9D">
      <w:pPr>
        <w:numPr>
          <w:ilvl w:val="0"/>
          <w:numId w:val="2"/>
        </w:numPr>
        <w:spacing w:before="120" w:after="120" w:line="360" w:lineRule="auto"/>
        <w:jc w:val="both"/>
        <w:rPr>
          <w:rFonts w:ascii="Arial" w:hAnsi="Arial"/>
          <w:rtl/>
        </w:rPr>
      </w:pPr>
      <w:r>
        <w:rPr>
          <w:rFonts w:ascii="Arial" w:hAnsi="Arial"/>
          <w:rtl/>
        </w:rPr>
        <w:t xml:space="preserve">קביעת מתחם העונש ההולם בהתאם </w:t>
      </w:r>
      <w:hyperlink r:id="rId18" w:history="1">
        <w:r w:rsidR="008461C3" w:rsidRPr="008461C3">
          <w:rPr>
            <w:rStyle w:val="Hyperlink"/>
            <w:rFonts w:ascii="Arial" w:hAnsi="Arial"/>
            <w:color w:val="0000FF"/>
            <w:rtl/>
          </w:rPr>
          <w:t>לסעיף 40ג</w:t>
        </w:r>
      </w:hyperlink>
      <w:r>
        <w:rPr>
          <w:rFonts w:ascii="Arial" w:hAnsi="Arial"/>
          <w:rtl/>
        </w:rPr>
        <w:t xml:space="preserve"> ל</w:t>
      </w:r>
      <w:hyperlink r:id="rId19" w:history="1">
        <w:r w:rsidR="00BF2F4F" w:rsidRPr="00BF2F4F">
          <w:rPr>
            <w:rFonts w:ascii="Arial" w:hAnsi="Arial"/>
            <w:color w:val="0000FF"/>
            <w:u w:val="single"/>
            <w:rtl/>
          </w:rPr>
          <w:t>חוק העונשין</w:t>
        </w:r>
      </w:hyperlink>
      <w:r>
        <w:rPr>
          <w:rFonts w:ascii="Arial" w:hAnsi="Arial"/>
          <w:rtl/>
        </w:rPr>
        <w:t>.</w:t>
      </w:r>
    </w:p>
    <w:p w14:paraId="48CA0713" w14:textId="77777777" w:rsidR="00A42F9D" w:rsidRDefault="00A42F9D" w:rsidP="00A42F9D">
      <w:pPr>
        <w:numPr>
          <w:ilvl w:val="0"/>
          <w:numId w:val="2"/>
        </w:numPr>
        <w:spacing w:before="120" w:after="120" w:line="360" w:lineRule="auto"/>
        <w:jc w:val="both"/>
        <w:rPr>
          <w:rFonts w:ascii="Arial" w:hAnsi="Arial"/>
          <w:rtl/>
        </w:rPr>
      </w:pPr>
      <w:r>
        <w:rPr>
          <w:rFonts w:ascii="Arial" w:hAnsi="Arial"/>
          <w:rtl/>
        </w:rPr>
        <w:t>בחינת חריגה ממתחם העונש ההולם בין לקולא בין לחומרא.</w:t>
      </w:r>
    </w:p>
    <w:p w14:paraId="097E4E01" w14:textId="77777777" w:rsidR="00A42F9D" w:rsidRDefault="00A42F9D" w:rsidP="00A42F9D">
      <w:pPr>
        <w:numPr>
          <w:ilvl w:val="0"/>
          <w:numId w:val="2"/>
        </w:numPr>
        <w:spacing w:before="120" w:after="120" w:line="360" w:lineRule="auto"/>
        <w:jc w:val="both"/>
        <w:rPr>
          <w:rFonts w:ascii="Arial" w:hAnsi="Arial"/>
        </w:rPr>
      </w:pPr>
      <w:r>
        <w:rPr>
          <w:rFonts w:ascii="Arial" w:hAnsi="Arial"/>
          <w:rtl/>
        </w:rPr>
        <w:t xml:space="preserve">קביעת העונש המתאים בתוך מתחם העונש ההולם בהתאם </w:t>
      </w:r>
      <w:hyperlink r:id="rId20" w:history="1">
        <w:r w:rsidR="008461C3" w:rsidRPr="008461C3">
          <w:rPr>
            <w:rStyle w:val="Hyperlink"/>
            <w:rFonts w:ascii="Arial" w:hAnsi="Arial"/>
            <w:color w:val="0000FF"/>
            <w:rtl/>
          </w:rPr>
          <w:t>לסעיף 40ג(ב)</w:t>
        </w:r>
      </w:hyperlink>
      <w:r>
        <w:rPr>
          <w:rFonts w:ascii="Arial" w:hAnsi="Arial"/>
          <w:rtl/>
        </w:rPr>
        <w:t xml:space="preserve"> ל</w:t>
      </w:r>
      <w:hyperlink r:id="rId21" w:history="1">
        <w:r w:rsidR="00BF2F4F" w:rsidRPr="00BF2F4F">
          <w:rPr>
            <w:rFonts w:ascii="Arial" w:hAnsi="Arial"/>
            <w:color w:val="0000FF"/>
            <w:u w:val="single"/>
            <w:rtl/>
          </w:rPr>
          <w:t>חוק העונשין</w:t>
        </w:r>
      </w:hyperlink>
      <w:r>
        <w:rPr>
          <w:rFonts w:ascii="Arial" w:hAnsi="Arial"/>
          <w:rtl/>
        </w:rPr>
        <w:t>.</w:t>
      </w:r>
    </w:p>
    <w:p w14:paraId="4D8337A2" w14:textId="77777777" w:rsidR="00A42F9D" w:rsidRDefault="00A42F9D" w:rsidP="00A42F9D">
      <w:pPr>
        <w:spacing w:before="120" w:after="120" w:line="360" w:lineRule="auto"/>
        <w:jc w:val="both"/>
        <w:rPr>
          <w:rFonts w:ascii="Arial" w:hAnsi="Arial"/>
        </w:rPr>
      </w:pPr>
      <w:r>
        <w:rPr>
          <w:rFonts w:ascii="Arial" w:hAnsi="Arial"/>
          <w:u w:val="single"/>
          <w:rtl/>
        </w:rPr>
        <w:t>קביעת מתחם העונש ההולם</w:t>
      </w:r>
      <w:r>
        <w:rPr>
          <w:rFonts w:ascii="Arial" w:hAnsi="Arial"/>
          <w:rtl/>
        </w:rPr>
        <w:t xml:space="preserve"> -</w:t>
      </w:r>
    </w:p>
    <w:p w14:paraId="3DFA0F54" w14:textId="77777777" w:rsidR="00A42F9D" w:rsidRDefault="00A42F9D" w:rsidP="00A42F9D">
      <w:pPr>
        <w:numPr>
          <w:ilvl w:val="0"/>
          <w:numId w:val="1"/>
        </w:numPr>
        <w:spacing w:before="120" w:after="120" w:line="360" w:lineRule="auto"/>
        <w:jc w:val="both"/>
        <w:rPr>
          <w:rFonts w:ascii="Arial" w:hAnsi="Arial"/>
        </w:rPr>
      </w:pPr>
      <w:r>
        <w:rPr>
          <w:rFonts w:ascii="Arial" w:hAnsi="Arial"/>
          <w:rtl/>
        </w:rPr>
        <w:t xml:space="preserve">בהתאם להוראת </w:t>
      </w:r>
      <w:hyperlink r:id="rId22" w:history="1">
        <w:r w:rsidR="008461C3" w:rsidRPr="008461C3">
          <w:rPr>
            <w:rStyle w:val="Hyperlink"/>
            <w:rFonts w:ascii="Arial" w:hAnsi="Arial"/>
            <w:color w:val="0000FF"/>
            <w:rtl/>
          </w:rPr>
          <w:t>סעיף 40ב</w:t>
        </w:r>
      </w:hyperlink>
      <w:r>
        <w:rPr>
          <w:rFonts w:ascii="Arial" w:hAnsi="Arial"/>
          <w:rtl/>
        </w:rPr>
        <w:t xml:space="preserve"> ל</w:t>
      </w:r>
      <w:hyperlink r:id="rId23" w:history="1">
        <w:r w:rsidR="00BF2F4F" w:rsidRPr="00BF2F4F">
          <w:rPr>
            <w:rFonts w:ascii="Arial" w:hAnsi="Arial"/>
            <w:color w:val="0000FF"/>
            <w:u w:val="single"/>
            <w:rtl/>
          </w:rPr>
          <w:t>חוק העונשין</w:t>
        </w:r>
      </w:hyperlink>
      <w:r>
        <w:rPr>
          <w:rFonts w:ascii="Arial" w:hAnsi="Arial"/>
          <w:rtl/>
        </w:rPr>
        <w:t>, העיקרון המנחה את בית המשפט בקביעת מתחם העונש ההולם למעשה עבירה הוא יחס הולם בין חומרת המעשה בנסיבות המקרה ומידת אשמו של הנאשם לבין סוג העונש המוטל עליו ומידתו.</w:t>
      </w:r>
    </w:p>
    <w:p w14:paraId="3D2ADC50" w14:textId="77777777" w:rsidR="00A42F9D" w:rsidRDefault="00A42F9D" w:rsidP="00A42F9D">
      <w:pPr>
        <w:numPr>
          <w:ilvl w:val="0"/>
          <w:numId w:val="1"/>
        </w:numPr>
        <w:spacing w:before="120" w:after="120" w:line="360" w:lineRule="auto"/>
        <w:jc w:val="both"/>
        <w:rPr>
          <w:rFonts w:ascii="Arial" w:hAnsi="Arial"/>
          <w:rtl/>
        </w:rPr>
      </w:pPr>
      <w:r>
        <w:rPr>
          <w:rFonts w:ascii="Arial" w:hAnsi="Arial"/>
          <w:rtl/>
        </w:rPr>
        <w:t xml:space="preserve">בהתאם להוראת </w:t>
      </w:r>
      <w:hyperlink r:id="rId24" w:history="1">
        <w:r w:rsidR="008461C3" w:rsidRPr="008461C3">
          <w:rPr>
            <w:rStyle w:val="Hyperlink"/>
            <w:rFonts w:ascii="Arial" w:hAnsi="Arial"/>
            <w:color w:val="0000FF"/>
            <w:rtl/>
          </w:rPr>
          <w:t>סעיף 40ג(ב)</w:t>
        </w:r>
      </w:hyperlink>
      <w:r>
        <w:rPr>
          <w:rFonts w:ascii="Arial" w:hAnsi="Arial"/>
          <w:rtl/>
        </w:rPr>
        <w:t xml:space="preserve"> ל</w:t>
      </w:r>
      <w:hyperlink r:id="rId25" w:history="1">
        <w:r w:rsidR="00BF2F4F" w:rsidRPr="00BF2F4F">
          <w:rPr>
            <w:rFonts w:ascii="Arial" w:hAnsi="Arial"/>
            <w:color w:val="0000FF"/>
            <w:u w:val="single"/>
            <w:rtl/>
          </w:rPr>
          <w:t>חוק העונשין</w:t>
        </w:r>
      </w:hyperlink>
      <w:r>
        <w:rPr>
          <w:rFonts w:ascii="Arial" w:hAnsi="Arial"/>
          <w:rtl/>
        </w:rPr>
        <w:t xml:space="preserve"> בקביעת מתחם העונש ההולם יתחשב בית המשפט בערכים החברתיים שנפגעו מביצוע העבירה, במידת הפגיעה בהם, במדיניות הענישה הנוהגת ובנסיבות הקשורות בביצוע העבירה.</w:t>
      </w:r>
    </w:p>
    <w:p w14:paraId="3052B7E3"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b/>
          <w:bCs/>
          <w:u w:val="single"/>
          <w:rtl/>
        </w:rPr>
        <w:t>הערכים המוגנים שנפגעו מביצוע העבירות</w:t>
      </w:r>
      <w:r>
        <w:rPr>
          <w:rFonts w:ascii="Arial" w:hAnsi="Arial"/>
          <w:rtl/>
        </w:rPr>
        <w:t>: מעשי הנאשם פגעו בערכים המוגנים של הגנה על בריאות הציבור, שלומו וביטחונו והגנה על הציבור מפני עבירות נלוות לסמים כגון עבירות אלימות ורכוש.</w:t>
      </w:r>
    </w:p>
    <w:p w14:paraId="70655C99"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b/>
          <w:bCs/>
          <w:u w:val="single"/>
          <w:rtl/>
        </w:rPr>
        <w:t>מידת הפגיעה בערכים המוגנים</w:t>
      </w:r>
      <w:r>
        <w:rPr>
          <w:rFonts w:ascii="Arial" w:hAnsi="Arial"/>
          <w:rtl/>
        </w:rPr>
        <w:t xml:space="preserve">: בהתחשב בטיב הסם שסופק, במשקל הסם, </w:t>
      </w:r>
      <w:r>
        <w:rPr>
          <w:rFonts w:ascii="Arial" w:hAnsi="Arial" w:hint="cs"/>
          <w:rtl/>
        </w:rPr>
        <w:t>שהוא מעט מעל הכמות</w:t>
      </w:r>
      <w:r>
        <w:rPr>
          <w:rFonts w:ascii="Arial" w:hAnsi="Arial"/>
          <w:rtl/>
        </w:rPr>
        <w:t xml:space="preserve"> המוגדרת בחוק כהחזקה לצריכה עצמית, בכך שלא ניתנה לנאשם תמורה כספית עבור הסם ובכך שמדובר באירוע בודד, מצאתי כי מידת הפגיעה בערכים המוגנים היא </w:t>
      </w:r>
      <w:r>
        <w:rPr>
          <w:rFonts w:ascii="Arial" w:hAnsi="Arial" w:hint="cs"/>
          <w:rtl/>
        </w:rPr>
        <w:t>נמוכה - בינונית</w:t>
      </w:r>
      <w:r>
        <w:rPr>
          <w:rFonts w:ascii="Arial" w:hAnsi="Arial"/>
          <w:rtl/>
        </w:rPr>
        <w:t>.</w:t>
      </w:r>
    </w:p>
    <w:p w14:paraId="7B9E5150" w14:textId="77777777" w:rsidR="00A42F9D" w:rsidRDefault="00A42F9D" w:rsidP="00A42F9D">
      <w:pPr>
        <w:pStyle w:val="a9"/>
        <w:spacing w:before="120" w:after="120" w:line="360" w:lineRule="auto"/>
        <w:ind w:left="360"/>
        <w:contextualSpacing w:val="0"/>
        <w:jc w:val="both"/>
        <w:rPr>
          <w:rFonts w:ascii="Arial" w:hAnsi="Arial"/>
          <w:rtl/>
        </w:rPr>
      </w:pPr>
    </w:p>
    <w:p w14:paraId="03A27476" w14:textId="77777777" w:rsidR="00A42F9D" w:rsidRDefault="00A42F9D" w:rsidP="00A42F9D">
      <w:pPr>
        <w:pStyle w:val="a9"/>
        <w:spacing w:before="120" w:after="120" w:line="360" w:lineRule="auto"/>
        <w:ind w:left="360"/>
        <w:contextualSpacing w:val="0"/>
        <w:jc w:val="both"/>
        <w:rPr>
          <w:rFonts w:ascii="Arial" w:hAnsi="Arial"/>
          <w:rtl/>
        </w:rPr>
      </w:pPr>
      <w:r>
        <w:rPr>
          <w:rFonts w:ascii="Arial" w:hAnsi="Arial"/>
          <w:b/>
          <w:bCs/>
          <w:u w:val="single"/>
          <w:rtl/>
        </w:rPr>
        <w:t>מדיניות הענישה הנוהגת</w:t>
      </w:r>
      <w:r>
        <w:rPr>
          <w:rFonts w:ascii="Arial" w:hAnsi="Arial"/>
          <w:rtl/>
        </w:rPr>
        <w:t xml:space="preserve"> : </w:t>
      </w:r>
    </w:p>
    <w:p w14:paraId="0A5A72DD"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בחינת מדיניות הענישה הנוהגת בעבירות אספקת סם ללא תמורה מלמדת כי הענישה מושפעת מסוג הסם ומשקלו, כאשר ככלל בנסיבות של אספקת סם מסוכן מסוג קנאביס ללא תמורה נקבע מתחם שתחילתו מאסר מותנה כדלקמן:</w:t>
      </w:r>
      <w:r>
        <w:rPr>
          <w:rFonts w:ascii="Arial" w:hAnsi="Arial"/>
        </w:rPr>
        <w:t xml:space="preserve"> </w:t>
      </w:r>
    </w:p>
    <w:p w14:paraId="4AF55144" w14:textId="77777777" w:rsidR="00A42F9D" w:rsidRDefault="00A42F9D" w:rsidP="00A42F9D">
      <w:pPr>
        <w:pStyle w:val="a9"/>
        <w:numPr>
          <w:ilvl w:val="3"/>
          <w:numId w:val="2"/>
        </w:numPr>
        <w:spacing w:before="120" w:after="120" w:line="360" w:lineRule="auto"/>
        <w:ind w:left="567" w:hanging="284"/>
        <w:contextualSpacing w:val="0"/>
        <w:jc w:val="both"/>
        <w:rPr>
          <w:rFonts w:ascii="Arial" w:hAnsi="Arial"/>
        </w:rPr>
      </w:pPr>
      <w:r>
        <w:rPr>
          <w:rFonts w:ascii="Arial" w:hAnsi="Arial"/>
          <w:rtl/>
        </w:rPr>
        <w:t>ב</w:t>
      </w:r>
      <w:hyperlink r:id="rId26" w:history="1">
        <w:r w:rsidR="00BF2F4F" w:rsidRPr="00BF2F4F">
          <w:rPr>
            <w:rFonts w:ascii="Arial" w:hAnsi="Arial"/>
            <w:color w:val="0000FF"/>
            <w:u w:val="single"/>
            <w:rtl/>
          </w:rPr>
          <w:t>עפ"ג 1109-05-24</w:t>
        </w:r>
      </w:hyperlink>
      <w:r>
        <w:rPr>
          <w:rFonts w:ascii="Arial" w:hAnsi="Arial"/>
          <w:rtl/>
        </w:rPr>
        <w:t xml:space="preserve"> </w:t>
      </w:r>
      <w:r>
        <w:rPr>
          <w:rFonts w:ascii="Arial" w:hAnsi="Arial"/>
          <w:b/>
          <w:bCs/>
          <w:rtl/>
        </w:rPr>
        <w:t>בן יקר נ' מדינת ישראל</w:t>
      </w:r>
      <w:r>
        <w:rPr>
          <w:rFonts w:ascii="Arial" w:hAnsi="Arial"/>
          <w:rtl/>
        </w:rPr>
        <w:t xml:space="preserve"> (8.7.24) – המערער הורשע בעבירה של אספקת סמים מסוכנים, בכך שבזמן ששהה במסיבה בים המלח, סיפק סמים מסוג קטאמין וכן </w:t>
      </w:r>
      <w:r>
        <w:rPr>
          <w:rFonts w:cs="Times New Roman"/>
        </w:rPr>
        <w:t>METHYLMETHCATHINONE</w:t>
      </w:r>
      <w:r>
        <w:rPr>
          <w:rFonts w:cs="Times New Roman"/>
          <w:rtl/>
        </w:rPr>
        <w:t xml:space="preserve"> </w:t>
      </w:r>
      <w:r>
        <w:rPr>
          <w:rFonts w:ascii="David" w:hAnsi="David"/>
          <w:rtl/>
        </w:rPr>
        <w:t xml:space="preserve">במשקל שאינו ידוע למכרה שהגיעה עימו למסיבה. בית המשפט קבע מתחם עונש הולם הנע בין 3 חודשי מאסר אשר יכול שירוצו בדרך של עבודות שירות ועד </w:t>
      </w:r>
      <w:r>
        <w:rPr>
          <w:rFonts w:ascii="Arial" w:hAnsi="Arial"/>
          <w:rtl/>
        </w:rPr>
        <w:t xml:space="preserve">9 חודשי מאסר וגזר על הנאשם 4 חודשי מאסר לריצוי בדרך של עבודות שירות לצד ענישה נלווית. בית המשפט המחוזי הקל את עונשו של המערער לחודשיים שירוצו בדרך של עבודות שירות לאור נסיבות חריגות הקשורות במערער, תוך שצוין, כי הענישה אינה חורגת בחומרתה ביחס לעבירה. </w:t>
      </w:r>
      <w:r>
        <w:rPr>
          <w:rFonts w:ascii="Arial" w:hAnsi="Arial"/>
          <w:b/>
          <w:bCs/>
          <w:u w:val="single"/>
          <w:rtl/>
        </w:rPr>
        <w:t>בענייננו</w:t>
      </w:r>
      <w:r>
        <w:rPr>
          <w:rFonts w:ascii="Arial" w:hAnsi="Arial"/>
          <w:rtl/>
        </w:rPr>
        <w:t xml:space="preserve"> סם מסוג קנאביס.</w:t>
      </w:r>
    </w:p>
    <w:p w14:paraId="403B7465" w14:textId="77777777" w:rsidR="00A42F9D" w:rsidRDefault="00A42F9D" w:rsidP="00A42F9D">
      <w:pPr>
        <w:pStyle w:val="a9"/>
        <w:numPr>
          <w:ilvl w:val="3"/>
          <w:numId w:val="2"/>
        </w:numPr>
        <w:spacing w:before="120" w:after="120" w:line="360" w:lineRule="auto"/>
        <w:ind w:left="567" w:hanging="284"/>
        <w:contextualSpacing w:val="0"/>
        <w:jc w:val="both"/>
        <w:rPr>
          <w:rFonts w:ascii="Arial" w:hAnsi="Arial"/>
        </w:rPr>
      </w:pPr>
      <w:r>
        <w:rPr>
          <w:rFonts w:ascii="Arial" w:hAnsi="Arial"/>
          <w:rtl/>
        </w:rPr>
        <w:t>ב</w:t>
      </w:r>
      <w:hyperlink r:id="rId27" w:history="1">
        <w:r w:rsidR="00BF2F4F" w:rsidRPr="00BF2F4F">
          <w:rPr>
            <w:rFonts w:ascii="Arial" w:hAnsi="Arial"/>
            <w:color w:val="0000FF"/>
            <w:u w:val="single"/>
            <w:rtl/>
          </w:rPr>
          <w:t>עפ"ג 17306-04-20</w:t>
        </w:r>
      </w:hyperlink>
      <w:r>
        <w:rPr>
          <w:rFonts w:ascii="Arial" w:hAnsi="Arial"/>
          <w:rtl/>
        </w:rPr>
        <w:t xml:space="preserve"> </w:t>
      </w:r>
      <w:r>
        <w:rPr>
          <w:rFonts w:ascii="Arial" w:hAnsi="Arial"/>
          <w:b/>
          <w:bCs/>
          <w:rtl/>
        </w:rPr>
        <w:t>שי נ' מדינת ישראל</w:t>
      </w:r>
      <w:r>
        <w:rPr>
          <w:rFonts w:ascii="Arial" w:hAnsi="Arial"/>
          <w:rtl/>
        </w:rPr>
        <w:t xml:space="preserve"> (13.7.20) – המערער הורשע בעבירה של הספקת סם מסוכן, בכך שסיפק לסוכן סמוי לבקשתו סם מסוכן מסוג </w:t>
      </w:r>
      <w:r>
        <w:rPr>
          <w:rFonts w:ascii="Arial" w:hAnsi="Arial"/>
        </w:rPr>
        <w:t>MDMA</w:t>
      </w:r>
      <w:r>
        <w:rPr>
          <w:rFonts w:ascii="Arial" w:hAnsi="Arial"/>
          <w:rtl/>
        </w:rPr>
        <w:t xml:space="preserve"> במשקל 0.1399 גרם. בית משפט השלום קבע מתחם ענישה הנע בין מספר חודשי מאסר אשר יכול שירוצו בעבודות שירות ועד 12 חודשים. בית המשפט לא מצא להורות על ביטול הרשעת המערער והשית על הנאשם 3 חודשי מאסר לריצוי בדרך של עבודות שירות לצד ענישה נלווית. במסגרת הערעור, לאור נסיבות חריגות של המערער ולאור הליך טיפולי ממושך, הגיעו הצדדים להסכמה על ביטול הרשעת הנאשם והמרת עונשו לצו של"צ בהיקף 300 שעות. בית המשפט המחוזי אימץ את הסכמת הצדדים.</w:t>
      </w:r>
    </w:p>
    <w:p w14:paraId="43ED269A" w14:textId="77777777" w:rsidR="00A42F9D" w:rsidRDefault="00A42F9D" w:rsidP="00A42F9D">
      <w:pPr>
        <w:pStyle w:val="a9"/>
        <w:numPr>
          <w:ilvl w:val="3"/>
          <w:numId w:val="2"/>
        </w:numPr>
        <w:spacing w:before="120" w:after="120" w:line="360" w:lineRule="auto"/>
        <w:ind w:left="567" w:hanging="284"/>
        <w:contextualSpacing w:val="0"/>
        <w:jc w:val="both"/>
        <w:rPr>
          <w:rFonts w:ascii="Arial" w:hAnsi="Arial"/>
        </w:rPr>
      </w:pPr>
      <w:r>
        <w:rPr>
          <w:rFonts w:ascii="Arial" w:hAnsi="Arial"/>
          <w:rtl/>
        </w:rPr>
        <w:t>ב</w:t>
      </w:r>
      <w:hyperlink r:id="rId28" w:history="1">
        <w:r w:rsidR="00BF2F4F" w:rsidRPr="00BF2F4F">
          <w:rPr>
            <w:rFonts w:ascii="Arial" w:hAnsi="Arial"/>
            <w:color w:val="0000FF"/>
            <w:u w:val="single"/>
            <w:rtl/>
          </w:rPr>
          <w:t>ת"פ 43515-03-16</w:t>
        </w:r>
      </w:hyperlink>
      <w:r>
        <w:rPr>
          <w:rFonts w:ascii="Arial" w:hAnsi="Arial"/>
          <w:rtl/>
        </w:rPr>
        <w:t xml:space="preserve"> </w:t>
      </w:r>
      <w:r w:rsidRPr="007821AD">
        <w:rPr>
          <w:rFonts w:ascii="Arial" w:hAnsi="Arial"/>
          <w:b/>
          <w:bCs/>
          <w:rtl/>
        </w:rPr>
        <w:t>מדינת ישראל נ' פלוני</w:t>
      </w:r>
      <w:r w:rsidRPr="005D7D58">
        <w:rPr>
          <w:rFonts w:ascii="Arial" w:hAnsi="Arial"/>
          <w:rtl/>
        </w:rPr>
        <w:t xml:space="preserve"> </w:t>
      </w:r>
      <w:r>
        <w:rPr>
          <w:rFonts w:ascii="Arial" w:hAnsi="Arial"/>
          <w:rtl/>
        </w:rPr>
        <w:t>(נבו, 17.7.19) – הנאשם הורשע במספר עבירות של סחר בסמים ואספקת סם. נקבע כי בעבירות אספקת סם מסוג קנבוס/ חשיש ללא תמורה, מדיניות הענישה נעה בין מאסר מותנה ועד מאסר בפועל לתקופה קצרה, שיכול וירוצה בעבודות שירות.</w:t>
      </w:r>
    </w:p>
    <w:p w14:paraId="7BEEA899" w14:textId="77777777" w:rsidR="00A42F9D" w:rsidRDefault="00A42F9D" w:rsidP="00A42F9D">
      <w:pPr>
        <w:pStyle w:val="a9"/>
        <w:numPr>
          <w:ilvl w:val="3"/>
          <w:numId w:val="2"/>
        </w:numPr>
        <w:spacing w:before="120" w:after="120" w:line="360" w:lineRule="auto"/>
        <w:ind w:left="567" w:hanging="284"/>
        <w:contextualSpacing w:val="0"/>
        <w:jc w:val="both"/>
        <w:rPr>
          <w:rFonts w:ascii="Arial" w:hAnsi="Arial"/>
        </w:rPr>
      </w:pPr>
      <w:r>
        <w:rPr>
          <w:rFonts w:ascii="Arial" w:hAnsi="Arial"/>
          <w:rtl/>
        </w:rPr>
        <w:t>ב</w:t>
      </w:r>
      <w:hyperlink r:id="rId29" w:history="1">
        <w:r w:rsidR="00BF2F4F" w:rsidRPr="00BF2F4F">
          <w:rPr>
            <w:rFonts w:ascii="Arial" w:hAnsi="Arial"/>
            <w:color w:val="0000FF"/>
            <w:u w:val="single"/>
            <w:rtl/>
          </w:rPr>
          <w:t>ת"פ 41328-07-15</w:t>
        </w:r>
      </w:hyperlink>
      <w:r>
        <w:rPr>
          <w:rFonts w:ascii="Arial" w:hAnsi="Arial"/>
          <w:rtl/>
        </w:rPr>
        <w:t xml:space="preserve"> </w:t>
      </w:r>
      <w:r w:rsidRPr="007821AD">
        <w:rPr>
          <w:rFonts w:ascii="Arial" w:hAnsi="Arial"/>
          <w:b/>
          <w:bCs/>
          <w:rtl/>
        </w:rPr>
        <w:t>מדינת ישראל נ' רזובייב</w:t>
      </w:r>
      <w:r>
        <w:rPr>
          <w:rFonts w:ascii="Arial" w:hAnsi="Arial"/>
          <w:rtl/>
        </w:rPr>
        <w:t xml:space="preserve"> (נבו, 31.1.18) – הנאשם הורשע בשני כתבי אישום, באחד מהם הורשע בעבירות החזקת סם לצריכה עצמית ואספקת סם בכך שבמספר רב של הזדמנויות החזיק ברשותו סמים מסוכנים מסוג חשיש ומריחואנה וסיפק לקטינים שעישנו ביחד איתו. בגין אישום זה נקבע מתחם שנע בין מאסר מותנה ל – 6 חודשי מאסר בפועל, שיכול וירוצו בעבודות שירות.</w:t>
      </w:r>
    </w:p>
    <w:p w14:paraId="0DC700CD" w14:textId="77777777" w:rsidR="00A42F9D" w:rsidRDefault="00A42F9D" w:rsidP="00A42F9D">
      <w:pPr>
        <w:pStyle w:val="a9"/>
        <w:numPr>
          <w:ilvl w:val="3"/>
          <w:numId w:val="2"/>
        </w:numPr>
        <w:spacing w:before="120" w:after="120" w:line="360" w:lineRule="auto"/>
        <w:ind w:left="567" w:hanging="284"/>
        <w:contextualSpacing w:val="0"/>
        <w:jc w:val="both"/>
        <w:rPr>
          <w:rFonts w:ascii="Arial" w:hAnsi="Arial"/>
        </w:rPr>
      </w:pPr>
      <w:r>
        <w:rPr>
          <w:rFonts w:ascii="Arial" w:hAnsi="Arial"/>
          <w:rtl/>
        </w:rPr>
        <w:t xml:space="preserve"> ב</w:t>
      </w:r>
      <w:hyperlink r:id="rId30" w:history="1">
        <w:r w:rsidR="00BF2F4F" w:rsidRPr="00BF2F4F">
          <w:rPr>
            <w:rFonts w:ascii="Arial" w:hAnsi="Arial"/>
            <w:color w:val="0000FF"/>
            <w:u w:val="single"/>
            <w:rtl/>
          </w:rPr>
          <w:t>ת"פ 53549-08-10</w:t>
        </w:r>
      </w:hyperlink>
      <w:r>
        <w:rPr>
          <w:rFonts w:ascii="Arial" w:hAnsi="Arial"/>
          <w:rtl/>
        </w:rPr>
        <w:t xml:space="preserve"> </w:t>
      </w:r>
      <w:r w:rsidRPr="007821AD">
        <w:rPr>
          <w:rFonts w:ascii="Arial" w:hAnsi="Arial"/>
          <w:b/>
          <w:bCs/>
          <w:rtl/>
        </w:rPr>
        <w:t>מדינת ישראל נ' אבו ג'בל</w:t>
      </w:r>
      <w:r>
        <w:rPr>
          <w:rFonts w:ascii="Arial" w:hAnsi="Arial"/>
          <w:rtl/>
        </w:rPr>
        <w:t xml:space="preserve"> (נבו, 12.7.12) – הנאשם הורשע בעבירה של אספקת סם מסוכן בכך שמסר לשניים שהיו איתו סיגריה מגולגלת ובתוכה חשיש. נגזרו על הנאשם 3 חודשי מאסר מותנה והתחייבות.</w:t>
      </w:r>
    </w:p>
    <w:p w14:paraId="26767ED5" w14:textId="77777777" w:rsidR="00A42F9D" w:rsidRDefault="00A42F9D" w:rsidP="00A42F9D">
      <w:pPr>
        <w:pStyle w:val="a9"/>
        <w:numPr>
          <w:ilvl w:val="3"/>
          <w:numId w:val="2"/>
        </w:numPr>
        <w:spacing w:before="120" w:after="120" w:line="360" w:lineRule="auto"/>
        <w:ind w:left="567" w:hanging="284"/>
        <w:contextualSpacing w:val="0"/>
        <w:jc w:val="both"/>
        <w:rPr>
          <w:rFonts w:ascii="Arial" w:hAnsi="Arial"/>
        </w:rPr>
      </w:pPr>
      <w:r>
        <w:rPr>
          <w:rFonts w:ascii="Arial" w:hAnsi="Arial"/>
          <w:rtl/>
        </w:rPr>
        <w:t>ב</w:t>
      </w:r>
      <w:hyperlink r:id="rId31" w:history="1">
        <w:r w:rsidR="00BF2F4F" w:rsidRPr="00BF2F4F">
          <w:rPr>
            <w:rFonts w:ascii="Arial" w:hAnsi="Arial"/>
            <w:color w:val="0000FF"/>
            <w:u w:val="single"/>
            <w:rtl/>
          </w:rPr>
          <w:t>ת"פ 8914-07-08</w:t>
        </w:r>
      </w:hyperlink>
      <w:r>
        <w:rPr>
          <w:rFonts w:ascii="Arial" w:hAnsi="Arial"/>
          <w:rtl/>
        </w:rPr>
        <w:t xml:space="preserve"> </w:t>
      </w:r>
      <w:r w:rsidRPr="007821AD">
        <w:rPr>
          <w:rFonts w:ascii="Arial" w:hAnsi="Arial"/>
          <w:b/>
          <w:bCs/>
          <w:rtl/>
        </w:rPr>
        <w:t>מדינת ישראל נ' רועי קריחלי</w:t>
      </w:r>
      <w:r>
        <w:rPr>
          <w:rFonts w:ascii="Arial" w:hAnsi="Arial"/>
          <w:rtl/>
        </w:rPr>
        <w:t xml:space="preserve"> (נבו, 23.2.10) – הנאשם סיפק ללא תמורה חשיש במשקל 26 גרם, נגזרו עליו 6 חודשי מאסר מותנה.</w:t>
      </w:r>
    </w:p>
    <w:p w14:paraId="2AEC7A5C"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rtl/>
        </w:rPr>
        <w:t>התביעה הפנתה בטיעוניה לעונש למדיניות ענישה בעבירות סחר בסמים. הנאשם בענייננו סיפק סם ללא תמורה, לפיכך מדיניות הענישה אינה רלבנטית לענייננו.</w:t>
      </w:r>
    </w:p>
    <w:p w14:paraId="4D1EF21D"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Arial" w:hAnsi="Arial"/>
          <w:b/>
          <w:bCs/>
          <w:u w:val="single"/>
          <w:rtl/>
        </w:rPr>
        <w:t>נסיבות הקשורות בביצוע העבירה</w:t>
      </w:r>
      <w:r>
        <w:rPr>
          <w:rFonts w:ascii="Arial" w:hAnsi="Arial"/>
          <w:rtl/>
        </w:rPr>
        <w:t xml:space="preserve">: </w:t>
      </w:r>
      <w:r>
        <w:rPr>
          <w:rFonts w:ascii="David" w:eastAsia="Calibri" w:hAnsi="David"/>
          <w:rtl/>
        </w:rPr>
        <w:t>במסגרת הנסיבות הקשורות בביצוע העבירה התחשבתי בסוג הסם, שנחשב סם קל יחסית; בכך שמדובר באירוע יחיד; ללא תמורה;</w:t>
      </w:r>
      <w:r>
        <w:rPr>
          <w:rFonts w:ascii="David" w:eastAsia="Calibri" w:hAnsi="David"/>
        </w:rPr>
        <w:t xml:space="preserve"> </w:t>
      </w:r>
      <w:r>
        <w:rPr>
          <w:rFonts w:ascii="David" w:eastAsia="Calibri" w:hAnsi="David"/>
          <w:rtl/>
        </w:rPr>
        <w:t xml:space="preserve"> במשקל הסם (18.08 גרם), שהוא מעט יותר מכמות המוגדרת </w:t>
      </w:r>
      <w:r>
        <w:rPr>
          <w:rFonts w:ascii="David" w:eastAsia="Calibri" w:hAnsi="David" w:hint="cs"/>
          <w:rtl/>
        </w:rPr>
        <w:t xml:space="preserve">בחוק </w:t>
      </w:r>
      <w:r>
        <w:rPr>
          <w:rFonts w:ascii="David" w:eastAsia="Calibri" w:hAnsi="David"/>
          <w:rtl/>
        </w:rPr>
        <w:t>ככמות להחזקה עצמית ובטענת הנאשם שסיפק את הסם למי שהוא ניהל עמה מערכת יחסים זוגית</w:t>
      </w:r>
      <w:r>
        <w:rPr>
          <w:rFonts w:ascii="Arial" w:hAnsi="Arial"/>
          <w:rtl/>
        </w:rPr>
        <w:t xml:space="preserve">. </w:t>
      </w:r>
    </w:p>
    <w:p w14:paraId="373B2272" w14:textId="77777777" w:rsidR="00A42F9D" w:rsidRDefault="00A42F9D" w:rsidP="00A42F9D">
      <w:pPr>
        <w:pStyle w:val="a9"/>
        <w:spacing w:before="120" w:after="120" w:line="360" w:lineRule="auto"/>
        <w:ind w:left="360"/>
        <w:contextualSpacing w:val="0"/>
        <w:jc w:val="both"/>
        <w:rPr>
          <w:rFonts w:ascii="Arial" w:hAnsi="Arial"/>
        </w:rPr>
      </w:pPr>
      <w:r>
        <w:rPr>
          <w:rFonts w:ascii="Arial" w:hAnsi="Arial"/>
          <w:rtl/>
        </w:rPr>
        <w:t>הנאשם טען בפני שירות המבחן שנפל קורבן למזימה שנרקמה נגדו מצד מי שסיפק לה את הסם ובן זוגה לשעבר ושלא ידע שהוא מספק סם. הטענה לא עולה בקנה אחד עם עובדות כתב האישום בהן הודה הנאשם, היא לא הוכחה, לא צוינה בכתב האישום ולא ניתן להתחשב בה. מנגד, לא ניתן גם לקבל את מסקנת ב"כ המאשימה  על גישה קלה לנאשם לסמים. לא די באירוע נקודתי חד פעמי כדי להצביע על מעורבות של ממש בעולם הסמים המסוכנים וגישה קלה לסמים. בדיקות שליליות לאיתור שרידי סם אצל הנאשם פרט לאחת לא תומכות אף הן במסקנה לגישה קלה לסמים.</w:t>
      </w:r>
    </w:p>
    <w:p w14:paraId="72A53612"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David" w:eastAsia="Calibri" w:hAnsi="David"/>
          <w:rtl/>
        </w:rPr>
        <w:t>בנסיבות העניין, בהתחשב במידת הפגיעה בערכים המוגנים, בהתחשב במדיניות הענישה הנוהגת ובנסיבות הקשורות בביצוע העבירה, מצאתי לקבוע כי מתחם העונש ההולם בעניינו של הנאשם נע בין מאסר מותנה לצד של"צ ועד 6 חודשי מאסר בפועל, שיכול וירוצו בעבודות שירות.</w:t>
      </w:r>
    </w:p>
    <w:p w14:paraId="47183564" w14:textId="77777777" w:rsidR="00A42F9D" w:rsidRDefault="00A42F9D" w:rsidP="00A42F9D">
      <w:pPr>
        <w:pStyle w:val="a9"/>
        <w:numPr>
          <w:ilvl w:val="0"/>
          <w:numId w:val="1"/>
        </w:numPr>
        <w:spacing w:before="120" w:after="120" w:line="360" w:lineRule="auto"/>
        <w:contextualSpacing w:val="0"/>
        <w:jc w:val="both"/>
        <w:rPr>
          <w:rFonts w:ascii="Arial" w:hAnsi="Arial"/>
        </w:rPr>
      </w:pPr>
      <w:r>
        <w:rPr>
          <w:rFonts w:ascii="David" w:hAnsi="David"/>
          <w:b/>
          <w:bCs/>
          <w:u w:val="single"/>
          <w:rtl/>
        </w:rPr>
        <w:t>נסיבות שאינן קשורות לביצוע העבירה</w:t>
      </w:r>
      <w:r>
        <w:rPr>
          <w:rFonts w:ascii="David" w:hAnsi="David"/>
          <w:rtl/>
        </w:rPr>
        <w:t xml:space="preserve"> – במסגרת הנסיבות שאינן קשורות לביצוע העבירה התחשבתי</w:t>
      </w:r>
      <w:r>
        <w:rPr>
          <w:rFonts w:ascii="Arial" w:hAnsi="Arial"/>
          <w:rtl/>
        </w:rPr>
        <w:t xml:space="preserve"> בכך  שהנאשם נעדר הרשעות קודמות וזו הסתבכותו הראשונה עם החוק, בהודאה שנמסרה בהזדמנות הראשונה וחסכה זמן שיפוטי, בזמן שחלף ממועד ביצוע העבירה ועד היום, במהלכו הנאשם לא עבר עבירה נוספת ובבדיקות רבות שנערכו לנאשם בהן לא נמצאו שרידי סם למעט בבדיקה אחת והנאשם סיפק לכך הסבר. מנגד התחשבתי בנטילת אחריות חלקית בלבד בכך שאמר לשירות המבחן שנרקמה נגדו מזימה, ובעובדה שהנאשם לא השתלב בהליך טיפולי חרף הבעת מוטיבציה לטיפול.</w:t>
      </w:r>
    </w:p>
    <w:p w14:paraId="06C52A0E" w14:textId="77777777" w:rsidR="00A42F9D" w:rsidRDefault="00A42F9D" w:rsidP="00A42F9D">
      <w:pPr>
        <w:pStyle w:val="a9"/>
        <w:spacing w:before="120" w:after="120" w:line="360" w:lineRule="auto"/>
        <w:ind w:left="360"/>
        <w:contextualSpacing w:val="0"/>
        <w:jc w:val="both"/>
        <w:rPr>
          <w:rFonts w:ascii="Arial" w:hAnsi="Arial"/>
          <w:rtl/>
        </w:rPr>
      </w:pPr>
      <w:r>
        <w:rPr>
          <w:rFonts w:ascii="Arial" w:hAnsi="Arial"/>
          <w:rtl/>
        </w:rPr>
        <w:t>עם זאת, יש ממש בטענת ב"כ הנאשם, כי הנאשם השתקם גם ללא הליך טיפולי, לראיה – הזמן הרב שחלף ממועד ביצוע העבירה (5 שנים)</w:t>
      </w:r>
      <w:r>
        <w:rPr>
          <w:rFonts w:ascii="Arial" w:hAnsi="Arial"/>
        </w:rPr>
        <w:t xml:space="preserve"> </w:t>
      </w:r>
      <w:r>
        <w:rPr>
          <w:rFonts w:ascii="Arial" w:hAnsi="Arial"/>
          <w:rtl/>
        </w:rPr>
        <w:t xml:space="preserve"> במהלכו הנאשם לא הסתבך שוב עם החוק, אין אינדיקציה לשימוש בסמים וההתרשמות היא מניהול אורח חיים נורמטיבי.</w:t>
      </w:r>
    </w:p>
    <w:p w14:paraId="54EAFDB4" w14:textId="77777777" w:rsidR="00A42F9D" w:rsidRDefault="00A42F9D" w:rsidP="00A42F9D">
      <w:pPr>
        <w:snapToGrid w:val="0"/>
        <w:spacing w:before="120" w:after="120" w:line="360" w:lineRule="auto"/>
        <w:ind w:left="360"/>
        <w:jc w:val="both"/>
        <w:rPr>
          <w:rFonts w:ascii="David" w:hAnsi="David"/>
          <w:rtl/>
        </w:rPr>
      </w:pPr>
      <w:r>
        <w:rPr>
          <w:rFonts w:ascii="David" w:hAnsi="David"/>
          <w:b/>
          <w:bCs/>
          <w:u w:val="single"/>
          <w:rtl/>
        </w:rPr>
        <w:t>התוצאה</w:t>
      </w:r>
    </w:p>
    <w:p w14:paraId="5613B915" w14:textId="77777777" w:rsidR="00A42F9D" w:rsidRDefault="00A42F9D" w:rsidP="00A42F9D">
      <w:pPr>
        <w:pStyle w:val="a9"/>
        <w:numPr>
          <w:ilvl w:val="0"/>
          <w:numId w:val="1"/>
        </w:numPr>
        <w:snapToGrid w:val="0"/>
        <w:spacing w:before="120" w:after="120" w:line="360" w:lineRule="auto"/>
        <w:contextualSpacing w:val="0"/>
        <w:jc w:val="both"/>
        <w:rPr>
          <w:rFonts w:ascii="David" w:hAnsi="David"/>
        </w:rPr>
      </w:pPr>
      <w:r>
        <w:rPr>
          <w:rFonts w:ascii="David" w:hAnsi="David"/>
          <w:rtl/>
        </w:rPr>
        <w:t>במכלול השיקולים, מצאתי לקבוע עונשו של הנאשם ברף הנמוך של מתחם העונש ההולם לצד עונשים נלווים בדמות מאסרים מותנים ועיצומים כספיים.</w:t>
      </w:r>
    </w:p>
    <w:p w14:paraId="4DB03A89" w14:textId="77777777" w:rsidR="00A42F9D" w:rsidRDefault="00A42F9D" w:rsidP="00A42F9D">
      <w:pPr>
        <w:pStyle w:val="a9"/>
        <w:numPr>
          <w:ilvl w:val="0"/>
          <w:numId w:val="1"/>
        </w:numPr>
        <w:snapToGrid w:val="0"/>
        <w:spacing w:before="120" w:after="120" w:line="360" w:lineRule="auto"/>
        <w:contextualSpacing w:val="0"/>
        <w:jc w:val="both"/>
        <w:rPr>
          <w:rFonts w:ascii="David" w:hAnsi="David"/>
        </w:rPr>
      </w:pPr>
      <w:r>
        <w:rPr>
          <w:rFonts w:ascii="David" w:hAnsi="David"/>
          <w:rtl/>
        </w:rPr>
        <w:t>אשר לרכיב פסילת רישיון הנהיגה, משלא הוצגו אינדיקציות לשימוש בסמים אשר עלולות לסכן את משתמשי הדרך, מצאתי כי ניתן להסתפק בפסילת רישיון נהיגה על תנאי בלבד.</w:t>
      </w:r>
    </w:p>
    <w:p w14:paraId="7CC286C9" w14:textId="77777777" w:rsidR="00A42F9D" w:rsidRDefault="00A42F9D" w:rsidP="00A42F9D">
      <w:pPr>
        <w:pStyle w:val="a9"/>
        <w:numPr>
          <w:ilvl w:val="0"/>
          <w:numId w:val="1"/>
        </w:numPr>
        <w:snapToGrid w:val="0"/>
        <w:spacing w:before="120" w:after="120" w:line="360" w:lineRule="auto"/>
        <w:contextualSpacing w:val="0"/>
        <w:jc w:val="both"/>
        <w:rPr>
          <w:rFonts w:ascii="David" w:hAnsi="David"/>
          <w:u w:val="single"/>
        </w:rPr>
      </w:pPr>
      <w:r>
        <w:rPr>
          <w:rFonts w:ascii="David" w:hAnsi="David"/>
          <w:u w:val="single"/>
          <w:rtl/>
        </w:rPr>
        <w:t>הנאשם ירצה את העונשים כדלקמן:</w:t>
      </w:r>
    </w:p>
    <w:p w14:paraId="4DB9D83C" w14:textId="77777777" w:rsidR="00A42F9D" w:rsidRDefault="00A42F9D" w:rsidP="00A42F9D">
      <w:pPr>
        <w:pStyle w:val="a9"/>
        <w:numPr>
          <w:ilvl w:val="0"/>
          <w:numId w:val="3"/>
        </w:numPr>
        <w:spacing w:before="120" w:after="120" w:line="360" w:lineRule="auto"/>
        <w:contextualSpacing w:val="0"/>
        <w:jc w:val="both"/>
      </w:pPr>
      <w:r>
        <w:rPr>
          <w:rtl/>
        </w:rPr>
        <w:t>4 חודשים מאסר על תנאי למשך 3 שנים מהיום, שלא יעבור עבירה בניגוד ל</w:t>
      </w:r>
      <w:hyperlink r:id="rId32" w:history="1">
        <w:r w:rsidR="00BF2F4F" w:rsidRPr="00BF2F4F">
          <w:rPr>
            <w:color w:val="0000FF"/>
            <w:u w:val="single"/>
            <w:rtl/>
          </w:rPr>
          <w:t>פקודת הסמים המסוכנים</w:t>
        </w:r>
      </w:hyperlink>
      <w:r>
        <w:rPr>
          <w:rtl/>
        </w:rPr>
        <w:t xml:space="preserve"> [נוסח חדש], תשל"ג – 1973, שהיא מסוג פשע;</w:t>
      </w:r>
    </w:p>
    <w:p w14:paraId="6DA96284" w14:textId="77777777" w:rsidR="00A42F9D" w:rsidRDefault="00A42F9D" w:rsidP="00A42F9D">
      <w:pPr>
        <w:numPr>
          <w:ilvl w:val="0"/>
          <w:numId w:val="3"/>
        </w:numPr>
        <w:spacing w:before="120" w:after="120" w:line="360" w:lineRule="auto"/>
        <w:jc w:val="both"/>
      </w:pPr>
      <w:r>
        <w:rPr>
          <w:rtl/>
        </w:rPr>
        <w:t>340 שעות לתועלת הציבור, על פי תכנית שתוגש לבית המשפט בתוך 45 ימים מהיום. מובהר לנאשם, כי ככל שלא ישתף פעולה עם שירות המבחן, בית המשפט רשאי להפקיע את צו השל"צ ולדון אותו מחדש במסגרת מתחם העונש ההולם;</w:t>
      </w:r>
    </w:p>
    <w:p w14:paraId="1635514D" w14:textId="77777777" w:rsidR="00A42F9D" w:rsidRPr="003B34FD" w:rsidRDefault="00A42F9D" w:rsidP="00A42F9D">
      <w:pPr>
        <w:numPr>
          <w:ilvl w:val="0"/>
          <w:numId w:val="3"/>
        </w:numPr>
        <w:spacing w:before="120" w:after="120" w:line="360" w:lineRule="auto"/>
        <w:ind w:left="992" w:hanging="284"/>
        <w:jc w:val="both"/>
        <w:rPr>
          <w:b/>
          <w:bCs/>
        </w:rPr>
      </w:pPr>
      <w:r>
        <w:rPr>
          <w:rtl/>
        </w:rPr>
        <w:t xml:space="preserve">קנס בסך 1,500 ₪ או 10 ימי מאסר תמורתו. הקנס ישולם </w:t>
      </w:r>
      <w:r>
        <w:rPr>
          <w:rFonts w:hint="cs"/>
          <w:rtl/>
        </w:rPr>
        <w:t>עד ליום 15.5.25.</w:t>
      </w:r>
      <w:r>
        <w:rPr>
          <w:rtl/>
        </w:rPr>
        <w:t xml:space="preserve"> </w:t>
      </w:r>
    </w:p>
    <w:p w14:paraId="167CA774" w14:textId="77777777" w:rsidR="00A42F9D" w:rsidRPr="003B34FD" w:rsidRDefault="00A42F9D" w:rsidP="00A42F9D">
      <w:pPr>
        <w:spacing w:before="120" w:after="120" w:line="360" w:lineRule="auto"/>
        <w:ind w:left="992"/>
        <w:jc w:val="both"/>
        <w:rPr>
          <w:b/>
          <w:bCs/>
        </w:rPr>
      </w:pPr>
      <w:r w:rsidRPr="003B34FD">
        <w:rPr>
          <w:b/>
          <w:bCs/>
          <w:rtl/>
        </w:rPr>
        <w:t>את הקנס ניתן לשלם כעבור 3 ימים מהיום באחת מהדרכים הבאות:</w:t>
      </w:r>
    </w:p>
    <w:p w14:paraId="4730D49F" w14:textId="77777777" w:rsidR="00A42F9D" w:rsidRDefault="00A42F9D" w:rsidP="00A42F9D">
      <w:pPr>
        <w:spacing w:before="120" w:after="120" w:line="360" w:lineRule="auto"/>
        <w:ind w:left="992" w:hanging="284"/>
        <w:jc w:val="both"/>
        <w:rPr>
          <w:b/>
          <w:bCs/>
          <w:rtl/>
        </w:rPr>
      </w:pPr>
      <w:r>
        <w:rPr>
          <w:b/>
          <w:bCs/>
          <w:rtl/>
        </w:rPr>
        <w:t>•</w:t>
      </w:r>
      <w:r>
        <w:rPr>
          <w:b/>
          <w:bCs/>
          <w:rtl/>
        </w:rPr>
        <w:tab/>
        <w:t xml:space="preserve">תשלום בכרטיס אשראי באמצעות האתר המקוון של רשות האכיפה והגבייה בכתובת: </w:t>
      </w:r>
      <w:hyperlink r:id="rId33" w:history="1">
        <w:r>
          <w:rPr>
            <w:rStyle w:val="Hyperlink"/>
            <w:rFonts w:ascii="David" w:hAnsi="David"/>
            <w:color w:val="0000FF"/>
          </w:rPr>
          <w:t>www.eca.gov.il</w:t>
        </w:r>
      </w:hyperlink>
      <w:r>
        <w:rPr>
          <w:rFonts w:ascii="David" w:hAnsi="David"/>
          <w:rtl/>
        </w:rPr>
        <w:t xml:space="preserve">  </w:t>
      </w:r>
    </w:p>
    <w:p w14:paraId="3759BC8B" w14:textId="77777777" w:rsidR="00A42F9D" w:rsidRDefault="00A42F9D" w:rsidP="00A42F9D">
      <w:pPr>
        <w:spacing w:before="120" w:after="120" w:line="360" w:lineRule="auto"/>
        <w:ind w:left="992" w:hanging="284"/>
        <w:jc w:val="both"/>
        <w:rPr>
          <w:b/>
          <w:bCs/>
          <w:rtl/>
        </w:rPr>
      </w:pPr>
      <w:r>
        <w:rPr>
          <w:b/>
          <w:bCs/>
          <w:rtl/>
        </w:rPr>
        <w:t>•</w:t>
      </w:r>
      <w:r>
        <w:rPr>
          <w:b/>
          <w:bCs/>
          <w:rtl/>
        </w:rPr>
        <w:tab/>
        <w:t>תשלום בשירות עצמי באמצעות מוקד שירות טלפוני של מרכז הגבייה, בטלפון שמספרו 35592* או, 073-205-5000.</w:t>
      </w:r>
    </w:p>
    <w:p w14:paraId="08A2DFBD" w14:textId="77777777" w:rsidR="00A42F9D" w:rsidRDefault="00A42F9D" w:rsidP="00A42F9D">
      <w:pPr>
        <w:spacing w:before="120" w:after="120" w:line="360" w:lineRule="auto"/>
        <w:ind w:left="992" w:hanging="284"/>
        <w:jc w:val="both"/>
        <w:rPr>
          <w:b/>
          <w:bCs/>
          <w:rtl/>
        </w:rPr>
      </w:pPr>
      <w:r>
        <w:rPr>
          <w:b/>
          <w:bCs/>
          <w:rtl/>
        </w:rPr>
        <w:t>•</w:t>
      </w:r>
      <w:r>
        <w:rPr>
          <w:b/>
          <w:bCs/>
          <w:rtl/>
        </w:rPr>
        <w:tab/>
        <w:t>תשלום במזומן בכל סניף של בנק הדואר, בהצגת תעודת זהות בלבד (אין צורך בהצגת שוברי תשלום).</w:t>
      </w:r>
    </w:p>
    <w:p w14:paraId="6B6E14D3" w14:textId="77777777" w:rsidR="00A42F9D" w:rsidRDefault="00A42F9D" w:rsidP="00A42F9D">
      <w:pPr>
        <w:numPr>
          <w:ilvl w:val="0"/>
          <w:numId w:val="3"/>
        </w:numPr>
        <w:spacing w:before="120" w:after="120" w:line="360" w:lineRule="auto"/>
        <w:jc w:val="both"/>
        <w:rPr>
          <w:rFonts w:ascii="Arial" w:hAnsi="Arial"/>
        </w:rPr>
      </w:pPr>
      <w:r>
        <w:rPr>
          <w:rFonts w:ascii="Arial" w:hAnsi="Arial"/>
          <w:rtl/>
        </w:rPr>
        <w:t xml:space="preserve">הנאשם יצהיר על התחייבות בסך 3,000 ₪ להימנע במשך שלוש שנים מהיום מעבירה לפי </w:t>
      </w:r>
      <w:hyperlink r:id="rId34" w:history="1">
        <w:r w:rsidR="00BF2F4F" w:rsidRPr="00BF2F4F">
          <w:rPr>
            <w:rFonts w:ascii="Arial" w:hAnsi="Arial"/>
            <w:color w:val="0000FF"/>
            <w:u w:val="single"/>
            <w:rtl/>
          </w:rPr>
          <w:t>פקודת הסמים המסוכנים</w:t>
        </w:r>
      </w:hyperlink>
      <w:r>
        <w:rPr>
          <w:rFonts w:ascii="Arial" w:hAnsi="Arial"/>
          <w:rtl/>
        </w:rPr>
        <w:t xml:space="preserve"> מסוג פשע. </w:t>
      </w:r>
    </w:p>
    <w:p w14:paraId="7921C135" w14:textId="77777777" w:rsidR="00A42F9D" w:rsidRDefault="00A42F9D" w:rsidP="00A42F9D">
      <w:pPr>
        <w:numPr>
          <w:ilvl w:val="0"/>
          <w:numId w:val="3"/>
        </w:numPr>
        <w:spacing w:before="120" w:after="120" w:line="360" w:lineRule="auto"/>
        <w:jc w:val="both"/>
      </w:pPr>
      <w:r>
        <w:rPr>
          <w:rtl/>
        </w:rPr>
        <w:t xml:space="preserve">פסילה מלקבל ומלהחזיק רישיון נהיגה לרכב מנועי בת  4 חודשים על תנאי שלא יעבור עבירה לפי </w:t>
      </w:r>
      <w:hyperlink r:id="rId35" w:history="1">
        <w:r w:rsidR="00BF2F4F" w:rsidRPr="00BF2F4F">
          <w:rPr>
            <w:color w:val="0000FF"/>
            <w:u w:val="single"/>
            <w:rtl/>
          </w:rPr>
          <w:t>פקודת הסמים המסוכנים</w:t>
        </w:r>
      </w:hyperlink>
      <w:r>
        <w:rPr>
          <w:rtl/>
        </w:rPr>
        <w:t xml:space="preserve"> מסוג פשע. תקופת התנאי – למשך 3 שנים מהיום</w:t>
      </w:r>
      <w:r>
        <w:rPr>
          <w:rFonts w:hint="cs"/>
          <w:rtl/>
        </w:rPr>
        <w:t>.</w:t>
      </w:r>
    </w:p>
    <w:p w14:paraId="1EFE1773" w14:textId="77777777" w:rsidR="00A42F9D" w:rsidRDefault="00A42F9D" w:rsidP="00A42F9D">
      <w:pPr>
        <w:pStyle w:val="a9"/>
        <w:numPr>
          <w:ilvl w:val="0"/>
          <w:numId w:val="3"/>
        </w:numPr>
        <w:spacing w:before="120" w:after="120" w:line="360" w:lineRule="auto"/>
        <w:contextualSpacing w:val="0"/>
        <w:jc w:val="both"/>
      </w:pPr>
      <w:r>
        <w:rPr>
          <w:rFonts w:hint="cs"/>
          <w:rtl/>
        </w:rPr>
        <w:t>ניתן צו להשמדת ה</w:t>
      </w:r>
      <w:r>
        <w:rPr>
          <w:rtl/>
        </w:rPr>
        <w:t>סמים בחלוף תקופת הערעור.</w:t>
      </w:r>
    </w:p>
    <w:p w14:paraId="14D660BC" w14:textId="77777777" w:rsidR="00A42F9D" w:rsidRDefault="00A42F9D" w:rsidP="00A42F9D">
      <w:pPr>
        <w:pStyle w:val="a9"/>
        <w:spacing w:line="360" w:lineRule="auto"/>
        <w:ind w:left="360"/>
        <w:jc w:val="both"/>
        <w:rPr>
          <w:rFonts w:ascii="Arial" w:hAnsi="Arial"/>
          <w:rtl/>
        </w:rPr>
      </w:pPr>
    </w:p>
    <w:p w14:paraId="7F49CA7C" w14:textId="77777777" w:rsidR="00A42F9D" w:rsidRDefault="00A42F9D" w:rsidP="00A42F9D">
      <w:pPr>
        <w:pStyle w:val="a9"/>
        <w:spacing w:line="360" w:lineRule="auto"/>
        <w:ind w:left="360"/>
        <w:jc w:val="both"/>
        <w:rPr>
          <w:rFonts w:ascii="Arial" w:hAnsi="Arial"/>
          <w:rtl/>
        </w:rPr>
      </w:pPr>
    </w:p>
    <w:p w14:paraId="4CE9EE1C" w14:textId="77777777" w:rsidR="00A42F9D" w:rsidRDefault="00A42F9D" w:rsidP="00A42F9D">
      <w:pPr>
        <w:pStyle w:val="a9"/>
        <w:spacing w:line="360" w:lineRule="auto"/>
        <w:ind w:left="360"/>
        <w:jc w:val="both"/>
        <w:rPr>
          <w:rFonts w:ascii="Arial" w:hAnsi="Arial"/>
          <w:rtl/>
        </w:rPr>
      </w:pPr>
    </w:p>
    <w:p w14:paraId="456073C6" w14:textId="77777777" w:rsidR="00A42F9D" w:rsidRPr="00B86A49" w:rsidRDefault="00A42F9D" w:rsidP="00A42F9D">
      <w:pPr>
        <w:pStyle w:val="a9"/>
        <w:spacing w:line="360" w:lineRule="auto"/>
        <w:ind w:left="360"/>
        <w:jc w:val="both"/>
        <w:rPr>
          <w:rFonts w:ascii="Arial" w:hAnsi="Arial"/>
          <w:rtl/>
        </w:rPr>
      </w:pPr>
    </w:p>
    <w:p w14:paraId="20465756" w14:textId="77777777" w:rsidR="00A42F9D" w:rsidRDefault="00A42F9D" w:rsidP="00A42F9D">
      <w:pPr>
        <w:spacing w:line="360" w:lineRule="auto"/>
        <w:jc w:val="both"/>
        <w:rPr>
          <w:rFonts w:ascii="Arial" w:hAnsi="Arial"/>
          <w:b/>
          <w:bCs/>
          <w:rtl/>
        </w:rPr>
      </w:pPr>
    </w:p>
    <w:p w14:paraId="45914101" w14:textId="77777777" w:rsidR="00A42F9D" w:rsidRDefault="00A42F9D" w:rsidP="00A42F9D">
      <w:pPr>
        <w:spacing w:line="360" w:lineRule="auto"/>
        <w:jc w:val="both"/>
        <w:rPr>
          <w:rFonts w:ascii="Arial" w:hAnsi="Arial"/>
          <w:b/>
          <w:bCs/>
          <w:u w:val="single"/>
          <w:rtl/>
        </w:rPr>
      </w:pPr>
      <w:r w:rsidRPr="005D7D58">
        <w:rPr>
          <w:rFonts w:ascii="Arial" w:hAnsi="Arial" w:hint="cs"/>
          <w:b/>
          <w:bCs/>
          <w:u w:val="single"/>
          <w:rtl/>
        </w:rPr>
        <w:t>המזכירות מתבקשת לשלוח העתק גזר הדין לשירות המבחן.</w:t>
      </w:r>
    </w:p>
    <w:p w14:paraId="70779721" w14:textId="77777777" w:rsidR="00A42F9D" w:rsidRPr="005D7D58" w:rsidRDefault="00A42F9D" w:rsidP="00A42F9D">
      <w:pPr>
        <w:spacing w:line="360" w:lineRule="auto"/>
        <w:jc w:val="both"/>
        <w:rPr>
          <w:rFonts w:ascii="Arial" w:hAnsi="Arial"/>
          <w:b/>
          <w:bCs/>
          <w:u w:val="single"/>
          <w:rtl/>
        </w:rPr>
      </w:pPr>
    </w:p>
    <w:p w14:paraId="36EDD00A" w14:textId="77777777" w:rsidR="00A42F9D" w:rsidRPr="00BF2F4F" w:rsidRDefault="00BF2F4F" w:rsidP="00A42F9D">
      <w:pPr>
        <w:spacing w:line="360" w:lineRule="auto"/>
        <w:jc w:val="both"/>
        <w:rPr>
          <w:rFonts w:ascii="Arial" w:hAnsi="Arial"/>
          <w:b/>
          <w:bCs/>
          <w:color w:val="FFFFFF"/>
          <w:sz w:val="2"/>
          <w:szCs w:val="2"/>
          <w:rtl/>
        </w:rPr>
      </w:pPr>
      <w:r w:rsidRPr="00BF2F4F">
        <w:rPr>
          <w:rFonts w:ascii="Arial" w:hAnsi="Arial"/>
          <w:b/>
          <w:bCs/>
          <w:color w:val="FFFFFF"/>
          <w:sz w:val="2"/>
          <w:szCs w:val="2"/>
          <w:rtl/>
        </w:rPr>
        <w:t>5129371</w:t>
      </w:r>
    </w:p>
    <w:p w14:paraId="5C52DDA2" w14:textId="77777777" w:rsidR="00A42F9D" w:rsidRDefault="00BF2F4F" w:rsidP="00A42F9D">
      <w:pPr>
        <w:spacing w:line="360" w:lineRule="auto"/>
        <w:jc w:val="both"/>
        <w:rPr>
          <w:rFonts w:ascii="Arial" w:hAnsi="Arial"/>
          <w:b/>
          <w:bCs/>
          <w:sz w:val="26"/>
          <w:szCs w:val="26"/>
          <w:rtl/>
        </w:rPr>
      </w:pPr>
      <w:bookmarkStart w:id="8" w:name="Nitan"/>
      <w:r w:rsidRPr="00BF2F4F">
        <w:rPr>
          <w:rFonts w:ascii="Arial" w:hAnsi="Arial"/>
          <w:b/>
          <w:bCs/>
          <w:color w:val="FFFFFF"/>
          <w:sz w:val="2"/>
          <w:szCs w:val="2"/>
          <w:rtl/>
        </w:rPr>
        <w:t>54678313</w:t>
      </w:r>
      <w:r>
        <w:rPr>
          <w:rFonts w:ascii="Arial" w:hAnsi="Arial"/>
          <w:b/>
          <w:bCs/>
          <w:sz w:val="26"/>
          <w:szCs w:val="26"/>
          <w:rtl/>
        </w:rPr>
        <w:t xml:space="preserve">ניתן היום,  י"ד שבט תשפ"ה, 12 פברואר 2025, במעמד הצדדים. </w:t>
      </w:r>
      <w:bookmarkEnd w:id="8"/>
    </w:p>
    <w:p w14:paraId="720D6D0F" w14:textId="77777777" w:rsidR="00A42F9D" w:rsidRDefault="00A42F9D" w:rsidP="00A42F9D">
      <w:pPr>
        <w:spacing w:line="360" w:lineRule="auto"/>
        <w:jc w:val="both"/>
        <w:rPr>
          <w:rFonts w:ascii="Arial" w:hAnsi="Arial"/>
          <w:b/>
          <w:bCs/>
          <w:sz w:val="26"/>
          <w:szCs w:val="26"/>
          <w:rtl/>
        </w:rPr>
      </w:pPr>
    </w:p>
    <w:p w14:paraId="081DD728" w14:textId="77777777" w:rsidR="00A42F9D" w:rsidRPr="000F2247" w:rsidRDefault="00A42F9D" w:rsidP="00A42F9D">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7BD3D2FF" w14:textId="77777777" w:rsidR="00A42F9D" w:rsidRPr="000F2247" w:rsidRDefault="00A42F9D" w:rsidP="00BF2F4F">
      <w:pPr>
        <w:bidi w:val="0"/>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8528D0E" w14:textId="77777777" w:rsidR="00A42F9D" w:rsidRPr="008461C3" w:rsidRDefault="008461C3" w:rsidP="00A42F9D">
      <w:pPr>
        <w:bidi w:val="0"/>
        <w:jc w:val="center"/>
        <w:rPr>
          <w:rFonts w:ascii="Arial" w:hAnsi="Arial"/>
          <w:b/>
          <w:bCs/>
          <w:color w:val="FFFFFF"/>
          <w:sz w:val="2"/>
          <w:szCs w:val="2"/>
          <w:rtl/>
        </w:rPr>
      </w:pPr>
      <w:r w:rsidRPr="008461C3">
        <w:rPr>
          <w:rFonts w:ascii="Arial" w:hAnsi="Arial"/>
          <w:b/>
          <w:bCs/>
          <w:color w:val="FFFFFF"/>
          <w:sz w:val="2"/>
          <w:szCs w:val="2"/>
        </w:rPr>
        <w:t>51293715129371</w:t>
      </w:r>
    </w:p>
    <w:p w14:paraId="61FA14D8" w14:textId="77777777" w:rsidR="008C3CF6" w:rsidRPr="008461C3" w:rsidRDefault="008461C3" w:rsidP="00BF2F4F">
      <w:pPr>
        <w:keepNext/>
        <w:rPr>
          <w:rFonts w:ascii="David" w:hAnsi="David" w:hint="cs"/>
          <w:color w:val="FFFFFF"/>
          <w:sz w:val="2"/>
          <w:szCs w:val="2"/>
          <w:rtl/>
        </w:rPr>
      </w:pPr>
      <w:r w:rsidRPr="008461C3">
        <w:rPr>
          <w:rFonts w:ascii="David" w:hAnsi="David"/>
          <w:color w:val="FFFFFF"/>
          <w:sz w:val="2"/>
          <w:szCs w:val="2"/>
          <w:rtl/>
        </w:rPr>
        <w:t>5467831354678313</w:t>
      </w:r>
    </w:p>
    <w:p w14:paraId="51FE9C9A" w14:textId="77777777" w:rsidR="00BF2F4F" w:rsidRPr="00BF2F4F" w:rsidRDefault="00BF2F4F" w:rsidP="00BF2F4F">
      <w:pPr>
        <w:keepNext/>
        <w:rPr>
          <w:rFonts w:ascii="David" w:hAnsi="David"/>
          <w:color w:val="000000"/>
          <w:sz w:val="22"/>
          <w:szCs w:val="22"/>
          <w:rtl/>
        </w:rPr>
      </w:pPr>
      <w:r w:rsidRPr="00BF2F4F">
        <w:rPr>
          <w:rFonts w:ascii="David" w:hAnsi="David"/>
          <w:color w:val="000000"/>
          <w:sz w:val="22"/>
          <w:szCs w:val="22"/>
          <w:rtl/>
        </w:rPr>
        <w:t>אורית קרץ 54678313</w:t>
      </w:r>
    </w:p>
    <w:p w14:paraId="2FCA9CA2" w14:textId="77777777" w:rsidR="00BF2F4F" w:rsidRDefault="00BF2F4F" w:rsidP="00BF2F4F">
      <w:r w:rsidRPr="00BF2F4F">
        <w:rPr>
          <w:color w:val="000000"/>
          <w:rtl/>
        </w:rPr>
        <w:t>נוסח מסמך זה כפוף לשינויי ניסוח ועריכה</w:t>
      </w:r>
    </w:p>
    <w:p w14:paraId="0AE7C0C8" w14:textId="77777777" w:rsidR="00BF2F4F" w:rsidRDefault="00BF2F4F" w:rsidP="00BF2F4F">
      <w:pPr>
        <w:rPr>
          <w:rtl/>
        </w:rPr>
      </w:pPr>
    </w:p>
    <w:p w14:paraId="77DB6888" w14:textId="77777777" w:rsidR="00BF2F4F" w:rsidRDefault="00BF2F4F" w:rsidP="00BF2F4F">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37462C3B" w14:textId="77777777" w:rsidR="008461C3" w:rsidRPr="008461C3" w:rsidRDefault="008461C3" w:rsidP="008461C3">
      <w:pPr>
        <w:keepNext/>
        <w:rPr>
          <w:rFonts w:ascii="David" w:hAnsi="David" w:hint="cs"/>
          <w:color w:val="000000"/>
          <w:sz w:val="22"/>
          <w:szCs w:val="22"/>
          <w:rtl/>
        </w:rPr>
      </w:pPr>
    </w:p>
    <w:p w14:paraId="1A1BB2F8" w14:textId="77777777" w:rsidR="00BF2F4F" w:rsidRPr="00BF2F4F" w:rsidRDefault="00BF2F4F" w:rsidP="008461C3">
      <w:pPr>
        <w:rPr>
          <w:rFonts w:hint="cs"/>
          <w:color w:val="0000FF"/>
          <w:u w:val="single"/>
        </w:rPr>
      </w:pPr>
    </w:p>
    <w:sectPr w:rsidR="00BF2F4F" w:rsidRPr="00BF2F4F" w:rsidSect="008461C3">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6DFD3" w14:textId="77777777" w:rsidR="00F95946" w:rsidRDefault="00F95946" w:rsidP="00061D88">
      <w:r>
        <w:separator/>
      </w:r>
    </w:p>
  </w:endnote>
  <w:endnote w:type="continuationSeparator" w:id="0">
    <w:p w14:paraId="26900616" w14:textId="77777777" w:rsidR="00F95946" w:rsidRDefault="00F95946" w:rsidP="00061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53A29" w14:textId="77777777" w:rsidR="008461C3" w:rsidRDefault="008461C3" w:rsidP="008461C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A51DC6" w14:textId="77777777" w:rsidR="006A311D" w:rsidRPr="008461C3" w:rsidRDefault="008461C3" w:rsidP="008461C3">
    <w:pPr>
      <w:pStyle w:val="a5"/>
      <w:pBdr>
        <w:top w:val="single" w:sz="4" w:space="1" w:color="auto"/>
        <w:between w:val="single" w:sz="4" w:space="0" w:color="auto"/>
      </w:pBdr>
      <w:spacing w:after="60"/>
      <w:jc w:val="center"/>
      <w:rPr>
        <w:rFonts w:ascii="FrankRuehl" w:hAnsi="FrankRuehl" w:cs="FrankRuehl"/>
        <w:color w:val="000000"/>
      </w:rPr>
    </w:pPr>
    <w:r w:rsidRPr="008461C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97576" w14:textId="77777777" w:rsidR="008461C3" w:rsidRDefault="008461C3" w:rsidP="008461C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3AF7">
      <w:rPr>
        <w:rFonts w:ascii="FrankRuehl" w:hAnsi="FrankRuehl" w:cs="FrankRuehl"/>
        <w:noProof/>
        <w:rtl/>
      </w:rPr>
      <w:t>1</w:t>
    </w:r>
    <w:r>
      <w:rPr>
        <w:rFonts w:ascii="FrankRuehl" w:hAnsi="FrankRuehl" w:cs="FrankRuehl"/>
        <w:rtl/>
      </w:rPr>
      <w:fldChar w:fldCharType="end"/>
    </w:r>
  </w:p>
  <w:p w14:paraId="424BF28E" w14:textId="77777777" w:rsidR="006A311D" w:rsidRPr="008461C3" w:rsidRDefault="008461C3" w:rsidP="008461C3">
    <w:pPr>
      <w:pStyle w:val="a5"/>
      <w:pBdr>
        <w:top w:val="single" w:sz="4" w:space="1" w:color="auto"/>
        <w:between w:val="single" w:sz="4" w:space="0" w:color="auto"/>
      </w:pBdr>
      <w:spacing w:after="60"/>
      <w:jc w:val="center"/>
      <w:rPr>
        <w:rFonts w:ascii="FrankRuehl" w:hAnsi="FrankRuehl" w:cs="FrankRuehl"/>
        <w:color w:val="000000"/>
      </w:rPr>
    </w:pPr>
    <w:r w:rsidRPr="008461C3">
      <w:rPr>
        <w:rFonts w:ascii="FrankRuehl" w:hAnsi="FrankRuehl" w:cs="FrankRuehl"/>
        <w:color w:val="000000"/>
      </w:rPr>
      <w:pict w14:anchorId="0A510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9DB687" w14:textId="77777777" w:rsidR="00F95946" w:rsidRDefault="00F95946" w:rsidP="00061D88">
      <w:r>
        <w:separator/>
      </w:r>
    </w:p>
  </w:footnote>
  <w:footnote w:type="continuationSeparator" w:id="0">
    <w:p w14:paraId="6723DEE3" w14:textId="77777777" w:rsidR="00F95946" w:rsidRDefault="00F95946" w:rsidP="00061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53B03" w14:textId="77777777" w:rsidR="00BF2F4F" w:rsidRPr="008461C3" w:rsidRDefault="008461C3" w:rsidP="008461C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34018-04-22</w:t>
    </w:r>
    <w:r>
      <w:rPr>
        <w:rFonts w:ascii="David" w:hAnsi="David"/>
        <w:color w:val="000000"/>
        <w:sz w:val="22"/>
        <w:szCs w:val="22"/>
        <w:rtl/>
      </w:rPr>
      <w:tab/>
      <w:t xml:space="preserve"> מדינת ישראל נ' סאבר הואשלה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C0074" w14:textId="77777777" w:rsidR="00BF2F4F" w:rsidRPr="008461C3" w:rsidRDefault="008461C3" w:rsidP="008461C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34018-04-22</w:t>
    </w:r>
    <w:r>
      <w:rPr>
        <w:rFonts w:ascii="David" w:hAnsi="David"/>
        <w:color w:val="000000"/>
        <w:sz w:val="22"/>
        <w:szCs w:val="22"/>
        <w:rtl/>
      </w:rPr>
      <w:tab/>
      <w:t xml:space="preserve"> מדינת ישראל נ' סאבר הואשלה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D210E"/>
    <w:multiLevelType w:val="hybridMultilevel"/>
    <w:tmpl w:val="D778C6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3F1692"/>
    <w:multiLevelType w:val="hybridMultilevel"/>
    <w:tmpl w:val="11D0CC14"/>
    <w:lvl w:ilvl="0" w:tplc="4E58E962">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785" w:hanging="360"/>
      </w:pPr>
      <w:rPr>
        <w:rFonts w:ascii="Wingdings" w:hAnsi="Wingdings" w:hint="default"/>
      </w:rPr>
    </w:lvl>
    <w:lvl w:ilvl="3" w:tplc="04090001">
      <w:start w:val="1"/>
      <w:numFmt w:val="bullet"/>
      <w:lvlText w:val=""/>
      <w:lvlJc w:val="left"/>
      <w:pPr>
        <w:ind w:left="785"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2" w15:restartNumberingAfterBreak="0">
    <w:nsid w:val="3F8A5403"/>
    <w:multiLevelType w:val="hybridMultilevel"/>
    <w:tmpl w:val="967A4DA8"/>
    <w:lvl w:ilvl="0" w:tplc="5F9EB7B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24746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3407880">
    <w:abstractNumId w:val="1"/>
  </w:num>
  <w:num w:numId="3" w16cid:durableId="19763743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2F9D"/>
    <w:rsid w:val="00014740"/>
    <w:rsid w:val="00061D88"/>
    <w:rsid w:val="00673AF7"/>
    <w:rsid w:val="006A311D"/>
    <w:rsid w:val="008461C3"/>
    <w:rsid w:val="008C3CF6"/>
    <w:rsid w:val="00A42F9D"/>
    <w:rsid w:val="00B92735"/>
    <w:rsid w:val="00BF2F4F"/>
    <w:rsid w:val="00F959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791B7B"/>
  <w15:chartTrackingRefBased/>
  <w15:docId w15:val="{F7831233-8185-4BB4-BD3F-02B2FB79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2F9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42F9D"/>
    <w:pPr>
      <w:tabs>
        <w:tab w:val="center" w:pos="4153"/>
        <w:tab w:val="right" w:pos="8306"/>
      </w:tabs>
    </w:pPr>
  </w:style>
  <w:style w:type="character" w:customStyle="1" w:styleId="a4">
    <w:name w:val="כותרת עליונה תו"/>
    <w:link w:val="a3"/>
    <w:rsid w:val="00A42F9D"/>
    <w:rPr>
      <w:rFonts w:ascii="Times New Roman" w:eastAsia="Times New Roman" w:hAnsi="Times New Roman" w:cs="David"/>
      <w:sz w:val="24"/>
      <w:szCs w:val="24"/>
    </w:rPr>
  </w:style>
  <w:style w:type="paragraph" w:styleId="a5">
    <w:name w:val="footer"/>
    <w:basedOn w:val="a"/>
    <w:link w:val="a6"/>
    <w:rsid w:val="00A42F9D"/>
    <w:pPr>
      <w:tabs>
        <w:tab w:val="center" w:pos="4153"/>
        <w:tab w:val="right" w:pos="8306"/>
      </w:tabs>
    </w:pPr>
  </w:style>
  <w:style w:type="character" w:customStyle="1" w:styleId="a6">
    <w:name w:val="כותרת תחתונה תו"/>
    <w:link w:val="a5"/>
    <w:rsid w:val="00A42F9D"/>
    <w:rPr>
      <w:rFonts w:ascii="Times New Roman" w:eastAsia="Times New Roman" w:hAnsi="Times New Roman" w:cs="David"/>
      <w:sz w:val="24"/>
      <w:szCs w:val="24"/>
    </w:rPr>
  </w:style>
  <w:style w:type="table" w:styleId="a7">
    <w:name w:val="Table Grid"/>
    <w:basedOn w:val="a1"/>
    <w:rsid w:val="00A42F9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42F9D"/>
  </w:style>
  <w:style w:type="paragraph" w:styleId="a9">
    <w:name w:val="List Paragraph"/>
    <w:basedOn w:val="a"/>
    <w:qFormat/>
    <w:rsid w:val="00A42F9D"/>
    <w:pPr>
      <w:ind w:left="720"/>
      <w:contextualSpacing/>
    </w:pPr>
  </w:style>
  <w:style w:type="character" w:styleId="Hyperlink">
    <w:name w:val="Hyperlink"/>
    <w:rsid w:val="00A42F9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b" TargetMode="External"/><Relationship Id="rId18" Type="http://schemas.openxmlformats.org/officeDocument/2006/relationships/hyperlink" Target="http://www.nevo.co.il/law/70301/40c" TargetMode="External"/><Relationship Id="rId26" Type="http://schemas.openxmlformats.org/officeDocument/2006/relationships/hyperlink" Target="http://www.nevo.co.il/case/30638545" TargetMode="External"/><Relationship Id="rId39" Type="http://schemas.openxmlformats.org/officeDocument/2006/relationships/footer" Target="footer1.xml"/><Relationship Id="rId21" Type="http://schemas.openxmlformats.org/officeDocument/2006/relationships/hyperlink" Target="http://www.nevo.co.il/law/70301" TargetMode="External"/><Relationship Id="rId34" Type="http://schemas.openxmlformats.org/officeDocument/2006/relationships/hyperlink" Target="http://www.nevo.co.il/law/4216"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40c.b" TargetMode="External"/><Relationship Id="rId29" Type="http://schemas.openxmlformats.org/officeDocument/2006/relationships/hyperlink" Target="http://www.nevo.co.il/case/2045189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b" TargetMode="External"/><Relationship Id="rId24" Type="http://schemas.openxmlformats.org/officeDocument/2006/relationships/hyperlink" Target="http://www.nevo.co.il/law/70301/40c.b" TargetMode="External"/><Relationship Id="rId32" Type="http://schemas.openxmlformats.org/officeDocument/2006/relationships/hyperlink" Target="http://www.nevo.co.il/law/4216"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1044983"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5775757"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40b" TargetMode="External"/><Relationship Id="rId27" Type="http://schemas.openxmlformats.org/officeDocument/2006/relationships/hyperlink" Target="http://www.nevo.co.il/case/26602683" TargetMode="External"/><Relationship Id="rId30" Type="http://schemas.openxmlformats.org/officeDocument/2006/relationships/hyperlink" Target="http://www.nevo.co.il/case/4603142"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c"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eca.gov.il"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2351</Words>
  <Characters>11759</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14082</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7864368</vt:i4>
      </vt:variant>
      <vt:variant>
        <vt:i4>78</vt:i4>
      </vt:variant>
      <vt:variant>
        <vt:i4>0</vt:i4>
      </vt:variant>
      <vt:variant>
        <vt:i4>5</vt:i4>
      </vt:variant>
      <vt:variant>
        <vt:lpwstr>http://www.eca.gov.il/</vt:lpwstr>
      </vt:variant>
      <vt:variant>
        <vt:lpwstr/>
      </vt:variant>
      <vt:variant>
        <vt:i4>8257637</vt:i4>
      </vt:variant>
      <vt:variant>
        <vt:i4>75</vt:i4>
      </vt:variant>
      <vt:variant>
        <vt:i4>0</vt:i4>
      </vt:variant>
      <vt:variant>
        <vt:i4>5</vt:i4>
      </vt:variant>
      <vt:variant>
        <vt:lpwstr>http://www.nevo.co.il/law/4216</vt:lpwstr>
      </vt:variant>
      <vt:variant>
        <vt:lpwstr/>
      </vt:variant>
      <vt:variant>
        <vt:i4>3276915</vt:i4>
      </vt:variant>
      <vt:variant>
        <vt:i4>72</vt:i4>
      </vt:variant>
      <vt:variant>
        <vt:i4>0</vt:i4>
      </vt:variant>
      <vt:variant>
        <vt:i4>5</vt:i4>
      </vt:variant>
      <vt:variant>
        <vt:lpwstr>http://www.nevo.co.il/case/5775757</vt:lpwstr>
      </vt:variant>
      <vt:variant>
        <vt:lpwstr/>
      </vt:variant>
      <vt:variant>
        <vt:i4>3604597</vt:i4>
      </vt:variant>
      <vt:variant>
        <vt:i4>69</vt:i4>
      </vt:variant>
      <vt:variant>
        <vt:i4>0</vt:i4>
      </vt:variant>
      <vt:variant>
        <vt:i4>5</vt:i4>
      </vt:variant>
      <vt:variant>
        <vt:lpwstr>http://www.nevo.co.il/case/4603142</vt:lpwstr>
      </vt:variant>
      <vt:variant>
        <vt:lpwstr/>
      </vt:variant>
      <vt:variant>
        <vt:i4>4063353</vt:i4>
      </vt:variant>
      <vt:variant>
        <vt:i4>66</vt:i4>
      </vt:variant>
      <vt:variant>
        <vt:i4>0</vt:i4>
      </vt:variant>
      <vt:variant>
        <vt:i4>5</vt:i4>
      </vt:variant>
      <vt:variant>
        <vt:lpwstr>http://www.nevo.co.il/case/20451895</vt:lpwstr>
      </vt:variant>
      <vt:variant>
        <vt:lpwstr/>
      </vt:variant>
      <vt:variant>
        <vt:i4>4063352</vt:i4>
      </vt:variant>
      <vt:variant>
        <vt:i4>63</vt:i4>
      </vt:variant>
      <vt:variant>
        <vt:i4>0</vt:i4>
      </vt:variant>
      <vt:variant>
        <vt:i4>5</vt:i4>
      </vt:variant>
      <vt:variant>
        <vt:lpwstr>http://www.nevo.co.il/case/21044983</vt:lpwstr>
      </vt:variant>
      <vt:variant>
        <vt:lpwstr/>
      </vt:variant>
      <vt:variant>
        <vt:i4>4063348</vt:i4>
      </vt:variant>
      <vt:variant>
        <vt:i4>60</vt:i4>
      </vt:variant>
      <vt:variant>
        <vt:i4>0</vt:i4>
      </vt:variant>
      <vt:variant>
        <vt:i4>5</vt:i4>
      </vt:variant>
      <vt:variant>
        <vt:lpwstr>http://www.nevo.co.il/case/26602683</vt:lpwstr>
      </vt:variant>
      <vt:variant>
        <vt:lpwstr/>
      </vt:variant>
      <vt:variant>
        <vt:i4>3735666</vt:i4>
      </vt:variant>
      <vt:variant>
        <vt:i4>57</vt:i4>
      </vt:variant>
      <vt:variant>
        <vt:i4>0</vt:i4>
      </vt:variant>
      <vt:variant>
        <vt:i4>5</vt:i4>
      </vt:variant>
      <vt:variant>
        <vt:lpwstr>http://www.nevo.co.il/case/30638545</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http://www.nevo.co.il/law/70301/40c.b</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4915202</vt:i4>
      </vt:variant>
      <vt:variant>
        <vt:i4>39</vt:i4>
      </vt:variant>
      <vt:variant>
        <vt:i4>0</vt:i4>
      </vt:variant>
      <vt:variant>
        <vt:i4>5</vt:i4>
      </vt:variant>
      <vt:variant>
        <vt:lpwstr>http://www.nevo.co.il/law/70301/40c.b</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http://www.nevo.co.il/law/70301/40c</vt:lpwstr>
      </vt:variant>
      <vt:variant>
        <vt:lpwstr/>
      </vt:variant>
      <vt:variant>
        <vt:i4>7995492</vt:i4>
      </vt:variant>
      <vt:variant>
        <vt:i4>30</vt:i4>
      </vt:variant>
      <vt:variant>
        <vt:i4>0</vt:i4>
      </vt:variant>
      <vt:variant>
        <vt:i4>5</vt:i4>
      </vt:variant>
      <vt:variant>
        <vt:lpwstr>http://www.nevo.co.il/law/70301</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2025-04-23T01:26:00Z</dcterms:created>
  <dcterms:modified xsi:type="dcterms:W3CDTF">2025-04-23T01:26:00Z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34018</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סאבר הואשלה</vt:lpwstr>
  </property>
  <property fmtid="{D5CDD505-2E9C-101B-9397-08002B2CF9AE}" pid="10" name="LAWYER">
    <vt:lpwstr>אבנר שמש</vt:lpwstr>
  </property>
  <property fmtid="{D5CDD505-2E9C-101B-9397-08002B2CF9AE}" pid="11" name="JUDGE">
    <vt:lpwstr>אורית קרץ</vt:lpwstr>
  </property>
  <property fmtid="{D5CDD505-2E9C-101B-9397-08002B2CF9AE}" pid="12" name="CITY">
    <vt:lpwstr>ב"ש</vt:lpwstr>
  </property>
  <property fmtid="{D5CDD505-2E9C-101B-9397-08002B2CF9AE}" pid="13" name="DATE">
    <vt:lpwstr>20250212</vt:lpwstr>
  </property>
  <property fmtid="{D5CDD505-2E9C-101B-9397-08002B2CF9AE}" pid="14" name="TYPE_N_DATE">
    <vt:lpwstr>38020250212</vt:lpwstr>
  </property>
  <property fmtid="{D5CDD505-2E9C-101B-9397-08002B2CF9AE}" pid="15" name="CASESLISTTMP1">
    <vt:lpwstr>30638545;26602683;21044983;20451895;4603142;5775757</vt:lpwstr>
  </property>
  <property fmtid="{D5CDD505-2E9C-101B-9397-08002B2CF9AE}" pid="16" name="WORDNUMPAGES">
    <vt:lpwstr>8</vt:lpwstr>
  </property>
  <property fmtid="{D5CDD505-2E9C-101B-9397-08002B2CF9AE}" pid="17" name="TYPE_ABS_DATE">
    <vt:lpwstr>380020250212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4216/013;019a</vt:lpwstr>
  </property>
  <property fmtid="{D5CDD505-2E9C-101B-9397-08002B2CF9AE}" pid="36" name="LAWLISTTMP2">
    <vt:lpwstr>70301/040c;040c.b:2;040b</vt:lpwstr>
  </property>
  <property fmtid="{D5CDD505-2E9C-101B-9397-08002B2CF9AE}" pid="37" name="ISABSTRACT">
    <vt:lpwstr>Y</vt:lpwstr>
  </property>
</Properties>
</file>