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743"/>
        <w:gridCol w:w="2506"/>
        <w:gridCol w:w="5472"/>
        <w:gridCol w:w="99"/>
      </w:tblGrid>
      <w:tr w:rsidR="00DB5A1B" w:rsidRPr="005D7072" w14:paraId="7359A47C" w14:textId="77777777" w:rsidTr="00223639">
        <w:trPr>
          <w:gridAfter w:val="1"/>
          <w:wAfter w:w="99" w:type="dxa"/>
          <w:trHeight w:hRule="exact" w:val="704"/>
          <w:jc w:val="center"/>
        </w:trPr>
        <w:tc>
          <w:tcPr>
            <w:tcW w:w="8721" w:type="dxa"/>
            <w:gridSpan w:val="3"/>
          </w:tcPr>
          <w:p w14:paraId="7C3AB5B4" w14:textId="77777777" w:rsidR="00DB5A1B" w:rsidRPr="005D7072" w:rsidRDefault="00DB5A1B" w:rsidP="00BA5BB7">
            <w:pPr>
              <w:pStyle w:val="a3"/>
              <w:jc w:val="center"/>
              <w:rPr>
                <w:rFonts w:ascii="Tahoma" w:hAnsi="Tahoma"/>
                <w:noProof w:val="0"/>
                <w:color w:val="000080"/>
                <w:sz w:val="32"/>
                <w:szCs w:val="32"/>
                <w:rtl/>
              </w:rPr>
            </w:pPr>
            <w:r w:rsidRPr="005D7072">
              <w:rPr>
                <w:rFonts w:ascii="Tahoma" w:hAnsi="Tahoma"/>
                <w:color w:val="000080"/>
                <w:sz w:val="32"/>
                <w:szCs w:val="32"/>
                <w:rtl/>
              </w:rPr>
              <w:t>בית משפט השלום בראשון לציון</w:t>
            </w:r>
          </w:p>
        </w:tc>
      </w:tr>
      <w:tr w:rsidR="00DB5A1B" w:rsidRPr="005D7072" w14:paraId="0D3A8A88" w14:textId="77777777" w:rsidTr="00223639">
        <w:trPr>
          <w:gridAfter w:val="1"/>
          <w:wAfter w:w="99" w:type="dxa"/>
          <w:trHeight w:val="337"/>
          <w:jc w:val="center"/>
        </w:trPr>
        <w:tc>
          <w:tcPr>
            <w:tcW w:w="8721" w:type="dxa"/>
            <w:gridSpan w:val="3"/>
          </w:tcPr>
          <w:p w14:paraId="5108310A" w14:textId="77777777" w:rsidR="00DB5A1B" w:rsidRPr="005D7072" w:rsidRDefault="00DB5A1B" w:rsidP="00BA5BB7">
            <w:pPr>
              <w:rPr>
                <w:b/>
                <w:bCs/>
                <w:noProof w:val="0"/>
                <w:sz w:val="26"/>
                <w:szCs w:val="26"/>
                <w:rtl/>
              </w:rPr>
            </w:pPr>
            <w:r w:rsidRPr="005D7072">
              <w:rPr>
                <w:b/>
                <w:bCs/>
                <w:noProof w:val="0"/>
                <w:sz w:val="26"/>
                <w:szCs w:val="26"/>
                <w:rtl/>
              </w:rPr>
              <w:t xml:space="preserve">ת"פ 42956-04-22 מדינת ישראל נ' סואיסה(עציר) </w:t>
            </w:r>
          </w:p>
          <w:p w14:paraId="424E408C" w14:textId="77777777" w:rsidR="00DB5A1B" w:rsidRPr="005D7072" w:rsidRDefault="00DB5A1B" w:rsidP="00BA5BB7">
            <w:pPr>
              <w:rPr>
                <w:b/>
                <w:bCs/>
                <w:noProof w:val="0"/>
                <w:sz w:val="2"/>
                <w:szCs w:val="2"/>
                <w:rtl/>
              </w:rPr>
            </w:pPr>
          </w:p>
          <w:p w14:paraId="4F0F149F" w14:textId="77777777" w:rsidR="00DB5A1B" w:rsidRPr="005D7072" w:rsidRDefault="00DB5A1B" w:rsidP="00BA5BB7">
            <w:pPr>
              <w:rPr>
                <w:sz w:val="20"/>
                <w:szCs w:val="20"/>
                <w:rtl/>
              </w:rPr>
            </w:pPr>
            <w:r w:rsidRPr="005D7072">
              <w:rPr>
                <w:rFonts w:hint="cs"/>
                <w:rtl/>
              </w:rPr>
              <w:t xml:space="preserve">                           </w:t>
            </w:r>
            <w:r w:rsidRPr="005D7072">
              <w:rPr>
                <w:rFonts w:hint="cs"/>
                <w:sz w:val="20"/>
                <w:szCs w:val="20"/>
                <w:rtl/>
              </w:rPr>
              <w:t xml:space="preserve">                                       </w:t>
            </w:r>
          </w:p>
          <w:p w14:paraId="109708D5" w14:textId="77777777" w:rsidR="00DB5A1B" w:rsidRPr="005D7072" w:rsidRDefault="00DB5A1B" w:rsidP="00BA5BB7">
            <w:pPr>
              <w:rPr>
                <w:sz w:val="20"/>
                <w:szCs w:val="20"/>
                <w:rtl/>
              </w:rPr>
            </w:pPr>
            <w:r w:rsidRPr="005D7072">
              <w:rPr>
                <w:rFonts w:hint="cs"/>
                <w:sz w:val="20"/>
                <w:szCs w:val="20"/>
                <w:rtl/>
              </w:rPr>
              <w:t xml:space="preserve">תיק חיצוני: </w:t>
            </w:r>
            <w:r w:rsidRPr="005D7072">
              <w:rPr>
                <w:rFonts w:hint="eastAsia"/>
                <w:sz w:val="20"/>
                <w:szCs w:val="20"/>
              </w:rPr>
              <w:t>184502/2022</w:t>
            </w:r>
            <w:r w:rsidRPr="005D7072">
              <w:rPr>
                <w:rFonts w:hint="cs"/>
                <w:sz w:val="20"/>
                <w:szCs w:val="20"/>
                <w:rtl/>
              </w:rPr>
              <w:t xml:space="preserve"> </w:t>
            </w:r>
            <w:r w:rsidRPr="005D7072">
              <w:rPr>
                <w:sz w:val="20"/>
                <w:szCs w:val="20"/>
                <w:rtl/>
              </w:rPr>
              <w:t xml:space="preserve">  </w:t>
            </w:r>
          </w:p>
        </w:tc>
      </w:tr>
      <w:tr w:rsidR="00DB5A1B" w:rsidRPr="005D7072" w14:paraId="0F07BDA6" w14:textId="77777777" w:rsidTr="00223639">
        <w:tblPrEx>
          <w:tblLook w:val="01E0" w:firstRow="1" w:lastRow="1" w:firstColumn="1" w:lastColumn="1" w:noHBand="0" w:noVBand="0"/>
        </w:tblPrEx>
        <w:trPr>
          <w:jc w:val="center"/>
        </w:trPr>
        <w:tc>
          <w:tcPr>
            <w:tcW w:w="743" w:type="dxa"/>
            <w:shd w:val="clear" w:color="auto" w:fill="auto"/>
          </w:tcPr>
          <w:p w14:paraId="19E12AE5" w14:textId="77777777" w:rsidR="00DB5A1B" w:rsidRPr="005D7072" w:rsidRDefault="00DB5A1B" w:rsidP="00DB5A1B">
            <w:pPr>
              <w:suppressLineNumbers/>
              <w:jc w:val="both"/>
              <w:rPr>
                <w:rFonts w:ascii="Arial" w:hAnsi="Arial"/>
                <w:b/>
                <w:bCs/>
                <w:sz w:val="26"/>
                <w:szCs w:val="26"/>
                <w:rtl/>
              </w:rPr>
            </w:pPr>
            <w:r w:rsidRPr="005D7072">
              <w:rPr>
                <w:noProof w:val="0"/>
                <w:rtl/>
              </w:rPr>
              <w:t xml:space="preserve"> </w:t>
            </w:r>
            <w:r w:rsidRPr="005D7072">
              <w:rPr>
                <w:rFonts w:ascii="Arial" w:hAnsi="Arial" w:hint="cs"/>
                <w:b/>
                <w:bCs/>
                <w:sz w:val="26"/>
                <w:szCs w:val="26"/>
                <w:rtl/>
              </w:rPr>
              <w:t>ב</w:t>
            </w:r>
            <w:r w:rsidRPr="005D7072">
              <w:rPr>
                <w:rFonts w:ascii="Arial" w:hAnsi="Arial"/>
                <w:b/>
                <w:bCs/>
                <w:sz w:val="26"/>
                <w:szCs w:val="26"/>
                <w:rtl/>
              </w:rPr>
              <w:t xml:space="preserve">פני </w:t>
            </w:r>
          </w:p>
        </w:tc>
        <w:tc>
          <w:tcPr>
            <w:tcW w:w="8077" w:type="dxa"/>
            <w:gridSpan w:val="3"/>
            <w:shd w:val="clear" w:color="auto" w:fill="auto"/>
          </w:tcPr>
          <w:p w14:paraId="6E376277" w14:textId="77777777" w:rsidR="00DB5A1B" w:rsidRPr="005D7072" w:rsidRDefault="00DB5A1B" w:rsidP="00DB5A1B">
            <w:pPr>
              <w:suppressLineNumbers/>
              <w:rPr>
                <w:rFonts w:ascii="Arial" w:hAnsi="Arial"/>
                <w:b/>
                <w:bCs/>
                <w:sz w:val="26"/>
                <w:szCs w:val="26"/>
                <w:rtl/>
              </w:rPr>
            </w:pPr>
            <w:r w:rsidRPr="005D7072">
              <w:rPr>
                <w:rFonts w:ascii="Arial" w:hAnsi="Arial" w:hint="cs"/>
                <w:b/>
                <w:bCs/>
                <w:sz w:val="26"/>
                <w:szCs w:val="26"/>
                <w:rtl/>
              </w:rPr>
              <w:t>כבוד ה</w:t>
            </w:r>
            <w:r w:rsidRPr="005D7072">
              <w:rPr>
                <w:rFonts w:ascii="Arial" w:hAnsi="Arial"/>
                <w:b/>
                <w:bCs/>
                <w:sz w:val="26"/>
                <w:szCs w:val="26"/>
                <w:rtl/>
              </w:rPr>
              <w:t>שופט, סגן הנשיאה</w:t>
            </w:r>
            <w:r w:rsidRPr="005D7072">
              <w:rPr>
                <w:rFonts w:ascii="Arial" w:hAnsi="Arial" w:hint="cs"/>
                <w:b/>
                <w:bCs/>
                <w:sz w:val="26"/>
                <w:szCs w:val="26"/>
                <w:rtl/>
              </w:rPr>
              <w:t xml:space="preserve"> </w:t>
            </w:r>
            <w:r w:rsidRPr="005D7072">
              <w:rPr>
                <w:rFonts w:ascii="Arial" w:hAnsi="Arial"/>
                <w:b/>
                <w:bCs/>
                <w:sz w:val="26"/>
                <w:szCs w:val="26"/>
                <w:rtl/>
              </w:rPr>
              <w:t>ארז נוריאלי</w:t>
            </w:r>
          </w:p>
          <w:p w14:paraId="5DC94FD0" w14:textId="77777777" w:rsidR="00DB5A1B" w:rsidRPr="005D7072" w:rsidRDefault="00DB5A1B" w:rsidP="00DB5A1B">
            <w:pPr>
              <w:suppressLineNumbers/>
              <w:rPr>
                <w:sz w:val="26"/>
                <w:szCs w:val="26"/>
              </w:rPr>
            </w:pPr>
          </w:p>
        </w:tc>
      </w:tr>
      <w:tr w:rsidR="00DB5A1B" w:rsidRPr="005D7072" w14:paraId="3BE59BD0" w14:textId="77777777" w:rsidTr="00223639">
        <w:tblPrEx>
          <w:tblLook w:val="01E0" w:firstRow="1" w:lastRow="1" w:firstColumn="1" w:lastColumn="1" w:noHBand="0" w:noVBand="0"/>
        </w:tblPrEx>
        <w:trPr>
          <w:jc w:val="center"/>
        </w:trPr>
        <w:tc>
          <w:tcPr>
            <w:tcW w:w="3249" w:type="dxa"/>
            <w:gridSpan w:val="2"/>
            <w:shd w:val="clear" w:color="auto" w:fill="auto"/>
          </w:tcPr>
          <w:p w14:paraId="3703500A" w14:textId="77777777" w:rsidR="00DB5A1B" w:rsidRPr="005D7072" w:rsidRDefault="00DB5A1B" w:rsidP="00DB5A1B">
            <w:pPr>
              <w:suppressLineNumbers/>
              <w:rPr>
                <w:rtl/>
              </w:rPr>
            </w:pPr>
            <w:bookmarkStart w:id="0" w:name="FirstAppellant"/>
            <w:bookmarkStart w:id="1" w:name="LastJudge"/>
            <w:bookmarkEnd w:id="1"/>
          </w:p>
          <w:p w14:paraId="15225518" w14:textId="77777777" w:rsidR="00DB5A1B" w:rsidRPr="005D7072" w:rsidRDefault="00DB5A1B" w:rsidP="00DB5A1B">
            <w:pPr>
              <w:suppressLineNumbers/>
              <w:rPr>
                <w:rFonts w:ascii="Arial" w:hAnsi="Arial"/>
                <w:b/>
                <w:bCs/>
                <w:noProof w:val="0"/>
                <w:sz w:val="26"/>
                <w:szCs w:val="26"/>
                <w:rtl/>
              </w:rPr>
            </w:pPr>
            <w:r w:rsidRPr="005D7072">
              <w:rPr>
                <w:rFonts w:ascii="Arial" w:hAnsi="Arial"/>
                <w:b/>
                <w:bCs/>
                <w:noProof w:val="0"/>
                <w:sz w:val="26"/>
                <w:szCs w:val="26"/>
                <w:rtl/>
              </w:rPr>
              <w:t>מאשימה</w:t>
            </w:r>
          </w:p>
        </w:tc>
        <w:tc>
          <w:tcPr>
            <w:tcW w:w="5571" w:type="dxa"/>
            <w:gridSpan w:val="2"/>
            <w:shd w:val="clear" w:color="auto" w:fill="auto"/>
          </w:tcPr>
          <w:p w14:paraId="61273BCE" w14:textId="77777777" w:rsidR="00DB5A1B" w:rsidRPr="005D7072" w:rsidRDefault="00DB5A1B" w:rsidP="00DB5A1B">
            <w:pPr>
              <w:suppressLineNumbers/>
              <w:rPr>
                <w:rtl/>
              </w:rPr>
            </w:pPr>
          </w:p>
          <w:p w14:paraId="392E2F9E" w14:textId="77777777" w:rsidR="00DB5A1B" w:rsidRPr="005D7072" w:rsidRDefault="00DB5A1B" w:rsidP="00DB5A1B">
            <w:pPr>
              <w:suppressLineNumbers/>
              <w:rPr>
                <w:b/>
                <w:bCs/>
                <w:noProof w:val="0"/>
                <w:sz w:val="26"/>
                <w:szCs w:val="26"/>
              </w:rPr>
            </w:pPr>
            <w:r w:rsidRPr="005D7072">
              <w:rPr>
                <w:rFonts w:ascii="Arial" w:hAnsi="Arial"/>
                <w:b/>
                <w:bCs/>
                <w:noProof w:val="0"/>
                <w:sz w:val="26"/>
                <w:szCs w:val="26"/>
                <w:rtl/>
              </w:rPr>
              <w:t>מדינת ישראל</w:t>
            </w:r>
          </w:p>
        </w:tc>
      </w:tr>
      <w:tr w:rsidR="00DB5A1B" w:rsidRPr="005D7072" w14:paraId="0D96DC4C" w14:textId="77777777" w:rsidTr="00223639">
        <w:tblPrEx>
          <w:tblLook w:val="01E0" w:firstRow="1" w:lastRow="1" w:firstColumn="1" w:lastColumn="1" w:noHBand="0" w:noVBand="0"/>
        </w:tblPrEx>
        <w:trPr>
          <w:jc w:val="center"/>
        </w:trPr>
        <w:tc>
          <w:tcPr>
            <w:tcW w:w="8820" w:type="dxa"/>
            <w:gridSpan w:val="4"/>
            <w:shd w:val="clear" w:color="auto" w:fill="auto"/>
          </w:tcPr>
          <w:p w14:paraId="7297451D" w14:textId="77777777" w:rsidR="00DB5A1B" w:rsidRPr="005D7072" w:rsidRDefault="00DB5A1B" w:rsidP="00DB5A1B">
            <w:pPr>
              <w:suppressLineNumbers/>
              <w:rPr>
                <w:rFonts w:ascii="Arial" w:hAnsi="Arial"/>
                <w:noProof w:val="0"/>
                <w:rtl/>
              </w:rPr>
            </w:pPr>
            <w:bookmarkStart w:id="2" w:name="FirstLawyer"/>
            <w:bookmarkEnd w:id="0"/>
            <w:r w:rsidRPr="005D7072">
              <w:rPr>
                <w:rFonts w:ascii="Arial" w:hAnsi="Arial" w:hint="cs"/>
                <w:b/>
                <w:bCs/>
                <w:noProof w:val="0"/>
                <w:sz w:val="26"/>
                <w:szCs w:val="26"/>
                <w:rtl/>
              </w:rPr>
              <w:t xml:space="preserve">                                                         </w:t>
            </w:r>
            <w:r w:rsidRPr="005D7072">
              <w:rPr>
                <w:rFonts w:ascii="Arial" w:hAnsi="Arial" w:hint="cs"/>
                <w:noProof w:val="0"/>
                <w:rtl/>
              </w:rPr>
              <w:t xml:space="preserve">ע"י ב"כ, עו"ד אנבל לוקס </w:t>
            </w:r>
          </w:p>
          <w:p w14:paraId="30435F79" w14:textId="77777777" w:rsidR="00DB5A1B" w:rsidRPr="005D7072" w:rsidRDefault="00DB5A1B" w:rsidP="00DB5A1B">
            <w:pPr>
              <w:suppressLineNumbers/>
              <w:rPr>
                <w:rFonts w:ascii="Arial" w:hAnsi="Arial"/>
                <w:noProof w:val="0"/>
                <w:rtl/>
              </w:rPr>
            </w:pPr>
          </w:p>
          <w:p w14:paraId="23B27B34" w14:textId="77777777" w:rsidR="00DB5A1B" w:rsidRPr="005D7072" w:rsidRDefault="00DB5A1B" w:rsidP="00DB5A1B">
            <w:pPr>
              <w:suppressLineNumbers/>
              <w:jc w:val="center"/>
              <w:rPr>
                <w:rFonts w:ascii="Arial" w:hAnsi="Arial"/>
                <w:b/>
                <w:bCs/>
                <w:noProof w:val="0"/>
                <w:sz w:val="26"/>
                <w:szCs w:val="26"/>
                <w:rtl/>
              </w:rPr>
            </w:pPr>
            <w:r w:rsidRPr="005D7072">
              <w:rPr>
                <w:rFonts w:ascii="Arial" w:hAnsi="Arial"/>
                <w:b/>
                <w:bCs/>
                <w:noProof w:val="0"/>
                <w:sz w:val="26"/>
                <w:szCs w:val="26"/>
                <w:rtl/>
              </w:rPr>
              <w:t>נגד</w:t>
            </w:r>
          </w:p>
          <w:p w14:paraId="112D2FFE" w14:textId="77777777" w:rsidR="00DB5A1B" w:rsidRPr="005D7072" w:rsidRDefault="00DB5A1B" w:rsidP="00DB5A1B">
            <w:pPr>
              <w:suppressLineNumbers/>
              <w:rPr>
                <w:rFonts w:ascii="Arial" w:hAnsi="Arial"/>
                <w:b/>
                <w:bCs/>
                <w:noProof w:val="0"/>
                <w:sz w:val="26"/>
                <w:szCs w:val="26"/>
              </w:rPr>
            </w:pPr>
          </w:p>
        </w:tc>
      </w:tr>
      <w:bookmarkEnd w:id="2"/>
      <w:tr w:rsidR="00DB5A1B" w:rsidRPr="005D7072" w14:paraId="66349C6E" w14:textId="77777777" w:rsidTr="00223639">
        <w:tblPrEx>
          <w:tblLook w:val="01E0" w:firstRow="1" w:lastRow="1" w:firstColumn="1" w:lastColumn="1" w:noHBand="0" w:noVBand="0"/>
        </w:tblPrEx>
        <w:trPr>
          <w:jc w:val="center"/>
        </w:trPr>
        <w:tc>
          <w:tcPr>
            <w:tcW w:w="3249" w:type="dxa"/>
            <w:gridSpan w:val="2"/>
            <w:shd w:val="clear" w:color="auto" w:fill="auto"/>
          </w:tcPr>
          <w:p w14:paraId="6F8E0BD9" w14:textId="77777777" w:rsidR="00DB5A1B" w:rsidRPr="005D7072" w:rsidRDefault="00DB5A1B" w:rsidP="00DB5A1B">
            <w:pPr>
              <w:suppressLineNumbers/>
              <w:rPr>
                <w:rFonts w:ascii="Arial" w:hAnsi="Arial"/>
                <w:b/>
                <w:bCs/>
                <w:noProof w:val="0"/>
                <w:sz w:val="26"/>
                <w:szCs w:val="26"/>
              </w:rPr>
            </w:pPr>
            <w:r w:rsidRPr="005D7072">
              <w:rPr>
                <w:rFonts w:ascii="Arial" w:hAnsi="Arial"/>
                <w:b/>
                <w:bCs/>
                <w:noProof w:val="0"/>
                <w:sz w:val="26"/>
                <w:szCs w:val="26"/>
                <w:rtl/>
              </w:rPr>
              <w:t>נאש</w:t>
            </w:r>
            <w:r w:rsidRPr="005D7072">
              <w:rPr>
                <w:rFonts w:ascii="Arial" w:hAnsi="Arial" w:hint="cs"/>
                <w:b/>
                <w:bCs/>
                <w:noProof w:val="0"/>
                <w:sz w:val="26"/>
                <w:szCs w:val="26"/>
                <w:rtl/>
              </w:rPr>
              <w:t>ם</w:t>
            </w:r>
          </w:p>
        </w:tc>
        <w:tc>
          <w:tcPr>
            <w:tcW w:w="5571" w:type="dxa"/>
            <w:gridSpan w:val="2"/>
            <w:shd w:val="clear" w:color="auto" w:fill="auto"/>
          </w:tcPr>
          <w:p w14:paraId="37698589" w14:textId="77777777" w:rsidR="00DB5A1B" w:rsidRPr="005D7072" w:rsidRDefault="00DB5A1B" w:rsidP="00DB5A1B">
            <w:pPr>
              <w:suppressLineNumbers/>
              <w:rPr>
                <w:rFonts w:ascii="Arial" w:hAnsi="Arial"/>
                <w:b/>
                <w:bCs/>
                <w:noProof w:val="0"/>
                <w:sz w:val="26"/>
                <w:szCs w:val="26"/>
                <w:rtl/>
              </w:rPr>
            </w:pPr>
            <w:r w:rsidRPr="005D7072">
              <w:rPr>
                <w:rFonts w:ascii="Arial" w:hAnsi="Arial"/>
                <w:b/>
                <w:bCs/>
                <w:noProof w:val="0"/>
                <w:sz w:val="26"/>
                <w:szCs w:val="26"/>
                <w:rtl/>
              </w:rPr>
              <w:t>שלום סואיסה</w:t>
            </w:r>
          </w:p>
        </w:tc>
      </w:tr>
      <w:tr w:rsidR="00DB5A1B" w:rsidRPr="005D7072" w14:paraId="4A0B85B9" w14:textId="77777777" w:rsidTr="00223639">
        <w:tblPrEx>
          <w:tblLook w:val="01E0" w:firstRow="1" w:lastRow="1" w:firstColumn="1" w:lastColumn="1" w:noHBand="0" w:noVBand="0"/>
        </w:tblPrEx>
        <w:trPr>
          <w:jc w:val="center"/>
        </w:trPr>
        <w:tc>
          <w:tcPr>
            <w:tcW w:w="8820" w:type="dxa"/>
            <w:gridSpan w:val="4"/>
            <w:shd w:val="clear" w:color="auto" w:fill="auto"/>
          </w:tcPr>
          <w:p w14:paraId="0B6202A1" w14:textId="77777777" w:rsidR="00DB5A1B" w:rsidRPr="005D7072" w:rsidRDefault="00DB5A1B" w:rsidP="00DB5A1B">
            <w:pPr>
              <w:suppressLineNumbers/>
              <w:rPr>
                <w:sz w:val="22"/>
                <w:szCs w:val="22"/>
                <w:rtl/>
              </w:rPr>
            </w:pPr>
            <w:r w:rsidRPr="005D7072">
              <w:rPr>
                <w:rFonts w:hint="cs"/>
                <w:rtl/>
              </w:rPr>
              <w:t xml:space="preserve">                                                             </w:t>
            </w:r>
            <w:r w:rsidRPr="005D7072">
              <w:rPr>
                <w:rFonts w:hint="cs"/>
                <w:sz w:val="22"/>
                <w:szCs w:val="22"/>
                <w:rtl/>
              </w:rPr>
              <w:t xml:space="preserve">ע"י ב"כ, עו"ד איתי רוזין </w:t>
            </w:r>
          </w:p>
        </w:tc>
      </w:tr>
    </w:tbl>
    <w:p w14:paraId="3715DCA1" w14:textId="77777777" w:rsidR="00223639" w:rsidRDefault="00223639" w:rsidP="00DB5A1B">
      <w:pPr>
        <w:suppressLineNumbers/>
        <w:rPr>
          <w:rtl/>
        </w:rPr>
      </w:pPr>
    </w:p>
    <w:p w14:paraId="5CBDDED5" w14:textId="77777777" w:rsidR="00223639" w:rsidRPr="00223639" w:rsidRDefault="00223639" w:rsidP="00223639">
      <w:pPr>
        <w:suppressLineNumbers/>
        <w:spacing w:after="120" w:line="240" w:lineRule="exact"/>
        <w:ind w:left="283" w:hanging="283"/>
        <w:jc w:val="both"/>
        <w:rPr>
          <w:rFonts w:ascii="FrankRuehl" w:hAnsi="FrankRuehl" w:cs="FrankRuehl"/>
          <w:rtl/>
        </w:rPr>
      </w:pPr>
    </w:p>
    <w:p w14:paraId="7B1A831E" w14:textId="77777777" w:rsidR="00D23B37" w:rsidRPr="00D23B37" w:rsidRDefault="00D23B37" w:rsidP="00D23B37">
      <w:pPr>
        <w:spacing w:before="120" w:after="120" w:line="240" w:lineRule="exact"/>
        <w:ind w:left="283" w:hanging="283"/>
        <w:jc w:val="both"/>
        <w:rPr>
          <w:rFonts w:ascii="FrankRuehl" w:hAnsi="FrankRuehl" w:cs="FrankRuehl"/>
          <w:noProof w:val="0"/>
          <w:rtl/>
        </w:rPr>
      </w:pPr>
    </w:p>
    <w:p w14:paraId="43250BC3" w14:textId="77777777" w:rsidR="00D019B9" w:rsidRDefault="00D019B9" w:rsidP="00D019B9">
      <w:pPr>
        <w:jc w:val="center"/>
        <w:rPr>
          <w:rFonts w:ascii="Arial" w:hAnsi="Arial"/>
          <w:noProof w:val="0"/>
          <w:sz w:val="28"/>
          <w:szCs w:val="28"/>
          <w:rtl/>
        </w:rPr>
      </w:pPr>
      <w:bookmarkStart w:id="3" w:name="LawTable"/>
      <w:bookmarkEnd w:id="3"/>
    </w:p>
    <w:p w14:paraId="7F410709" w14:textId="77777777" w:rsidR="00D019B9" w:rsidRPr="00D019B9" w:rsidRDefault="00D019B9" w:rsidP="00D019B9">
      <w:pPr>
        <w:spacing w:before="120" w:after="120" w:line="240" w:lineRule="exact"/>
        <w:ind w:left="283" w:hanging="283"/>
        <w:jc w:val="both"/>
        <w:rPr>
          <w:rFonts w:ascii="FrankRuehl" w:hAnsi="FrankRuehl" w:cs="FrankRuehl"/>
          <w:noProof w:val="0"/>
          <w:rtl/>
        </w:rPr>
      </w:pPr>
    </w:p>
    <w:p w14:paraId="7CB7E43E" w14:textId="77777777" w:rsidR="00D019B9" w:rsidRPr="00D019B9" w:rsidRDefault="00D019B9" w:rsidP="00D019B9">
      <w:pPr>
        <w:spacing w:before="120" w:after="120" w:line="240" w:lineRule="exact"/>
        <w:ind w:left="283" w:hanging="283"/>
        <w:jc w:val="both"/>
        <w:rPr>
          <w:rFonts w:ascii="FrankRuehl" w:hAnsi="FrankRuehl" w:cs="FrankRuehl"/>
          <w:noProof w:val="0"/>
          <w:rtl/>
        </w:rPr>
      </w:pPr>
    </w:p>
    <w:p w14:paraId="35BC2805" w14:textId="77777777" w:rsidR="00D019B9" w:rsidRPr="00D019B9" w:rsidRDefault="00D019B9" w:rsidP="00D019B9">
      <w:pPr>
        <w:spacing w:before="120" w:after="120" w:line="240" w:lineRule="exact"/>
        <w:ind w:left="283" w:hanging="283"/>
        <w:jc w:val="both"/>
        <w:rPr>
          <w:rFonts w:ascii="FrankRuehl" w:hAnsi="FrankRuehl" w:cs="FrankRuehl"/>
          <w:noProof w:val="0"/>
          <w:rtl/>
        </w:rPr>
      </w:pPr>
      <w:r w:rsidRPr="00D019B9">
        <w:rPr>
          <w:rFonts w:ascii="FrankRuehl" w:hAnsi="FrankRuehl" w:cs="FrankRuehl"/>
          <w:noProof w:val="0"/>
          <w:rtl/>
        </w:rPr>
        <w:t xml:space="preserve">חקיקה שאוזכרה: </w:t>
      </w:r>
    </w:p>
    <w:p w14:paraId="0E580749" w14:textId="77777777" w:rsidR="00D019B9" w:rsidRPr="00D019B9" w:rsidRDefault="00D019B9" w:rsidP="00D019B9">
      <w:pPr>
        <w:spacing w:before="120" w:after="120" w:line="240" w:lineRule="exact"/>
        <w:ind w:left="283" w:hanging="283"/>
        <w:jc w:val="both"/>
        <w:rPr>
          <w:rFonts w:ascii="FrankRuehl" w:hAnsi="FrankRuehl" w:cs="FrankRuehl"/>
          <w:noProof w:val="0"/>
          <w:rtl/>
        </w:rPr>
      </w:pPr>
      <w:hyperlink r:id="rId7" w:history="1">
        <w:r w:rsidRPr="00D019B9">
          <w:rPr>
            <w:rFonts w:ascii="FrankRuehl" w:hAnsi="FrankRuehl" w:cs="FrankRuehl"/>
            <w:noProof w:val="0"/>
            <w:color w:val="0000FF"/>
            <w:rtl/>
          </w:rPr>
          <w:t>פקודת הסמים המסוכנים [נוסח חדש], תשל"ג-1973</w:t>
        </w:r>
      </w:hyperlink>
      <w:r w:rsidRPr="00D019B9">
        <w:rPr>
          <w:rFonts w:ascii="FrankRuehl" w:hAnsi="FrankRuehl" w:cs="FrankRuehl"/>
          <w:noProof w:val="0"/>
          <w:rtl/>
        </w:rPr>
        <w:t xml:space="preserve">: סע'  </w:t>
      </w:r>
      <w:hyperlink r:id="rId8" w:history="1">
        <w:r w:rsidRPr="00D019B9">
          <w:rPr>
            <w:rFonts w:ascii="FrankRuehl" w:hAnsi="FrankRuehl" w:cs="FrankRuehl"/>
            <w:noProof w:val="0"/>
            <w:color w:val="0000FF"/>
            <w:rtl/>
          </w:rPr>
          <w:t>13</w:t>
        </w:r>
      </w:hyperlink>
      <w:r w:rsidRPr="00D019B9">
        <w:rPr>
          <w:rFonts w:ascii="FrankRuehl" w:hAnsi="FrankRuehl" w:cs="FrankRuehl"/>
          <w:noProof w:val="0"/>
          <w:rtl/>
        </w:rPr>
        <w:t xml:space="preserve">, </w:t>
      </w:r>
      <w:hyperlink r:id="rId9" w:history="1">
        <w:r w:rsidRPr="00D019B9">
          <w:rPr>
            <w:rFonts w:ascii="FrankRuehl" w:hAnsi="FrankRuehl" w:cs="FrankRuehl"/>
            <w:noProof w:val="0"/>
            <w:color w:val="0000FF"/>
            <w:rtl/>
          </w:rPr>
          <w:t>19.א</w:t>
        </w:r>
      </w:hyperlink>
      <w:r w:rsidRPr="00D019B9">
        <w:rPr>
          <w:rFonts w:ascii="FrankRuehl" w:hAnsi="FrankRuehl" w:cs="FrankRuehl"/>
          <w:noProof w:val="0"/>
          <w:rtl/>
        </w:rPr>
        <w:t xml:space="preserve">, </w:t>
      </w:r>
      <w:hyperlink r:id="rId10" w:history="1">
        <w:r w:rsidRPr="00D019B9">
          <w:rPr>
            <w:rFonts w:ascii="FrankRuehl" w:hAnsi="FrankRuehl" w:cs="FrankRuehl"/>
            <w:noProof w:val="0"/>
            <w:color w:val="0000FF"/>
            <w:rtl/>
          </w:rPr>
          <w:t>36א(ב)</w:t>
        </w:r>
      </w:hyperlink>
    </w:p>
    <w:p w14:paraId="621C2939" w14:textId="77777777" w:rsidR="00D019B9" w:rsidRPr="00D019B9" w:rsidRDefault="00D019B9" w:rsidP="00D019B9">
      <w:pPr>
        <w:spacing w:before="120" w:after="120" w:line="240" w:lineRule="exact"/>
        <w:ind w:left="283" w:hanging="283"/>
        <w:jc w:val="both"/>
        <w:rPr>
          <w:rFonts w:ascii="FrankRuehl" w:hAnsi="FrankRuehl" w:cs="FrankRuehl"/>
          <w:noProof w:val="0"/>
          <w:rtl/>
        </w:rPr>
      </w:pPr>
      <w:hyperlink r:id="rId11" w:history="1">
        <w:r w:rsidRPr="00D019B9">
          <w:rPr>
            <w:rFonts w:ascii="FrankRuehl" w:hAnsi="FrankRuehl" w:cs="FrankRuehl"/>
            <w:noProof w:val="0"/>
            <w:color w:val="0000FF"/>
            <w:rtl/>
          </w:rPr>
          <w:t>חוק העונשין, תשל"ז-1977</w:t>
        </w:r>
      </w:hyperlink>
      <w:r w:rsidRPr="00D019B9">
        <w:rPr>
          <w:rFonts w:ascii="FrankRuehl" w:hAnsi="FrankRuehl" w:cs="FrankRuehl"/>
          <w:noProof w:val="0"/>
          <w:rtl/>
        </w:rPr>
        <w:t xml:space="preserve">: סע'  </w:t>
      </w:r>
      <w:hyperlink r:id="rId12" w:history="1">
        <w:r w:rsidRPr="00D019B9">
          <w:rPr>
            <w:rFonts w:ascii="FrankRuehl" w:hAnsi="FrankRuehl" w:cs="FrankRuehl"/>
            <w:noProof w:val="0"/>
            <w:color w:val="0000FF"/>
            <w:rtl/>
          </w:rPr>
          <w:t>40ב</w:t>
        </w:r>
      </w:hyperlink>
      <w:r w:rsidRPr="00D019B9">
        <w:rPr>
          <w:rFonts w:ascii="FrankRuehl" w:hAnsi="FrankRuehl" w:cs="FrankRuehl"/>
          <w:noProof w:val="0"/>
          <w:rtl/>
        </w:rPr>
        <w:t xml:space="preserve">, </w:t>
      </w:r>
      <w:hyperlink r:id="rId13" w:history="1">
        <w:r w:rsidRPr="00D019B9">
          <w:rPr>
            <w:rFonts w:ascii="FrankRuehl" w:hAnsi="FrankRuehl" w:cs="FrankRuehl"/>
            <w:noProof w:val="0"/>
            <w:color w:val="0000FF"/>
            <w:rtl/>
          </w:rPr>
          <w:t>40 יא</w:t>
        </w:r>
      </w:hyperlink>
    </w:p>
    <w:p w14:paraId="6D666844" w14:textId="77777777" w:rsidR="00D019B9" w:rsidRPr="00D019B9" w:rsidRDefault="00D019B9" w:rsidP="00D019B9">
      <w:pPr>
        <w:jc w:val="center"/>
        <w:rPr>
          <w:rFonts w:ascii="Arial" w:hAnsi="Arial"/>
          <w:noProof w:val="0"/>
          <w:sz w:val="28"/>
          <w:szCs w:val="28"/>
          <w:rtl/>
        </w:rPr>
      </w:pPr>
      <w:bookmarkStart w:id="4" w:name="LawTable_End"/>
      <w:bookmarkEnd w:id="4"/>
    </w:p>
    <w:p w14:paraId="0CBADC83" w14:textId="77777777" w:rsidR="00223639" w:rsidRPr="00D23B37" w:rsidRDefault="00223639" w:rsidP="00D23B37">
      <w:pPr>
        <w:jc w:val="center"/>
        <w:rPr>
          <w:rFonts w:ascii="Arial" w:hAnsi="Arial"/>
          <w:noProof w:val="0"/>
          <w:sz w:val="28"/>
          <w:szCs w:val="28"/>
          <w:rtl/>
        </w:rPr>
      </w:pPr>
    </w:p>
    <w:p w14:paraId="77AA3EF7" w14:textId="77777777" w:rsidR="00223639" w:rsidRPr="005D7072" w:rsidRDefault="00223639" w:rsidP="005D7072">
      <w:pPr>
        <w:bidi w:val="0"/>
        <w:jc w:val="center"/>
        <w:rPr>
          <w:rFonts w:ascii="Arial" w:hAnsi="Arial"/>
          <w:b/>
          <w:bCs/>
          <w:noProof w:val="0"/>
          <w:sz w:val="28"/>
          <w:szCs w:val="28"/>
          <w:u w:val="single"/>
          <w:rtl/>
        </w:rPr>
      </w:pPr>
      <w:bookmarkStart w:id="5" w:name="PsakDin"/>
      <w:r w:rsidRPr="005D7072">
        <w:rPr>
          <w:rFonts w:ascii="Arial" w:hAnsi="Arial"/>
          <w:b/>
          <w:bCs/>
          <w:noProof w:val="0"/>
          <w:sz w:val="28"/>
          <w:szCs w:val="28"/>
          <w:u w:val="single"/>
          <w:rtl/>
        </w:rPr>
        <w:t>גזר דין</w:t>
      </w:r>
    </w:p>
    <w:bookmarkEnd w:id="5"/>
    <w:p w14:paraId="593E7E78" w14:textId="77777777" w:rsidR="00223639" w:rsidRPr="00DB5A1B" w:rsidRDefault="00223639" w:rsidP="00DB5A1B">
      <w:pPr>
        <w:bidi w:val="0"/>
        <w:jc w:val="center"/>
        <w:rPr>
          <w:rFonts w:ascii="Arial" w:hAnsi="Arial"/>
          <w:b/>
          <w:bCs/>
          <w:noProof w:val="0"/>
          <w:sz w:val="28"/>
          <w:szCs w:val="28"/>
          <w:u w:val="single"/>
        </w:rPr>
      </w:pPr>
    </w:p>
    <w:p w14:paraId="4D869B6F" w14:textId="77777777" w:rsidR="00DB5A1B" w:rsidRPr="00DB5A1B" w:rsidRDefault="00DB5A1B" w:rsidP="00DB5A1B">
      <w:pPr>
        <w:shd w:val="clear" w:color="auto" w:fill="FFFFFF"/>
        <w:spacing w:after="160" w:line="360" w:lineRule="auto"/>
        <w:jc w:val="both"/>
        <w:rPr>
          <w:rFonts w:ascii="Calibri" w:hAnsi="Calibri"/>
          <w:b/>
          <w:bCs/>
          <w:noProof w:val="0"/>
          <w:u w:val="single"/>
        </w:rPr>
      </w:pPr>
      <w:bookmarkStart w:id="6" w:name="NGCSBookmark"/>
      <w:bookmarkEnd w:id="6"/>
      <w:r w:rsidRPr="00DB5A1B">
        <w:rPr>
          <w:rFonts w:ascii="Calibri" w:hAnsi="Calibri"/>
          <w:b/>
          <w:bCs/>
          <w:noProof w:val="0"/>
          <w:u w:val="single"/>
          <w:rtl/>
        </w:rPr>
        <w:t>רקע</w:t>
      </w:r>
    </w:p>
    <w:p w14:paraId="4005C2FF"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bookmarkStart w:id="7" w:name="ABSTRACT_START"/>
      <w:bookmarkEnd w:id="7"/>
      <w:r>
        <w:rPr>
          <w:rFonts w:ascii="Calibri" w:hAnsi="Calibri"/>
          <w:noProof w:val="0"/>
          <w:rtl/>
        </w:rPr>
        <w:t xml:space="preserve">בהכרעת דין מיום 23.6.22 הורשע הנאשם בהתאם להודאתו במסגרת הסדר טיעון, בעובדות כתב האישום המתוקן, באחד עשר אישומים, בעבירות של סחר בסם מסוכן, לפי סעיפים </w:t>
      </w:r>
      <w:hyperlink r:id="rId14" w:history="1">
        <w:r w:rsidR="00223639" w:rsidRPr="00223639">
          <w:rPr>
            <w:rStyle w:val="Hyperlink"/>
            <w:rFonts w:ascii="Calibri" w:hAnsi="Calibri"/>
            <w:noProof w:val="0"/>
            <w:rtl/>
          </w:rPr>
          <w:t>13 + 19</w:t>
        </w:r>
        <w:r w:rsidR="00223639" w:rsidRPr="00223639">
          <w:rPr>
            <w:rStyle w:val="Hyperlink"/>
            <w:rFonts w:ascii="Calibri" w:hAnsi="Calibri" w:hint="eastAsia"/>
            <w:noProof w:val="0"/>
            <w:rtl/>
          </w:rPr>
          <w:t>א</w:t>
        </w:r>
        <w:r w:rsidR="00223639" w:rsidRPr="00223639">
          <w:rPr>
            <w:rStyle w:val="Hyperlink"/>
            <w:rFonts w:ascii="Calibri" w:hAnsi="Calibri"/>
            <w:noProof w:val="0"/>
            <w:rtl/>
          </w:rPr>
          <w:t>'</w:t>
        </w:r>
      </w:hyperlink>
      <w:r>
        <w:rPr>
          <w:rFonts w:ascii="Calibri" w:hAnsi="Calibri"/>
          <w:noProof w:val="0"/>
          <w:rtl/>
        </w:rPr>
        <w:t xml:space="preserve"> ל</w:t>
      </w:r>
      <w:hyperlink r:id="rId15" w:history="1">
        <w:r w:rsidR="005D7072" w:rsidRPr="005D7072">
          <w:rPr>
            <w:rFonts w:ascii="Calibri" w:hAnsi="Calibri" w:hint="eastAsia"/>
            <w:noProof w:val="0"/>
            <w:color w:val="0000FF"/>
            <w:u w:val="single"/>
            <w:rtl/>
          </w:rPr>
          <w:t>פקודת</w:t>
        </w:r>
        <w:r w:rsidR="005D7072" w:rsidRPr="005D7072">
          <w:rPr>
            <w:rFonts w:ascii="Calibri" w:hAnsi="Calibri"/>
            <w:noProof w:val="0"/>
            <w:color w:val="0000FF"/>
            <w:u w:val="single"/>
            <w:rtl/>
          </w:rPr>
          <w:t xml:space="preserve"> </w:t>
        </w:r>
        <w:r w:rsidR="005D7072" w:rsidRPr="005D7072">
          <w:rPr>
            <w:rFonts w:ascii="Calibri" w:hAnsi="Calibri" w:hint="eastAsia"/>
            <w:noProof w:val="0"/>
            <w:color w:val="0000FF"/>
            <w:u w:val="single"/>
            <w:rtl/>
          </w:rPr>
          <w:t>הסמים</w:t>
        </w:r>
        <w:r w:rsidR="005D7072" w:rsidRPr="005D7072">
          <w:rPr>
            <w:rFonts w:ascii="Calibri" w:hAnsi="Calibri"/>
            <w:noProof w:val="0"/>
            <w:color w:val="0000FF"/>
            <w:u w:val="single"/>
            <w:rtl/>
          </w:rPr>
          <w:t xml:space="preserve"> </w:t>
        </w:r>
        <w:r w:rsidR="005D7072" w:rsidRPr="005D7072">
          <w:rPr>
            <w:rFonts w:ascii="Calibri" w:hAnsi="Calibri" w:hint="eastAsia"/>
            <w:noProof w:val="0"/>
            <w:color w:val="0000FF"/>
            <w:u w:val="single"/>
            <w:rtl/>
          </w:rPr>
          <w:t>המסוכנים</w:t>
        </w:r>
      </w:hyperlink>
      <w:r>
        <w:rPr>
          <w:rFonts w:ascii="Calibri" w:hAnsi="Calibri"/>
          <w:noProof w:val="0"/>
          <w:rtl/>
        </w:rPr>
        <w:t xml:space="preserve"> (נוסח חדש), תשל"ג - 1973 (ריבוי עבירות) (להלן: "</w:t>
      </w:r>
      <w:r>
        <w:rPr>
          <w:rFonts w:ascii="Calibri" w:hAnsi="Calibri"/>
          <w:b/>
          <w:bCs/>
          <w:noProof w:val="0"/>
          <w:rtl/>
        </w:rPr>
        <w:t>פקודת הסמים המסוכנים</w:t>
      </w:r>
      <w:r>
        <w:rPr>
          <w:rFonts w:ascii="Calibri" w:hAnsi="Calibri"/>
          <w:noProof w:val="0"/>
          <w:rtl/>
        </w:rPr>
        <w:t>").</w:t>
      </w:r>
    </w:p>
    <w:p w14:paraId="38168A07"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bookmarkStart w:id="8" w:name="ABSTRACT_END"/>
      <w:bookmarkEnd w:id="8"/>
      <w:r>
        <w:rPr>
          <w:rFonts w:ascii="Calibri" w:hAnsi="Calibri"/>
          <w:noProof w:val="0"/>
          <w:rtl/>
        </w:rPr>
        <w:t>על פי החלק הכללי לעובדות כתב האישום עבד הנאשם במועדון סנוקר ששימש לו גם כמקום מגורים. במועדים הרלוונטיים לכתב האישום סחר הנאשם בסמים מסוכנים מסוג קנבוס, תיאם את הסחר באמצעות אפליקציית "</w:t>
      </w:r>
      <w:r>
        <w:rPr>
          <w:rFonts w:ascii="Calibri" w:hAnsi="Calibri"/>
          <w:noProof w:val="0"/>
        </w:rPr>
        <w:t>whatsapp</w:t>
      </w:r>
      <w:r>
        <w:rPr>
          <w:rFonts w:ascii="Calibri" w:hAnsi="Calibri"/>
          <w:noProof w:val="0"/>
          <w:rtl/>
        </w:rPr>
        <w:t>" ומסר לרוכשים את הסמים במקומות שונים.</w:t>
      </w:r>
    </w:p>
    <w:p w14:paraId="53B9FCC4"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על פי </w:t>
      </w:r>
      <w:r>
        <w:rPr>
          <w:rFonts w:ascii="Calibri" w:hAnsi="Calibri"/>
          <w:b/>
          <w:bCs/>
          <w:noProof w:val="0"/>
          <w:rtl/>
        </w:rPr>
        <w:t>האישום השני</w:t>
      </w:r>
      <w:r>
        <w:rPr>
          <w:rFonts w:ascii="Calibri" w:hAnsi="Calibri"/>
          <w:noProof w:val="0"/>
          <w:rtl/>
        </w:rPr>
        <w:t xml:space="preserve"> במהלך החודשים מרץ-אפריל 2022, סחר הנאשם בסם מסוכן מסוג קנבוס, במשקל של חצי גרם, בתמורה לסכום של 50 ₪.</w:t>
      </w:r>
    </w:p>
    <w:p w14:paraId="2122DD52"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על פי </w:t>
      </w:r>
      <w:r>
        <w:rPr>
          <w:rFonts w:ascii="Calibri" w:hAnsi="Calibri"/>
          <w:b/>
          <w:bCs/>
          <w:noProof w:val="0"/>
          <w:rtl/>
        </w:rPr>
        <w:t>האישום הרביעי</w:t>
      </w:r>
      <w:r>
        <w:rPr>
          <w:rFonts w:ascii="Calibri" w:hAnsi="Calibri"/>
          <w:noProof w:val="0"/>
          <w:rtl/>
        </w:rPr>
        <w:t xml:space="preserve">  יוחסו לנאשם 3 עבירות סחר בסם מסוכן מסוג קנבוס שבוצעו במהלך החודשים מרץ - אפריל 2022, במשקל של גרם בכל פעם, בתמורה לסכום של 100 ₪ עבור כל עסקה.</w:t>
      </w:r>
    </w:p>
    <w:p w14:paraId="51915EC4"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lastRenderedPageBreak/>
        <w:t xml:space="preserve">על פי </w:t>
      </w:r>
      <w:r>
        <w:rPr>
          <w:rFonts w:ascii="Calibri" w:hAnsi="Calibri"/>
          <w:b/>
          <w:bCs/>
          <w:noProof w:val="0"/>
          <w:rtl/>
        </w:rPr>
        <w:t>האישום החמישי</w:t>
      </w:r>
      <w:r>
        <w:rPr>
          <w:rFonts w:ascii="Calibri" w:hAnsi="Calibri"/>
          <w:noProof w:val="0"/>
          <w:rtl/>
        </w:rPr>
        <w:t xml:space="preserve"> במהלך החודשים נובמבר - דצמבר 2021, סחר הנאשם, בשתי הזדמנויות בסם מסוכן מסוג קנבוס, במשקל של חצי גרם עבור העסקה הראשונה וגרם עבור העסקה השניה, בתמורה לסכום של 100 ₪ ו-50 ₪ בהתאמה. </w:t>
      </w:r>
    </w:p>
    <w:p w14:paraId="50ED6616"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על פי </w:t>
      </w:r>
      <w:r>
        <w:rPr>
          <w:rFonts w:ascii="Calibri" w:hAnsi="Calibri"/>
          <w:b/>
          <w:bCs/>
          <w:noProof w:val="0"/>
          <w:rtl/>
        </w:rPr>
        <w:t>האישום השישי</w:t>
      </w:r>
      <w:r>
        <w:rPr>
          <w:rFonts w:ascii="Calibri" w:hAnsi="Calibri"/>
          <w:noProof w:val="0"/>
          <w:rtl/>
        </w:rPr>
        <w:t xml:space="preserve"> בתאריך 8.3.22 וב-3 הזדמנויות נוספות במהלך תקופה של חודשיים עובר ליום 18.4.22, סחר הנאשם </w:t>
      </w:r>
      <w:r>
        <w:rPr>
          <w:rFonts w:ascii="Calibri" w:hAnsi="Calibri"/>
          <w:b/>
          <w:bCs/>
          <w:noProof w:val="0"/>
          <w:rtl/>
        </w:rPr>
        <w:t>עם קטין</w:t>
      </w:r>
      <w:r>
        <w:rPr>
          <w:rFonts w:ascii="Calibri" w:hAnsi="Calibri"/>
          <w:noProof w:val="0"/>
          <w:rtl/>
        </w:rPr>
        <w:t>, בסם מסוכן מסוג קנבוס במשקל של חצי גרם בכל פעם, בתמורה לסכום של 50 ₪ עבור כל עסקה.</w:t>
      </w:r>
    </w:p>
    <w:p w14:paraId="3E722E83"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על פי </w:t>
      </w:r>
      <w:r>
        <w:rPr>
          <w:rFonts w:ascii="Calibri" w:hAnsi="Calibri"/>
          <w:b/>
          <w:bCs/>
          <w:noProof w:val="0"/>
          <w:rtl/>
        </w:rPr>
        <w:t>האישום השביעי</w:t>
      </w:r>
      <w:r>
        <w:rPr>
          <w:rFonts w:ascii="Calibri" w:hAnsi="Calibri"/>
          <w:noProof w:val="0"/>
          <w:rtl/>
        </w:rPr>
        <w:t xml:space="preserve"> בשני מועדים שונים בחודש אפריל 2022 וב-8 הזדמנויות נוספות במהלך תקופה של שלושה חודשים עובר ליום 19.4.22, סחר הנאשם בסם מסוכן מסוג קנבוס, במשקל של גרם בכל פעם, בתמורה לסכום של 100 ₪ עבור כל עסקה.</w:t>
      </w:r>
    </w:p>
    <w:p w14:paraId="3D6F2D3C"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על פי </w:t>
      </w:r>
      <w:r>
        <w:rPr>
          <w:rFonts w:ascii="Calibri" w:hAnsi="Calibri"/>
          <w:b/>
          <w:bCs/>
          <w:noProof w:val="0"/>
          <w:rtl/>
        </w:rPr>
        <w:t>האישום השמיני</w:t>
      </w:r>
      <w:r>
        <w:rPr>
          <w:rFonts w:ascii="Calibri" w:hAnsi="Calibri"/>
          <w:noProof w:val="0"/>
          <w:rtl/>
        </w:rPr>
        <w:t xml:space="preserve"> בתאריך 2.4.22 סחר הנאשם בסם מסוכן מסוג קנבוס, במשקל של גרם בתמורה לסכום של 100 ₪.</w:t>
      </w:r>
    </w:p>
    <w:p w14:paraId="6D2721DF"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על פי </w:t>
      </w:r>
      <w:r>
        <w:rPr>
          <w:rFonts w:ascii="Calibri" w:hAnsi="Calibri"/>
          <w:b/>
          <w:bCs/>
          <w:noProof w:val="0"/>
          <w:rtl/>
        </w:rPr>
        <w:t>האישום התשיעי</w:t>
      </w:r>
      <w:r>
        <w:rPr>
          <w:rFonts w:ascii="Calibri" w:hAnsi="Calibri"/>
          <w:noProof w:val="0"/>
          <w:rtl/>
        </w:rPr>
        <w:t xml:space="preserve"> יוחסו לנאשם 3 עבירות סחר בסם מסוכן מסוג קנבוס שבוצעו במהלך החודשים ינואר </w:t>
      </w:r>
      <w:r>
        <w:rPr>
          <w:rFonts w:ascii="Calibri" w:hAnsi="Calibri" w:hint="cs"/>
          <w:noProof w:val="0"/>
          <w:rtl/>
        </w:rPr>
        <w:t>-</w:t>
      </w:r>
      <w:r>
        <w:rPr>
          <w:rFonts w:ascii="Calibri" w:hAnsi="Calibri"/>
          <w:noProof w:val="0"/>
          <w:rtl/>
        </w:rPr>
        <w:t xml:space="preserve"> פברואר 2022, במשקל של גרם בכל פעם, בתמורה לסכום של 100 ₪ עבור כל עסקה.</w:t>
      </w:r>
    </w:p>
    <w:p w14:paraId="114B685E"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על פי </w:t>
      </w:r>
      <w:r>
        <w:rPr>
          <w:rFonts w:ascii="Calibri" w:hAnsi="Calibri"/>
          <w:b/>
          <w:bCs/>
          <w:noProof w:val="0"/>
          <w:rtl/>
        </w:rPr>
        <w:t xml:space="preserve">האישום העשירי </w:t>
      </w:r>
      <w:r>
        <w:rPr>
          <w:rFonts w:ascii="Calibri" w:hAnsi="Calibri"/>
          <w:noProof w:val="0"/>
          <w:rtl/>
        </w:rPr>
        <w:t>יוחסו לנאשם 3 עבירות סחר בסם מסוכן מסוג קנבוס שבוצעו במהלך החודשים פברואר – מרץ 2022, במשקל של חצי גרם בכל פעם, בתמורה לסכום של 50 ₪ עבור כל עסקה.</w:t>
      </w:r>
    </w:p>
    <w:p w14:paraId="14EF9779"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על פי </w:t>
      </w:r>
      <w:r>
        <w:rPr>
          <w:rFonts w:ascii="Calibri" w:hAnsi="Calibri"/>
          <w:b/>
          <w:bCs/>
          <w:noProof w:val="0"/>
          <w:rtl/>
        </w:rPr>
        <w:t>האישום האחד עשר</w:t>
      </w:r>
      <w:r>
        <w:rPr>
          <w:rFonts w:ascii="Calibri" w:hAnsi="Calibri"/>
          <w:noProof w:val="0"/>
          <w:rtl/>
        </w:rPr>
        <w:t xml:space="preserve"> ב- 4 מועדים שונים בין החודשים ינואר – פברואר 2022 וב-10 הזדמנויות נוספות במהלך תקופה של שלושה חודשים במועדים שאינם ידועים למאשימה, סחר הנאשם בסם מסוכן מסוג קנבוס במשקל של חצי גרם בכל פעם, בתמורה לסכום של 50 ₪ עבור כל עסקה.</w:t>
      </w:r>
    </w:p>
    <w:p w14:paraId="4692AEB6"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על פי </w:t>
      </w:r>
      <w:r>
        <w:rPr>
          <w:rFonts w:ascii="Calibri" w:hAnsi="Calibri"/>
          <w:b/>
          <w:bCs/>
          <w:noProof w:val="0"/>
          <w:rtl/>
        </w:rPr>
        <w:t xml:space="preserve">האישום השנים עשר </w:t>
      </w:r>
      <w:r>
        <w:rPr>
          <w:rFonts w:ascii="Calibri" w:hAnsi="Calibri"/>
          <w:noProof w:val="0"/>
          <w:rtl/>
        </w:rPr>
        <w:t xml:space="preserve">ב -3 מועדים שונים בין החודשים פברואר - מרץ 2022 וב- 8 הזדמנויות נוספות במהלך תקופה של חודשיים, במועדים שאינם ידועים למאשימה, סחר הנאשם </w:t>
      </w:r>
      <w:r>
        <w:rPr>
          <w:rFonts w:ascii="Calibri" w:hAnsi="Calibri"/>
          <w:b/>
          <w:bCs/>
          <w:noProof w:val="0"/>
          <w:rtl/>
        </w:rPr>
        <w:t>עם קטין</w:t>
      </w:r>
      <w:r>
        <w:rPr>
          <w:rFonts w:ascii="Calibri" w:hAnsi="Calibri"/>
          <w:noProof w:val="0"/>
          <w:rtl/>
        </w:rPr>
        <w:t>, בסם מסוכן מסוג קנבוס במשקלים הנעים בין חצי גרם ל-1.5 גרם בכל פעם, בתמורה לסכום של 50 ₪ - 150 ₪ עבור כל עסקה.</w:t>
      </w:r>
    </w:p>
    <w:p w14:paraId="044546F9"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על פי </w:t>
      </w:r>
      <w:r>
        <w:rPr>
          <w:rFonts w:ascii="Calibri" w:hAnsi="Calibri"/>
          <w:b/>
          <w:bCs/>
          <w:noProof w:val="0"/>
          <w:rtl/>
        </w:rPr>
        <w:t>האישום הארבע עשר</w:t>
      </w:r>
      <w:r>
        <w:rPr>
          <w:rFonts w:ascii="Calibri" w:hAnsi="Calibri"/>
          <w:noProof w:val="0"/>
          <w:rtl/>
        </w:rPr>
        <w:t xml:space="preserve"> במהלך החודשים פברואר - מרץ 2022 סחר הנאשם, בשתי הזדמנויות, בסם מסוכן מסוג קנבוס, במשקל של חצי גרם בכל עסקה, בתמורה לסכום של 50 ₪ עבור כל העסקה הראשונה וללא תמורה עבור העסקה השניה.</w:t>
      </w:r>
    </w:p>
    <w:p w14:paraId="70C0838A"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מהאמור עולה שבמהלך החודשים נובמבר 2021 - אפריל 2022, ב- </w:t>
      </w:r>
      <w:r>
        <w:rPr>
          <w:rFonts w:ascii="Calibri" w:hAnsi="Calibri"/>
          <w:b/>
          <w:bCs/>
          <w:noProof w:val="0"/>
          <w:rtl/>
        </w:rPr>
        <w:t>54 הזדמנויות</w:t>
      </w:r>
      <w:r>
        <w:rPr>
          <w:rFonts w:ascii="Calibri" w:hAnsi="Calibri"/>
          <w:noProof w:val="0"/>
          <w:rtl/>
        </w:rPr>
        <w:t xml:space="preserve"> סחר הנאשם בסם מסוכן מסוג קנבוס עם </w:t>
      </w:r>
      <w:r>
        <w:rPr>
          <w:rFonts w:ascii="Calibri" w:hAnsi="Calibri"/>
          <w:b/>
          <w:bCs/>
          <w:noProof w:val="0"/>
          <w:rtl/>
        </w:rPr>
        <w:t>11 אנשים שונים ובהם שני קטינים</w:t>
      </w:r>
      <w:r>
        <w:rPr>
          <w:rFonts w:ascii="Calibri" w:hAnsi="Calibri"/>
          <w:noProof w:val="0"/>
          <w:rtl/>
        </w:rPr>
        <w:t xml:space="preserve"> במשקלים הנעים בין </w:t>
      </w:r>
      <w:r>
        <w:rPr>
          <w:rFonts w:ascii="Calibri" w:hAnsi="Calibri"/>
          <w:b/>
          <w:bCs/>
          <w:noProof w:val="0"/>
          <w:rtl/>
        </w:rPr>
        <w:t>חצי גרם ל-1.5 גרם בכל עסקה</w:t>
      </w:r>
      <w:r>
        <w:rPr>
          <w:rFonts w:ascii="Calibri" w:hAnsi="Calibri"/>
          <w:noProof w:val="0"/>
          <w:rtl/>
        </w:rPr>
        <w:t>.</w:t>
      </w:r>
    </w:p>
    <w:p w14:paraId="2483311B"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יצוין כי ב"כ המאשימה טענה במסגרת הטיעונים לעונש, כי על פי כתב האישום המתוקן במסגרת הסדר הטיעון, סחר הנאשם בסם מסוכן מסוג קנבוס ב- </w:t>
      </w:r>
      <w:r>
        <w:rPr>
          <w:rFonts w:ascii="Calibri" w:hAnsi="Calibri"/>
          <w:b/>
          <w:bCs/>
          <w:noProof w:val="0"/>
          <w:rtl/>
        </w:rPr>
        <w:t>45 הזדמנויות</w:t>
      </w:r>
      <w:r>
        <w:rPr>
          <w:rFonts w:ascii="Calibri" w:hAnsi="Calibri"/>
          <w:noProof w:val="0"/>
          <w:rtl/>
        </w:rPr>
        <w:t xml:space="preserve"> ולכן בבחינת נסיבות ביצוע העבירה, לא מצאתי להחמיר מעבר למה שנטען על ידי המאשימה.</w:t>
      </w:r>
    </w:p>
    <w:p w14:paraId="57FFA8E8" w14:textId="77777777" w:rsidR="00DB5A1B" w:rsidRDefault="00DB5A1B" w:rsidP="00DB5A1B">
      <w:pPr>
        <w:shd w:val="clear" w:color="auto" w:fill="FFFFFF"/>
        <w:spacing w:after="160" w:line="360" w:lineRule="auto"/>
        <w:ind w:left="357"/>
        <w:contextualSpacing/>
        <w:jc w:val="both"/>
        <w:rPr>
          <w:rFonts w:ascii="Calibri" w:hAnsi="Calibri"/>
          <w:noProof w:val="0"/>
        </w:rPr>
      </w:pPr>
    </w:p>
    <w:p w14:paraId="05FFACCB" w14:textId="77777777" w:rsidR="00DB5A1B" w:rsidRPr="00DB5A1B" w:rsidRDefault="00DB5A1B" w:rsidP="00DB5A1B">
      <w:pPr>
        <w:shd w:val="clear" w:color="auto" w:fill="FFFFFF"/>
        <w:spacing w:before="120" w:after="120" w:line="360" w:lineRule="auto"/>
        <w:contextualSpacing/>
        <w:jc w:val="both"/>
        <w:rPr>
          <w:rFonts w:ascii="Calibri" w:hAnsi="Calibri"/>
          <w:b/>
          <w:bCs/>
          <w:noProof w:val="0"/>
          <w:u w:val="single"/>
        </w:rPr>
      </w:pPr>
      <w:r w:rsidRPr="00DB5A1B">
        <w:rPr>
          <w:rFonts w:ascii="Calibri" w:hAnsi="Calibri"/>
          <w:b/>
          <w:bCs/>
          <w:noProof w:val="0"/>
          <w:u w:val="single"/>
          <w:rtl/>
        </w:rPr>
        <w:t>טענות הצדדים לעונש</w:t>
      </w:r>
    </w:p>
    <w:p w14:paraId="3C94996D"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tl/>
        </w:rPr>
      </w:pPr>
      <w:r>
        <w:rPr>
          <w:rFonts w:ascii="Calibri" w:hAnsi="Calibri"/>
          <w:b/>
          <w:bCs/>
          <w:noProof w:val="0"/>
          <w:rtl/>
        </w:rPr>
        <w:t>ב"כ המאשימה</w:t>
      </w:r>
      <w:r>
        <w:rPr>
          <w:rFonts w:ascii="Calibri" w:hAnsi="Calibri"/>
          <w:noProof w:val="0"/>
          <w:rtl/>
        </w:rPr>
        <w:t xml:space="preserve"> טענה לערכים המוגנים שנפגעו של הגנה על שלום הציבור וביטחונו מפני הנזקים הנגרמים כתוצאה משימוש בסמים מסוכנים.</w:t>
      </w:r>
    </w:p>
    <w:p w14:paraId="2BCEAE7C"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lastRenderedPageBreak/>
        <w:t xml:space="preserve">ב"כ המאשימה הפנתה בטיעוניה לנסיבות ביצוע העבירות ולחומרת המעשים. הודגש כי הנאשם סחר בסמים מסוכנים ב- 45 הזדמנויות  עם 11 רוכשים שונים, ביניהם שני קטינים, והכל מתוך מניע כספי של בצע כסף. הודגש חלקו הבלעדי של הנאשם בביצוע העבירות החוזרות והעובדה כי אין מדובר במעידה חד פעמית. ב"כ המאשימה הוסיפה, כי העובדה שהנאשם סחר בסם מסוג קנבוס אינה מצדיקה כשלעצמה להקל בעונשו, שכן מדובר בסם מסוכן, ומדיניות הענישה רואה בחומרה עבירות סחר בסמים מסוכנים (ביניהם סם הקנבוס) תוך הטלת ענישה משמעותית ומרתיעה. </w:t>
      </w:r>
    </w:p>
    <w:p w14:paraId="33089441"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 xml:space="preserve">בכל הנוגע לנסיבות שאינן קשורות בביצוע העבירה, הפנתה ב"כ המאשימה לעברו הפלילי של הנאשם, הכולל 5 הרשעות קודמות שהתיישנו, ביניהן עבירות סמים. בנוסף צוין, כי הנאשם לא עבר הליך שיקומי ואין תסקיר בעניינו. מנגד, נטען כי יש לשקול לקולא את הודאתו המהירה של הנאשם והחיסכון בזמן שיפוטי. </w:t>
      </w:r>
    </w:p>
    <w:p w14:paraId="6B2C46D8" w14:textId="77777777" w:rsidR="00DB5A1B" w:rsidRDefault="00DB5A1B" w:rsidP="00DB5A1B">
      <w:pPr>
        <w:numPr>
          <w:ilvl w:val="0"/>
          <w:numId w:val="1"/>
        </w:numPr>
        <w:shd w:val="clear" w:color="auto" w:fill="FFFFFF"/>
        <w:spacing w:after="160" w:line="360" w:lineRule="auto"/>
        <w:ind w:left="357" w:hanging="357"/>
        <w:contextualSpacing/>
        <w:jc w:val="both"/>
        <w:rPr>
          <w:rFonts w:ascii="Calibri" w:hAnsi="Calibri"/>
          <w:noProof w:val="0"/>
        </w:rPr>
      </w:pPr>
      <w:r>
        <w:rPr>
          <w:rFonts w:ascii="Calibri" w:hAnsi="Calibri"/>
          <w:noProof w:val="0"/>
          <w:rtl/>
        </w:rPr>
        <w:t>לבסוף, ב"כ המאשימה ביקשה לקבוע מתחם ענישה הולם אחד, הנע בין  30 - 48 חודשי מאסר בפועל ועתרה להשית עליו 36 חודשי מאסר בפועל לצד מאסר על תנאי, קנס משמעותי, פסילת רישיון בפועל ועל תנאי. בנוסף, ביקשה להכריז על הנאשם כסוחר סמים, חילוט הטלפון הסלולרי שלו כמבוקש בכתב האישום ומתן צו כללי למוצגים.</w:t>
      </w:r>
    </w:p>
    <w:p w14:paraId="1CA6C661" w14:textId="77777777" w:rsidR="00DB5A1B" w:rsidRDefault="00DB5A1B" w:rsidP="00DB5A1B">
      <w:pPr>
        <w:numPr>
          <w:ilvl w:val="0"/>
          <w:numId w:val="1"/>
        </w:numPr>
        <w:shd w:val="clear" w:color="auto" w:fill="FFFFFF"/>
        <w:spacing w:after="160" w:line="360" w:lineRule="auto"/>
        <w:contextualSpacing/>
        <w:jc w:val="both"/>
        <w:rPr>
          <w:rFonts w:ascii="Calibri" w:hAnsi="Calibri"/>
          <w:noProof w:val="0"/>
        </w:rPr>
      </w:pPr>
      <w:r>
        <w:rPr>
          <w:rFonts w:ascii="Calibri" w:hAnsi="Calibri"/>
          <w:b/>
          <w:bCs/>
          <w:noProof w:val="0"/>
          <w:rtl/>
        </w:rPr>
        <w:t>ב"כ הנאשם</w:t>
      </w:r>
      <w:r>
        <w:rPr>
          <w:rFonts w:ascii="Calibri" w:hAnsi="Calibri"/>
          <w:noProof w:val="0"/>
          <w:rtl/>
        </w:rPr>
        <w:t xml:space="preserve"> הדגיש בנוגע לנסיבות ביצוע העבירה, כי מדובר בסחר בסם מסוג קנבוס המשתייך לקבוצת הסמים "הקלים". נטען כי העבירה בוצעה במקום עבודתו של הנאשם למכריו, ולא לאנשים זרים באמצעות פרסום באפליקציות שונות. </w:t>
      </w:r>
    </w:p>
    <w:p w14:paraId="45153F18" w14:textId="77777777" w:rsidR="00DB5A1B" w:rsidRDefault="00DB5A1B" w:rsidP="00DB5A1B">
      <w:pPr>
        <w:numPr>
          <w:ilvl w:val="0"/>
          <w:numId w:val="1"/>
        </w:numPr>
        <w:shd w:val="clear" w:color="auto" w:fill="FFFFFF"/>
        <w:spacing w:after="160" w:line="360" w:lineRule="auto"/>
        <w:contextualSpacing/>
        <w:jc w:val="both"/>
        <w:rPr>
          <w:rFonts w:ascii="Calibri" w:hAnsi="Calibri"/>
          <w:noProof w:val="0"/>
        </w:rPr>
      </w:pPr>
      <w:r>
        <w:rPr>
          <w:rFonts w:ascii="Calibri" w:hAnsi="Calibri"/>
          <w:noProof w:val="0"/>
          <w:rtl/>
        </w:rPr>
        <w:t xml:space="preserve">בכל הנוגע לנסיבות שאינן קשורות בביצוע העבירה, הפנה ב"כ הנאשם לכך שהנאשם נטל אחריות, הודה בהזדמנות הראשונה וחסך בזמן שיפוטי. אשר לעברו הפלילי, צוין כי הרשעתו האחרונה של הנאשם היא משנת 2014. </w:t>
      </w:r>
    </w:p>
    <w:p w14:paraId="5B225CF9" w14:textId="77777777" w:rsidR="00DB5A1B" w:rsidRDefault="00DB5A1B" w:rsidP="00DB5A1B">
      <w:pPr>
        <w:numPr>
          <w:ilvl w:val="0"/>
          <w:numId w:val="1"/>
        </w:numPr>
        <w:shd w:val="clear" w:color="auto" w:fill="FFFFFF"/>
        <w:spacing w:after="160" w:line="360" w:lineRule="auto"/>
        <w:contextualSpacing/>
        <w:jc w:val="both"/>
        <w:rPr>
          <w:rFonts w:ascii="Calibri" w:hAnsi="Calibri"/>
          <w:noProof w:val="0"/>
        </w:rPr>
      </w:pPr>
      <w:r>
        <w:rPr>
          <w:rFonts w:ascii="Calibri" w:hAnsi="Calibri"/>
          <w:noProof w:val="0"/>
          <w:rtl/>
        </w:rPr>
        <w:t xml:space="preserve">ב"כ הנאשם עתר למתחם ענישה הנע בין 0 - 20 חודשי מאסר בפועל וביקש להסתפק בגזירת העונש בתקופת מעצרו של הנאשם. </w:t>
      </w:r>
    </w:p>
    <w:p w14:paraId="5055B3D1" w14:textId="77777777" w:rsidR="00DB5A1B" w:rsidRDefault="00DB5A1B" w:rsidP="00DB5A1B">
      <w:pPr>
        <w:numPr>
          <w:ilvl w:val="0"/>
          <w:numId w:val="1"/>
        </w:numPr>
        <w:shd w:val="clear" w:color="auto" w:fill="FFFFFF"/>
        <w:spacing w:after="160" w:line="360" w:lineRule="auto"/>
        <w:contextualSpacing/>
        <w:jc w:val="both"/>
        <w:rPr>
          <w:rFonts w:ascii="Calibri" w:hAnsi="Calibri"/>
          <w:noProof w:val="0"/>
        </w:rPr>
      </w:pPr>
      <w:r>
        <w:rPr>
          <w:rFonts w:ascii="Calibri" w:hAnsi="Calibri"/>
          <w:noProof w:val="0"/>
          <w:rtl/>
        </w:rPr>
        <w:t>הנאשם הביע חרטה על מעשיו, ציין כי במשך 3 חודשים סחר בסם עם חבריו במקום עבודתו ומגוריו ולא עם אנשים זרים והוסיף כי עבר חיים קשים, גדל בפנימיות ללא תמיכה משפחתית.</w:t>
      </w:r>
    </w:p>
    <w:p w14:paraId="02E04055" w14:textId="77777777" w:rsidR="00DB5A1B" w:rsidRDefault="00DB5A1B" w:rsidP="00DB5A1B">
      <w:pPr>
        <w:shd w:val="clear" w:color="auto" w:fill="FFFFFF"/>
        <w:spacing w:after="160" w:line="360" w:lineRule="auto"/>
        <w:ind w:left="357"/>
        <w:contextualSpacing/>
        <w:jc w:val="both"/>
        <w:rPr>
          <w:rFonts w:ascii="Calibri" w:hAnsi="Calibri"/>
          <w:noProof w:val="0"/>
        </w:rPr>
      </w:pPr>
    </w:p>
    <w:p w14:paraId="7010A377" w14:textId="77777777" w:rsidR="00DB5A1B" w:rsidRPr="00DB5A1B" w:rsidRDefault="00DB5A1B" w:rsidP="00DB5A1B">
      <w:pPr>
        <w:shd w:val="clear" w:color="auto" w:fill="FFFFFF"/>
        <w:spacing w:before="120" w:after="120" w:line="360" w:lineRule="auto"/>
        <w:contextualSpacing/>
        <w:jc w:val="both"/>
        <w:rPr>
          <w:rFonts w:ascii="Calibri" w:hAnsi="Calibri"/>
          <w:b/>
          <w:bCs/>
          <w:noProof w:val="0"/>
          <w:u w:val="single"/>
        </w:rPr>
      </w:pPr>
      <w:r w:rsidRPr="00DB5A1B">
        <w:rPr>
          <w:rFonts w:ascii="Calibri" w:hAnsi="Calibri"/>
          <w:b/>
          <w:bCs/>
          <w:noProof w:val="0"/>
          <w:u w:val="single"/>
          <w:rtl/>
        </w:rPr>
        <w:t>דיון והכרעה</w:t>
      </w:r>
    </w:p>
    <w:p w14:paraId="495BFAFA" w14:textId="77777777" w:rsidR="00DB5A1B" w:rsidRPr="00DB5A1B" w:rsidRDefault="00DB5A1B" w:rsidP="00DB5A1B">
      <w:pPr>
        <w:shd w:val="clear" w:color="auto" w:fill="FFFFFF"/>
        <w:spacing w:before="120" w:after="120" w:line="360" w:lineRule="auto"/>
        <w:contextualSpacing/>
        <w:jc w:val="both"/>
        <w:rPr>
          <w:rFonts w:ascii="Calibri" w:hAnsi="Calibri"/>
          <w:b/>
          <w:bCs/>
          <w:noProof w:val="0"/>
          <w:u w:val="single"/>
          <w:rtl/>
        </w:rPr>
      </w:pPr>
    </w:p>
    <w:p w14:paraId="68B82534" w14:textId="77777777" w:rsidR="00DB5A1B" w:rsidRPr="00DB5A1B" w:rsidRDefault="00DB5A1B" w:rsidP="00DB5A1B">
      <w:pPr>
        <w:shd w:val="clear" w:color="auto" w:fill="FFFFFF"/>
        <w:spacing w:before="120" w:after="120" w:line="360" w:lineRule="auto"/>
        <w:contextualSpacing/>
        <w:jc w:val="both"/>
        <w:rPr>
          <w:rFonts w:ascii="Calibri" w:hAnsi="Calibri"/>
          <w:noProof w:val="0"/>
          <w:u w:val="single"/>
        </w:rPr>
      </w:pPr>
      <w:r w:rsidRPr="00DB5A1B">
        <w:rPr>
          <w:rFonts w:ascii="Calibri" w:hAnsi="Calibri"/>
          <w:noProof w:val="0"/>
          <w:u w:val="single"/>
          <w:rtl/>
        </w:rPr>
        <w:t>קביעה מתחם העונש ההולם</w:t>
      </w:r>
    </w:p>
    <w:p w14:paraId="7B783AAA" w14:textId="77777777" w:rsidR="00DB5A1B" w:rsidRPr="00DB5A1B" w:rsidRDefault="00DB5A1B" w:rsidP="00DB5A1B">
      <w:pPr>
        <w:pStyle w:val="aa"/>
        <w:numPr>
          <w:ilvl w:val="0"/>
          <w:numId w:val="1"/>
        </w:numPr>
        <w:shd w:val="clear" w:color="auto" w:fill="FFFFFF"/>
        <w:spacing w:before="120" w:after="120" w:line="360" w:lineRule="auto"/>
        <w:jc w:val="both"/>
        <w:rPr>
          <w:noProof w:val="0"/>
          <w:rtl/>
        </w:rPr>
      </w:pPr>
      <w:r>
        <w:rPr>
          <w:rtl/>
        </w:rPr>
        <w:t xml:space="preserve">אין מחלוקת בין הצדדים כי יש לקבוע מתחם ענישה הולם אחד בגין אחד עשר האישומים. </w:t>
      </w:r>
      <w:r>
        <w:rPr>
          <w:rFonts w:ascii="David" w:hAnsi="David"/>
          <w:color w:val="000000"/>
          <w:rtl/>
        </w:rPr>
        <w:t xml:space="preserve">כתב האישום המתוקן מתאר מקרים בעלי מאפיינים דומים, אשר התרחשו בפרק זמן של חמישה חודשים, כחלק מאותה תכניית עבריינית למכירת סם מסוכן מסוג קנבוס עבור בצע כסף. </w:t>
      </w:r>
    </w:p>
    <w:p w14:paraId="4E6F98D9" w14:textId="77777777" w:rsidR="00DB5A1B" w:rsidRPr="00DB5A1B" w:rsidRDefault="00DB5A1B" w:rsidP="00DB5A1B">
      <w:pPr>
        <w:pStyle w:val="aa"/>
        <w:numPr>
          <w:ilvl w:val="0"/>
          <w:numId w:val="1"/>
        </w:numPr>
        <w:shd w:val="clear" w:color="auto" w:fill="FFFFFF"/>
        <w:spacing w:before="120" w:after="120" w:line="360" w:lineRule="auto"/>
        <w:jc w:val="both"/>
        <w:rPr>
          <w:noProof w:val="0"/>
        </w:rPr>
      </w:pPr>
      <w:r w:rsidRPr="005E1E70">
        <w:rPr>
          <w:rtl/>
        </w:rPr>
        <w:t>לאור אופיים של האירועים, המצביעים על שיטתיות ודפוס פעולה חוזר בביצוע העבירות בנסיבות דומות ומהווים מסכת עבריינית אחת, מדובר בריבוי עבירות שיש לקבוע בגינן מתחם ענישה הולם אחד, זאת למרות שהנאשם סחר בסם עם רוכשים שונים (</w:t>
      </w:r>
      <w:hyperlink r:id="rId16" w:history="1">
        <w:r w:rsidR="005D7072" w:rsidRPr="005D7072">
          <w:rPr>
            <w:rFonts w:hint="cs"/>
            <w:color w:val="0000FF"/>
            <w:u w:val="single"/>
            <w:rtl/>
          </w:rPr>
          <w:t>ע</w:t>
        </w:r>
        <w:r w:rsidR="005D7072" w:rsidRPr="005D7072">
          <w:rPr>
            <w:color w:val="0000FF"/>
            <w:u w:val="single"/>
            <w:rtl/>
          </w:rPr>
          <w:t>"</w:t>
        </w:r>
        <w:r w:rsidR="005D7072" w:rsidRPr="005D7072">
          <w:rPr>
            <w:rFonts w:hint="cs"/>
            <w:color w:val="0000FF"/>
            <w:u w:val="single"/>
            <w:rtl/>
          </w:rPr>
          <w:t>פ</w:t>
        </w:r>
        <w:r w:rsidR="005D7072" w:rsidRPr="005D7072">
          <w:rPr>
            <w:color w:val="0000FF"/>
            <w:u w:val="single"/>
            <w:rtl/>
          </w:rPr>
          <w:t xml:space="preserve"> 4910/13</w:t>
        </w:r>
      </w:hyperlink>
      <w:r w:rsidRPr="005E1E70">
        <w:rPr>
          <w:rtl/>
        </w:rPr>
        <w:t xml:space="preserve"> </w:t>
      </w:r>
      <w:r w:rsidRPr="005E1E70">
        <w:rPr>
          <w:rFonts w:hint="cs"/>
          <w:b/>
          <w:bCs/>
          <w:rtl/>
        </w:rPr>
        <w:t>ג'אבר נ' מדינת ישראל</w:t>
      </w:r>
      <w:r w:rsidRPr="005E1E70">
        <w:rPr>
          <w:rFonts w:hint="cs"/>
          <w:rtl/>
        </w:rPr>
        <w:t xml:space="preserve"> (פורסם בנבו, 29.10.14)).</w:t>
      </w:r>
    </w:p>
    <w:p w14:paraId="2A4797DF" w14:textId="77777777" w:rsidR="00DB5A1B" w:rsidRPr="005E1E70" w:rsidRDefault="00DB5A1B" w:rsidP="00DB5A1B">
      <w:pPr>
        <w:pStyle w:val="aa"/>
        <w:numPr>
          <w:ilvl w:val="0"/>
          <w:numId w:val="1"/>
        </w:numPr>
        <w:spacing w:after="200" w:line="360" w:lineRule="auto"/>
        <w:jc w:val="both"/>
      </w:pPr>
      <w:r w:rsidRPr="005E1E70">
        <w:rPr>
          <w:rtl/>
        </w:rPr>
        <w:t>בקביעת מתחם הענישה יש להתחשב במספר המעשים העבריינים שבוצעו ובריבוי קורבנות העבירות [</w:t>
      </w:r>
      <w:hyperlink r:id="rId17" w:history="1">
        <w:r w:rsidR="005D7072" w:rsidRPr="005D7072">
          <w:rPr>
            <w:rFonts w:hint="cs"/>
            <w:color w:val="0000FF"/>
            <w:u w:val="single"/>
            <w:rtl/>
          </w:rPr>
          <w:t>ע</w:t>
        </w:r>
        <w:r w:rsidR="005D7072" w:rsidRPr="005D7072">
          <w:rPr>
            <w:color w:val="0000FF"/>
            <w:u w:val="single"/>
            <w:rtl/>
          </w:rPr>
          <w:t>"</w:t>
        </w:r>
        <w:r w:rsidR="005D7072" w:rsidRPr="005D7072">
          <w:rPr>
            <w:rFonts w:hint="cs"/>
            <w:color w:val="0000FF"/>
            <w:u w:val="single"/>
            <w:rtl/>
          </w:rPr>
          <w:t>פ</w:t>
        </w:r>
        <w:r w:rsidR="005D7072" w:rsidRPr="005D7072">
          <w:rPr>
            <w:color w:val="0000FF"/>
            <w:u w:val="single"/>
            <w:rtl/>
          </w:rPr>
          <w:t xml:space="preserve"> 2454/18</w:t>
        </w:r>
      </w:hyperlink>
      <w:r w:rsidRPr="005E1E70">
        <w:rPr>
          <w:rtl/>
        </w:rPr>
        <w:t xml:space="preserve"> </w:t>
      </w:r>
      <w:r w:rsidRPr="005E1E70">
        <w:rPr>
          <w:b/>
          <w:bCs/>
          <w:rtl/>
        </w:rPr>
        <w:t>עזרא שיינברג נ' מדינת ישראל</w:t>
      </w:r>
      <w:r w:rsidRPr="005E1E70">
        <w:rPr>
          <w:rtl/>
        </w:rPr>
        <w:t xml:space="preserve"> (2.12.2018); </w:t>
      </w:r>
      <w:hyperlink r:id="rId18" w:history="1">
        <w:r w:rsidR="005D7072" w:rsidRPr="005D7072">
          <w:rPr>
            <w:rFonts w:hint="cs"/>
            <w:color w:val="0000FF"/>
            <w:u w:val="single"/>
            <w:rtl/>
          </w:rPr>
          <w:t>ת</w:t>
        </w:r>
        <w:r w:rsidR="005D7072" w:rsidRPr="005D7072">
          <w:rPr>
            <w:color w:val="0000FF"/>
            <w:u w:val="single"/>
            <w:rtl/>
          </w:rPr>
          <w:t>"</w:t>
        </w:r>
        <w:r w:rsidR="005D7072" w:rsidRPr="005D7072">
          <w:rPr>
            <w:rFonts w:hint="cs"/>
            <w:color w:val="0000FF"/>
            <w:u w:val="single"/>
            <w:rtl/>
          </w:rPr>
          <w:t>פ</w:t>
        </w:r>
        <w:r w:rsidR="005D7072" w:rsidRPr="005D7072">
          <w:rPr>
            <w:color w:val="0000FF"/>
            <w:u w:val="single"/>
            <w:rtl/>
          </w:rPr>
          <w:t xml:space="preserve"> (</w:t>
        </w:r>
        <w:r w:rsidR="005D7072" w:rsidRPr="005D7072">
          <w:rPr>
            <w:rFonts w:hint="cs"/>
            <w:color w:val="0000FF"/>
            <w:u w:val="single"/>
            <w:rtl/>
          </w:rPr>
          <w:t>ראשל</w:t>
        </w:r>
        <w:r w:rsidR="005D7072" w:rsidRPr="005D7072">
          <w:rPr>
            <w:color w:val="0000FF"/>
            <w:u w:val="single"/>
            <w:rtl/>
          </w:rPr>
          <w:t>"</w:t>
        </w:r>
        <w:r w:rsidR="005D7072" w:rsidRPr="005D7072">
          <w:rPr>
            <w:rFonts w:hint="cs"/>
            <w:color w:val="0000FF"/>
            <w:u w:val="single"/>
            <w:rtl/>
          </w:rPr>
          <w:t>צ</w:t>
        </w:r>
        <w:r w:rsidR="005D7072" w:rsidRPr="005D7072">
          <w:rPr>
            <w:color w:val="0000FF"/>
            <w:u w:val="single"/>
            <w:rtl/>
          </w:rPr>
          <w:t>) 1718-03-20</w:t>
        </w:r>
      </w:hyperlink>
      <w:r w:rsidR="005D7072">
        <w:rPr>
          <w:rtl/>
        </w:rPr>
        <w:t xml:space="preserve"> </w:t>
      </w:r>
      <w:r w:rsidRPr="005E1E70">
        <w:rPr>
          <w:b/>
          <w:bCs/>
          <w:rtl/>
        </w:rPr>
        <w:t>מדינת ישראל נ' עבד אלראוף שמאסנה</w:t>
      </w:r>
      <w:r w:rsidRPr="005E1E70">
        <w:rPr>
          <w:rtl/>
        </w:rPr>
        <w:t xml:space="preserve"> (פורסם בנבו, 24.9.20) וההפניות שם; </w:t>
      </w:r>
      <w:hyperlink r:id="rId19" w:history="1">
        <w:r w:rsidR="005D7072" w:rsidRPr="005D7072">
          <w:rPr>
            <w:rFonts w:hint="cs"/>
            <w:color w:val="0000FF"/>
            <w:u w:val="single"/>
            <w:rtl/>
          </w:rPr>
          <w:t>ע</w:t>
        </w:r>
        <w:r w:rsidR="005D7072" w:rsidRPr="005D7072">
          <w:rPr>
            <w:color w:val="0000FF"/>
            <w:u w:val="single"/>
            <w:rtl/>
          </w:rPr>
          <w:t>"</w:t>
        </w:r>
        <w:r w:rsidR="005D7072" w:rsidRPr="005D7072">
          <w:rPr>
            <w:rFonts w:hint="cs"/>
            <w:color w:val="0000FF"/>
            <w:u w:val="single"/>
            <w:rtl/>
          </w:rPr>
          <w:t>פ</w:t>
        </w:r>
        <w:r w:rsidR="005D7072" w:rsidRPr="005D7072">
          <w:rPr>
            <w:color w:val="0000FF"/>
            <w:u w:val="single"/>
            <w:rtl/>
          </w:rPr>
          <w:t xml:space="preserve"> 5668/13</w:t>
        </w:r>
      </w:hyperlink>
      <w:r w:rsidRPr="005E1E70">
        <w:rPr>
          <w:rtl/>
        </w:rPr>
        <w:t xml:space="preserve"> </w:t>
      </w:r>
      <w:r w:rsidRPr="005E1E70">
        <w:rPr>
          <w:rFonts w:hint="cs"/>
          <w:b/>
          <w:bCs/>
          <w:rtl/>
        </w:rPr>
        <w:t>מזרחי נ' מדינת ישראל</w:t>
      </w:r>
      <w:r w:rsidRPr="005E1E70">
        <w:rPr>
          <w:rFonts w:hint="cs"/>
          <w:rtl/>
        </w:rPr>
        <w:t xml:space="preserve"> (פורסם בנבו, 17.3.16)]. </w:t>
      </w:r>
    </w:p>
    <w:p w14:paraId="179A1417" w14:textId="77777777" w:rsidR="00DB5A1B" w:rsidRPr="005E1E70" w:rsidRDefault="00DB5A1B" w:rsidP="00DB5A1B">
      <w:pPr>
        <w:pStyle w:val="aa"/>
        <w:numPr>
          <w:ilvl w:val="0"/>
          <w:numId w:val="1"/>
        </w:numPr>
        <w:spacing w:after="200" w:line="360" w:lineRule="auto"/>
        <w:jc w:val="both"/>
      </w:pPr>
      <w:r w:rsidRPr="005E1E70">
        <w:rPr>
          <w:noProof w:val="0"/>
          <w:rtl/>
        </w:rPr>
        <w:t xml:space="preserve">עקרון הלימה הוא העיקרון המנחה בהתאם </w:t>
      </w:r>
      <w:hyperlink r:id="rId20" w:history="1">
        <w:r w:rsidR="00223639" w:rsidRPr="00223639">
          <w:rPr>
            <w:rStyle w:val="Hyperlink"/>
            <w:rFonts w:hint="cs"/>
            <w:noProof w:val="0"/>
            <w:rtl/>
          </w:rPr>
          <w:t>לסעיף</w:t>
        </w:r>
        <w:r w:rsidR="00223639" w:rsidRPr="00223639">
          <w:rPr>
            <w:rStyle w:val="Hyperlink"/>
            <w:noProof w:val="0"/>
            <w:rtl/>
          </w:rPr>
          <w:t xml:space="preserve"> 40</w:t>
        </w:r>
        <w:r w:rsidR="00223639" w:rsidRPr="00223639">
          <w:rPr>
            <w:rStyle w:val="Hyperlink"/>
            <w:rFonts w:hint="cs"/>
            <w:noProof w:val="0"/>
            <w:rtl/>
          </w:rPr>
          <w:t>ב</w:t>
        </w:r>
      </w:hyperlink>
      <w:r w:rsidRPr="005E1E70">
        <w:rPr>
          <w:noProof w:val="0"/>
          <w:rtl/>
        </w:rPr>
        <w:t xml:space="preserve"> ל</w:t>
      </w:r>
      <w:hyperlink r:id="rId21" w:history="1">
        <w:r w:rsidR="005D7072" w:rsidRPr="005D7072">
          <w:rPr>
            <w:rFonts w:hint="cs"/>
            <w:noProof w:val="0"/>
            <w:color w:val="0000FF"/>
            <w:u w:val="single"/>
            <w:rtl/>
          </w:rPr>
          <w:t>חוק</w:t>
        </w:r>
        <w:r w:rsidR="005D7072" w:rsidRPr="005D7072">
          <w:rPr>
            <w:noProof w:val="0"/>
            <w:color w:val="0000FF"/>
            <w:u w:val="single"/>
            <w:rtl/>
          </w:rPr>
          <w:t xml:space="preserve"> </w:t>
        </w:r>
        <w:r w:rsidR="005D7072" w:rsidRPr="005D7072">
          <w:rPr>
            <w:rFonts w:hint="cs"/>
            <w:noProof w:val="0"/>
            <w:color w:val="0000FF"/>
            <w:u w:val="single"/>
            <w:rtl/>
          </w:rPr>
          <w:t>העונשין</w:t>
        </w:r>
      </w:hyperlink>
      <w:r w:rsidRPr="005E1E70">
        <w:rPr>
          <w:noProof w:val="0"/>
          <w:rtl/>
        </w:rPr>
        <w:t>. בקביעת מתחם העונש ההולם את מעשי העבירות אותן ביצע הנאשם, יתחשב בית המשפט בערך החברתי שנפגע כתוצאה מביצוע העבירות, במידת הפגיעה בו, במדיניות הענישה הנהוגה ובנסיבות הקשורות בביצוע העבירות.</w:t>
      </w:r>
    </w:p>
    <w:p w14:paraId="0D01742D" w14:textId="77777777" w:rsidR="00DB5A1B" w:rsidRPr="005E1E70" w:rsidRDefault="005D7072" w:rsidP="00DB5A1B">
      <w:pPr>
        <w:pStyle w:val="aa"/>
        <w:numPr>
          <w:ilvl w:val="0"/>
          <w:numId w:val="1"/>
        </w:numPr>
        <w:spacing w:after="200" w:line="360" w:lineRule="auto"/>
        <w:ind w:left="357" w:hanging="357"/>
        <w:jc w:val="both"/>
      </w:pPr>
      <w:hyperlink r:id="rId22" w:history="1">
        <w:r w:rsidRPr="005D7072">
          <w:rPr>
            <w:rFonts w:hint="cs"/>
            <w:noProof w:val="0"/>
            <w:color w:val="0000FF"/>
            <w:u w:val="single"/>
            <w:rtl/>
          </w:rPr>
          <w:t>פקודת</w:t>
        </w:r>
        <w:r w:rsidRPr="005D7072">
          <w:rPr>
            <w:noProof w:val="0"/>
            <w:color w:val="0000FF"/>
            <w:u w:val="single"/>
            <w:rtl/>
          </w:rPr>
          <w:t xml:space="preserve"> </w:t>
        </w:r>
        <w:r w:rsidRPr="005D7072">
          <w:rPr>
            <w:rFonts w:hint="cs"/>
            <w:noProof w:val="0"/>
            <w:color w:val="0000FF"/>
            <w:u w:val="single"/>
            <w:rtl/>
          </w:rPr>
          <w:t>הסמים</w:t>
        </w:r>
        <w:r w:rsidRPr="005D7072">
          <w:rPr>
            <w:noProof w:val="0"/>
            <w:color w:val="0000FF"/>
            <w:u w:val="single"/>
            <w:rtl/>
          </w:rPr>
          <w:t xml:space="preserve"> </w:t>
        </w:r>
        <w:r w:rsidRPr="005D7072">
          <w:rPr>
            <w:rFonts w:hint="cs"/>
            <w:noProof w:val="0"/>
            <w:color w:val="0000FF"/>
            <w:u w:val="single"/>
            <w:rtl/>
          </w:rPr>
          <w:t>המסוכנים</w:t>
        </w:r>
      </w:hyperlink>
      <w:r w:rsidR="00DB5A1B" w:rsidRPr="005E1E70">
        <w:rPr>
          <w:noProof w:val="0"/>
          <w:rtl/>
        </w:rPr>
        <w:t xml:space="preserve">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קיים הצורך להגן על הציבור מפני נזקים עקיפים הנגרמים כתוצאה מעבריינות הנלווית לשימוש בסמים, ובכלל זה ההגנה על הביטחון האישי ורכוש הציבור [</w:t>
      </w:r>
      <w:hyperlink r:id="rId23" w:history="1">
        <w:r w:rsidRPr="005D7072">
          <w:rPr>
            <w:rFonts w:hint="cs"/>
            <w:noProof w:val="0"/>
            <w:color w:val="0000FF"/>
            <w:u w:val="single"/>
            <w:rtl/>
          </w:rPr>
          <w:t>ע</w:t>
        </w:r>
        <w:r w:rsidRPr="005D7072">
          <w:rPr>
            <w:noProof w:val="0"/>
            <w:color w:val="0000FF"/>
            <w:u w:val="single"/>
            <w:rtl/>
          </w:rPr>
          <w:t>"</w:t>
        </w:r>
        <w:r w:rsidRPr="005D7072">
          <w:rPr>
            <w:rFonts w:hint="cs"/>
            <w:noProof w:val="0"/>
            <w:color w:val="0000FF"/>
            <w:u w:val="single"/>
            <w:rtl/>
          </w:rPr>
          <w:t>פ</w:t>
        </w:r>
        <w:r w:rsidRPr="005D7072">
          <w:rPr>
            <w:noProof w:val="0"/>
            <w:color w:val="0000FF"/>
            <w:u w:val="single"/>
            <w:rtl/>
          </w:rPr>
          <w:t xml:space="preserve"> 1274/16</w:t>
        </w:r>
      </w:hyperlink>
      <w:r w:rsidR="00DB5A1B" w:rsidRPr="005E1E70">
        <w:rPr>
          <w:noProof w:val="0"/>
          <w:rtl/>
        </w:rPr>
        <w:t xml:space="preserve"> </w:t>
      </w:r>
      <w:r w:rsidR="00DB5A1B" w:rsidRPr="005E1E70">
        <w:rPr>
          <w:rFonts w:hint="cs"/>
          <w:b/>
          <w:bCs/>
          <w:noProof w:val="0"/>
          <w:rtl/>
        </w:rPr>
        <w:t>אסמעא עווד נ' מדינת ישראל</w:t>
      </w:r>
      <w:r w:rsidR="00DB5A1B" w:rsidRPr="005E1E70">
        <w:rPr>
          <w:rFonts w:hint="cs"/>
          <w:noProof w:val="0"/>
          <w:rtl/>
        </w:rPr>
        <w:t xml:space="preserve"> (פורסם בנבו, 6.10.16)].</w:t>
      </w:r>
    </w:p>
    <w:p w14:paraId="0BD29035" w14:textId="77777777" w:rsidR="00DB5A1B" w:rsidRPr="005E1E70" w:rsidRDefault="00DB5A1B" w:rsidP="00DB5A1B">
      <w:pPr>
        <w:pStyle w:val="aa"/>
        <w:numPr>
          <w:ilvl w:val="0"/>
          <w:numId w:val="1"/>
        </w:numPr>
        <w:spacing w:after="200" w:line="360" w:lineRule="auto"/>
        <w:ind w:left="357" w:hanging="357"/>
        <w:jc w:val="both"/>
      </w:pPr>
      <w:r w:rsidRPr="005E1E70">
        <w:rPr>
          <w:noProof w:val="0"/>
          <w:rtl/>
        </w:rPr>
        <w:t xml:space="preserve">אין צורך להכביר מילים על חומרתן הרבה של עבירות הסמים, ובראשן עבירות הסחר והפצת הסם, ועל הצורך להיאבק בעבירות אלה באמצעות ענישה הולמת [ראו: </w:t>
      </w:r>
      <w:hyperlink r:id="rId24" w:history="1">
        <w:r w:rsidR="005D7072" w:rsidRPr="005D7072">
          <w:rPr>
            <w:rFonts w:hint="cs"/>
            <w:noProof w:val="0"/>
            <w:color w:val="0000FF"/>
            <w:u w:val="single"/>
            <w:rtl/>
          </w:rPr>
          <w:t>ע</w:t>
        </w:r>
        <w:r w:rsidR="005D7072" w:rsidRPr="005D7072">
          <w:rPr>
            <w:noProof w:val="0"/>
            <w:color w:val="0000FF"/>
            <w:u w:val="single"/>
            <w:rtl/>
          </w:rPr>
          <w:t>"</w:t>
        </w:r>
        <w:r w:rsidR="005D7072" w:rsidRPr="005D7072">
          <w:rPr>
            <w:rFonts w:hint="cs"/>
            <w:noProof w:val="0"/>
            <w:color w:val="0000FF"/>
            <w:u w:val="single"/>
            <w:rtl/>
          </w:rPr>
          <w:t>פ</w:t>
        </w:r>
        <w:r w:rsidR="005D7072" w:rsidRPr="005D7072">
          <w:rPr>
            <w:noProof w:val="0"/>
            <w:color w:val="0000FF"/>
            <w:u w:val="single"/>
            <w:rtl/>
          </w:rPr>
          <w:t xml:space="preserve"> 966/94</w:t>
        </w:r>
      </w:hyperlink>
      <w:r w:rsidRPr="005E1E70">
        <w:rPr>
          <w:noProof w:val="0"/>
          <w:rtl/>
        </w:rPr>
        <w:t xml:space="preserve"> </w:t>
      </w:r>
      <w:r w:rsidRPr="005E1E70">
        <w:rPr>
          <w:b/>
          <w:bCs/>
          <w:noProof w:val="0"/>
          <w:rtl/>
        </w:rPr>
        <w:t>אמזלג נ' מדינת ישראל</w:t>
      </w:r>
      <w:r w:rsidRPr="005E1E70">
        <w:rPr>
          <w:noProof w:val="0"/>
          <w:rtl/>
        </w:rPr>
        <w:t xml:space="preserve"> (פורסם בנבו,12.12.1995); </w:t>
      </w:r>
      <w:hyperlink r:id="rId25" w:history="1">
        <w:r w:rsidR="005D7072" w:rsidRPr="005D7072">
          <w:rPr>
            <w:rFonts w:hint="cs"/>
            <w:noProof w:val="0"/>
            <w:color w:val="0000FF"/>
            <w:u w:val="single"/>
            <w:rtl/>
          </w:rPr>
          <w:t>ע</w:t>
        </w:r>
        <w:r w:rsidR="005D7072" w:rsidRPr="005D7072">
          <w:rPr>
            <w:noProof w:val="0"/>
            <w:color w:val="0000FF"/>
            <w:u w:val="single"/>
            <w:rtl/>
          </w:rPr>
          <w:t>"</w:t>
        </w:r>
        <w:r w:rsidR="005D7072" w:rsidRPr="005D7072">
          <w:rPr>
            <w:rFonts w:hint="cs"/>
            <w:noProof w:val="0"/>
            <w:color w:val="0000FF"/>
            <w:u w:val="single"/>
            <w:rtl/>
          </w:rPr>
          <w:t>פ</w:t>
        </w:r>
        <w:r w:rsidR="005D7072" w:rsidRPr="005D7072">
          <w:rPr>
            <w:noProof w:val="0"/>
            <w:color w:val="0000FF"/>
            <w:u w:val="single"/>
            <w:rtl/>
          </w:rPr>
          <w:t xml:space="preserve"> 9482/09</w:t>
        </w:r>
      </w:hyperlink>
      <w:r w:rsidRPr="005E1E70">
        <w:rPr>
          <w:noProof w:val="0"/>
          <w:rtl/>
        </w:rPr>
        <w:t xml:space="preserve"> </w:t>
      </w:r>
      <w:r w:rsidRPr="005E1E70">
        <w:rPr>
          <w:b/>
          <w:bCs/>
          <w:noProof w:val="0"/>
          <w:rtl/>
        </w:rPr>
        <w:t>ביטון נ' מדינת ישראל</w:t>
      </w:r>
      <w:r w:rsidRPr="005E1E70">
        <w:rPr>
          <w:noProof w:val="0"/>
          <w:rtl/>
        </w:rPr>
        <w:t xml:space="preserve"> (פורסם בנבו, 24.7.2011); </w:t>
      </w:r>
      <w:hyperlink r:id="rId26" w:history="1">
        <w:r w:rsidR="005D7072" w:rsidRPr="005D7072">
          <w:rPr>
            <w:rFonts w:hint="cs"/>
            <w:noProof w:val="0"/>
            <w:color w:val="0000FF"/>
            <w:u w:val="single"/>
            <w:rtl/>
          </w:rPr>
          <w:t>ע</w:t>
        </w:r>
        <w:r w:rsidR="005D7072" w:rsidRPr="005D7072">
          <w:rPr>
            <w:noProof w:val="0"/>
            <w:color w:val="0000FF"/>
            <w:u w:val="single"/>
            <w:rtl/>
          </w:rPr>
          <w:t>"</w:t>
        </w:r>
        <w:r w:rsidR="005D7072" w:rsidRPr="005D7072">
          <w:rPr>
            <w:rFonts w:hint="cs"/>
            <w:noProof w:val="0"/>
            <w:color w:val="0000FF"/>
            <w:u w:val="single"/>
            <w:rtl/>
          </w:rPr>
          <w:t>פ</w:t>
        </w:r>
        <w:r w:rsidR="005D7072" w:rsidRPr="005D7072">
          <w:rPr>
            <w:noProof w:val="0"/>
            <w:color w:val="0000FF"/>
            <w:u w:val="single"/>
            <w:rtl/>
          </w:rPr>
          <w:t xml:space="preserve"> 2681/15</w:t>
        </w:r>
      </w:hyperlink>
      <w:r w:rsidRPr="005E1E70">
        <w:rPr>
          <w:noProof w:val="0"/>
          <w:rtl/>
        </w:rPr>
        <w:t xml:space="preserve"> </w:t>
      </w:r>
      <w:r w:rsidRPr="005E1E70">
        <w:rPr>
          <w:b/>
          <w:bCs/>
          <w:noProof w:val="0"/>
          <w:rtl/>
        </w:rPr>
        <w:t>בן שטרית נ' מדינת ישראל</w:t>
      </w:r>
      <w:r w:rsidRPr="005E1E70">
        <w:rPr>
          <w:noProof w:val="0"/>
          <w:rtl/>
        </w:rPr>
        <w:t xml:space="preserve"> (פורסם בנבו, ‏14.2.2016)].</w:t>
      </w:r>
    </w:p>
    <w:p w14:paraId="27F2FB07" w14:textId="77777777" w:rsidR="00DB5A1B" w:rsidRPr="005E1E70" w:rsidRDefault="00DB5A1B" w:rsidP="00DB5A1B">
      <w:pPr>
        <w:pStyle w:val="aa"/>
        <w:numPr>
          <w:ilvl w:val="0"/>
          <w:numId w:val="1"/>
        </w:numPr>
        <w:spacing w:after="200" w:line="360" w:lineRule="auto"/>
        <w:ind w:left="357" w:hanging="357"/>
        <w:jc w:val="both"/>
      </w:pPr>
      <w:r w:rsidRPr="005E1E70">
        <w:rPr>
          <w:noProof w:val="0"/>
          <w:rtl/>
        </w:rPr>
        <w:t xml:space="preserve">בתי המשפט שבו והדגישו את הצורך להילחם בעבירת סחר בסמים מסוכנים, אף כשמדובר בסמים הנחשבים קלים. שוב ושוב, התייחס בית המשפט העליון לסיכון הנשקף מעבירות אלו, שהפכו רעה חולה ועל ההכרח לעצור את התפשטות נגע הסמים בחברה, בין היתר על-ידי השתת ענישה מרתיעה על הנוטלים חלק במערך הפצת הסמים. ראו עוד בהקשר זה: </w:t>
      </w:r>
      <w:hyperlink r:id="rId27" w:history="1">
        <w:r w:rsidR="005D7072" w:rsidRPr="005D7072">
          <w:rPr>
            <w:rFonts w:hint="cs"/>
            <w:noProof w:val="0"/>
            <w:color w:val="0000FF"/>
            <w:u w:val="single"/>
            <w:rtl/>
          </w:rPr>
          <w:t>ע</w:t>
        </w:r>
        <w:r w:rsidR="005D7072" w:rsidRPr="005D7072">
          <w:rPr>
            <w:noProof w:val="0"/>
            <w:color w:val="0000FF"/>
            <w:u w:val="single"/>
            <w:rtl/>
          </w:rPr>
          <w:t>"</w:t>
        </w:r>
        <w:r w:rsidR="005D7072" w:rsidRPr="005D7072">
          <w:rPr>
            <w:rFonts w:hint="cs"/>
            <w:noProof w:val="0"/>
            <w:color w:val="0000FF"/>
            <w:u w:val="single"/>
            <w:rtl/>
          </w:rPr>
          <w:t>פ</w:t>
        </w:r>
        <w:r w:rsidR="005D7072" w:rsidRPr="005D7072">
          <w:rPr>
            <w:noProof w:val="0"/>
            <w:color w:val="0000FF"/>
            <w:u w:val="single"/>
            <w:rtl/>
          </w:rPr>
          <w:t xml:space="preserve"> 972/11</w:t>
        </w:r>
      </w:hyperlink>
      <w:r w:rsidRPr="005E1E70">
        <w:rPr>
          <w:noProof w:val="0"/>
          <w:rtl/>
        </w:rPr>
        <w:t xml:space="preserve"> </w:t>
      </w:r>
      <w:r w:rsidRPr="005E1E70">
        <w:rPr>
          <w:rFonts w:hint="cs"/>
          <w:b/>
          <w:bCs/>
          <w:noProof w:val="0"/>
          <w:rtl/>
        </w:rPr>
        <w:t>מדינת ישראל נ' יונה</w:t>
      </w:r>
      <w:r w:rsidRPr="005E1E70">
        <w:rPr>
          <w:rFonts w:hint="cs"/>
          <w:noProof w:val="0"/>
          <w:rtl/>
        </w:rPr>
        <w:t xml:space="preserve"> (פורסם בנבו, 4.7.12); </w:t>
      </w:r>
      <w:hyperlink r:id="rId28" w:history="1">
        <w:r w:rsidR="005D7072" w:rsidRPr="005D7072">
          <w:rPr>
            <w:rFonts w:hint="cs"/>
            <w:noProof w:val="0"/>
            <w:color w:val="0000FF"/>
            <w:u w:val="single"/>
            <w:rtl/>
          </w:rPr>
          <w:t>ע</w:t>
        </w:r>
        <w:r w:rsidR="005D7072" w:rsidRPr="005D7072">
          <w:rPr>
            <w:noProof w:val="0"/>
            <w:color w:val="0000FF"/>
            <w:u w:val="single"/>
            <w:rtl/>
          </w:rPr>
          <w:t>"</w:t>
        </w:r>
        <w:r w:rsidR="005D7072" w:rsidRPr="005D7072">
          <w:rPr>
            <w:rFonts w:hint="cs"/>
            <w:noProof w:val="0"/>
            <w:color w:val="0000FF"/>
            <w:u w:val="single"/>
            <w:rtl/>
          </w:rPr>
          <w:t>פ</w:t>
        </w:r>
        <w:r w:rsidR="005D7072" w:rsidRPr="005D7072">
          <w:rPr>
            <w:noProof w:val="0"/>
            <w:color w:val="0000FF"/>
            <w:u w:val="single"/>
            <w:rtl/>
          </w:rPr>
          <w:t xml:space="preserve"> 3117/12</w:t>
        </w:r>
      </w:hyperlink>
      <w:r w:rsidRPr="005E1E70">
        <w:rPr>
          <w:noProof w:val="0"/>
          <w:rtl/>
        </w:rPr>
        <w:t xml:space="preserve"> </w:t>
      </w:r>
      <w:r w:rsidRPr="005E1E70">
        <w:rPr>
          <w:rFonts w:hint="cs"/>
          <w:b/>
          <w:bCs/>
          <w:noProof w:val="0"/>
          <w:rtl/>
        </w:rPr>
        <w:t>ארביב נ' מדינת ישראל</w:t>
      </w:r>
      <w:r w:rsidRPr="005E1E70">
        <w:rPr>
          <w:rFonts w:hint="cs"/>
          <w:noProof w:val="0"/>
          <w:rtl/>
        </w:rPr>
        <w:t xml:space="preserve"> (פורסם בנבו, 6.9.12); </w:t>
      </w:r>
      <w:hyperlink r:id="rId29" w:history="1">
        <w:r w:rsidR="005D7072" w:rsidRPr="005D7072">
          <w:rPr>
            <w:rFonts w:hint="cs"/>
            <w:noProof w:val="0"/>
            <w:color w:val="0000FF"/>
            <w:u w:val="single"/>
            <w:rtl/>
          </w:rPr>
          <w:t>ע</w:t>
        </w:r>
        <w:r w:rsidR="005D7072" w:rsidRPr="005D7072">
          <w:rPr>
            <w:noProof w:val="0"/>
            <w:color w:val="0000FF"/>
            <w:u w:val="single"/>
            <w:rtl/>
          </w:rPr>
          <w:t>"</w:t>
        </w:r>
        <w:r w:rsidR="005D7072" w:rsidRPr="005D7072">
          <w:rPr>
            <w:rFonts w:hint="cs"/>
            <w:noProof w:val="0"/>
            <w:color w:val="0000FF"/>
            <w:u w:val="single"/>
            <w:rtl/>
          </w:rPr>
          <w:t>פ</w:t>
        </w:r>
        <w:r w:rsidR="005D7072" w:rsidRPr="005D7072">
          <w:rPr>
            <w:noProof w:val="0"/>
            <w:color w:val="0000FF"/>
            <w:u w:val="single"/>
            <w:rtl/>
          </w:rPr>
          <w:t xml:space="preserve"> 211/09</w:t>
        </w:r>
      </w:hyperlink>
      <w:r w:rsidRPr="005E1E70">
        <w:rPr>
          <w:noProof w:val="0"/>
          <w:rtl/>
        </w:rPr>
        <w:t xml:space="preserve"> </w:t>
      </w:r>
      <w:r w:rsidRPr="005E1E70">
        <w:rPr>
          <w:rFonts w:hint="cs"/>
          <w:b/>
          <w:bCs/>
          <w:noProof w:val="0"/>
          <w:rtl/>
        </w:rPr>
        <w:t>אזולאי נגד מדינת ישראל</w:t>
      </w:r>
      <w:r w:rsidRPr="005E1E70">
        <w:rPr>
          <w:rFonts w:hint="cs"/>
          <w:noProof w:val="0"/>
          <w:rtl/>
        </w:rPr>
        <w:t xml:space="preserve"> (פורסם בנבו, 22.6.10); </w:t>
      </w:r>
      <w:hyperlink r:id="rId30" w:history="1">
        <w:r w:rsidR="005D7072" w:rsidRPr="005D7072">
          <w:rPr>
            <w:rFonts w:hint="cs"/>
            <w:noProof w:val="0"/>
            <w:color w:val="0000FF"/>
            <w:u w:val="single"/>
            <w:rtl/>
          </w:rPr>
          <w:t>ע</w:t>
        </w:r>
        <w:r w:rsidR="005D7072" w:rsidRPr="005D7072">
          <w:rPr>
            <w:noProof w:val="0"/>
            <w:color w:val="0000FF"/>
            <w:u w:val="single"/>
            <w:rtl/>
          </w:rPr>
          <w:t>"</w:t>
        </w:r>
        <w:r w:rsidR="005D7072" w:rsidRPr="005D7072">
          <w:rPr>
            <w:rFonts w:hint="cs"/>
            <w:noProof w:val="0"/>
            <w:color w:val="0000FF"/>
            <w:u w:val="single"/>
            <w:rtl/>
          </w:rPr>
          <w:t>פ</w:t>
        </w:r>
        <w:r w:rsidR="005D7072" w:rsidRPr="005D7072">
          <w:rPr>
            <w:noProof w:val="0"/>
            <w:color w:val="0000FF"/>
            <w:u w:val="single"/>
            <w:rtl/>
          </w:rPr>
          <w:t xml:space="preserve"> 1987/15</w:t>
        </w:r>
      </w:hyperlink>
      <w:r w:rsidRPr="005E1E70">
        <w:rPr>
          <w:noProof w:val="0"/>
          <w:rtl/>
        </w:rPr>
        <w:t xml:space="preserve"> </w:t>
      </w:r>
      <w:r w:rsidRPr="005E1E70">
        <w:rPr>
          <w:rFonts w:hint="cs"/>
          <w:b/>
          <w:bCs/>
          <w:noProof w:val="0"/>
          <w:rtl/>
        </w:rPr>
        <w:t>דורי נגד מדינת ישראל</w:t>
      </w:r>
      <w:r w:rsidRPr="005E1E70">
        <w:rPr>
          <w:rFonts w:hint="cs"/>
          <w:noProof w:val="0"/>
          <w:rtl/>
        </w:rPr>
        <w:t xml:space="preserve"> (פורסם בנבו, 17.08.15); </w:t>
      </w:r>
      <w:hyperlink r:id="rId31" w:history="1">
        <w:r w:rsidR="005D7072" w:rsidRPr="005D7072">
          <w:rPr>
            <w:rFonts w:hint="cs"/>
            <w:noProof w:val="0"/>
            <w:color w:val="0000FF"/>
            <w:u w:val="single"/>
            <w:rtl/>
          </w:rPr>
          <w:t>ע</w:t>
        </w:r>
        <w:r w:rsidR="005D7072" w:rsidRPr="005D7072">
          <w:rPr>
            <w:noProof w:val="0"/>
            <w:color w:val="0000FF"/>
            <w:u w:val="single"/>
            <w:rtl/>
          </w:rPr>
          <w:t>"</w:t>
        </w:r>
        <w:r w:rsidR="005D7072" w:rsidRPr="005D7072">
          <w:rPr>
            <w:rFonts w:hint="cs"/>
            <w:noProof w:val="0"/>
            <w:color w:val="0000FF"/>
            <w:u w:val="single"/>
            <w:rtl/>
          </w:rPr>
          <w:t>פ</w:t>
        </w:r>
        <w:r w:rsidR="005D7072" w:rsidRPr="005D7072">
          <w:rPr>
            <w:noProof w:val="0"/>
            <w:color w:val="0000FF"/>
            <w:u w:val="single"/>
            <w:rtl/>
          </w:rPr>
          <w:t xml:space="preserve"> 6029/03</w:t>
        </w:r>
      </w:hyperlink>
      <w:r w:rsidRPr="005D7072">
        <w:rPr>
          <w:noProof w:val="0"/>
          <w:color w:val="000000"/>
          <w:rtl/>
        </w:rPr>
        <w:t xml:space="preserve"> </w:t>
      </w:r>
      <w:r w:rsidRPr="005D7072">
        <w:rPr>
          <w:b/>
          <w:bCs/>
          <w:noProof w:val="0"/>
          <w:color w:val="000000"/>
          <w:rtl/>
        </w:rPr>
        <w:t>מדינת ישראל נ' שמאי</w:t>
      </w:r>
      <w:r w:rsidRPr="005D7072">
        <w:rPr>
          <w:noProof w:val="0"/>
          <w:color w:val="000000"/>
          <w:rtl/>
        </w:rPr>
        <w:t>, פ"ד נח</w:t>
      </w:r>
      <w:r w:rsidRPr="005E1E70">
        <w:rPr>
          <w:noProof w:val="0"/>
          <w:rtl/>
        </w:rPr>
        <w:t xml:space="preserve"> (2) 734 (9.2.04); </w:t>
      </w:r>
      <w:hyperlink r:id="rId32" w:history="1">
        <w:r w:rsidR="005D7072" w:rsidRPr="005D7072">
          <w:rPr>
            <w:rFonts w:hint="cs"/>
            <w:noProof w:val="0"/>
            <w:color w:val="0000FF"/>
            <w:u w:val="single"/>
            <w:rtl/>
          </w:rPr>
          <w:t>ע</w:t>
        </w:r>
        <w:r w:rsidR="005D7072" w:rsidRPr="005D7072">
          <w:rPr>
            <w:noProof w:val="0"/>
            <w:color w:val="0000FF"/>
            <w:u w:val="single"/>
            <w:rtl/>
          </w:rPr>
          <w:t>"</w:t>
        </w:r>
        <w:r w:rsidR="005D7072" w:rsidRPr="005D7072">
          <w:rPr>
            <w:rFonts w:hint="cs"/>
            <w:noProof w:val="0"/>
            <w:color w:val="0000FF"/>
            <w:u w:val="single"/>
            <w:rtl/>
          </w:rPr>
          <w:t>פ</w:t>
        </w:r>
        <w:r w:rsidR="005D7072" w:rsidRPr="005D7072">
          <w:rPr>
            <w:noProof w:val="0"/>
            <w:color w:val="0000FF"/>
            <w:u w:val="single"/>
            <w:rtl/>
          </w:rPr>
          <w:t xml:space="preserve"> 6021/95</w:t>
        </w:r>
      </w:hyperlink>
      <w:r w:rsidRPr="005E1E70">
        <w:rPr>
          <w:noProof w:val="0"/>
          <w:rtl/>
        </w:rPr>
        <w:t xml:space="preserve">, 4998/95, 5267/95, </w:t>
      </w:r>
      <w:hyperlink r:id="rId33" w:history="1">
        <w:r w:rsidR="00D23B37" w:rsidRPr="00D23B37">
          <w:rPr>
            <w:noProof w:val="0"/>
            <w:color w:val="0000FF"/>
            <w:u w:val="single"/>
            <w:rtl/>
          </w:rPr>
          <w:t xml:space="preserve">5313/95 </w:t>
        </w:r>
      </w:hyperlink>
      <w:r w:rsidRPr="005E1E70">
        <w:rPr>
          <w:noProof w:val="0"/>
          <w:rtl/>
        </w:rPr>
        <w:t xml:space="preserve"> </w:t>
      </w:r>
      <w:r w:rsidRPr="005E1E70">
        <w:rPr>
          <w:b/>
          <w:bCs/>
          <w:noProof w:val="0"/>
          <w:rtl/>
        </w:rPr>
        <w:t xml:space="preserve">מדינת ישראל נ' גומז </w:t>
      </w:r>
      <w:r w:rsidRPr="005E1E70">
        <w:rPr>
          <w:noProof w:val="0"/>
          <w:rtl/>
        </w:rPr>
        <w:t xml:space="preserve">(פורסם בנבו, 31.7.97); </w:t>
      </w:r>
      <w:hyperlink r:id="rId34" w:history="1">
        <w:r w:rsidR="005D7072" w:rsidRPr="005D7072">
          <w:rPr>
            <w:rFonts w:hint="cs"/>
            <w:noProof w:val="0"/>
            <w:color w:val="0000FF"/>
            <w:u w:val="single"/>
            <w:rtl/>
          </w:rPr>
          <w:t>ע</w:t>
        </w:r>
        <w:r w:rsidR="005D7072" w:rsidRPr="005D7072">
          <w:rPr>
            <w:noProof w:val="0"/>
            <w:color w:val="0000FF"/>
            <w:u w:val="single"/>
            <w:rtl/>
          </w:rPr>
          <w:t>"</w:t>
        </w:r>
        <w:r w:rsidR="005D7072" w:rsidRPr="005D7072">
          <w:rPr>
            <w:rFonts w:hint="cs"/>
            <w:noProof w:val="0"/>
            <w:color w:val="0000FF"/>
            <w:u w:val="single"/>
            <w:rtl/>
          </w:rPr>
          <w:t>פ</w:t>
        </w:r>
        <w:r w:rsidR="005D7072" w:rsidRPr="005D7072">
          <w:rPr>
            <w:noProof w:val="0"/>
            <w:color w:val="0000FF"/>
            <w:u w:val="single"/>
            <w:rtl/>
          </w:rPr>
          <w:t xml:space="preserve"> 575/88</w:t>
        </w:r>
      </w:hyperlink>
      <w:r w:rsidRPr="005D7072">
        <w:rPr>
          <w:noProof w:val="0"/>
          <w:color w:val="000000"/>
          <w:rtl/>
        </w:rPr>
        <w:t xml:space="preserve"> </w:t>
      </w:r>
      <w:r w:rsidRPr="005D7072">
        <w:rPr>
          <w:b/>
          <w:bCs/>
          <w:noProof w:val="0"/>
          <w:color w:val="000000"/>
          <w:rtl/>
        </w:rPr>
        <w:t>עודה נ' מדינת ישראל</w:t>
      </w:r>
      <w:r w:rsidRPr="005D7072">
        <w:rPr>
          <w:noProof w:val="0"/>
          <w:color w:val="000000"/>
          <w:rtl/>
        </w:rPr>
        <w:t>, פ"ד מב</w:t>
      </w:r>
      <w:r w:rsidRPr="005E1E70">
        <w:rPr>
          <w:noProof w:val="0"/>
          <w:rtl/>
        </w:rPr>
        <w:t xml:space="preserve"> (4) 242 (11.12.88).</w:t>
      </w:r>
    </w:p>
    <w:p w14:paraId="2F94F0BE" w14:textId="77777777" w:rsidR="00DB5A1B" w:rsidRPr="005E1E70" w:rsidRDefault="00DB5A1B" w:rsidP="00DB5A1B">
      <w:pPr>
        <w:pStyle w:val="aa"/>
        <w:numPr>
          <w:ilvl w:val="0"/>
          <w:numId w:val="1"/>
        </w:numPr>
        <w:spacing w:after="200" w:line="360" w:lineRule="auto"/>
        <w:ind w:left="357" w:hanging="357"/>
        <w:jc w:val="both"/>
      </w:pPr>
      <w:r>
        <w:rPr>
          <w:noProof w:val="0"/>
          <w:rtl/>
        </w:rPr>
        <w:t xml:space="preserve">יפים לענייננו הדברים שנכתבו ברע"פ </w:t>
      </w:r>
      <w:hyperlink r:id="rId35" w:history="1">
        <w:r w:rsidR="00D23B37" w:rsidRPr="00D23B37">
          <w:rPr>
            <w:noProof w:val="0"/>
            <w:color w:val="0000FF"/>
            <w:u w:val="single"/>
            <w:rtl/>
          </w:rPr>
          <w:t xml:space="preserve">6373/06 </w:t>
        </w:r>
      </w:hyperlink>
      <w:r>
        <w:rPr>
          <w:noProof w:val="0"/>
          <w:rtl/>
        </w:rPr>
        <w:t xml:space="preserve"> </w:t>
      </w:r>
      <w:r>
        <w:rPr>
          <w:b/>
          <w:bCs/>
          <w:noProof w:val="0"/>
          <w:rtl/>
        </w:rPr>
        <w:t xml:space="preserve">מדינת ישראל נ' אלנשמי </w:t>
      </w:r>
      <w:r>
        <w:rPr>
          <w:rFonts w:ascii="Miriam" w:hAnsi="Miriam"/>
          <w:noProof w:val="0"/>
          <w:rtl/>
        </w:rPr>
        <w:t>(</w:t>
      </w:r>
      <w:r>
        <w:rPr>
          <w:noProof w:val="0"/>
          <w:rtl/>
        </w:rPr>
        <w:t>פורסם בנבו, 6.9.06), שם פסק בית המשפט העליון כי:</w:t>
      </w:r>
      <w:r>
        <w:rPr>
          <w:b/>
          <w:bCs/>
          <w:noProof w:val="0"/>
          <w:rtl/>
        </w:rPr>
        <w:t xml:space="preserve"> "כאשר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בסם. הסחר בסמים מסוכנים הינו אמצעי קל ונח לעשיית רווחים נכבדים. ענישתם של מי שסחרו בסמים מסוכנים צריכה ליתן מענה גם לפיתוי זה ובמילים אחרות- על מי אשר שוקל לש</w:t>
      </w:r>
      <w:bookmarkStart w:id="9" w:name="Seif23"/>
      <w:r>
        <w:rPr>
          <w:b/>
          <w:bCs/>
          <w:noProof w:val="0"/>
          <w:rtl/>
        </w:rPr>
        <w:t xml:space="preserve">לוח ידו </w:t>
      </w:r>
      <w:bookmarkEnd w:id="9"/>
      <w:r>
        <w:rPr>
          <w:b/>
          <w:bCs/>
          <w:noProof w:val="0"/>
          <w:rtl/>
        </w:rPr>
        <w:t xml:space="preserve">בסחר בסמים להעמיד לנגד עיניו לא רק את הפיתוי לשלשל לכיסו סכומי כסף נכבדים, אלא את הסיכון של שהיה ממושכת </w:t>
      </w:r>
      <w:r w:rsidRPr="005E1E70">
        <w:rPr>
          <w:b/>
          <w:bCs/>
          <w:noProof w:val="0"/>
          <w:rtl/>
        </w:rPr>
        <w:t>מאחורי סורג ובריח".</w:t>
      </w:r>
    </w:p>
    <w:p w14:paraId="7FE48183" w14:textId="77777777" w:rsidR="00DB5A1B" w:rsidRDefault="00DB5A1B" w:rsidP="00DB5A1B">
      <w:pPr>
        <w:pStyle w:val="aa"/>
        <w:numPr>
          <w:ilvl w:val="0"/>
          <w:numId w:val="1"/>
        </w:numPr>
        <w:spacing w:after="200" w:line="360" w:lineRule="auto"/>
        <w:ind w:left="357" w:hanging="357"/>
        <w:jc w:val="both"/>
      </w:pPr>
      <w:r w:rsidRPr="005E1E70">
        <w:rPr>
          <w:noProof w:val="0"/>
          <w:rtl/>
        </w:rPr>
        <w:t xml:space="preserve">עוד אפנה בהקשר זה </w:t>
      </w:r>
      <w:r w:rsidRPr="005D7072">
        <w:rPr>
          <w:rFonts w:ascii="FrankRuehl" w:hAnsi="FrankRuehl"/>
          <w:noProof w:val="0"/>
          <w:color w:val="000000"/>
          <w:rtl/>
        </w:rPr>
        <w:t>ל</w:t>
      </w:r>
      <w:hyperlink r:id="rId36" w:history="1">
        <w:r w:rsidR="005D7072" w:rsidRPr="005D7072">
          <w:rPr>
            <w:rFonts w:ascii="FrankRuehl" w:hAnsi="FrankRuehl"/>
            <w:noProof w:val="0"/>
            <w:color w:val="0000FF"/>
            <w:u w:val="single"/>
            <w:rtl/>
          </w:rPr>
          <w:t>רע"פ 3443/07</w:t>
        </w:r>
      </w:hyperlink>
      <w:r w:rsidRPr="005D7072">
        <w:rPr>
          <w:rFonts w:ascii="FrankRuehl" w:hAnsi="FrankRuehl"/>
          <w:noProof w:val="0"/>
          <w:color w:val="000000"/>
          <w:rtl/>
        </w:rPr>
        <w:t xml:space="preserve"> </w:t>
      </w:r>
      <w:r w:rsidRPr="005E1E70">
        <w:rPr>
          <w:rFonts w:ascii="FrankRuehl" w:hAnsi="FrankRuehl"/>
          <w:b/>
          <w:bCs/>
          <w:noProof w:val="0"/>
          <w:rtl/>
        </w:rPr>
        <w:t>מכאוי</w:t>
      </w:r>
      <w:r w:rsidRPr="005E1E70">
        <w:rPr>
          <w:rFonts w:ascii="FrankRuehl" w:hAnsi="FrankRuehl"/>
          <w:noProof w:val="0"/>
          <w:rtl/>
        </w:rPr>
        <w:t xml:space="preserve"> </w:t>
      </w:r>
      <w:r w:rsidRPr="005E1E70">
        <w:rPr>
          <w:rFonts w:ascii="FrankRuehl" w:hAnsi="FrankRuehl"/>
          <w:b/>
          <w:bCs/>
          <w:noProof w:val="0"/>
          <w:rtl/>
        </w:rPr>
        <w:t>נ' מ"י</w:t>
      </w:r>
      <w:r w:rsidRPr="005E1E70">
        <w:rPr>
          <w:rFonts w:ascii="FrankRuehl" w:hAnsi="FrankRuehl"/>
          <w:noProof w:val="0"/>
          <w:rtl/>
        </w:rPr>
        <w:t xml:space="preserve"> (פורסם בנבו, 26.7.07) שם נקבע כי: </w:t>
      </w:r>
      <w:r w:rsidRPr="005E1E70">
        <w:rPr>
          <w:rFonts w:ascii="FrankRuehl" w:hAnsi="FrankRuehl"/>
          <w:b/>
          <w:bCs/>
          <w:noProof w:val="0"/>
          <w:rtl/>
        </w:rPr>
        <w:t xml:space="preserve">"כאשר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w:t>
      </w:r>
      <w:r>
        <w:rPr>
          <w:rFonts w:ascii="FrankRuehl" w:hAnsi="FrankRuehl"/>
          <w:b/>
          <w:bCs/>
          <w:noProof w:val="0"/>
          <w:rtl/>
        </w:rPr>
        <w:t>רבים ובעיקר צעירים הנופלים למעגל של מסכנות וצער הגורמים אומללות למשפחותיהם".</w:t>
      </w:r>
    </w:p>
    <w:p w14:paraId="7C496C48" w14:textId="77777777" w:rsidR="00DB5A1B" w:rsidRDefault="00DB5A1B" w:rsidP="00DB5A1B">
      <w:pPr>
        <w:pStyle w:val="aa"/>
        <w:numPr>
          <w:ilvl w:val="0"/>
          <w:numId w:val="1"/>
        </w:numPr>
        <w:spacing w:after="200" w:line="360" w:lineRule="auto"/>
        <w:ind w:left="357" w:hanging="357"/>
        <w:jc w:val="both"/>
      </w:pPr>
      <w:r>
        <w:rPr>
          <w:rFonts w:ascii="David" w:hAnsi="David"/>
          <w:color w:val="000000"/>
          <w:rtl/>
        </w:rPr>
        <w:t>במסגרת</w:t>
      </w:r>
      <w:r w:rsidR="005D7072">
        <w:rPr>
          <w:rFonts w:ascii="David" w:hAnsi="David"/>
          <w:color w:val="000000"/>
          <w:rtl/>
        </w:rPr>
        <w:t xml:space="preserve"> </w:t>
      </w:r>
      <w:r>
        <w:rPr>
          <w:rFonts w:ascii="David" w:hAnsi="David"/>
          <w:b/>
          <w:bCs/>
          <w:color w:val="000000"/>
          <w:rtl/>
        </w:rPr>
        <w:t>הנסיבות הקשורות בביצוע העבירה</w:t>
      </w:r>
      <w:r w:rsidR="005D7072">
        <w:rPr>
          <w:rFonts w:ascii="David" w:hAnsi="David"/>
          <w:b/>
          <w:bCs/>
          <w:color w:val="000000"/>
          <w:rtl/>
        </w:rPr>
        <w:t xml:space="preserve"> </w:t>
      </w:r>
      <w:r>
        <w:rPr>
          <w:rFonts w:ascii="David" w:hAnsi="David"/>
          <w:color w:val="000000"/>
          <w:rtl/>
        </w:rPr>
        <w:t>(סעף 40 ט' ל</w:t>
      </w:r>
      <w:hyperlink r:id="rId37" w:history="1">
        <w:r w:rsidR="005D7072" w:rsidRPr="005D7072">
          <w:rPr>
            <w:rFonts w:ascii="David" w:hAnsi="David"/>
            <w:color w:val="0000FF"/>
            <w:u w:val="single"/>
            <w:rtl/>
          </w:rPr>
          <w:t>חוק העונשין</w:t>
        </w:r>
      </w:hyperlink>
      <w:r>
        <w:rPr>
          <w:rFonts w:ascii="David" w:hAnsi="David"/>
          <w:color w:val="000000"/>
          <w:rtl/>
        </w:rPr>
        <w:t>), נתתי דעתי למספר הרב של העסקאות שבוצעו לאורך תקופה של חמישה חודשים, במהלכם מכר הנאשם סם מסוכן מסוג קנבוס ל-11 קונים, בינהם 2 קטינים. הנאשם הוא מבצע יחיד וחלקו בעבירות בלעדי. רצף ותדירות העסקאות</w:t>
      </w:r>
      <w:r>
        <w:rPr>
          <w:rtl/>
        </w:rPr>
        <w:t xml:space="preserve"> מלמדים על התכנון המוקדם שליווה את העבירות ועל נגישותו של הנאשם לסמים, היערכותו וזמינותו להספקת הסמים. עוד יש לתת את הדעת לכך שהנאשם הורשע במכירת סם לרוכשים שהם אינם סוכן משטרתי, ואשר הנאשם סיכן את בריאותם</w:t>
      </w:r>
      <w:r>
        <w:rPr>
          <w:rFonts w:ascii="David" w:hAnsi="David"/>
          <w:color w:val="000000"/>
          <w:rtl/>
        </w:rPr>
        <w:t xml:space="preserve">. </w:t>
      </w:r>
    </w:p>
    <w:p w14:paraId="27CC035D" w14:textId="77777777" w:rsidR="00DB5A1B" w:rsidRDefault="00DB5A1B" w:rsidP="00DB5A1B">
      <w:pPr>
        <w:pStyle w:val="aa"/>
        <w:numPr>
          <w:ilvl w:val="0"/>
          <w:numId w:val="1"/>
        </w:numPr>
        <w:spacing w:after="200" w:line="360" w:lineRule="auto"/>
        <w:ind w:left="357" w:hanging="357"/>
        <w:jc w:val="both"/>
      </w:pPr>
      <w:r>
        <w:rPr>
          <w:rtl/>
        </w:rPr>
        <w:t>עסקאות הסחר בוצעו בכל פעם בכמויות ובסכומים שאינם גבוהים, אולם חומרתן היתרה נעוצה בריבוי המעשים בלא פחות מ-45 הזדמנויות, ובעובדה שב-15 מהעסקאות מכר הנאשם סם מסוכן לשני קטינים. הנזק שנגרם כתוצאה ממעשיו של הנאשם הוא הפצת נגע הסמים בחברה, ופוטנציאל נזק בריאותי לציבור המשתמשים ובפרט לציבור הקטינים.</w:t>
      </w:r>
    </w:p>
    <w:p w14:paraId="58A9CE57" w14:textId="77777777" w:rsidR="00DB5A1B" w:rsidRDefault="00DB5A1B" w:rsidP="00DB5A1B">
      <w:pPr>
        <w:pStyle w:val="aa"/>
        <w:numPr>
          <w:ilvl w:val="0"/>
          <w:numId w:val="1"/>
        </w:numPr>
        <w:spacing w:after="480" w:line="360" w:lineRule="auto"/>
        <w:jc w:val="both"/>
      </w:pPr>
      <w:r>
        <w:rPr>
          <w:rtl/>
        </w:rPr>
        <w:t>בנסיבות אלו מצאתי שמידת הפגיעה בערכים המוגנים היא משמעותית.</w:t>
      </w:r>
    </w:p>
    <w:p w14:paraId="055DCB5B" w14:textId="77777777" w:rsidR="00DB5A1B" w:rsidRPr="005E1E70" w:rsidRDefault="00DB5A1B" w:rsidP="00DB5A1B">
      <w:pPr>
        <w:pStyle w:val="aa"/>
        <w:numPr>
          <w:ilvl w:val="0"/>
          <w:numId w:val="1"/>
        </w:numPr>
        <w:shd w:val="clear" w:color="auto" w:fill="FFFFFF"/>
        <w:spacing w:after="160" w:line="360" w:lineRule="auto"/>
        <w:jc w:val="both"/>
      </w:pPr>
      <w:r>
        <w:rPr>
          <w:rtl/>
        </w:rPr>
        <w:t xml:space="preserve">מדיניות הענישה הנוהגת בעבירות של הספקה וסחר בסם מסוכן מסוג קנבוס (או סמים אחרים שאינם נמנים על הסמים המוגדרים כקשים) היא רחבה ומושפעת  מנסיבותיו הייחודיות של כל מקרה. מנעד הענישה נגזר, בין היתר, מהיקף הסחר בסמים, סוג הסם, כמות הסם הנמכר, התמורה הכספית, מספר הקונים באבחנה בין מכירת סם לבגיר או קטין,  פרק הזמן שבו בוצעו </w:t>
      </w:r>
      <w:r w:rsidRPr="005E1E70">
        <w:rPr>
          <w:rtl/>
        </w:rPr>
        <w:t xml:space="preserve">העסקאות, וכיוצ"ב. </w:t>
      </w:r>
      <w:r w:rsidRPr="005E1E70">
        <w:rPr>
          <w:noProof w:val="0"/>
          <w:rtl/>
        </w:rPr>
        <w:t>על מנעד הענישה  בעבירות אלה  ניתן ללמוד מהפסיקה שלהלן:</w:t>
      </w:r>
    </w:p>
    <w:p w14:paraId="7A4F1D2C" w14:textId="77777777" w:rsidR="00DB5A1B" w:rsidRPr="005E1E70" w:rsidRDefault="00DB5A1B" w:rsidP="00DB5A1B">
      <w:pPr>
        <w:pStyle w:val="aa"/>
        <w:numPr>
          <w:ilvl w:val="0"/>
          <w:numId w:val="2"/>
        </w:numPr>
        <w:spacing w:line="360" w:lineRule="auto"/>
        <w:jc w:val="both"/>
        <w:rPr>
          <w:rtl/>
        </w:rPr>
      </w:pPr>
      <w:r w:rsidRPr="005E1E70">
        <w:rPr>
          <w:rtl/>
        </w:rPr>
        <w:t>ב</w:t>
      </w:r>
      <w:hyperlink r:id="rId38" w:history="1">
        <w:r w:rsidR="005D7072" w:rsidRPr="005D7072">
          <w:rPr>
            <w:rFonts w:hint="cs"/>
            <w:color w:val="0000FF"/>
            <w:u w:val="single"/>
            <w:rtl/>
          </w:rPr>
          <w:t>רע</w:t>
        </w:r>
        <w:r w:rsidR="005D7072" w:rsidRPr="005D7072">
          <w:rPr>
            <w:color w:val="0000FF"/>
            <w:u w:val="single"/>
            <w:rtl/>
          </w:rPr>
          <w:t>"</w:t>
        </w:r>
        <w:r w:rsidR="005D7072" w:rsidRPr="005D7072">
          <w:rPr>
            <w:rFonts w:hint="cs"/>
            <w:color w:val="0000FF"/>
            <w:u w:val="single"/>
            <w:rtl/>
          </w:rPr>
          <w:t>פ</w:t>
        </w:r>
        <w:r w:rsidR="005D7072" w:rsidRPr="005D7072">
          <w:rPr>
            <w:color w:val="0000FF"/>
            <w:u w:val="single"/>
            <w:rtl/>
          </w:rPr>
          <w:t xml:space="preserve"> 5698/17</w:t>
        </w:r>
      </w:hyperlink>
      <w:r w:rsidRPr="005E1E70">
        <w:rPr>
          <w:rtl/>
        </w:rPr>
        <w:t xml:space="preserve"> </w:t>
      </w:r>
      <w:r w:rsidRPr="005E1E70">
        <w:rPr>
          <w:rFonts w:hint="cs"/>
          <w:b/>
          <w:bCs/>
          <w:rtl/>
        </w:rPr>
        <w:t>ליפצר נ' מדינת ישראל</w:t>
      </w:r>
      <w:r w:rsidRPr="005E1E70">
        <w:rPr>
          <w:rFonts w:hint="cs"/>
          <w:rtl/>
        </w:rPr>
        <w:t xml:space="preserve"> (פורסם בנבו, 4.9.2017) אושר עונש של </w:t>
      </w:r>
      <w:r w:rsidRPr="005E1E70">
        <w:rPr>
          <w:rFonts w:hint="cs"/>
          <w:b/>
          <w:bCs/>
          <w:rtl/>
        </w:rPr>
        <w:t>30 חודשי מאסר בפועל</w:t>
      </w:r>
      <w:r w:rsidRPr="005E1E70">
        <w:rPr>
          <w:rFonts w:hint="cs"/>
          <w:rtl/>
        </w:rPr>
        <w:t xml:space="preserve"> וענישה נלווית שנגזרו על נאשם שהורשע, לאחר שמיעת ראיות, בביצוע </w:t>
      </w:r>
      <w:r w:rsidRPr="005E1E70">
        <w:rPr>
          <w:rFonts w:hint="cs"/>
          <w:b/>
          <w:bCs/>
          <w:rtl/>
        </w:rPr>
        <w:t>15 עבירות</w:t>
      </w:r>
      <w:r w:rsidRPr="005E1E70">
        <w:rPr>
          <w:rFonts w:hint="cs"/>
          <w:rtl/>
        </w:rPr>
        <w:t xml:space="preserve"> של סחר בסם מסוכן מסוג קנבוס ל-</w:t>
      </w:r>
      <w:r w:rsidRPr="005E1E70">
        <w:rPr>
          <w:rFonts w:hint="cs"/>
          <w:b/>
          <w:bCs/>
          <w:rtl/>
        </w:rPr>
        <w:t>8 קונים</w:t>
      </w:r>
      <w:r w:rsidRPr="005E1E70">
        <w:rPr>
          <w:rFonts w:hint="cs"/>
          <w:rtl/>
        </w:rPr>
        <w:t xml:space="preserve"> שונים במשך כשנה, החזקת סמים שלא לצריכה עצמית וכן אספקת סמים.</w:t>
      </w:r>
    </w:p>
    <w:p w14:paraId="481F2D40" w14:textId="77777777" w:rsidR="00DB5A1B" w:rsidRPr="005E1E70" w:rsidRDefault="00DB5A1B" w:rsidP="00DB5A1B">
      <w:pPr>
        <w:pStyle w:val="aa"/>
        <w:numPr>
          <w:ilvl w:val="0"/>
          <w:numId w:val="2"/>
        </w:numPr>
        <w:spacing w:line="360" w:lineRule="auto"/>
        <w:jc w:val="both"/>
      </w:pPr>
      <w:r w:rsidRPr="005E1E70">
        <w:rPr>
          <w:rtl/>
        </w:rPr>
        <w:t>ב</w:t>
      </w:r>
      <w:hyperlink r:id="rId39" w:history="1">
        <w:r w:rsidR="005D7072" w:rsidRPr="005D7072">
          <w:rPr>
            <w:rFonts w:hint="cs"/>
            <w:color w:val="0000FF"/>
            <w:u w:val="single"/>
            <w:rtl/>
          </w:rPr>
          <w:t>עפ</w:t>
        </w:r>
        <w:r w:rsidR="005D7072" w:rsidRPr="005D7072">
          <w:rPr>
            <w:color w:val="0000FF"/>
            <w:u w:val="single"/>
            <w:rtl/>
          </w:rPr>
          <w:t>"</w:t>
        </w:r>
        <w:r w:rsidR="005D7072" w:rsidRPr="005D7072">
          <w:rPr>
            <w:rFonts w:hint="cs"/>
            <w:color w:val="0000FF"/>
            <w:u w:val="single"/>
            <w:rtl/>
          </w:rPr>
          <w:t>ג</w:t>
        </w:r>
        <w:r w:rsidR="005D7072" w:rsidRPr="005D7072">
          <w:rPr>
            <w:color w:val="0000FF"/>
            <w:u w:val="single"/>
            <w:rtl/>
          </w:rPr>
          <w:t xml:space="preserve"> (</w:t>
        </w:r>
        <w:r w:rsidR="005D7072" w:rsidRPr="005D7072">
          <w:rPr>
            <w:rFonts w:hint="cs"/>
            <w:color w:val="0000FF"/>
            <w:u w:val="single"/>
            <w:rtl/>
          </w:rPr>
          <w:t>מרכז</w:t>
        </w:r>
        <w:r w:rsidR="005D7072" w:rsidRPr="005D7072">
          <w:rPr>
            <w:color w:val="0000FF"/>
            <w:u w:val="single"/>
            <w:rtl/>
          </w:rPr>
          <w:t>-</w:t>
        </w:r>
        <w:r w:rsidR="005D7072" w:rsidRPr="005D7072">
          <w:rPr>
            <w:rFonts w:hint="cs"/>
            <w:color w:val="0000FF"/>
            <w:u w:val="single"/>
            <w:rtl/>
          </w:rPr>
          <w:t>לוד</w:t>
        </w:r>
        <w:r w:rsidR="005D7072" w:rsidRPr="005D7072">
          <w:rPr>
            <w:color w:val="0000FF"/>
            <w:u w:val="single"/>
            <w:rtl/>
          </w:rPr>
          <w:t>) 23775-04-15</w:t>
        </w:r>
      </w:hyperlink>
      <w:r w:rsidRPr="005E1E70">
        <w:rPr>
          <w:rtl/>
        </w:rPr>
        <w:t xml:space="preserve"> </w:t>
      </w:r>
      <w:r w:rsidRPr="005E1E70">
        <w:rPr>
          <w:rFonts w:hint="cs"/>
          <w:b/>
          <w:bCs/>
          <w:rtl/>
        </w:rPr>
        <w:t xml:space="preserve">מדינת ישראל נ' מדמון </w:t>
      </w:r>
      <w:r w:rsidRPr="005E1E70">
        <w:rPr>
          <w:rFonts w:hint="cs"/>
          <w:rtl/>
        </w:rPr>
        <w:t xml:space="preserve">(פורסם בנבו, 21.6.2015), הוחמר עונשו של נאשם צעיר, נעדר עבר פלילי, אשר הורשע בביצוען של לפחות </w:t>
      </w:r>
      <w:r w:rsidRPr="005E1E70">
        <w:rPr>
          <w:rFonts w:hint="cs"/>
          <w:b/>
          <w:bCs/>
          <w:rtl/>
        </w:rPr>
        <w:t xml:space="preserve">16 עסקאות </w:t>
      </w:r>
      <w:r w:rsidRPr="005E1E70">
        <w:rPr>
          <w:rFonts w:hint="cs"/>
          <w:rtl/>
        </w:rPr>
        <w:t xml:space="preserve">סחר </w:t>
      </w:r>
      <w:r>
        <w:rPr>
          <w:rFonts w:hint="cs"/>
          <w:rtl/>
        </w:rPr>
        <w:t>בסמים מסוכנים מסוג קנאביס וחשיש, בכמויות קטנות, ל-</w:t>
      </w:r>
      <w:r>
        <w:rPr>
          <w:rFonts w:hint="cs"/>
          <w:b/>
          <w:bCs/>
          <w:rtl/>
        </w:rPr>
        <w:t>5 לקוחות</w:t>
      </w:r>
      <w:r>
        <w:rPr>
          <w:rFonts w:hint="cs"/>
          <w:rtl/>
        </w:rPr>
        <w:t xml:space="preserve">, ובהם </w:t>
      </w:r>
      <w:r>
        <w:rPr>
          <w:rFonts w:hint="cs"/>
          <w:b/>
          <w:bCs/>
          <w:rtl/>
        </w:rPr>
        <w:t>קטין</w:t>
      </w:r>
      <w:r>
        <w:rPr>
          <w:rFonts w:hint="cs"/>
          <w:rtl/>
        </w:rPr>
        <w:t xml:space="preserve">, החזקת חשיש לצריכה עצמית והפרת הוראה חוקית, באופן שעונשו הועמד על </w:t>
      </w:r>
      <w:r>
        <w:rPr>
          <w:rFonts w:hint="cs"/>
          <w:b/>
          <w:bCs/>
          <w:rtl/>
        </w:rPr>
        <w:t>24 חודשי מאסר בפועל</w:t>
      </w:r>
      <w:r>
        <w:rPr>
          <w:rFonts w:hint="cs"/>
          <w:rtl/>
        </w:rPr>
        <w:t>. תסקיר שהתקבל בעניינו של הנאשם היה שלילי והמליץ על עונש מאסר. בית המשפט המחוזי קבע כי: "</w:t>
      </w:r>
      <w:r>
        <w:rPr>
          <w:rFonts w:hint="cs"/>
          <w:b/>
          <w:bCs/>
          <w:rtl/>
        </w:rPr>
        <w:t xml:space="preserve">אין בכל הנסיבות המקלות כפי שהובאו על ידי בית המשפט קמא כדי להצדיק הטלת עונש מאסר לתקופה מצטברת של 15 חודשים, אשר הולמת מס' מועט של מכירות סמים ולא מכירה ב – 16 הזדמנויות של חשיש וקנבוס לאחרים, שאינם </w:t>
      </w:r>
      <w:r w:rsidRPr="005E1E70">
        <w:rPr>
          <w:rFonts w:hint="cs"/>
          <w:b/>
          <w:bCs/>
          <w:rtl/>
        </w:rPr>
        <w:t>סוכנים סמויים</w:t>
      </w:r>
      <w:r w:rsidRPr="005E1E70">
        <w:rPr>
          <w:rFonts w:hint="cs"/>
          <w:rtl/>
        </w:rPr>
        <w:t>".</w:t>
      </w:r>
    </w:p>
    <w:p w14:paraId="6F17CB49" w14:textId="77777777" w:rsidR="00DB5A1B" w:rsidRPr="005E1E70" w:rsidRDefault="00DB5A1B" w:rsidP="00DB5A1B">
      <w:pPr>
        <w:pStyle w:val="aa"/>
        <w:numPr>
          <w:ilvl w:val="0"/>
          <w:numId w:val="2"/>
        </w:numPr>
        <w:spacing w:line="360" w:lineRule="auto"/>
        <w:jc w:val="both"/>
      </w:pPr>
      <w:r w:rsidRPr="005E1E70">
        <w:rPr>
          <w:rtl/>
        </w:rPr>
        <w:t>ב</w:t>
      </w:r>
      <w:hyperlink r:id="rId40" w:history="1">
        <w:r w:rsidR="005D7072" w:rsidRPr="005D7072">
          <w:rPr>
            <w:rFonts w:hint="cs"/>
            <w:color w:val="0000FF"/>
            <w:u w:val="single"/>
            <w:rtl/>
          </w:rPr>
          <w:t>עפ</w:t>
        </w:r>
        <w:r w:rsidR="005D7072" w:rsidRPr="005D7072">
          <w:rPr>
            <w:color w:val="0000FF"/>
            <w:u w:val="single"/>
            <w:rtl/>
          </w:rPr>
          <w:t>"</w:t>
        </w:r>
        <w:r w:rsidR="005D7072" w:rsidRPr="005D7072">
          <w:rPr>
            <w:rFonts w:hint="cs"/>
            <w:color w:val="0000FF"/>
            <w:u w:val="single"/>
            <w:rtl/>
          </w:rPr>
          <w:t>ג</w:t>
        </w:r>
        <w:r w:rsidR="005D7072" w:rsidRPr="005D7072">
          <w:rPr>
            <w:color w:val="0000FF"/>
            <w:u w:val="single"/>
            <w:rtl/>
          </w:rPr>
          <w:t xml:space="preserve"> (</w:t>
        </w:r>
        <w:r w:rsidR="005D7072" w:rsidRPr="005D7072">
          <w:rPr>
            <w:rFonts w:hint="cs"/>
            <w:color w:val="0000FF"/>
            <w:u w:val="single"/>
            <w:rtl/>
          </w:rPr>
          <w:t>מרכז</w:t>
        </w:r>
        <w:r w:rsidR="005D7072" w:rsidRPr="005D7072">
          <w:rPr>
            <w:color w:val="0000FF"/>
            <w:u w:val="single"/>
            <w:rtl/>
          </w:rPr>
          <w:t>-</w:t>
        </w:r>
        <w:r w:rsidR="005D7072" w:rsidRPr="005D7072">
          <w:rPr>
            <w:rFonts w:hint="cs"/>
            <w:color w:val="0000FF"/>
            <w:u w:val="single"/>
            <w:rtl/>
          </w:rPr>
          <w:t>לוד</w:t>
        </w:r>
        <w:r w:rsidR="005D7072" w:rsidRPr="005D7072">
          <w:rPr>
            <w:color w:val="0000FF"/>
            <w:u w:val="single"/>
            <w:rtl/>
          </w:rPr>
          <w:t>) 8209-08-19</w:t>
        </w:r>
      </w:hyperlink>
      <w:r w:rsidRPr="005E1E70">
        <w:rPr>
          <w:rtl/>
        </w:rPr>
        <w:t xml:space="preserve"> </w:t>
      </w:r>
      <w:r w:rsidRPr="005E1E70">
        <w:rPr>
          <w:rFonts w:hint="cs"/>
          <w:b/>
          <w:bCs/>
          <w:rtl/>
        </w:rPr>
        <w:t>מדינת ישראל נ' פסו</w:t>
      </w:r>
      <w:r w:rsidRPr="005E1E70">
        <w:rPr>
          <w:rFonts w:hint="cs"/>
          <w:rtl/>
        </w:rPr>
        <w:t xml:space="preserve"> (9.12.2019), התקבל ערעור המדינה על קולת עונשו של נאשם שהורשע בהתאם להודאתו בעבירות סחר בסמים, בעבירות החזקת סם שלא לצריכה עצמית והחזקת כלים להכנת סם שלא לצריכה עצמית. הנאשם ביצע </w:t>
      </w:r>
      <w:r w:rsidRPr="005E1E70">
        <w:rPr>
          <w:rFonts w:hint="cs"/>
          <w:b/>
          <w:bCs/>
          <w:rtl/>
        </w:rPr>
        <w:t>53 עסקאות</w:t>
      </w:r>
      <w:r w:rsidRPr="005E1E70">
        <w:rPr>
          <w:rFonts w:hint="cs"/>
          <w:rtl/>
        </w:rPr>
        <w:t xml:space="preserve"> סחר בסם מסוכן מסוג קנבוס, במשקלים הנעים בין 1 ל-10 גרם נטו, במשך 3 חודשים עם </w:t>
      </w:r>
      <w:r w:rsidRPr="005E1E70">
        <w:rPr>
          <w:rFonts w:hint="cs"/>
          <w:b/>
          <w:bCs/>
          <w:rtl/>
        </w:rPr>
        <w:t>29 קונים בגירים</w:t>
      </w:r>
      <w:r w:rsidRPr="005E1E70">
        <w:rPr>
          <w:rFonts w:hint="cs"/>
          <w:rtl/>
        </w:rPr>
        <w:t xml:space="preserve">, תוך הסתייעות בנהג מונית להעברת הסמים והכסף. בית המשפט המחוזי קבע כי מתחם כולל הנע בין 12 ל-36 חודשי מאסר חורג לקולא באופן ממשי, ועונשו של הנאשם הוחמר ל- </w:t>
      </w:r>
      <w:r w:rsidRPr="005E1E70">
        <w:rPr>
          <w:rFonts w:hint="cs"/>
          <w:b/>
          <w:bCs/>
          <w:rtl/>
        </w:rPr>
        <w:t>28 חודשי מאסר בפועל</w:t>
      </w:r>
      <w:r w:rsidRPr="005E1E70">
        <w:rPr>
          <w:rFonts w:hint="cs"/>
          <w:rtl/>
        </w:rPr>
        <w:t xml:space="preserve">. בקשת ערעור שהוגשה לבית המשפט העליון נדחתה.  </w:t>
      </w:r>
    </w:p>
    <w:p w14:paraId="7EDEA3F4" w14:textId="77777777" w:rsidR="00DB5A1B" w:rsidRPr="005E1E70" w:rsidRDefault="00DB5A1B" w:rsidP="00DB5A1B">
      <w:pPr>
        <w:pStyle w:val="aa"/>
        <w:numPr>
          <w:ilvl w:val="0"/>
          <w:numId w:val="2"/>
        </w:numPr>
        <w:spacing w:after="120" w:line="360" w:lineRule="auto"/>
        <w:ind w:left="714" w:hanging="357"/>
        <w:jc w:val="both"/>
        <w:rPr>
          <w:rFonts w:ascii="Arial" w:hAnsi="Arial"/>
        </w:rPr>
      </w:pPr>
      <w:r w:rsidRPr="005E1E70">
        <w:rPr>
          <w:rtl/>
        </w:rPr>
        <w:t>ב</w:t>
      </w:r>
      <w:hyperlink r:id="rId41" w:history="1">
        <w:r w:rsidR="005D7072" w:rsidRPr="005D7072">
          <w:rPr>
            <w:rFonts w:hint="cs"/>
            <w:color w:val="0000FF"/>
            <w:u w:val="single"/>
            <w:rtl/>
          </w:rPr>
          <w:t>רע</w:t>
        </w:r>
        <w:r w:rsidR="005D7072" w:rsidRPr="005D7072">
          <w:rPr>
            <w:color w:val="0000FF"/>
            <w:u w:val="single"/>
            <w:rtl/>
          </w:rPr>
          <w:t>"</w:t>
        </w:r>
        <w:r w:rsidR="005D7072" w:rsidRPr="005D7072">
          <w:rPr>
            <w:rFonts w:hint="cs"/>
            <w:color w:val="0000FF"/>
            <w:u w:val="single"/>
            <w:rtl/>
          </w:rPr>
          <w:t>פ</w:t>
        </w:r>
        <w:r w:rsidR="005D7072" w:rsidRPr="005D7072">
          <w:rPr>
            <w:color w:val="0000FF"/>
            <w:u w:val="single"/>
            <w:rtl/>
          </w:rPr>
          <w:t xml:space="preserve"> 7996/12</w:t>
        </w:r>
      </w:hyperlink>
      <w:r w:rsidRPr="005E1E70">
        <w:rPr>
          <w:rtl/>
        </w:rPr>
        <w:t xml:space="preserve"> </w:t>
      </w:r>
      <w:r w:rsidRPr="005E1E70">
        <w:rPr>
          <w:rFonts w:hint="cs"/>
          <w:b/>
          <w:bCs/>
          <w:rtl/>
        </w:rPr>
        <w:t>יוסף נ' מדינת ישראל</w:t>
      </w:r>
      <w:r w:rsidRPr="005E1E70">
        <w:rPr>
          <w:rFonts w:hint="cs"/>
          <w:rtl/>
        </w:rPr>
        <w:t xml:space="preserve"> (פורסם בנבו, 23.1.13) דחה בית-המשפט העליון בקשת רשות</w:t>
      </w:r>
      <w:r w:rsidRPr="005E1E70">
        <w:rPr>
          <w:rFonts w:ascii="Arial" w:hAnsi="Arial"/>
          <w:rtl/>
        </w:rPr>
        <w:t xml:space="preserve"> ערעור של נאשם, אשר הורשע בשלושה אישומים, בעבירות של סחר בצוותא בסם מסוג חשיש בכמויות של 6-2 גרם בתמורה ל- 200 ₪ בכל פעם, בעבירת תיווך בעסקת סמים ובאישום נוסף של החזקת סם מסוג קוקאין לצריכה עצמית, ונדון לעונש של </w:t>
      </w:r>
      <w:r w:rsidRPr="005E1E70">
        <w:rPr>
          <w:rFonts w:ascii="Arial" w:hAnsi="Arial"/>
          <w:b/>
          <w:bCs/>
          <w:rtl/>
        </w:rPr>
        <w:t>21 חודשי מאסר בפועל</w:t>
      </w:r>
      <w:r w:rsidRPr="005E1E70">
        <w:rPr>
          <w:rFonts w:ascii="Arial" w:hAnsi="Arial"/>
          <w:rtl/>
        </w:rPr>
        <w:t>. באותו עניין נקבע:"</w:t>
      </w:r>
      <w:r w:rsidRPr="005E1E70">
        <w:rPr>
          <w:rFonts w:ascii="Arial" w:hAnsi="Arial"/>
          <w:b/>
          <w:bCs/>
          <w:rtl/>
        </w:rPr>
        <w:t>אף אם כמויות הסמים נושא העבירות "קטנות" - כטענת המבקש- אין בכך כדי להפחית מחומרת של עבירות אלה ומהצורך למגר אותן באמצעות הטלת עונש בעל היבט הרתעתי</w:t>
      </w:r>
      <w:r w:rsidRPr="005E1E70">
        <w:rPr>
          <w:rFonts w:ascii="Arial" w:hAnsi="Arial"/>
          <w:rtl/>
        </w:rPr>
        <w:t xml:space="preserve">". </w:t>
      </w:r>
    </w:p>
    <w:p w14:paraId="3E44D255" w14:textId="77777777" w:rsidR="00DB5A1B" w:rsidRPr="005E1E70" w:rsidRDefault="00DB5A1B" w:rsidP="00DB5A1B">
      <w:pPr>
        <w:pStyle w:val="aa"/>
        <w:numPr>
          <w:ilvl w:val="0"/>
          <w:numId w:val="2"/>
        </w:numPr>
        <w:spacing w:after="120" w:line="360" w:lineRule="auto"/>
        <w:ind w:left="714" w:hanging="357"/>
        <w:jc w:val="both"/>
        <w:rPr>
          <w:rFonts w:ascii="Arial" w:hAnsi="Arial"/>
        </w:rPr>
      </w:pPr>
      <w:r w:rsidRPr="005E1E70">
        <w:rPr>
          <w:rFonts w:ascii="Arial" w:hAnsi="Arial"/>
          <w:rtl/>
        </w:rPr>
        <w:t>ב</w:t>
      </w:r>
      <w:hyperlink r:id="rId42" w:history="1">
        <w:r w:rsidR="005D7072" w:rsidRPr="005D7072">
          <w:rPr>
            <w:rFonts w:ascii="Arial" w:hAnsi="Arial"/>
            <w:color w:val="0000FF"/>
            <w:u w:val="single"/>
            <w:rtl/>
          </w:rPr>
          <w:t>עפ"ג (מרכז) 24112-09-17</w:t>
        </w:r>
      </w:hyperlink>
      <w:r w:rsidRPr="005E1E70">
        <w:rPr>
          <w:rFonts w:ascii="Arial" w:hAnsi="Arial"/>
          <w:rtl/>
        </w:rPr>
        <w:t xml:space="preserve"> </w:t>
      </w:r>
      <w:r w:rsidRPr="005E1E70">
        <w:rPr>
          <w:rFonts w:ascii="Arial" w:hAnsi="Arial" w:hint="cs"/>
          <w:b/>
          <w:bCs/>
          <w:rtl/>
        </w:rPr>
        <w:t>טוט נ' מדינת ישראל</w:t>
      </w:r>
      <w:r w:rsidRPr="005E1E70">
        <w:rPr>
          <w:rFonts w:ascii="Arial" w:hAnsi="Arial" w:hint="cs"/>
          <w:rtl/>
        </w:rPr>
        <w:t xml:space="preserve"> (פורסם בנבו, 10.12.17), אושר עונש של </w:t>
      </w:r>
      <w:r w:rsidRPr="005E1E70">
        <w:rPr>
          <w:rFonts w:ascii="Arial" w:hAnsi="Arial" w:hint="cs"/>
          <w:b/>
          <w:bCs/>
          <w:rtl/>
        </w:rPr>
        <w:t>21 חודשי מאסר בפועל</w:t>
      </w:r>
      <w:r w:rsidRPr="005E1E70">
        <w:rPr>
          <w:rFonts w:ascii="Arial" w:hAnsi="Arial" w:hint="cs"/>
          <w:rtl/>
        </w:rPr>
        <w:t xml:space="preserve"> שהושת על נאשם בן 19, אשר הורשע בביצוע </w:t>
      </w:r>
      <w:r w:rsidRPr="005E1E70">
        <w:rPr>
          <w:rFonts w:ascii="Arial" w:hAnsi="Arial" w:hint="cs"/>
          <w:b/>
          <w:bCs/>
          <w:rtl/>
        </w:rPr>
        <w:t xml:space="preserve">27 עבירות </w:t>
      </w:r>
      <w:r w:rsidRPr="005E1E70">
        <w:rPr>
          <w:rFonts w:ascii="Arial" w:hAnsi="Arial" w:hint="cs"/>
          <w:rtl/>
        </w:rPr>
        <w:t>סחר בסם מסוכן קנאביס, שבוצעו במשך כשבעה חודשים בכמויות קטנות. שירות המבחן התרשם מסיכון להישנות ביצוע העבירות בעתיד, והמליץ על ענישה קונקרטית מרתיעה.</w:t>
      </w:r>
    </w:p>
    <w:p w14:paraId="7145E91B" w14:textId="77777777" w:rsidR="00DB5A1B" w:rsidRDefault="00DB5A1B" w:rsidP="00DB5A1B">
      <w:pPr>
        <w:pStyle w:val="aa"/>
        <w:numPr>
          <w:ilvl w:val="0"/>
          <w:numId w:val="2"/>
        </w:numPr>
        <w:spacing w:after="120" w:line="360" w:lineRule="auto"/>
        <w:ind w:left="714" w:hanging="357"/>
        <w:jc w:val="both"/>
        <w:rPr>
          <w:rFonts w:ascii="Arial" w:hAnsi="Arial"/>
        </w:rPr>
      </w:pPr>
      <w:r w:rsidRPr="005E1E70">
        <w:rPr>
          <w:rtl/>
        </w:rPr>
        <w:t>ב</w:t>
      </w:r>
      <w:hyperlink r:id="rId43" w:history="1">
        <w:r w:rsidR="005D7072" w:rsidRPr="005D7072">
          <w:rPr>
            <w:rFonts w:hint="cs"/>
            <w:color w:val="0000FF"/>
            <w:u w:val="single"/>
            <w:rtl/>
          </w:rPr>
          <w:t>רע</w:t>
        </w:r>
        <w:r w:rsidR="005D7072" w:rsidRPr="005D7072">
          <w:rPr>
            <w:color w:val="0000FF"/>
            <w:u w:val="single"/>
            <w:rtl/>
          </w:rPr>
          <w:t>"</w:t>
        </w:r>
        <w:r w:rsidR="005D7072" w:rsidRPr="005D7072">
          <w:rPr>
            <w:rFonts w:hint="cs"/>
            <w:color w:val="0000FF"/>
            <w:u w:val="single"/>
            <w:rtl/>
          </w:rPr>
          <w:t>פ</w:t>
        </w:r>
        <w:r w:rsidR="005D7072" w:rsidRPr="005D7072">
          <w:rPr>
            <w:color w:val="0000FF"/>
            <w:u w:val="single"/>
            <w:rtl/>
          </w:rPr>
          <w:t xml:space="preserve"> 4687/15</w:t>
        </w:r>
      </w:hyperlink>
      <w:r w:rsidRPr="005E1E70">
        <w:rPr>
          <w:rtl/>
        </w:rPr>
        <w:t xml:space="preserve"> </w:t>
      </w:r>
      <w:r w:rsidRPr="005E1E70">
        <w:rPr>
          <w:rFonts w:hint="cs"/>
          <w:b/>
          <w:bCs/>
          <w:rtl/>
        </w:rPr>
        <w:t xml:space="preserve">פלג נ' מדינת ישראל </w:t>
      </w:r>
      <w:r w:rsidRPr="005E1E70">
        <w:rPr>
          <w:rFonts w:hint="cs"/>
          <w:rtl/>
        </w:rPr>
        <w:t>(פורסם בנבו, 13.8.15),</w:t>
      </w:r>
      <w:r w:rsidRPr="005E1E70">
        <w:rPr>
          <w:rFonts w:ascii="Arial" w:hAnsi="Arial"/>
          <w:rtl/>
        </w:rPr>
        <w:t xml:space="preserve"> אישר בית המשפט העליון את פסק דינו של בית המשפט המחוזי, שהקל בעונשו של הנאשם, בהתחשב בעברו הנקי </w:t>
      </w:r>
      <w:r>
        <w:rPr>
          <w:rFonts w:ascii="Arial" w:hAnsi="Arial"/>
          <w:rtl/>
        </w:rPr>
        <w:t xml:space="preserve">ונסיבות חייו הקשות, באופן שהיה עליו לרצות 18 חודשי מאסר בפועל, וכן ענישה נלווית. דובר בנסיבות בהן סחר הנאשם בסם מסוכן מסוג מריחואנה ב- 15 עד 20 הזדמנויות, בכל פעם בכמויות קטנות ובביתו נמצא סם מסוכן מסוג קנבוס. </w:t>
      </w:r>
    </w:p>
    <w:p w14:paraId="220CB609" w14:textId="77777777" w:rsidR="00DB5A1B" w:rsidRPr="005E1E70" w:rsidRDefault="00DB5A1B" w:rsidP="00DB5A1B">
      <w:pPr>
        <w:pStyle w:val="aa"/>
        <w:numPr>
          <w:ilvl w:val="0"/>
          <w:numId w:val="2"/>
        </w:numPr>
        <w:spacing w:after="120" w:line="360" w:lineRule="auto"/>
        <w:ind w:left="714" w:hanging="357"/>
        <w:jc w:val="both"/>
        <w:rPr>
          <w:rFonts w:ascii="Arial" w:hAnsi="Arial"/>
        </w:rPr>
      </w:pPr>
      <w:r>
        <w:rPr>
          <w:rFonts w:ascii="Arial" w:hAnsi="Arial"/>
          <w:rtl/>
        </w:rPr>
        <w:t>ב</w:t>
      </w:r>
      <w:hyperlink r:id="rId44" w:history="1">
        <w:r w:rsidR="005D7072" w:rsidRPr="005D7072">
          <w:rPr>
            <w:rFonts w:ascii="Arial" w:hAnsi="Arial"/>
            <w:color w:val="0000FF"/>
            <w:u w:val="single"/>
            <w:rtl/>
          </w:rPr>
          <w:t>ת"פ 2791-06-18</w:t>
        </w:r>
      </w:hyperlink>
      <w:r>
        <w:rPr>
          <w:rFonts w:ascii="Arial" w:hAnsi="Arial"/>
          <w:rtl/>
        </w:rPr>
        <w:t xml:space="preserve"> </w:t>
      </w:r>
      <w:r>
        <w:rPr>
          <w:rFonts w:ascii="Arial" w:hAnsi="Arial"/>
          <w:b/>
          <w:bCs/>
          <w:rtl/>
        </w:rPr>
        <w:t>מדינת ישראל נ' טקלה</w:t>
      </w:r>
      <w:r>
        <w:rPr>
          <w:rFonts w:ascii="Arial" w:hAnsi="Arial"/>
          <w:rtl/>
        </w:rPr>
        <w:t xml:space="preserve"> (פורסם בנבו, 22.11.21), הורשע הנאשם בהתאם להודאתו בעבירות סחר בסמים ובעבירות החזקת סם שלא לצריכה עצמית והחזקת כלים להכנת סם שלא לצריכה עצמית. במשך כשנה ביצע </w:t>
      </w:r>
      <w:r>
        <w:rPr>
          <w:rFonts w:ascii="Arial" w:hAnsi="Arial"/>
          <w:b/>
          <w:bCs/>
          <w:rtl/>
        </w:rPr>
        <w:t>הנאשם 19 עסקאות</w:t>
      </w:r>
      <w:r>
        <w:rPr>
          <w:rFonts w:ascii="Arial" w:hAnsi="Arial"/>
          <w:rtl/>
        </w:rPr>
        <w:t xml:space="preserve"> מכר סם מסוכן מסוג קנבוס ל-</w:t>
      </w:r>
      <w:r>
        <w:rPr>
          <w:rFonts w:ascii="Arial" w:hAnsi="Arial"/>
          <w:b/>
          <w:bCs/>
          <w:rtl/>
        </w:rPr>
        <w:t>9 רוכשים</w:t>
      </w:r>
      <w:r>
        <w:rPr>
          <w:rFonts w:ascii="Arial" w:hAnsi="Arial"/>
          <w:rtl/>
        </w:rPr>
        <w:t xml:space="preserve">, ביניהם </w:t>
      </w:r>
      <w:r>
        <w:rPr>
          <w:rFonts w:ascii="Arial" w:hAnsi="Arial"/>
          <w:b/>
          <w:bCs/>
          <w:rtl/>
        </w:rPr>
        <w:t>קטין אחד</w:t>
      </w:r>
      <w:r>
        <w:rPr>
          <w:rFonts w:ascii="Arial" w:hAnsi="Arial"/>
          <w:rtl/>
        </w:rPr>
        <w:t xml:space="preserve">, במשקלים הנעים בין 1 ל-11 גרם נטו בכל מכירה. ב-12 מעסקאות הסחר נמכרו כמויות קטנות יחסית שנעו בין 1 ל-5 גרם קנבוס, וב-5 עסקאות נמכרו כמויות משמעותיות יותר שנעו בין 9 ל-11 גרם. בשתי עסקאות נוספות משקל הסם שנמכר לא היה ידוע. </w:t>
      </w:r>
      <w:r>
        <w:rPr>
          <w:rFonts w:ascii="Arial" w:hAnsi="Arial"/>
          <w:b/>
          <w:bCs/>
          <w:rtl/>
        </w:rPr>
        <w:t>נקבע מתחם ענישה הנע בין 15 –30 חודשי מאסר בפועל</w:t>
      </w:r>
      <w:r>
        <w:rPr>
          <w:rFonts w:ascii="Arial" w:hAnsi="Arial"/>
          <w:rtl/>
        </w:rPr>
        <w:t xml:space="preserve">. </w:t>
      </w:r>
      <w:r w:rsidRPr="005E1E70">
        <w:rPr>
          <w:rFonts w:ascii="Arial" w:hAnsi="Arial"/>
          <w:rtl/>
        </w:rPr>
        <w:t xml:space="preserve">על הנאשם, הנעדר עבר פלילי, נגזרו </w:t>
      </w:r>
      <w:r w:rsidRPr="005E1E70">
        <w:rPr>
          <w:rFonts w:ascii="Arial" w:hAnsi="Arial"/>
          <w:b/>
          <w:bCs/>
          <w:rtl/>
        </w:rPr>
        <w:t>23 חודשי מאסר בפועל</w:t>
      </w:r>
      <w:r w:rsidRPr="005E1E70">
        <w:rPr>
          <w:rFonts w:ascii="Arial" w:hAnsi="Arial"/>
          <w:rtl/>
        </w:rPr>
        <w:t xml:space="preserve"> לצד ענישה נלווית.  </w:t>
      </w:r>
    </w:p>
    <w:p w14:paraId="5CB0293F" w14:textId="77777777" w:rsidR="00DB5A1B" w:rsidRPr="005E1E70" w:rsidRDefault="00DB5A1B" w:rsidP="00DB5A1B">
      <w:pPr>
        <w:pStyle w:val="aa"/>
        <w:numPr>
          <w:ilvl w:val="0"/>
          <w:numId w:val="2"/>
        </w:numPr>
        <w:spacing w:line="360" w:lineRule="auto"/>
        <w:jc w:val="both"/>
        <w:rPr>
          <w:rFonts w:ascii="Arial" w:hAnsi="Arial"/>
        </w:rPr>
      </w:pPr>
      <w:r w:rsidRPr="005E1E70">
        <w:rPr>
          <w:rFonts w:ascii="Arial" w:hAnsi="Arial"/>
          <w:rtl/>
        </w:rPr>
        <w:t>ב</w:t>
      </w:r>
      <w:hyperlink r:id="rId45" w:history="1">
        <w:r w:rsidR="005D7072" w:rsidRPr="005D7072">
          <w:rPr>
            <w:rFonts w:ascii="Arial" w:hAnsi="Arial"/>
            <w:color w:val="0000FF"/>
            <w:u w:val="single"/>
            <w:rtl/>
          </w:rPr>
          <w:t>ת"פ (רמ') 34974-01-12</w:t>
        </w:r>
      </w:hyperlink>
      <w:r w:rsidRPr="005E1E70">
        <w:rPr>
          <w:rFonts w:ascii="Arial" w:hAnsi="Arial"/>
          <w:rtl/>
        </w:rPr>
        <w:t xml:space="preserve"> </w:t>
      </w:r>
      <w:r w:rsidRPr="005E1E70">
        <w:rPr>
          <w:rFonts w:ascii="Arial" w:hAnsi="Arial" w:hint="cs"/>
          <w:b/>
          <w:bCs/>
          <w:rtl/>
        </w:rPr>
        <w:t>מדינת ישראל נגד מזרחי</w:t>
      </w:r>
      <w:r w:rsidRPr="005E1E70">
        <w:rPr>
          <w:rFonts w:ascii="Arial" w:hAnsi="Arial" w:hint="cs"/>
          <w:rtl/>
        </w:rPr>
        <w:t xml:space="preserve"> (פורסם בנבו, 28.2.13) הורשע הנאשם על פי הודאתו ב-11 אישומים של סחר בסם (מהם שניים בריבוי עבירות), אספקת סם, ושני אישומים של סחר בצוותא חדא. שירות המבחן לא בא בהמלצה טיפולית. בית המשפט השית על הנאשם </w:t>
      </w:r>
      <w:r w:rsidRPr="005E1E70">
        <w:rPr>
          <w:rFonts w:ascii="Arial" w:hAnsi="Arial" w:hint="cs"/>
          <w:b/>
          <w:bCs/>
          <w:rtl/>
        </w:rPr>
        <w:t>33 חודשי מאסר בפועל</w:t>
      </w:r>
      <w:r w:rsidRPr="005E1E70">
        <w:rPr>
          <w:rFonts w:ascii="Arial" w:hAnsi="Arial" w:hint="cs"/>
          <w:rtl/>
        </w:rPr>
        <w:t>.</w:t>
      </w:r>
    </w:p>
    <w:p w14:paraId="6D2B35A5" w14:textId="77777777" w:rsidR="00DB5A1B" w:rsidRDefault="00DB5A1B" w:rsidP="00DB5A1B">
      <w:pPr>
        <w:pStyle w:val="aa"/>
        <w:numPr>
          <w:ilvl w:val="0"/>
          <w:numId w:val="2"/>
        </w:numPr>
        <w:spacing w:line="360" w:lineRule="auto"/>
        <w:jc w:val="both"/>
        <w:rPr>
          <w:rFonts w:ascii="Arial" w:hAnsi="Arial"/>
        </w:rPr>
      </w:pPr>
      <w:r w:rsidRPr="005E1E70">
        <w:rPr>
          <w:rFonts w:ascii="Arial" w:hAnsi="Arial"/>
          <w:rtl/>
        </w:rPr>
        <w:t>ב</w:t>
      </w:r>
      <w:hyperlink r:id="rId46" w:history="1">
        <w:r w:rsidR="005D7072" w:rsidRPr="005D7072">
          <w:rPr>
            <w:rFonts w:ascii="Arial" w:hAnsi="Arial"/>
            <w:color w:val="0000FF"/>
            <w:u w:val="single"/>
            <w:rtl/>
          </w:rPr>
          <w:t>עפ"ג (מרכז-לוד) 829-07-20</w:t>
        </w:r>
      </w:hyperlink>
      <w:r w:rsidRPr="005E1E70">
        <w:rPr>
          <w:rFonts w:ascii="Arial" w:hAnsi="Arial"/>
          <w:rtl/>
        </w:rPr>
        <w:t xml:space="preserve"> </w:t>
      </w:r>
      <w:r w:rsidRPr="005E1E70">
        <w:rPr>
          <w:rFonts w:ascii="Arial" w:hAnsi="Arial" w:hint="cs"/>
          <w:b/>
          <w:bCs/>
          <w:rtl/>
        </w:rPr>
        <w:t>בורשטיין נ' מדינת ישראל</w:t>
      </w:r>
      <w:r w:rsidRPr="005E1E70">
        <w:rPr>
          <w:rFonts w:ascii="Arial" w:hAnsi="Arial" w:hint="cs"/>
          <w:rtl/>
        </w:rPr>
        <w:t xml:space="preserve"> (פורסם בנבו, 21.2.2021), התקבל ערעור על קולת העונש של נאשם שהורשע בבריבוי עבירות של סחר בסם מסוכן מסוג </w:t>
      </w:r>
      <w:r>
        <w:rPr>
          <w:rFonts w:ascii="Arial" w:hAnsi="Arial" w:hint="cs"/>
          <w:rtl/>
        </w:rPr>
        <w:t xml:space="preserve">קנבוס, החזקה ושימוש בקנבוס שלא לצריכה עצמית וכן החזקת כלים להכנת סם שלא לצריכה עצמית. הנאשם סחר בקנבוס </w:t>
      </w:r>
      <w:r>
        <w:rPr>
          <w:rFonts w:ascii="Arial" w:hAnsi="Arial" w:hint="cs"/>
          <w:b/>
          <w:bCs/>
          <w:rtl/>
        </w:rPr>
        <w:t>בעשרות רבות של הזדמנויות, לרבות</w:t>
      </w:r>
      <w:r>
        <w:rPr>
          <w:rFonts w:ascii="Arial" w:hAnsi="Arial" w:hint="cs"/>
          <w:rtl/>
        </w:rPr>
        <w:t xml:space="preserve"> </w:t>
      </w:r>
      <w:r>
        <w:rPr>
          <w:rFonts w:ascii="Arial" w:hAnsi="Arial" w:hint="cs"/>
          <w:b/>
          <w:bCs/>
          <w:rtl/>
        </w:rPr>
        <w:t>מכירה לקטינים</w:t>
      </w:r>
      <w:r>
        <w:rPr>
          <w:rFonts w:ascii="Arial" w:hAnsi="Arial" w:hint="cs"/>
          <w:rtl/>
        </w:rPr>
        <w:t xml:space="preserve">, לאורך כ-8 חודשים. בערכאה הדיונית נקבע </w:t>
      </w:r>
      <w:r>
        <w:rPr>
          <w:rFonts w:ascii="Arial" w:hAnsi="Arial" w:hint="cs"/>
          <w:b/>
          <w:bCs/>
          <w:rtl/>
        </w:rPr>
        <w:t>מתחם עונשי הנע בין 24 ל-48 חודשי מאסר</w:t>
      </w:r>
      <w:r>
        <w:rPr>
          <w:rFonts w:ascii="Arial" w:hAnsi="Arial" w:hint="cs"/>
          <w:rtl/>
        </w:rPr>
        <w:t>. בסך הכול מכר הנאשם בכ-</w:t>
      </w:r>
      <w:r>
        <w:rPr>
          <w:rFonts w:ascii="Arial" w:hAnsi="Arial" w:hint="cs"/>
          <w:b/>
          <w:bCs/>
          <w:rtl/>
        </w:rPr>
        <w:t>53 הזדמנויות</w:t>
      </w:r>
      <w:r>
        <w:rPr>
          <w:rFonts w:ascii="Arial" w:hAnsi="Arial" w:hint="cs"/>
          <w:rtl/>
        </w:rPr>
        <w:t xml:space="preserve">, כ-178 גרם של סם מסוכן מסוג קנבוס, וקיבל תמורת הסם כ-16,450 ש"ח. בהתחשב בכך שבזמן ביצוע עבירות היה הנאשם בן 18 וחצי והקטינים להם מכר את הסם היו מאותו שנתון וכן בהתחשב בהליך טיפולי מוצלח שכלל גמילה מסמים ביחידה לטיפול בהתמכרויות ועבר פלילי נקי, מצאה ערכאת הערעור לחרוג ממתחם הענישה ולהעמיד את עונשו של הנאשם על </w:t>
      </w:r>
      <w:r>
        <w:rPr>
          <w:rFonts w:ascii="Arial" w:hAnsi="Arial" w:hint="cs"/>
          <w:b/>
          <w:bCs/>
          <w:rtl/>
        </w:rPr>
        <w:t>12 חודשי מאסר בפועל</w:t>
      </w:r>
      <w:r>
        <w:rPr>
          <w:rFonts w:ascii="Arial" w:hAnsi="Arial" w:hint="cs"/>
          <w:rtl/>
        </w:rPr>
        <w:t xml:space="preserve"> כעונש עיקרי. </w:t>
      </w:r>
    </w:p>
    <w:p w14:paraId="2DB5DA07" w14:textId="77777777" w:rsidR="00DB5A1B" w:rsidRDefault="00DB5A1B" w:rsidP="00DB5A1B">
      <w:pPr>
        <w:pStyle w:val="aa"/>
        <w:numPr>
          <w:ilvl w:val="0"/>
          <w:numId w:val="2"/>
        </w:numPr>
        <w:spacing w:line="360" w:lineRule="auto"/>
        <w:jc w:val="both"/>
        <w:rPr>
          <w:rFonts w:ascii="Arial" w:hAnsi="Arial"/>
        </w:rPr>
      </w:pPr>
      <w:r>
        <w:rPr>
          <w:rFonts w:ascii="Arial" w:hAnsi="Arial"/>
          <w:rtl/>
        </w:rPr>
        <w:t>ב</w:t>
      </w:r>
      <w:hyperlink r:id="rId47" w:history="1">
        <w:r w:rsidR="005D7072" w:rsidRPr="005D7072">
          <w:rPr>
            <w:rFonts w:ascii="Arial" w:hAnsi="Arial"/>
            <w:color w:val="0000FF"/>
            <w:u w:val="single"/>
            <w:rtl/>
          </w:rPr>
          <w:t>ת"פ (פ"ת) 71703-03-19</w:t>
        </w:r>
      </w:hyperlink>
      <w:r>
        <w:rPr>
          <w:rFonts w:ascii="Arial" w:hAnsi="Arial"/>
          <w:rtl/>
        </w:rPr>
        <w:t xml:space="preserve"> </w:t>
      </w:r>
      <w:r>
        <w:rPr>
          <w:rFonts w:ascii="Arial" w:hAnsi="Arial"/>
          <w:b/>
          <w:bCs/>
          <w:rtl/>
        </w:rPr>
        <w:t>מדינת ישראל נ' עובד</w:t>
      </w:r>
      <w:r>
        <w:rPr>
          <w:rFonts w:ascii="Arial" w:hAnsi="Arial"/>
          <w:rtl/>
        </w:rPr>
        <w:t xml:space="preserve"> (5.8.20) הורשע נאשם ב- 3 אישומים של עבירות סחר בסמים ובעבירת החזקת סמים לצריכה עצמית. הנאשם מכר סם מסוכן מסוג קנבוס במשקלים קטנים ל-3</w:t>
      </w:r>
      <w:r>
        <w:rPr>
          <w:rFonts w:ascii="Arial" w:hAnsi="Arial"/>
          <w:b/>
          <w:bCs/>
          <w:rtl/>
        </w:rPr>
        <w:t xml:space="preserve"> קטינים</w:t>
      </w:r>
      <w:r>
        <w:rPr>
          <w:rFonts w:ascii="Arial" w:hAnsi="Arial"/>
          <w:rtl/>
        </w:rPr>
        <w:t xml:space="preserve"> ב- </w:t>
      </w:r>
      <w:r>
        <w:rPr>
          <w:rFonts w:ascii="Arial" w:hAnsi="Arial"/>
          <w:b/>
          <w:bCs/>
          <w:rtl/>
        </w:rPr>
        <w:t>7 הזדמנויות</w:t>
      </w:r>
      <w:r>
        <w:rPr>
          <w:rFonts w:ascii="Arial" w:hAnsi="Arial"/>
          <w:rtl/>
        </w:rPr>
        <w:t xml:space="preserve"> שונות. נקבע </w:t>
      </w:r>
      <w:r>
        <w:rPr>
          <w:rFonts w:ascii="Arial" w:hAnsi="Arial"/>
          <w:b/>
          <w:bCs/>
          <w:rtl/>
        </w:rPr>
        <w:t xml:space="preserve">מתחם ענישה הנע בין 25 ל-35 חודשי מאסר בפועל </w:t>
      </w:r>
      <w:r>
        <w:rPr>
          <w:rFonts w:ascii="Arial" w:hAnsi="Arial"/>
          <w:rtl/>
        </w:rPr>
        <w:t xml:space="preserve">והושתו על הנאשם </w:t>
      </w:r>
      <w:r>
        <w:rPr>
          <w:rFonts w:ascii="Arial" w:hAnsi="Arial"/>
          <w:b/>
          <w:bCs/>
          <w:rtl/>
        </w:rPr>
        <w:t>20 חודשי מאסר</w:t>
      </w:r>
      <w:r>
        <w:rPr>
          <w:rFonts w:ascii="Arial" w:hAnsi="Arial"/>
          <w:rtl/>
        </w:rPr>
        <w:t xml:space="preserve"> בפועל לצד ענישה נלווית. </w:t>
      </w:r>
    </w:p>
    <w:p w14:paraId="347A055A" w14:textId="77777777" w:rsidR="00DB5A1B" w:rsidRDefault="00DB5A1B" w:rsidP="00DB5A1B">
      <w:pPr>
        <w:pStyle w:val="aa"/>
        <w:numPr>
          <w:ilvl w:val="0"/>
          <w:numId w:val="1"/>
        </w:numPr>
        <w:spacing w:after="120" w:line="360" w:lineRule="atLeast"/>
        <w:jc w:val="both"/>
        <w:rPr>
          <w:noProof w:val="0"/>
          <w:rtl/>
        </w:rPr>
      </w:pPr>
      <w:r>
        <w:rPr>
          <w:noProof w:val="0"/>
          <w:rtl/>
        </w:rPr>
        <w:t>בחינת מדיניות הענישה כפי שמשתקפת בפסיקה שנסקרה לעיל, מלמדת כי קיימת מגמת החמרה בענישה על סוחרי סמים, אשר סחרו בסם מסוכן מסוג קנבוס גם בכמויות קטנות. לצד זאת, ניתן לראות הקלה בעונשם של נאשמים שנרתמו להליך שיקומי אינטנסיבי ומעשי, ואולם בענייננו הנאשם לא עבר הליך גמילה או שיקום ואין תסקיר בעניינו. מנעד הענישה הכולל קשת רחבה של עונשים, תלוי בנסיבות כל מקרה ומקרה, בכמויות הסם, סוג הסם, מספר העסקאות, תדירותן, מספר הקונים והיותם קטינים או בגירים.</w:t>
      </w:r>
    </w:p>
    <w:p w14:paraId="482C1A1F" w14:textId="77777777" w:rsidR="00DB5A1B" w:rsidRDefault="00DB5A1B" w:rsidP="00DB5A1B">
      <w:pPr>
        <w:pStyle w:val="aa"/>
        <w:numPr>
          <w:ilvl w:val="0"/>
          <w:numId w:val="1"/>
        </w:numPr>
        <w:spacing w:after="120" w:line="360" w:lineRule="atLeast"/>
        <w:jc w:val="both"/>
        <w:rPr>
          <w:noProof w:val="0"/>
        </w:rPr>
      </w:pPr>
      <w:r>
        <w:rPr>
          <w:noProof w:val="0"/>
          <w:rtl/>
        </w:rPr>
        <w:t xml:space="preserve">אשר על כן, בהתחשב בכלל נסיבות ביצוע העבירות כפי שפורטו לעיל, לרבות משך ביצוען, מספר העסקאות, תדירותן, סוג הסם, כמות הסם, התמורה הכספית עבור מכר הסם, מספר הקונים והיות שניים מהם קטינים, ולאור מדיניות הענישה הנוהגת במקרים דומים, אני קובע כי מתחם הענישה ההולם בענייננו נע בין 20 ל-42 חודשי מאסר בפועל, לצד ענישה נלווית. </w:t>
      </w:r>
    </w:p>
    <w:p w14:paraId="5EF2FB97" w14:textId="77777777" w:rsidR="00DB5A1B" w:rsidRDefault="00DB5A1B" w:rsidP="00DB5A1B">
      <w:pPr>
        <w:pStyle w:val="aa"/>
        <w:numPr>
          <w:ilvl w:val="0"/>
          <w:numId w:val="1"/>
        </w:numPr>
        <w:spacing w:after="120" w:line="360" w:lineRule="atLeast"/>
        <w:jc w:val="both"/>
        <w:rPr>
          <w:noProof w:val="0"/>
        </w:rPr>
      </w:pPr>
      <w:r>
        <w:rPr>
          <w:rtl/>
        </w:rPr>
        <w:t xml:space="preserve">במקרה דנן, לא קיימים שיקולים אשר מצדיקים סטייה ממתחם הענישה לחומרה או לקולא. הנאשם לא עבר תהליך שיקום ואין תסקיר בעניינו. </w:t>
      </w:r>
    </w:p>
    <w:p w14:paraId="2AAAB203" w14:textId="77777777" w:rsidR="00DB5A1B" w:rsidRDefault="00DB5A1B" w:rsidP="00DB5A1B">
      <w:pPr>
        <w:pStyle w:val="aa"/>
        <w:rPr>
          <w:noProof w:val="0"/>
        </w:rPr>
      </w:pPr>
    </w:p>
    <w:p w14:paraId="717BF4FA" w14:textId="77777777" w:rsidR="00DB5A1B" w:rsidRPr="00DB5A1B" w:rsidRDefault="00DB5A1B" w:rsidP="00DB5A1B">
      <w:pPr>
        <w:spacing w:after="200" w:line="360" w:lineRule="auto"/>
        <w:jc w:val="both"/>
        <w:rPr>
          <w:rFonts w:ascii="Calibri" w:hAnsi="Calibri"/>
          <w:noProof w:val="0"/>
          <w:rtl/>
        </w:rPr>
      </w:pPr>
      <w:r>
        <w:rPr>
          <w:rFonts w:ascii="David" w:hAnsi="David"/>
          <w:noProof w:val="0"/>
          <w:u w:val="single"/>
          <w:rtl/>
        </w:rPr>
        <w:t xml:space="preserve">העונש ההולם </w:t>
      </w:r>
    </w:p>
    <w:p w14:paraId="3B721D7F" w14:textId="77777777" w:rsidR="00DB5A1B" w:rsidRPr="005E1E70" w:rsidRDefault="00DB5A1B" w:rsidP="00DB5A1B">
      <w:pPr>
        <w:pStyle w:val="listparagraph"/>
        <w:numPr>
          <w:ilvl w:val="0"/>
          <w:numId w:val="1"/>
        </w:numPr>
        <w:spacing w:line="360" w:lineRule="auto"/>
        <w:jc w:val="both"/>
        <w:rPr>
          <w:rFonts w:ascii="Times New Roman" w:hAnsi="Times New Roman" w:cs="David"/>
          <w:noProof/>
          <w:sz w:val="24"/>
          <w:szCs w:val="24"/>
        </w:rPr>
      </w:pPr>
      <w:r w:rsidRPr="005E1E70">
        <w:rPr>
          <w:rFonts w:cs="David"/>
          <w:sz w:val="24"/>
          <w:szCs w:val="24"/>
          <w:rtl/>
        </w:rPr>
        <w:t xml:space="preserve">בגזירת העונש המתאים לנאשם, יש להתחשב </w:t>
      </w:r>
      <w:r w:rsidRPr="005E1E70">
        <w:rPr>
          <w:rFonts w:cs="David"/>
          <w:b/>
          <w:bCs/>
          <w:sz w:val="24"/>
          <w:szCs w:val="24"/>
          <w:rtl/>
        </w:rPr>
        <w:t>בנסיבות שאינן קשורות בביצוע העבירה</w:t>
      </w:r>
      <w:r w:rsidRPr="005E1E70">
        <w:rPr>
          <w:rFonts w:cs="David"/>
          <w:sz w:val="24"/>
          <w:szCs w:val="24"/>
          <w:rtl/>
        </w:rPr>
        <w:t xml:space="preserve">, לפי </w:t>
      </w:r>
      <w:hyperlink r:id="rId48" w:history="1">
        <w:r w:rsidR="00223639" w:rsidRPr="00223639">
          <w:rPr>
            <w:rStyle w:val="Hyperlink"/>
            <w:rFonts w:ascii="Times New Roman" w:hAnsi="Times New Roman" w:cs="David"/>
            <w:noProof/>
            <w:sz w:val="24"/>
            <w:szCs w:val="24"/>
            <w:rtl/>
          </w:rPr>
          <w:t>סעיף 40 י"א</w:t>
        </w:r>
      </w:hyperlink>
      <w:r w:rsidRPr="005E1E70">
        <w:rPr>
          <w:rFonts w:ascii="Times New Roman" w:hAnsi="Times New Roman" w:cs="David"/>
          <w:noProof/>
          <w:sz w:val="24"/>
          <w:szCs w:val="24"/>
          <w:rtl/>
        </w:rPr>
        <w:t xml:space="preserve"> </w:t>
      </w:r>
      <w:r w:rsidRPr="005E1E70">
        <w:rPr>
          <w:rFonts w:ascii="Times New Roman" w:hAnsi="Times New Roman" w:cs="David" w:hint="cs"/>
          <w:noProof/>
          <w:sz w:val="24"/>
          <w:szCs w:val="24"/>
          <w:rtl/>
        </w:rPr>
        <w:t>ל</w:t>
      </w:r>
      <w:hyperlink r:id="rId49" w:history="1">
        <w:r w:rsidR="005D7072" w:rsidRPr="005D7072">
          <w:rPr>
            <w:rFonts w:ascii="Times New Roman" w:hAnsi="Times New Roman" w:cs="David"/>
            <w:noProof/>
            <w:color w:val="0000FF"/>
            <w:sz w:val="24"/>
            <w:szCs w:val="24"/>
            <w:u w:val="single"/>
            <w:rtl/>
          </w:rPr>
          <w:t>חוק העונשין</w:t>
        </w:r>
      </w:hyperlink>
      <w:r w:rsidRPr="005E1E70">
        <w:rPr>
          <w:rFonts w:ascii="Times New Roman" w:hAnsi="Times New Roman" w:cs="David"/>
          <w:noProof/>
          <w:sz w:val="24"/>
          <w:szCs w:val="24"/>
          <w:rtl/>
        </w:rPr>
        <w:t>. במסגרת זו מן הראוי לתת את הדעת לנסיבות הבאות:</w:t>
      </w:r>
    </w:p>
    <w:p w14:paraId="23E26296" w14:textId="77777777" w:rsidR="00DB5A1B" w:rsidRPr="005E1E70" w:rsidRDefault="00DB5A1B" w:rsidP="00DB5A1B">
      <w:pPr>
        <w:pStyle w:val="aa"/>
        <w:numPr>
          <w:ilvl w:val="0"/>
          <w:numId w:val="3"/>
        </w:numPr>
        <w:spacing w:after="200" w:line="360" w:lineRule="auto"/>
        <w:jc w:val="both"/>
        <w:rPr>
          <w:rtl/>
        </w:rPr>
      </w:pPr>
      <w:r w:rsidRPr="005E1E70">
        <w:rPr>
          <w:rFonts w:ascii="David" w:hAnsi="David"/>
          <w:rtl/>
        </w:rPr>
        <w:t>במסגרת השיקולים לקולא, נתתי דעתי לכך</w:t>
      </w:r>
      <w:r w:rsidRPr="005E1E70">
        <w:rPr>
          <w:rtl/>
        </w:rPr>
        <w:t xml:space="preserve"> שהנאשם הודה, הביע חרטה, נטל אחריות למעשיו וחסך זמן שיפוטי. כמו כן, נתתי דעתי לנסיבות חייו הקשות של הנאשם.</w:t>
      </w:r>
    </w:p>
    <w:p w14:paraId="3EECD8FA" w14:textId="77777777" w:rsidR="00DB5A1B" w:rsidRPr="005E1E70" w:rsidRDefault="00DB5A1B" w:rsidP="00DB5A1B">
      <w:pPr>
        <w:pStyle w:val="aa"/>
        <w:numPr>
          <w:ilvl w:val="0"/>
          <w:numId w:val="3"/>
        </w:numPr>
        <w:spacing w:after="200" w:line="360" w:lineRule="auto"/>
        <w:jc w:val="both"/>
      </w:pPr>
      <w:r w:rsidRPr="005E1E70">
        <w:rPr>
          <w:rtl/>
        </w:rPr>
        <w:t xml:space="preserve">כנסיבה לחומרה נתתי משקל לעברו הפלילי של הנאשם, ולכך שהנאשם הורשע בעבירה דומה של סחר בסמים בשנת 2013, וכן בעבירות החזקה/ שימוש בסמים לצריכה עצמית ושלא לצריכה עצמית משנת 2013. לצד זאת, התחשבתי בחלוף הזמן הרב שעבר מאז שבוצעו העבירות. </w:t>
      </w:r>
    </w:p>
    <w:p w14:paraId="1F4CC969" w14:textId="77777777" w:rsidR="00DB5A1B" w:rsidRPr="005E1E70" w:rsidRDefault="00DB5A1B" w:rsidP="00DB5A1B">
      <w:pPr>
        <w:spacing w:after="120" w:line="360" w:lineRule="auto"/>
        <w:ind w:left="720"/>
        <w:jc w:val="both"/>
      </w:pPr>
      <w:r w:rsidRPr="005E1E70">
        <w:rPr>
          <w:rtl/>
        </w:rPr>
        <w:t xml:space="preserve">יצוין בהקשר זה כי על פי הפסיקה הנוהגת </w:t>
      </w:r>
      <w:r w:rsidRPr="005E1E70">
        <w:rPr>
          <w:rFonts w:ascii="David" w:hAnsi="David"/>
          <w:rtl/>
        </w:rPr>
        <w:t>רשאי בית המשפט להסתמך בשיקוליו על הרשעות קודמות שהתיישנו</w:t>
      </w:r>
      <w:r w:rsidRPr="005E1E70">
        <w:rPr>
          <w:rtl/>
        </w:rPr>
        <w:t xml:space="preserve">. </w:t>
      </w:r>
      <w:r w:rsidRPr="005E1E70">
        <w:rPr>
          <w:rFonts w:ascii="David" w:hAnsi="David"/>
          <w:rtl/>
        </w:rPr>
        <w:t xml:space="preserve">עם זאת, להרשעות שהתיישנו יש לתת משקל נמוך יותר. </w:t>
      </w:r>
      <w:r w:rsidRPr="005E1E70">
        <w:rPr>
          <w:rtl/>
        </w:rPr>
        <w:t xml:space="preserve">(ת"פ 49362-11-16 </w:t>
      </w:r>
      <w:r w:rsidRPr="005E1E70">
        <w:rPr>
          <w:b/>
          <w:bCs/>
          <w:rtl/>
        </w:rPr>
        <w:t>מדינת ישראל נ' יוסף חן</w:t>
      </w:r>
      <w:r w:rsidRPr="005E1E70">
        <w:rPr>
          <w:rtl/>
        </w:rPr>
        <w:t xml:space="preserve"> (פורסם בנבו, 7.1.20). לעניין זה נקבע ב</w:t>
      </w:r>
      <w:hyperlink r:id="rId50" w:history="1">
        <w:r w:rsidR="005D7072" w:rsidRPr="005D7072">
          <w:rPr>
            <w:color w:val="0000FF"/>
            <w:u w:val="single"/>
            <w:rtl/>
          </w:rPr>
          <w:t>רע"פ 1808/10</w:t>
        </w:r>
      </w:hyperlink>
      <w:r w:rsidRPr="005E1E70">
        <w:rPr>
          <w:rtl/>
        </w:rPr>
        <w:t xml:space="preserve"> </w:t>
      </w:r>
      <w:r w:rsidRPr="005E1E70">
        <w:rPr>
          <w:rFonts w:hint="cs"/>
          <w:b/>
          <w:bCs/>
          <w:rtl/>
        </w:rPr>
        <w:t>זיכרמן נ' מדינת ישראל</w:t>
      </w:r>
      <w:r w:rsidRPr="005E1E70">
        <w:rPr>
          <w:rFonts w:hint="cs"/>
          <w:rtl/>
        </w:rPr>
        <w:t xml:space="preserve"> (פורסם בנבו, 13.4.10):  </w:t>
      </w:r>
    </w:p>
    <w:p w14:paraId="5FD78BC6" w14:textId="77777777" w:rsidR="00DB5A1B" w:rsidRDefault="00DB5A1B" w:rsidP="00DB5A1B">
      <w:pPr>
        <w:pStyle w:val="Ruller40"/>
        <w:ind w:left="720" w:right="227"/>
        <w:rPr>
          <w:rFonts w:ascii="Times New Roman" w:hAnsi="Times New Roman" w:cs="David"/>
          <w:noProof/>
          <w:spacing w:val="0"/>
          <w:sz w:val="24"/>
          <w:szCs w:val="24"/>
          <w:rtl/>
        </w:rPr>
      </w:pPr>
      <w:r w:rsidRPr="005E1E70">
        <w:rPr>
          <w:rFonts w:ascii="Times New Roman" w:hAnsi="Times New Roman" w:cs="David"/>
          <w:noProof/>
          <w:spacing w:val="0"/>
          <w:sz w:val="24"/>
          <w:szCs w:val="24"/>
          <w:rtl/>
        </w:rPr>
        <w:tab/>
        <w:t>"</w:t>
      </w:r>
      <w:r w:rsidRPr="005E1E70">
        <w:rPr>
          <w:rFonts w:ascii="Times New Roman" w:hAnsi="Times New Roman" w:cs="David"/>
          <w:b/>
          <w:bCs/>
          <w:noProof/>
          <w:spacing w:val="0"/>
          <w:sz w:val="24"/>
          <w:szCs w:val="24"/>
          <w:rtl/>
        </w:rPr>
        <w:t xml:space="preserve">הוראת ההתיישנות בחוק המרשם הפלילי מונעת מסירת מידע על עבירה שהתיישנה לגופים המקבלים מידע בהתאם לסעיפים 9-6 לחוק. בתי-המשפט אינם נמנים עם אותם גופים, הואיל והמידע נמסר להם מכוח </w:t>
      </w:r>
      <w:r w:rsidRPr="005D7072">
        <w:rPr>
          <w:rFonts w:ascii="Times New Roman" w:hAnsi="Times New Roman" w:cs="David"/>
          <w:b/>
          <w:bCs/>
          <w:noProof/>
          <w:color w:val="000000"/>
          <w:spacing w:val="0"/>
          <w:sz w:val="24"/>
          <w:szCs w:val="24"/>
          <w:rtl/>
        </w:rPr>
        <w:t>סעיף 5</w:t>
      </w:r>
      <w:r w:rsidRPr="005E1E70">
        <w:rPr>
          <w:rFonts w:ascii="Times New Roman" w:hAnsi="Times New Roman" w:cs="David"/>
          <w:b/>
          <w:bCs/>
          <w:noProof/>
          <w:spacing w:val="0"/>
          <w:sz w:val="24"/>
          <w:szCs w:val="24"/>
          <w:rtl/>
        </w:rPr>
        <w:t xml:space="preserve"> לחוק (מסירת מידע לרשויות ובעלי תפקידים), והוראת ההתיישנות לא קובעת דבר לגבי מסירת מידע בדרך זו. מכאן שבתי-המשפט חופשיים להסתמך בשיקוליהם על המידע (</w:t>
      </w:r>
      <w:hyperlink r:id="rId51" w:history="1">
        <w:r w:rsidR="005D7072" w:rsidRPr="005D7072">
          <w:rPr>
            <w:rFonts w:ascii="Times New Roman" w:hAnsi="Times New Roman" w:cs="David"/>
            <w:b/>
            <w:bCs/>
            <w:noProof/>
            <w:color w:val="0000FF"/>
            <w:spacing w:val="0"/>
            <w:sz w:val="24"/>
            <w:szCs w:val="24"/>
            <w:u w:val="single"/>
            <w:rtl/>
          </w:rPr>
          <w:t>רע"פ 1775/09</w:t>
        </w:r>
      </w:hyperlink>
      <w:r w:rsidRPr="005E1E70">
        <w:rPr>
          <w:rFonts w:ascii="Times New Roman" w:hAnsi="Times New Roman" w:cs="David"/>
          <w:b/>
          <w:bCs/>
          <w:noProof/>
          <w:spacing w:val="0"/>
          <w:sz w:val="24"/>
          <w:szCs w:val="24"/>
          <w:rtl/>
        </w:rPr>
        <w:t xml:space="preserve"> פדידה נגד מדינת ישראל (טרם פורסם, 27.04.09)), זאת, בשונה מעבירה שנמחקה לפי </w:t>
      </w:r>
      <w:r w:rsidRPr="005D7072">
        <w:rPr>
          <w:rFonts w:ascii="Times New Roman" w:hAnsi="Times New Roman" w:cs="David"/>
          <w:b/>
          <w:bCs/>
          <w:noProof/>
          <w:color w:val="000000"/>
          <w:spacing w:val="0"/>
          <w:sz w:val="24"/>
          <w:szCs w:val="24"/>
          <w:rtl/>
        </w:rPr>
        <w:t>סעיף 16(א)</w:t>
      </w:r>
      <w:r w:rsidRPr="005E1E70">
        <w:rPr>
          <w:rFonts w:ascii="Times New Roman" w:hAnsi="Times New Roman" w:cs="David"/>
          <w:b/>
          <w:bCs/>
          <w:noProof/>
          <w:spacing w:val="0"/>
          <w:sz w:val="24"/>
          <w:szCs w:val="24"/>
          <w:rtl/>
        </w:rPr>
        <w:t xml:space="preserve"> לחוק, אשר מידע עליה אין למסור אלא ליועץ המשפטי ולגופים ספורים המנויים בסעיפים </w:t>
      </w:r>
      <w:r w:rsidRPr="005D7072">
        <w:rPr>
          <w:rFonts w:ascii="Times New Roman" w:hAnsi="Times New Roman" w:cs="David"/>
          <w:b/>
          <w:bCs/>
          <w:noProof/>
          <w:color w:val="000000"/>
          <w:spacing w:val="0"/>
          <w:sz w:val="24"/>
          <w:szCs w:val="24"/>
          <w:rtl/>
        </w:rPr>
        <w:t>(ב) עד (ה)</w:t>
      </w:r>
      <w:r w:rsidRPr="005E1E70">
        <w:rPr>
          <w:rFonts w:ascii="Times New Roman" w:hAnsi="Times New Roman" w:cs="David"/>
          <w:b/>
          <w:bCs/>
          <w:noProof/>
          <w:spacing w:val="0"/>
          <w:sz w:val="24"/>
          <w:szCs w:val="24"/>
          <w:rtl/>
        </w:rPr>
        <w:t xml:space="preserve"> </w:t>
      </w:r>
      <w:r w:rsidRPr="005D7072">
        <w:rPr>
          <w:rFonts w:ascii="Times New Roman" w:hAnsi="Times New Roman" w:cs="David"/>
          <w:b/>
          <w:bCs/>
          <w:noProof/>
          <w:color w:val="000000"/>
          <w:spacing w:val="0"/>
          <w:sz w:val="24"/>
          <w:szCs w:val="24"/>
          <w:rtl/>
        </w:rPr>
        <w:t>לתוספת הראשונה</w:t>
      </w:r>
      <w:r w:rsidRPr="005E1E70">
        <w:rPr>
          <w:rFonts w:ascii="Times New Roman" w:hAnsi="Times New Roman" w:cs="David"/>
          <w:b/>
          <w:bCs/>
          <w:noProof/>
          <w:spacing w:val="0"/>
          <w:sz w:val="24"/>
          <w:szCs w:val="24"/>
          <w:rtl/>
        </w:rPr>
        <w:t xml:space="preserve"> לחוק. ברי גם, כי תכליתם של הסדרי ההתיישנות ומחיקת הרישום הפלילי אינה לאפשר הקלה בעונשם של מי שהוסיפו וחטאו, אלא לאפשר לחוזרים לדרך הישר להניח את עברם המכביד מאחור ולהמשיך </w:t>
      </w:r>
      <w:r>
        <w:rPr>
          <w:rFonts w:ascii="Times New Roman" w:hAnsi="Times New Roman" w:cs="David"/>
          <w:b/>
          <w:bCs/>
          <w:noProof/>
          <w:spacing w:val="0"/>
          <w:sz w:val="24"/>
          <w:szCs w:val="24"/>
          <w:rtl/>
        </w:rPr>
        <w:t>בחייהם ...</w:t>
      </w:r>
      <w:r>
        <w:rPr>
          <w:rFonts w:ascii="Times New Roman" w:hAnsi="Times New Roman" w:cs="David"/>
          <w:noProof/>
          <w:spacing w:val="0"/>
          <w:sz w:val="24"/>
          <w:szCs w:val="24"/>
          <w:rtl/>
        </w:rPr>
        <w:t xml:space="preserve">". </w:t>
      </w:r>
    </w:p>
    <w:p w14:paraId="6B1A0178" w14:textId="77777777" w:rsidR="00DB5A1B" w:rsidRDefault="005D7072" w:rsidP="00DB5A1B">
      <w:pPr>
        <w:pStyle w:val="aa"/>
        <w:numPr>
          <w:ilvl w:val="0"/>
          <w:numId w:val="3"/>
        </w:numPr>
        <w:spacing w:after="200" w:line="360" w:lineRule="auto"/>
        <w:jc w:val="both"/>
        <w:rPr>
          <w:rtl/>
        </w:rPr>
      </w:pPr>
      <w:r>
        <w:rPr>
          <w:rtl/>
        </w:rPr>
        <w:t xml:space="preserve"> </w:t>
      </w:r>
      <w:r w:rsidR="00DB5A1B">
        <w:rPr>
          <w:rtl/>
        </w:rPr>
        <w:t>עוד יש ליתן את הדעת לשיקול הרתעת הנאשם והרתעת הרבים,</w:t>
      </w:r>
      <w:r>
        <w:rPr>
          <w:rtl/>
        </w:rPr>
        <w:t xml:space="preserve"> </w:t>
      </w:r>
      <w:r w:rsidR="00DB5A1B">
        <w:rPr>
          <w:rtl/>
        </w:rPr>
        <w:t>בשים לב לשכיחותן של עבירות הסחר בסמים שהפכו רעה חולה בחברה.</w:t>
      </w:r>
    </w:p>
    <w:p w14:paraId="5FB750ED" w14:textId="77777777" w:rsidR="00DB5A1B" w:rsidRDefault="00DB5A1B" w:rsidP="00DB5A1B">
      <w:pPr>
        <w:pStyle w:val="aa"/>
        <w:numPr>
          <w:ilvl w:val="0"/>
          <w:numId w:val="1"/>
        </w:numPr>
        <w:shd w:val="clear" w:color="auto" w:fill="FFFFFF"/>
        <w:spacing w:after="160" w:line="360" w:lineRule="auto"/>
        <w:jc w:val="both"/>
      </w:pPr>
      <w:r>
        <w:rPr>
          <w:rtl/>
        </w:rPr>
        <w:t>איזון השיקולים השונים, ריבוי העבירות וחומרת מעשיו של הנאשם מצדיקים הטלת עונש מאסר ממושך מאחורי סורג ובריח, אשר יש בו לבטא את החומרה שמייחס בית המשפט לעבירות החוזרות ונשנות שבוצעו על ידו, ולצדם רכיבי ענישה הרתעתיים נוספים.</w:t>
      </w:r>
    </w:p>
    <w:p w14:paraId="16A88983" w14:textId="77777777" w:rsidR="00DB5A1B" w:rsidRDefault="00DB5A1B" w:rsidP="00DB5A1B">
      <w:pPr>
        <w:shd w:val="clear" w:color="auto" w:fill="FFFFFF"/>
        <w:spacing w:before="120" w:after="120"/>
        <w:jc w:val="both"/>
        <w:rPr>
          <w:noProof w:val="0"/>
          <w:rtl/>
        </w:rPr>
      </w:pPr>
      <w:r>
        <w:rPr>
          <w:b/>
          <w:bCs/>
          <w:noProof w:val="0"/>
          <w:u w:val="single"/>
          <w:rtl/>
        </w:rPr>
        <w:t>סוף דבר</w:t>
      </w:r>
    </w:p>
    <w:p w14:paraId="5AB03244" w14:textId="77777777" w:rsidR="00DB5A1B" w:rsidRPr="00DB5A1B" w:rsidRDefault="00DB5A1B" w:rsidP="00DB5A1B">
      <w:pPr>
        <w:numPr>
          <w:ilvl w:val="0"/>
          <w:numId w:val="1"/>
        </w:numPr>
        <w:shd w:val="clear" w:color="auto" w:fill="FFFFFF"/>
        <w:spacing w:before="120" w:after="120" w:line="360" w:lineRule="auto"/>
        <w:ind w:left="567" w:hanging="567"/>
        <w:contextualSpacing/>
        <w:jc w:val="both"/>
        <w:rPr>
          <w:rFonts w:ascii="Calibri" w:hAnsi="Calibri"/>
          <w:noProof w:val="0"/>
          <w:rtl/>
        </w:rPr>
      </w:pPr>
      <w:r w:rsidRPr="00DB5A1B">
        <w:rPr>
          <w:rFonts w:ascii="Calibri" w:hAnsi="Calibri"/>
          <w:noProof w:val="0"/>
          <w:rtl/>
        </w:rPr>
        <w:t>לפיכך, אני גוזר על הנאשם את העונשים הבאים:</w:t>
      </w:r>
    </w:p>
    <w:p w14:paraId="34854614" w14:textId="77777777" w:rsidR="00DB5A1B" w:rsidRPr="00DB5A1B" w:rsidRDefault="00DB5A1B" w:rsidP="00DB5A1B">
      <w:pPr>
        <w:numPr>
          <w:ilvl w:val="0"/>
          <w:numId w:val="4"/>
        </w:numPr>
        <w:shd w:val="clear" w:color="auto" w:fill="FFFFFF"/>
        <w:spacing w:before="120" w:after="120" w:line="360" w:lineRule="auto"/>
        <w:ind w:left="1076" w:hanging="494"/>
        <w:contextualSpacing/>
        <w:jc w:val="both"/>
        <w:rPr>
          <w:rFonts w:ascii="Calibri" w:hAnsi="Calibri"/>
          <w:noProof w:val="0"/>
          <w:rtl/>
        </w:rPr>
      </w:pPr>
      <w:r w:rsidRPr="00DB5A1B">
        <w:rPr>
          <w:rFonts w:ascii="Calibri" w:hAnsi="Calibri"/>
          <w:noProof w:val="0"/>
          <w:rtl/>
        </w:rPr>
        <w:t xml:space="preserve">27 חודשי מאסר בפועל, </w:t>
      </w:r>
      <w:r w:rsidRPr="00DB5A1B">
        <w:rPr>
          <w:rFonts w:ascii="Calibri" w:hAnsi="Calibri" w:hint="cs"/>
          <w:noProof w:val="0"/>
          <w:rtl/>
        </w:rPr>
        <w:t xml:space="preserve">שמניינם החל מיום מעצרו, בהתאם לרישומו שב"ס. </w:t>
      </w:r>
    </w:p>
    <w:p w14:paraId="77DE2BE7" w14:textId="77777777" w:rsidR="00DB5A1B" w:rsidRPr="00DB5A1B" w:rsidRDefault="00DB5A1B" w:rsidP="00DB5A1B">
      <w:pPr>
        <w:numPr>
          <w:ilvl w:val="0"/>
          <w:numId w:val="4"/>
        </w:numPr>
        <w:shd w:val="clear" w:color="auto" w:fill="FFFFFF"/>
        <w:spacing w:before="120" w:after="120" w:line="360" w:lineRule="auto"/>
        <w:ind w:left="1076" w:hanging="494"/>
        <w:contextualSpacing/>
        <w:jc w:val="both"/>
        <w:rPr>
          <w:rFonts w:ascii="Calibri" w:hAnsi="Calibri"/>
          <w:noProof w:val="0"/>
        </w:rPr>
      </w:pPr>
      <w:r w:rsidRPr="00DB5A1B">
        <w:rPr>
          <w:rFonts w:ascii="Calibri" w:hAnsi="Calibri"/>
          <w:noProof w:val="0"/>
          <w:rtl/>
        </w:rPr>
        <w:t xml:space="preserve">מאסר על תנאי בן 9 חודשים למשך 3 שנים מיום שחרורו מהמאסר, לבל יעבור כל עבירה מסוג פשע לפי </w:t>
      </w:r>
      <w:hyperlink r:id="rId52" w:history="1">
        <w:r w:rsidR="005D7072" w:rsidRPr="005D7072">
          <w:rPr>
            <w:rFonts w:ascii="Calibri" w:hAnsi="Calibri" w:hint="eastAsia"/>
            <w:noProof w:val="0"/>
            <w:color w:val="0000FF"/>
            <w:u w:val="single"/>
            <w:rtl/>
          </w:rPr>
          <w:t>פקודת</w:t>
        </w:r>
        <w:r w:rsidR="005D7072" w:rsidRPr="005D7072">
          <w:rPr>
            <w:rFonts w:ascii="Calibri" w:hAnsi="Calibri"/>
            <w:noProof w:val="0"/>
            <w:color w:val="0000FF"/>
            <w:u w:val="single"/>
            <w:rtl/>
          </w:rPr>
          <w:t xml:space="preserve"> </w:t>
        </w:r>
        <w:r w:rsidR="005D7072" w:rsidRPr="005D7072">
          <w:rPr>
            <w:rFonts w:ascii="Calibri" w:hAnsi="Calibri" w:hint="eastAsia"/>
            <w:noProof w:val="0"/>
            <w:color w:val="0000FF"/>
            <w:u w:val="single"/>
            <w:rtl/>
          </w:rPr>
          <w:t>הסמים</w:t>
        </w:r>
        <w:r w:rsidR="005D7072" w:rsidRPr="005D7072">
          <w:rPr>
            <w:rFonts w:ascii="Calibri" w:hAnsi="Calibri"/>
            <w:noProof w:val="0"/>
            <w:color w:val="0000FF"/>
            <w:u w:val="single"/>
            <w:rtl/>
          </w:rPr>
          <w:t xml:space="preserve"> </w:t>
        </w:r>
        <w:r w:rsidR="005D7072" w:rsidRPr="005D7072">
          <w:rPr>
            <w:rFonts w:ascii="Calibri" w:hAnsi="Calibri" w:hint="eastAsia"/>
            <w:noProof w:val="0"/>
            <w:color w:val="0000FF"/>
            <w:u w:val="single"/>
            <w:rtl/>
          </w:rPr>
          <w:t>המסוכנים</w:t>
        </w:r>
      </w:hyperlink>
      <w:r w:rsidRPr="00DB5A1B">
        <w:rPr>
          <w:rFonts w:ascii="Calibri" w:hAnsi="Calibri"/>
          <w:noProof w:val="0"/>
          <w:rtl/>
        </w:rPr>
        <w:t xml:space="preserve">. </w:t>
      </w:r>
    </w:p>
    <w:p w14:paraId="2147376E" w14:textId="77777777" w:rsidR="00DB5A1B" w:rsidRPr="00DB5A1B" w:rsidRDefault="00DB5A1B" w:rsidP="00DB5A1B">
      <w:pPr>
        <w:numPr>
          <w:ilvl w:val="0"/>
          <w:numId w:val="4"/>
        </w:numPr>
        <w:shd w:val="clear" w:color="auto" w:fill="FFFFFF"/>
        <w:spacing w:before="120" w:after="120" w:line="360" w:lineRule="auto"/>
        <w:ind w:left="1076" w:hanging="494"/>
        <w:contextualSpacing/>
        <w:jc w:val="both"/>
        <w:rPr>
          <w:rFonts w:ascii="Calibri" w:hAnsi="Calibri"/>
          <w:noProof w:val="0"/>
        </w:rPr>
      </w:pPr>
      <w:r w:rsidRPr="00DB5A1B">
        <w:rPr>
          <w:rFonts w:ascii="Calibri" w:hAnsi="Calibri"/>
          <w:noProof w:val="0"/>
          <w:rtl/>
        </w:rPr>
        <w:t xml:space="preserve">מאסר על תנאי בן 5 חודשים למשך 3 שנים מיום שחרורו מהמאסר, לבל יעבור כל עבירה מסוג עוון לפי </w:t>
      </w:r>
      <w:hyperlink r:id="rId53" w:history="1">
        <w:r w:rsidR="005D7072" w:rsidRPr="005D7072">
          <w:rPr>
            <w:rFonts w:ascii="Calibri" w:hAnsi="Calibri" w:hint="eastAsia"/>
            <w:noProof w:val="0"/>
            <w:color w:val="0000FF"/>
            <w:u w:val="single"/>
            <w:rtl/>
          </w:rPr>
          <w:t>פקודת</w:t>
        </w:r>
        <w:r w:rsidR="005D7072" w:rsidRPr="005D7072">
          <w:rPr>
            <w:rFonts w:ascii="Calibri" w:hAnsi="Calibri"/>
            <w:noProof w:val="0"/>
            <w:color w:val="0000FF"/>
            <w:u w:val="single"/>
            <w:rtl/>
          </w:rPr>
          <w:t xml:space="preserve"> </w:t>
        </w:r>
        <w:r w:rsidR="005D7072" w:rsidRPr="005D7072">
          <w:rPr>
            <w:rFonts w:ascii="Calibri" w:hAnsi="Calibri" w:hint="eastAsia"/>
            <w:noProof w:val="0"/>
            <w:color w:val="0000FF"/>
            <w:u w:val="single"/>
            <w:rtl/>
          </w:rPr>
          <w:t>הסמים</w:t>
        </w:r>
        <w:r w:rsidR="005D7072" w:rsidRPr="005D7072">
          <w:rPr>
            <w:rFonts w:ascii="Calibri" w:hAnsi="Calibri"/>
            <w:noProof w:val="0"/>
            <w:color w:val="0000FF"/>
            <w:u w:val="single"/>
            <w:rtl/>
          </w:rPr>
          <w:t xml:space="preserve"> </w:t>
        </w:r>
        <w:r w:rsidR="005D7072" w:rsidRPr="005D7072">
          <w:rPr>
            <w:rFonts w:ascii="Calibri" w:hAnsi="Calibri" w:hint="eastAsia"/>
            <w:noProof w:val="0"/>
            <w:color w:val="0000FF"/>
            <w:u w:val="single"/>
            <w:rtl/>
          </w:rPr>
          <w:t>המסוכנים</w:t>
        </w:r>
      </w:hyperlink>
      <w:r w:rsidRPr="00DB5A1B">
        <w:rPr>
          <w:rFonts w:ascii="Calibri" w:hAnsi="Calibri"/>
          <w:noProof w:val="0"/>
          <w:rtl/>
        </w:rPr>
        <w:t xml:space="preserve">. </w:t>
      </w:r>
    </w:p>
    <w:p w14:paraId="442629D6" w14:textId="77777777" w:rsidR="00DB5A1B" w:rsidRPr="00DB5A1B" w:rsidRDefault="00DB5A1B" w:rsidP="00DB5A1B">
      <w:pPr>
        <w:numPr>
          <w:ilvl w:val="0"/>
          <w:numId w:val="4"/>
        </w:numPr>
        <w:shd w:val="clear" w:color="auto" w:fill="FFFFFF"/>
        <w:spacing w:before="120" w:after="120" w:line="360" w:lineRule="auto"/>
        <w:ind w:left="1076" w:hanging="494"/>
        <w:contextualSpacing/>
        <w:jc w:val="both"/>
        <w:rPr>
          <w:rFonts w:ascii="Calibri" w:hAnsi="Calibri"/>
          <w:noProof w:val="0"/>
        </w:rPr>
      </w:pPr>
      <w:r w:rsidRPr="00DB5A1B">
        <w:rPr>
          <w:rFonts w:ascii="Calibri" w:hAnsi="Calibri"/>
          <w:noProof w:val="0"/>
          <w:rtl/>
        </w:rPr>
        <w:t>פסילה מלהחזיק או לקבל רישיון נהיגה למשך 12 חודשים מיום שחרורו מהמאסר. הנאשם יפקיד רישיונו במזכירות בית המשפט ותקופת הפסילה תימנה ממועד הפקדת הרישיון.</w:t>
      </w:r>
    </w:p>
    <w:p w14:paraId="071FDD66" w14:textId="77777777" w:rsidR="00DB5A1B" w:rsidRPr="00DB5A1B" w:rsidRDefault="00DB5A1B" w:rsidP="00DB5A1B">
      <w:pPr>
        <w:numPr>
          <w:ilvl w:val="0"/>
          <w:numId w:val="4"/>
        </w:numPr>
        <w:shd w:val="clear" w:color="auto" w:fill="FFFFFF"/>
        <w:spacing w:before="120" w:after="120" w:line="360" w:lineRule="auto"/>
        <w:ind w:left="1076" w:hanging="494"/>
        <w:contextualSpacing/>
        <w:jc w:val="both"/>
        <w:rPr>
          <w:rFonts w:ascii="Calibri" w:hAnsi="Calibri"/>
          <w:noProof w:val="0"/>
        </w:rPr>
      </w:pPr>
      <w:r w:rsidRPr="00DB5A1B">
        <w:rPr>
          <w:rFonts w:ascii="Calibri" w:hAnsi="Calibri"/>
          <w:noProof w:val="0"/>
          <w:rtl/>
        </w:rPr>
        <w:t>פסילה על תנאי מלהחזיק או לקבל רישיון נהיגה למשך 6 חודשים, והתנאי הוא שהנאשם לא יעבור על עבירה של נהיגה בשכרות</w:t>
      </w:r>
      <w:r w:rsidRPr="00DB5A1B">
        <w:rPr>
          <w:rFonts w:ascii="Calibri" w:hAnsi="Calibri" w:hint="cs"/>
          <w:noProof w:val="0"/>
          <w:rtl/>
        </w:rPr>
        <w:t xml:space="preserve">/ סמים </w:t>
      </w:r>
      <w:r w:rsidRPr="00DB5A1B">
        <w:rPr>
          <w:rFonts w:ascii="Calibri" w:hAnsi="Calibri"/>
          <w:noProof w:val="0"/>
          <w:rtl/>
        </w:rPr>
        <w:t>או נהיגה בפסילה במשך שנתיים מיום שחרורו ממאסר.</w:t>
      </w:r>
    </w:p>
    <w:p w14:paraId="6C7D3FAF" w14:textId="77777777" w:rsidR="00DB5A1B" w:rsidRPr="00DB5A1B" w:rsidRDefault="00DB5A1B" w:rsidP="00DB5A1B">
      <w:pPr>
        <w:numPr>
          <w:ilvl w:val="0"/>
          <w:numId w:val="4"/>
        </w:numPr>
        <w:shd w:val="clear" w:color="auto" w:fill="FFFFFF"/>
        <w:spacing w:before="120" w:after="120" w:line="360" w:lineRule="auto"/>
        <w:ind w:left="1076" w:hanging="494"/>
        <w:contextualSpacing/>
        <w:jc w:val="both"/>
        <w:rPr>
          <w:rFonts w:ascii="Calibri" w:hAnsi="Calibri"/>
          <w:noProof w:val="0"/>
        </w:rPr>
      </w:pPr>
      <w:r w:rsidRPr="00DB5A1B">
        <w:rPr>
          <w:rFonts w:ascii="Calibri" w:hAnsi="Calibri"/>
          <w:noProof w:val="0"/>
          <w:rtl/>
        </w:rPr>
        <w:t xml:space="preserve">קנס כספי בסך 3,000 ₪ או 60 ימי מאסר תמורתו. הקנס ישולם </w:t>
      </w:r>
      <w:r>
        <w:rPr>
          <w:rtl/>
        </w:rPr>
        <w:t>ב-5 תשלומים שווים ורצופים החל מיום 1.9.22, וכל ראשון לחודש העוקב. לא ישולם תשלום במועדו, תעמוד כל היתרה לפירעון מיידי ותשא הפרשי ריבית והצמדה החל מהיום.</w:t>
      </w:r>
      <w:r w:rsidRPr="00DB5A1B">
        <w:rPr>
          <w:rFonts w:ascii="Calibri" w:hAnsi="Calibri" w:hint="cs"/>
          <w:noProof w:val="0"/>
          <w:rtl/>
        </w:rPr>
        <w:t xml:space="preserve"> </w:t>
      </w:r>
      <w:r>
        <w:rPr>
          <w:rtl/>
        </w:rPr>
        <w:t xml:space="preserve">הקנס יועבר למרכז לגביית קנסות, אגרות והוצאות ברשות האכיפה והגבייה, וניתן יהיה לשלמו בתוך 3 ימים מיום גזר הדין באחת הדרכים המפורטות באתר המרכז. </w:t>
      </w:r>
    </w:p>
    <w:p w14:paraId="1C010E2B" w14:textId="77777777" w:rsidR="00DB5A1B" w:rsidRPr="00DB5A1B" w:rsidRDefault="00DB5A1B" w:rsidP="00DB5A1B">
      <w:pPr>
        <w:shd w:val="clear" w:color="auto" w:fill="FFFFFF"/>
        <w:spacing w:before="120" w:after="120" w:line="360" w:lineRule="auto"/>
        <w:ind w:left="1076"/>
        <w:contextualSpacing/>
        <w:jc w:val="both"/>
        <w:rPr>
          <w:rFonts w:ascii="Calibri" w:hAnsi="Calibri"/>
          <w:noProof w:val="0"/>
        </w:rPr>
      </w:pPr>
    </w:p>
    <w:p w14:paraId="6F89492E" w14:textId="77777777" w:rsidR="00DB5A1B" w:rsidRPr="00DB5A1B" w:rsidRDefault="00DB5A1B" w:rsidP="00DB5A1B">
      <w:pPr>
        <w:numPr>
          <w:ilvl w:val="0"/>
          <w:numId w:val="1"/>
        </w:numPr>
        <w:shd w:val="clear" w:color="auto" w:fill="FFFFFF"/>
        <w:spacing w:before="120" w:after="120" w:line="360" w:lineRule="auto"/>
        <w:ind w:left="567" w:hanging="567"/>
        <w:contextualSpacing/>
        <w:jc w:val="both"/>
        <w:rPr>
          <w:rFonts w:ascii="Calibri" w:hAnsi="Calibri"/>
          <w:noProof w:val="0"/>
        </w:rPr>
      </w:pPr>
      <w:r w:rsidRPr="005E1E70">
        <w:rPr>
          <w:rtl/>
        </w:rPr>
        <w:t xml:space="preserve">בהתאם </w:t>
      </w:r>
      <w:hyperlink r:id="rId54" w:history="1">
        <w:r w:rsidR="00223639" w:rsidRPr="00223639">
          <w:rPr>
            <w:rStyle w:val="Hyperlink"/>
            <w:rtl/>
          </w:rPr>
          <w:t>לסעיף 36א(ב)</w:t>
        </w:r>
      </w:hyperlink>
      <w:r w:rsidRPr="005E1E70">
        <w:rPr>
          <w:rtl/>
        </w:rPr>
        <w:t xml:space="preserve"> ל</w:t>
      </w:r>
      <w:hyperlink r:id="rId55" w:history="1">
        <w:r w:rsidR="005D7072" w:rsidRPr="005D7072">
          <w:rPr>
            <w:color w:val="0000FF"/>
            <w:u w:val="single"/>
            <w:rtl/>
          </w:rPr>
          <w:t>פקודת הסמים המסוכנים</w:t>
        </w:r>
      </w:hyperlink>
      <w:r w:rsidRPr="005E1E70">
        <w:rPr>
          <w:rtl/>
        </w:rPr>
        <w:t xml:space="preserve"> אני מכריז על הנאשם סוחר סמים ומורה </w:t>
      </w:r>
      <w:r>
        <w:rPr>
          <w:rtl/>
        </w:rPr>
        <w:t>על חילוט מכשיר הטלפון הסלולרי של הנאשם.</w:t>
      </w:r>
    </w:p>
    <w:p w14:paraId="00C96772" w14:textId="77777777" w:rsidR="00DB5A1B" w:rsidRPr="00DB5A1B" w:rsidRDefault="00DB5A1B" w:rsidP="00DB5A1B">
      <w:pPr>
        <w:numPr>
          <w:ilvl w:val="0"/>
          <w:numId w:val="1"/>
        </w:numPr>
        <w:shd w:val="clear" w:color="auto" w:fill="FFFFFF"/>
        <w:spacing w:before="120" w:after="120" w:line="360" w:lineRule="auto"/>
        <w:ind w:left="567" w:hanging="567"/>
        <w:contextualSpacing/>
        <w:jc w:val="both"/>
        <w:rPr>
          <w:rFonts w:ascii="Calibri" w:hAnsi="Calibri"/>
          <w:noProof w:val="0"/>
        </w:rPr>
      </w:pPr>
      <w:r w:rsidRPr="00DB5A1B">
        <w:rPr>
          <w:rFonts w:ascii="Calibri" w:hAnsi="Calibri"/>
          <w:noProof w:val="0"/>
          <w:rtl/>
        </w:rPr>
        <w:t>ניתן בזאת צו כללי למוצגים. הסמים יושמדו.</w:t>
      </w:r>
    </w:p>
    <w:p w14:paraId="49922C19" w14:textId="77777777" w:rsidR="00DB5A1B" w:rsidRDefault="005D7072" w:rsidP="00DB5A1B">
      <w:pPr>
        <w:shd w:val="clear" w:color="auto" w:fill="FFFFFF"/>
        <w:spacing w:before="120" w:after="120"/>
        <w:jc w:val="both"/>
        <w:rPr>
          <w:b/>
          <w:bCs/>
          <w:noProof w:val="0"/>
          <w:u w:val="single"/>
        </w:rPr>
      </w:pPr>
      <w:r>
        <w:rPr>
          <w:b/>
          <w:bCs/>
          <w:noProof w:val="0"/>
        </w:rPr>
        <w:t xml:space="preserve"> </w:t>
      </w:r>
    </w:p>
    <w:p w14:paraId="07B290F4" w14:textId="77777777" w:rsidR="00DB5A1B" w:rsidRDefault="005D7072" w:rsidP="00DB5A1B">
      <w:pPr>
        <w:shd w:val="clear" w:color="auto" w:fill="FFFFFF"/>
        <w:spacing w:before="120" w:after="120"/>
        <w:ind w:left="567" w:hanging="567"/>
        <w:contextualSpacing/>
        <w:jc w:val="both"/>
        <w:rPr>
          <w:b/>
          <w:bCs/>
          <w:noProof w:val="0"/>
          <w:rtl/>
        </w:rPr>
      </w:pPr>
      <w:r w:rsidRPr="005D7072">
        <w:rPr>
          <w:b/>
          <w:bCs/>
          <w:noProof w:val="0"/>
          <w:color w:val="FFFFFF"/>
          <w:sz w:val="2"/>
          <w:szCs w:val="2"/>
          <w:rtl/>
        </w:rPr>
        <w:t>5129371</w:t>
      </w:r>
      <w:r w:rsidR="00DB5A1B">
        <w:rPr>
          <w:b/>
          <w:bCs/>
          <w:noProof w:val="0"/>
          <w:rtl/>
        </w:rPr>
        <w:t>זכות ערעור כדין בתוך 45 ימים.</w:t>
      </w:r>
    </w:p>
    <w:p w14:paraId="686FA5B9" w14:textId="77777777" w:rsidR="00DB5A1B" w:rsidRPr="005D7072" w:rsidRDefault="005D7072" w:rsidP="00DB5A1B">
      <w:pPr>
        <w:shd w:val="clear" w:color="auto" w:fill="FFFFFF"/>
        <w:spacing w:before="120" w:after="120" w:line="360" w:lineRule="auto"/>
        <w:contextualSpacing/>
        <w:jc w:val="both"/>
        <w:rPr>
          <w:rFonts w:ascii="Calibri" w:hAnsi="Calibri"/>
          <w:noProof w:val="0"/>
          <w:color w:val="FFFFFF"/>
          <w:sz w:val="2"/>
          <w:szCs w:val="2"/>
        </w:rPr>
      </w:pPr>
      <w:r w:rsidRPr="005D7072">
        <w:rPr>
          <w:rFonts w:ascii="Calibri" w:hAnsi="Calibri"/>
          <w:noProof w:val="0"/>
          <w:color w:val="FFFFFF"/>
          <w:sz w:val="2"/>
          <w:szCs w:val="2"/>
          <w:rtl/>
        </w:rPr>
        <w:t>54678313</w:t>
      </w:r>
    </w:p>
    <w:p w14:paraId="1E35962E" w14:textId="77777777" w:rsidR="00DB5A1B" w:rsidRPr="00B95D6E" w:rsidRDefault="00DB5A1B" w:rsidP="00DB5A1B">
      <w:pPr>
        <w:spacing w:line="360" w:lineRule="auto"/>
        <w:jc w:val="both"/>
        <w:rPr>
          <w:rFonts w:ascii="Arial" w:hAnsi="Arial"/>
          <w:noProof w:val="0"/>
          <w:rtl/>
        </w:rPr>
      </w:pPr>
    </w:p>
    <w:p w14:paraId="08CF32BD" w14:textId="77777777" w:rsidR="00DB5A1B" w:rsidRDefault="005D7072" w:rsidP="00DB5A1B">
      <w:pPr>
        <w:tabs>
          <w:tab w:val="left" w:pos="2553"/>
        </w:tabs>
        <w:ind w:left="5040"/>
        <w:rPr>
          <w:rtl/>
        </w:rPr>
      </w:pPr>
      <w:bookmarkStart w:id="10" w:name="Nitan"/>
      <w:r>
        <w:rPr>
          <w:rFonts w:ascii="Arial" w:hAnsi="Arial"/>
          <w:noProof w:val="0"/>
          <w:rtl/>
        </w:rPr>
        <w:t xml:space="preserve">ניתנה היום, כ"ב תמוז תשפ"ב, 21 יולי 2022, בנוכחות הצדדים. </w:t>
      </w:r>
      <w:bookmarkEnd w:id="10"/>
      <w:r w:rsidR="00DB5A1B">
        <w:rPr>
          <w:rFonts w:hint="cs"/>
          <w:rtl/>
        </w:rPr>
        <w:t xml:space="preserve">     </w:t>
      </w:r>
    </w:p>
    <w:p w14:paraId="0FDA2FD7" w14:textId="77777777" w:rsidR="005D7072" w:rsidRDefault="005D7072" w:rsidP="005D7072">
      <w:pPr>
        <w:rPr>
          <w:rtl/>
        </w:rPr>
      </w:pPr>
    </w:p>
    <w:p w14:paraId="406A00E7" w14:textId="77777777" w:rsidR="005D7072" w:rsidRDefault="005D7072" w:rsidP="005D7072">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3DB187CB" w14:textId="77777777" w:rsidR="00223639" w:rsidRPr="00223639" w:rsidRDefault="00223639" w:rsidP="00223639">
      <w:pPr>
        <w:keepNext/>
        <w:rPr>
          <w:rFonts w:ascii="David" w:hAnsi="David"/>
          <w:color w:val="000000"/>
          <w:sz w:val="22"/>
          <w:szCs w:val="22"/>
          <w:rtl/>
        </w:rPr>
      </w:pPr>
    </w:p>
    <w:p w14:paraId="5EB34379" w14:textId="77777777" w:rsidR="00223639" w:rsidRPr="00223639" w:rsidRDefault="00223639" w:rsidP="00223639">
      <w:pPr>
        <w:keepNext/>
        <w:rPr>
          <w:rFonts w:ascii="David" w:hAnsi="David"/>
          <w:color w:val="000000"/>
          <w:sz w:val="22"/>
          <w:szCs w:val="22"/>
          <w:rtl/>
        </w:rPr>
      </w:pPr>
      <w:r w:rsidRPr="00223639">
        <w:rPr>
          <w:rFonts w:ascii="David" w:hAnsi="David"/>
          <w:color w:val="000000"/>
          <w:sz w:val="22"/>
          <w:szCs w:val="22"/>
          <w:rtl/>
        </w:rPr>
        <w:t>ארז נוריאלי 54678313-/</w:t>
      </w:r>
    </w:p>
    <w:p w14:paraId="1E3052CC" w14:textId="77777777" w:rsidR="005D7072" w:rsidRPr="005D7072" w:rsidRDefault="00223639" w:rsidP="00223639">
      <w:pPr>
        <w:rPr>
          <w:color w:val="0000FF"/>
          <w:u w:val="single"/>
        </w:rPr>
      </w:pPr>
      <w:r w:rsidRPr="00223639">
        <w:rPr>
          <w:color w:val="000000"/>
          <w:u w:val="single"/>
          <w:rtl/>
        </w:rPr>
        <w:t>נוסח מסמך זה כפוף לשינויי ניסוח ועריכה</w:t>
      </w:r>
    </w:p>
    <w:sectPr w:rsidR="005D7072" w:rsidRPr="005D7072" w:rsidSect="00223639">
      <w:headerReference w:type="even" r:id="rId57"/>
      <w:headerReference w:type="default" r:id="rId58"/>
      <w:footerReference w:type="even" r:id="rId59"/>
      <w:footerReference w:type="default" r:id="rId60"/>
      <w:pgSz w:w="11907" w:h="16840" w:code="9"/>
      <w:pgMar w:top="1701" w:right="1531" w:bottom="1440" w:left="1474"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FBE09" w14:textId="77777777" w:rsidR="002E3979" w:rsidRDefault="002E3979" w:rsidP="00D16DAB">
      <w:r>
        <w:separator/>
      </w:r>
    </w:p>
  </w:endnote>
  <w:endnote w:type="continuationSeparator" w:id="0">
    <w:p w14:paraId="30834700" w14:textId="77777777" w:rsidR="002E3979" w:rsidRDefault="002E3979" w:rsidP="00D16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DFD2E" w14:textId="77777777" w:rsidR="00223639" w:rsidRDefault="00223639" w:rsidP="0022363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63679EC" w14:textId="77777777" w:rsidR="005D7072" w:rsidRPr="00223639" w:rsidRDefault="00223639" w:rsidP="00223639">
    <w:pPr>
      <w:pStyle w:val="a5"/>
      <w:pBdr>
        <w:top w:val="single" w:sz="4" w:space="1" w:color="auto"/>
        <w:between w:val="single" w:sz="4" w:space="0" w:color="auto"/>
      </w:pBdr>
      <w:spacing w:after="60"/>
      <w:jc w:val="center"/>
      <w:rPr>
        <w:rFonts w:ascii="FrankRuehl" w:hAnsi="FrankRuehl" w:cs="FrankRuehl"/>
        <w:color w:val="000000"/>
      </w:rPr>
    </w:pPr>
    <w:r w:rsidRPr="002236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24C2B" w14:textId="77777777" w:rsidR="00223639" w:rsidRDefault="00223639" w:rsidP="00223639">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8C7860">
      <w:rPr>
        <w:rStyle w:val="a8"/>
        <w:rFonts w:ascii="FrankRuehl" w:hAnsi="FrankRuehl" w:cs="FrankRuehl"/>
        <w:rtl/>
      </w:rPr>
      <w:t>1</w:t>
    </w:r>
    <w:r>
      <w:rPr>
        <w:rStyle w:val="a8"/>
        <w:rFonts w:ascii="FrankRuehl" w:hAnsi="FrankRuehl" w:cs="FrankRuehl"/>
        <w:rtl/>
      </w:rPr>
      <w:fldChar w:fldCharType="end"/>
    </w:r>
  </w:p>
  <w:p w14:paraId="24D0DDDF" w14:textId="77777777" w:rsidR="00BA5BB7" w:rsidRPr="00223639" w:rsidRDefault="00223639" w:rsidP="00223639">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223639">
      <w:rPr>
        <w:rStyle w:val="a8"/>
        <w:rFonts w:ascii="FrankRuehl" w:hAnsi="FrankRuehl" w:cs="FrankRuehl" w:hint="cs"/>
        <w:color w:val="000000"/>
      </w:rPr>
      <w:pict w14:anchorId="6B2FD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A2B0B" w14:textId="77777777" w:rsidR="002E3979" w:rsidRDefault="002E3979" w:rsidP="00D16DAB">
      <w:r>
        <w:separator/>
      </w:r>
    </w:p>
  </w:footnote>
  <w:footnote w:type="continuationSeparator" w:id="0">
    <w:p w14:paraId="1697FB3F" w14:textId="77777777" w:rsidR="002E3979" w:rsidRDefault="002E3979" w:rsidP="00D16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9914E" w14:textId="77777777" w:rsidR="005D7072" w:rsidRPr="00223639" w:rsidRDefault="00223639" w:rsidP="002236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42956-04-22</w:t>
    </w:r>
    <w:r>
      <w:rPr>
        <w:rFonts w:ascii="David" w:hAnsi="David"/>
        <w:color w:val="000000"/>
        <w:sz w:val="22"/>
        <w:szCs w:val="22"/>
        <w:rtl/>
      </w:rPr>
      <w:tab/>
      <w:t xml:space="preserve"> מדינת ישראל נ' שלום סואיסה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D1D2E" w14:textId="77777777" w:rsidR="005D7072" w:rsidRPr="00223639" w:rsidRDefault="00223639" w:rsidP="002236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42956-04-22</w:t>
    </w:r>
    <w:r>
      <w:rPr>
        <w:rFonts w:ascii="David" w:hAnsi="David"/>
        <w:color w:val="000000"/>
        <w:sz w:val="22"/>
        <w:szCs w:val="22"/>
        <w:rtl/>
      </w:rPr>
      <w:tab/>
      <w:t xml:space="preserve"> מדינת ישראל נ' שלום סואיסה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EFB"/>
    <w:multiLevelType w:val="hybridMultilevel"/>
    <w:tmpl w:val="DD9080BA"/>
    <w:lvl w:ilvl="0" w:tplc="D5745D1C">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D25857"/>
    <w:multiLevelType w:val="hybridMultilevel"/>
    <w:tmpl w:val="8448486C"/>
    <w:lvl w:ilvl="0" w:tplc="4A76FFF8">
      <w:start w:val="1"/>
      <w:numFmt w:val="hebrew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F393A3A"/>
    <w:multiLevelType w:val="hybridMultilevel"/>
    <w:tmpl w:val="9FB42A84"/>
    <w:lvl w:ilvl="0" w:tplc="4F32B6A6">
      <w:start w:val="1"/>
      <w:numFmt w:val="hebrew1"/>
      <w:lvlText w:val="%1."/>
      <w:lvlJc w:val="left"/>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7A9455D5"/>
    <w:multiLevelType w:val="hybridMultilevel"/>
    <w:tmpl w:val="684827AA"/>
    <w:lvl w:ilvl="0" w:tplc="CFB049EA">
      <w:start w:val="1"/>
      <w:numFmt w:val="decimal"/>
      <w:lvlText w:val="%1."/>
      <w:lvlJc w:val="left"/>
      <w:pPr>
        <w:ind w:left="360" w:hanging="360"/>
      </w:pPr>
      <w:rPr>
        <w:rFonts w:ascii="David" w:hAnsi="David" w:cs="David" w:hint="default"/>
        <w:b w:val="0"/>
        <w:bCs w:val="0"/>
      </w:rPr>
    </w:lvl>
    <w:lvl w:ilvl="1" w:tplc="04090019">
      <w:start w:val="1"/>
      <w:numFmt w:val="lowerLetter"/>
      <w:lvlText w:val="%2."/>
      <w:lvlJc w:val="left"/>
      <w:pPr>
        <w:ind w:left="870" w:hanging="360"/>
      </w:pPr>
      <w:rPr>
        <w:rFonts w:cs="Times New Roman"/>
      </w:rPr>
    </w:lvl>
    <w:lvl w:ilvl="2" w:tplc="0409001B">
      <w:start w:val="1"/>
      <w:numFmt w:val="lowerRoman"/>
      <w:lvlText w:val="%3."/>
      <w:lvlJc w:val="right"/>
      <w:pPr>
        <w:ind w:left="1590" w:hanging="180"/>
      </w:pPr>
      <w:rPr>
        <w:rFonts w:cs="Times New Roman"/>
      </w:rPr>
    </w:lvl>
    <w:lvl w:ilvl="3" w:tplc="0409000F">
      <w:start w:val="1"/>
      <w:numFmt w:val="decimal"/>
      <w:lvlText w:val="%4."/>
      <w:lvlJc w:val="left"/>
      <w:pPr>
        <w:ind w:left="2310" w:hanging="360"/>
      </w:pPr>
      <w:rPr>
        <w:rFonts w:cs="Times New Roman"/>
      </w:rPr>
    </w:lvl>
    <w:lvl w:ilvl="4" w:tplc="04090019">
      <w:start w:val="1"/>
      <w:numFmt w:val="lowerLetter"/>
      <w:lvlText w:val="%5."/>
      <w:lvlJc w:val="left"/>
      <w:pPr>
        <w:ind w:left="3030" w:hanging="360"/>
      </w:pPr>
      <w:rPr>
        <w:rFonts w:cs="Times New Roman"/>
      </w:rPr>
    </w:lvl>
    <w:lvl w:ilvl="5" w:tplc="0409001B">
      <w:start w:val="1"/>
      <w:numFmt w:val="lowerRoman"/>
      <w:lvlText w:val="%6."/>
      <w:lvlJc w:val="right"/>
      <w:pPr>
        <w:ind w:left="3750" w:hanging="180"/>
      </w:pPr>
      <w:rPr>
        <w:rFonts w:cs="Times New Roman"/>
      </w:rPr>
    </w:lvl>
    <w:lvl w:ilvl="6" w:tplc="0409000F">
      <w:start w:val="1"/>
      <w:numFmt w:val="decimal"/>
      <w:lvlText w:val="%7."/>
      <w:lvlJc w:val="left"/>
      <w:pPr>
        <w:ind w:left="4470" w:hanging="360"/>
      </w:pPr>
      <w:rPr>
        <w:rFonts w:cs="Times New Roman"/>
      </w:rPr>
    </w:lvl>
    <w:lvl w:ilvl="7" w:tplc="04090019">
      <w:start w:val="1"/>
      <w:numFmt w:val="lowerLetter"/>
      <w:lvlText w:val="%8."/>
      <w:lvlJc w:val="left"/>
      <w:pPr>
        <w:ind w:left="5190" w:hanging="360"/>
      </w:pPr>
      <w:rPr>
        <w:rFonts w:cs="Times New Roman"/>
      </w:rPr>
    </w:lvl>
    <w:lvl w:ilvl="8" w:tplc="0409001B">
      <w:start w:val="1"/>
      <w:numFmt w:val="lowerRoman"/>
      <w:lvlText w:val="%9."/>
      <w:lvlJc w:val="right"/>
      <w:pPr>
        <w:ind w:left="5910" w:hanging="180"/>
      </w:pPr>
      <w:rPr>
        <w:rFonts w:cs="Times New Roman"/>
      </w:rPr>
    </w:lvl>
  </w:abstractNum>
  <w:num w:numId="1" w16cid:durableId="1211184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58437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831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25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5A1B"/>
    <w:rsid w:val="0005361D"/>
    <w:rsid w:val="001B5A3B"/>
    <w:rsid w:val="00223639"/>
    <w:rsid w:val="002E3979"/>
    <w:rsid w:val="003C36C7"/>
    <w:rsid w:val="00527365"/>
    <w:rsid w:val="005D7072"/>
    <w:rsid w:val="00654B8E"/>
    <w:rsid w:val="008C7860"/>
    <w:rsid w:val="00BA5BB7"/>
    <w:rsid w:val="00D019B9"/>
    <w:rsid w:val="00D02FB7"/>
    <w:rsid w:val="00D16DAB"/>
    <w:rsid w:val="00D23B37"/>
    <w:rsid w:val="00DB5A1B"/>
    <w:rsid w:val="00F657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15DB1D"/>
  <w15:chartTrackingRefBased/>
  <w15:docId w15:val="{D242C370-4696-40B4-8B34-6AB7B608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B5A1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B5A1B"/>
    <w:pPr>
      <w:tabs>
        <w:tab w:val="center" w:pos="4153"/>
        <w:tab w:val="right" w:pos="8306"/>
      </w:tabs>
    </w:pPr>
  </w:style>
  <w:style w:type="character" w:customStyle="1" w:styleId="a4">
    <w:name w:val="כותרת עליונה תו"/>
    <w:link w:val="a3"/>
    <w:rsid w:val="00DB5A1B"/>
    <w:rPr>
      <w:rFonts w:ascii="Times New Roman" w:eastAsia="Times New Roman" w:hAnsi="Times New Roman" w:cs="David"/>
      <w:noProof/>
      <w:sz w:val="24"/>
      <w:szCs w:val="24"/>
    </w:rPr>
  </w:style>
  <w:style w:type="paragraph" w:styleId="a5">
    <w:name w:val="footer"/>
    <w:basedOn w:val="a"/>
    <w:link w:val="a6"/>
    <w:rsid w:val="00DB5A1B"/>
    <w:pPr>
      <w:tabs>
        <w:tab w:val="center" w:pos="4153"/>
        <w:tab w:val="right" w:pos="8306"/>
      </w:tabs>
    </w:pPr>
  </w:style>
  <w:style w:type="character" w:customStyle="1" w:styleId="a6">
    <w:name w:val="כותרת תחתונה תו"/>
    <w:link w:val="a5"/>
    <w:rsid w:val="00DB5A1B"/>
    <w:rPr>
      <w:rFonts w:ascii="Times New Roman" w:eastAsia="Times New Roman" w:hAnsi="Times New Roman" w:cs="David"/>
      <w:noProof/>
      <w:sz w:val="24"/>
      <w:szCs w:val="24"/>
    </w:rPr>
  </w:style>
  <w:style w:type="table" w:styleId="a7">
    <w:name w:val="Table Grid"/>
    <w:basedOn w:val="a1"/>
    <w:rsid w:val="00DB5A1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B5A1B"/>
  </w:style>
  <w:style w:type="character" w:styleId="Hyperlink">
    <w:name w:val="Hyperlink"/>
    <w:rsid w:val="00DB5A1B"/>
    <w:rPr>
      <w:color w:val="0000FF"/>
      <w:u w:val="single"/>
    </w:rPr>
  </w:style>
  <w:style w:type="character" w:customStyle="1" w:styleId="a9">
    <w:name w:val="פיסקת רשימה תו"/>
    <w:link w:val="aa"/>
    <w:locked/>
    <w:rsid w:val="00DB5A1B"/>
    <w:rPr>
      <w:rFonts w:cs="David"/>
      <w:noProof/>
      <w:sz w:val="24"/>
      <w:szCs w:val="24"/>
    </w:rPr>
  </w:style>
  <w:style w:type="paragraph" w:styleId="aa">
    <w:name w:val="List Paragraph"/>
    <w:basedOn w:val="a"/>
    <w:link w:val="a9"/>
    <w:qFormat/>
    <w:rsid w:val="00DB5A1B"/>
    <w:pPr>
      <w:ind w:left="720"/>
      <w:contextualSpacing/>
    </w:pPr>
    <w:rPr>
      <w:rFonts w:ascii="Calibri" w:eastAsia="Calibri" w:hAnsi="Calibri"/>
    </w:rPr>
  </w:style>
  <w:style w:type="paragraph" w:customStyle="1" w:styleId="listparagraph">
    <w:name w:val="listparagraph"/>
    <w:basedOn w:val="a"/>
    <w:rsid w:val="00DB5A1B"/>
    <w:pPr>
      <w:spacing w:after="160" w:line="252" w:lineRule="auto"/>
      <w:ind w:left="720"/>
    </w:pPr>
    <w:rPr>
      <w:rFonts w:ascii="Calibri" w:hAnsi="Calibri" w:cs="Calibri"/>
      <w:noProof w:val="0"/>
      <w:sz w:val="22"/>
      <w:szCs w:val="22"/>
    </w:rPr>
  </w:style>
  <w:style w:type="character" w:customStyle="1" w:styleId="Ruller4">
    <w:name w:val="Ruller4 תו"/>
    <w:link w:val="Ruller40"/>
    <w:locked/>
    <w:rsid w:val="00DB5A1B"/>
    <w:rPr>
      <w:rFonts w:ascii="Arial TUR" w:hAnsi="Arial TUR" w:cs="FrankRuehl"/>
      <w:spacing w:val="10"/>
      <w:szCs w:val="28"/>
    </w:rPr>
  </w:style>
  <w:style w:type="paragraph" w:customStyle="1" w:styleId="Ruller40">
    <w:name w:val="Ruller4"/>
    <w:basedOn w:val="a"/>
    <w:link w:val="Ruller4"/>
    <w:rsid w:val="00DB5A1B"/>
    <w:pPr>
      <w:tabs>
        <w:tab w:val="left" w:pos="800"/>
      </w:tabs>
      <w:overflowPunct w:val="0"/>
      <w:autoSpaceDE w:val="0"/>
      <w:autoSpaceDN w:val="0"/>
      <w:adjustRightInd w:val="0"/>
      <w:spacing w:line="360" w:lineRule="auto"/>
      <w:jc w:val="both"/>
    </w:pPr>
    <w:rPr>
      <w:rFonts w:ascii="Arial TUR" w:eastAsia="Calibri" w:hAnsi="Arial TUR" w:cs="FrankRuehl"/>
      <w:noProof w:val="0"/>
      <w:spacing w:val="10"/>
      <w:sz w:val="22"/>
      <w:szCs w:val="28"/>
    </w:rPr>
  </w:style>
  <w:style w:type="character" w:styleId="ab">
    <w:name w:val="line number"/>
    <w:rsid w:val="00DB5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26504706" TargetMode="External"/><Relationship Id="rId26" Type="http://schemas.openxmlformats.org/officeDocument/2006/relationships/hyperlink" Target="http://www.nevo.co.il/case/20205876" TargetMode="External"/><Relationship Id="rId39" Type="http://schemas.openxmlformats.org/officeDocument/2006/relationships/hyperlink" Target="http://www.nevo.co.il/case/20213688"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7939812" TargetMode="External"/><Relationship Id="rId42" Type="http://schemas.openxmlformats.org/officeDocument/2006/relationships/hyperlink" Target="http://www.nevo.co.il/case/22974026" TargetMode="External"/><Relationship Id="rId47" Type="http://schemas.openxmlformats.org/officeDocument/2006/relationships/hyperlink" Target="http://www.nevo.co.il/case/25584217" TargetMode="External"/><Relationship Id="rId50" Type="http://schemas.openxmlformats.org/officeDocument/2006/relationships/hyperlink" Target="http://www.nevo.co.il/case/5792745" TargetMode="External"/><Relationship Id="rId55"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3093721" TargetMode="External"/><Relationship Id="rId29" Type="http://schemas.openxmlformats.org/officeDocument/2006/relationships/hyperlink" Target="http://www.nevo.co.il/case/5698919"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7932979" TargetMode="External"/><Relationship Id="rId32" Type="http://schemas.openxmlformats.org/officeDocument/2006/relationships/hyperlink" Target="http://www.nevo.co.il/case/6045416"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5927150" TargetMode="External"/><Relationship Id="rId45" Type="http://schemas.openxmlformats.org/officeDocument/2006/relationships/hyperlink" Target="http://www.nevo.co.il/case/5411596" TargetMode="External"/><Relationship Id="rId53" Type="http://schemas.openxmlformats.org/officeDocument/2006/relationships/hyperlink" Target="http://www.nevo.co.il/law/4216"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case/7958246"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20131420" TargetMode="External"/><Relationship Id="rId35" Type="http://schemas.openxmlformats.org/officeDocument/2006/relationships/hyperlink" Target="http://www.nevo.co.il/case/6062217" TargetMode="External"/><Relationship Id="rId43" Type="http://schemas.openxmlformats.org/officeDocument/2006/relationships/hyperlink" Target="http://www.nevo.co.il/case/20420496" TargetMode="External"/><Relationship Id="rId48" Type="http://schemas.openxmlformats.org/officeDocument/2006/relationships/hyperlink" Target="http://www.nevo.co.il/law/70301/40ja"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13" TargetMode="External"/><Relationship Id="rId51" Type="http://schemas.openxmlformats.org/officeDocument/2006/relationships/hyperlink" Target="http://www.nevo.co.il/case/5790166"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case/23825973" TargetMode="External"/><Relationship Id="rId25" Type="http://schemas.openxmlformats.org/officeDocument/2006/relationships/hyperlink" Target="http://www.nevo.co.il/case/5726579" TargetMode="External"/><Relationship Id="rId33" Type="http://schemas.openxmlformats.org/officeDocument/2006/relationships/hyperlink" Target="http://www.nevo.co.il/case/5988308" TargetMode="External"/><Relationship Id="rId38" Type="http://schemas.openxmlformats.org/officeDocument/2006/relationships/hyperlink" Target="http://www.nevo.co.il/case/22830934" TargetMode="External"/><Relationship Id="rId46" Type="http://schemas.openxmlformats.org/officeDocument/2006/relationships/hyperlink" Target="http://www.nevo.co.il/case/26808682" TargetMode="External"/><Relationship Id="rId59" Type="http://schemas.openxmlformats.org/officeDocument/2006/relationships/footer" Target="footer1.xml"/><Relationship Id="rId20" Type="http://schemas.openxmlformats.org/officeDocument/2006/relationships/hyperlink" Target="http://www.nevo.co.il/law/70301/40b" TargetMode="External"/><Relationship Id="rId41" Type="http://schemas.openxmlformats.org/officeDocument/2006/relationships/hyperlink" Target="http://www.nevo.co.il/case/5605484" TargetMode="External"/><Relationship Id="rId54" Type="http://schemas.openxmlformats.org/officeDocument/2006/relationships/hyperlink" Target="http://www.nevo.co.il/law/4216/36a.b"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1472796" TargetMode="External"/><Relationship Id="rId28" Type="http://schemas.openxmlformats.org/officeDocument/2006/relationships/hyperlink" Target="http://www.nevo.co.il/case/5583030" TargetMode="External"/><Relationship Id="rId36" Type="http://schemas.openxmlformats.org/officeDocument/2006/relationships/hyperlink" Target="http://www.nevo.co.il/case/5896323" TargetMode="External"/><Relationship Id="rId49" Type="http://schemas.openxmlformats.org/officeDocument/2006/relationships/hyperlink" Target="http://www.nevo.co.il/law/70301" TargetMode="External"/><Relationship Id="rId57" Type="http://schemas.openxmlformats.org/officeDocument/2006/relationships/header" Target="header1.xml"/><Relationship Id="rId10" Type="http://schemas.openxmlformats.org/officeDocument/2006/relationships/hyperlink" Target="http://www.nevo.co.il/law/4216/36a.b" TargetMode="External"/><Relationship Id="rId31" Type="http://schemas.openxmlformats.org/officeDocument/2006/relationships/hyperlink" Target="http://www.nevo.co.il/case/5786821" TargetMode="External"/><Relationship Id="rId44" Type="http://schemas.openxmlformats.org/officeDocument/2006/relationships/hyperlink" Target="http://www.nevo.co.il/case/24268598" TargetMode="External"/><Relationship Id="rId52" Type="http://schemas.openxmlformats.org/officeDocument/2006/relationships/hyperlink" Target="http://www.nevo.co.il/law/4216"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3544</Words>
  <Characters>17722</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21224</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8257637</vt:i4>
      </vt:variant>
      <vt:variant>
        <vt:i4>144</vt:i4>
      </vt:variant>
      <vt:variant>
        <vt:i4>0</vt:i4>
      </vt:variant>
      <vt:variant>
        <vt:i4>5</vt:i4>
      </vt:variant>
      <vt:variant>
        <vt:lpwstr>http://www.nevo.co.il/law/4216</vt:lpwstr>
      </vt:variant>
      <vt:variant>
        <vt:lpwstr/>
      </vt:variant>
      <vt:variant>
        <vt:i4>5111890</vt:i4>
      </vt:variant>
      <vt:variant>
        <vt:i4>141</vt:i4>
      </vt:variant>
      <vt:variant>
        <vt:i4>0</vt:i4>
      </vt:variant>
      <vt:variant>
        <vt:i4>5</vt:i4>
      </vt:variant>
      <vt:variant>
        <vt:lpwstr>http://www.nevo.co.il/law/4216/36a.b</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3866741</vt:i4>
      </vt:variant>
      <vt:variant>
        <vt:i4>132</vt:i4>
      </vt:variant>
      <vt:variant>
        <vt:i4>0</vt:i4>
      </vt:variant>
      <vt:variant>
        <vt:i4>5</vt:i4>
      </vt:variant>
      <vt:variant>
        <vt:lpwstr>http://www.nevo.co.il/case/5790166</vt:lpwstr>
      </vt:variant>
      <vt:variant>
        <vt:lpwstr/>
      </vt:variant>
      <vt:variant>
        <vt:i4>4063349</vt:i4>
      </vt:variant>
      <vt:variant>
        <vt:i4>129</vt:i4>
      </vt:variant>
      <vt:variant>
        <vt:i4>0</vt:i4>
      </vt:variant>
      <vt:variant>
        <vt:i4>5</vt:i4>
      </vt:variant>
      <vt:variant>
        <vt:lpwstr>http://www.nevo.co.il/case/5792745</vt:lpwstr>
      </vt:variant>
      <vt:variant>
        <vt:lpwstr/>
      </vt:variant>
      <vt:variant>
        <vt:i4>7995492</vt:i4>
      </vt:variant>
      <vt:variant>
        <vt:i4>126</vt:i4>
      </vt:variant>
      <vt:variant>
        <vt:i4>0</vt:i4>
      </vt:variant>
      <vt:variant>
        <vt:i4>5</vt:i4>
      </vt:variant>
      <vt:variant>
        <vt:lpwstr>http://www.nevo.co.il/law/70301</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3276923</vt:i4>
      </vt:variant>
      <vt:variant>
        <vt:i4>120</vt:i4>
      </vt:variant>
      <vt:variant>
        <vt:i4>0</vt:i4>
      </vt:variant>
      <vt:variant>
        <vt:i4>5</vt:i4>
      </vt:variant>
      <vt:variant>
        <vt:lpwstr>http://www.nevo.co.il/case/25584217</vt:lpwstr>
      </vt:variant>
      <vt:variant>
        <vt:lpwstr/>
      </vt:variant>
      <vt:variant>
        <vt:i4>3801204</vt:i4>
      </vt:variant>
      <vt:variant>
        <vt:i4>117</vt:i4>
      </vt:variant>
      <vt:variant>
        <vt:i4>0</vt:i4>
      </vt:variant>
      <vt:variant>
        <vt:i4>5</vt:i4>
      </vt:variant>
      <vt:variant>
        <vt:lpwstr>http://www.nevo.co.il/case/26808682</vt:lpwstr>
      </vt:variant>
      <vt:variant>
        <vt:lpwstr/>
      </vt:variant>
      <vt:variant>
        <vt:i4>3604600</vt:i4>
      </vt:variant>
      <vt:variant>
        <vt:i4>114</vt:i4>
      </vt:variant>
      <vt:variant>
        <vt:i4>0</vt:i4>
      </vt:variant>
      <vt:variant>
        <vt:i4>5</vt:i4>
      </vt:variant>
      <vt:variant>
        <vt:lpwstr>http://www.nevo.co.il/case/5411596</vt:lpwstr>
      </vt:variant>
      <vt:variant>
        <vt:lpwstr/>
      </vt:variant>
      <vt:variant>
        <vt:i4>3211379</vt:i4>
      </vt:variant>
      <vt:variant>
        <vt:i4>111</vt:i4>
      </vt:variant>
      <vt:variant>
        <vt:i4>0</vt:i4>
      </vt:variant>
      <vt:variant>
        <vt:i4>5</vt:i4>
      </vt:variant>
      <vt:variant>
        <vt:lpwstr>http://www.nevo.co.il/case/24268598</vt:lpwstr>
      </vt:variant>
      <vt:variant>
        <vt:lpwstr/>
      </vt:variant>
      <vt:variant>
        <vt:i4>4128882</vt:i4>
      </vt:variant>
      <vt:variant>
        <vt:i4>108</vt:i4>
      </vt:variant>
      <vt:variant>
        <vt:i4>0</vt:i4>
      </vt:variant>
      <vt:variant>
        <vt:i4>5</vt:i4>
      </vt:variant>
      <vt:variant>
        <vt:lpwstr>http://www.nevo.co.il/case/20420496</vt:lpwstr>
      </vt:variant>
      <vt:variant>
        <vt:lpwstr/>
      </vt:variant>
      <vt:variant>
        <vt:i4>3997809</vt:i4>
      </vt:variant>
      <vt:variant>
        <vt:i4>105</vt:i4>
      </vt:variant>
      <vt:variant>
        <vt:i4>0</vt:i4>
      </vt:variant>
      <vt:variant>
        <vt:i4>5</vt:i4>
      </vt:variant>
      <vt:variant>
        <vt:lpwstr>http://www.nevo.co.il/case/22974026</vt:lpwstr>
      </vt:variant>
      <vt:variant>
        <vt:lpwstr/>
      </vt:variant>
      <vt:variant>
        <vt:i4>3473535</vt:i4>
      </vt:variant>
      <vt:variant>
        <vt:i4>102</vt:i4>
      </vt:variant>
      <vt:variant>
        <vt:i4>0</vt:i4>
      </vt:variant>
      <vt:variant>
        <vt:i4>5</vt:i4>
      </vt:variant>
      <vt:variant>
        <vt:lpwstr>http://www.nevo.co.il/case/5605484</vt:lpwstr>
      </vt:variant>
      <vt:variant>
        <vt:lpwstr/>
      </vt:variant>
      <vt:variant>
        <vt:i4>3735666</vt:i4>
      </vt:variant>
      <vt:variant>
        <vt:i4>99</vt:i4>
      </vt:variant>
      <vt:variant>
        <vt:i4>0</vt:i4>
      </vt:variant>
      <vt:variant>
        <vt:i4>5</vt:i4>
      </vt:variant>
      <vt:variant>
        <vt:lpwstr>http://www.nevo.co.il/case/25927150</vt:lpwstr>
      </vt:variant>
      <vt:variant>
        <vt:lpwstr/>
      </vt:variant>
      <vt:variant>
        <vt:i4>3866739</vt:i4>
      </vt:variant>
      <vt:variant>
        <vt:i4>96</vt:i4>
      </vt:variant>
      <vt:variant>
        <vt:i4>0</vt:i4>
      </vt:variant>
      <vt:variant>
        <vt:i4>5</vt:i4>
      </vt:variant>
      <vt:variant>
        <vt:lpwstr>http://www.nevo.co.il/case/20213688</vt:lpwstr>
      </vt:variant>
      <vt:variant>
        <vt:lpwstr/>
      </vt:variant>
      <vt:variant>
        <vt:i4>3735676</vt:i4>
      </vt:variant>
      <vt:variant>
        <vt:i4>93</vt:i4>
      </vt:variant>
      <vt:variant>
        <vt:i4>0</vt:i4>
      </vt:variant>
      <vt:variant>
        <vt:i4>5</vt:i4>
      </vt:variant>
      <vt:variant>
        <vt:lpwstr>http://www.nevo.co.il/case/22830934</vt:lpwstr>
      </vt:variant>
      <vt:variant>
        <vt:lpwstr/>
      </vt:variant>
      <vt:variant>
        <vt:i4>7995492</vt:i4>
      </vt:variant>
      <vt:variant>
        <vt:i4>90</vt:i4>
      </vt:variant>
      <vt:variant>
        <vt:i4>0</vt:i4>
      </vt:variant>
      <vt:variant>
        <vt:i4>5</vt:i4>
      </vt:variant>
      <vt:variant>
        <vt:lpwstr>http://www.nevo.co.il/law/70301</vt:lpwstr>
      </vt:variant>
      <vt:variant>
        <vt:lpwstr/>
      </vt:variant>
      <vt:variant>
        <vt:i4>3932280</vt:i4>
      </vt:variant>
      <vt:variant>
        <vt:i4>87</vt:i4>
      </vt:variant>
      <vt:variant>
        <vt:i4>0</vt:i4>
      </vt:variant>
      <vt:variant>
        <vt:i4>5</vt:i4>
      </vt:variant>
      <vt:variant>
        <vt:lpwstr>http://www.nevo.co.il/case/5896323</vt:lpwstr>
      </vt:variant>
      <vt:variant>
        <vt:lpwstr/>
      </vt:variant>
      <vt:variant>
        <vt:i4>3473527</vt:i4>
      </vt:variant>
      <vt:variant>
        <vt:i4>84</vt:i4>
      </vt:variant>
      <vt:variant>
        <vt:i4>0</vt:i4>
      </vt:variant>
      <vt:variant>
        <vt:i4>5</vt:i4>
      </vt:variant>
      <vt:variant>
        <vt:lpwstr>http://www.nevo.co.il/case/6062217</vt:lpwstr>
      </vt:variant>
      <vt:variant>
        <vt:lpwstr/>
      </vt:variant>
      <vt:variant>
        <vt:i4>3145848</vt:i4>
      </vt:variant>
      <vt:variant>
        <vt:i4>81</vt:i4>
      </vt:variant>
      <vt:variant>
        <vt:i4>0</vt:i4>
      </vt:variant>
      <vt:variant>
        <vt:i4>5</vt:i4>
      </vt:variant>
      <vt:variant>
        <vt:lpwstr>http://www.nevo.co.il/case/17939812</vt:lpwstr>
      </vt:variant>
      <vt:variant>
        <vt:lpwstr/>
      </vt:variant>
      <vt:variant>
        <vt:i4>3539061</vt:i4>
      </vt:variant>
      <vt:variant>
        <vt:i4>78</vt:i4>
      </vt:variant>
      <vt:variant>
        <vt:i4>0</vt:i4>
      </vt:variant>
      <vt:variant>
        <vt:i4>5</vt:i4>
      </vt:variant>
      <vt:variant>
        <vt:lpwstr>http://www.nevo.co.il/case/5988308</vt:lpwstr>
      </vt:variant>
      <vt:variant>
        <vt:lpwstr/>
      </vt:variant>
      <vt:variant>
        <vt:i4>3145840</vt:i4>
      </vt:variant>
      <vt:variant>
        <vt:i4>75</vt:i4>
      </vt:variant>
      <vt:variant>
        <vt:i4>0</vt:i4>
      </vt:variant>
      <vt:variant>
        <vt:i4>5</vt:i4>
      </vt:variant>
      <vt:variant>
        <vt:lpwstr>http://www.nevo.co.il/case/6045416</vt:lpwstr>
      </vt:variant>
      <vt:variant>
        <vt:lpwstr/>
      </vt:variant>
      <vt:variant>
        <vt:i4>3407991</vt:i4>
      </vt:variant>
      <vt:variant>
        <vt:i4>72</vt:i4>
      </vt:variant>
      <vt:variant>
        <vt:i4>0</vt:i4>
      </vt:variant>
      <vt:variant>
        <vt:i4>5</vt:i4>
      </vt:variant>
      <vt:variant>
        <vt:lpwstr>http://www.nevo.co.il/case/5786821</vt:lpwstr>
      </vt:variant>
      <vt:variant>
        <vt:lpwstr/>
      </vt:variant>
      <vt:variant>
        <vt:i4>3145843</vt:i4>
      </vt:variant>
      <vt:variant>
        <vt:i4>69</vt:i4>
      </vt:variant>
      <vt:variant>
        <vt:i4>0</vt:i4>
      </vt:variant>
      <vt:variant>
        <vt:i4>5</vt:i4>
      </vt:variant>
      <vt:variant>
        <vt:lpwstr>http://www.nevo.co.il/case/20131420</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3997809</vt:i4>
      </vt:variant>
      <vt:variant>
        <vt:i4>63</vt:i4>
      </vt:variant>
      <vt:variant>
        <vt:i4>0</vt:i4>
      </vt:variant>
      <vt:variant>
        <vt:i4>5</vt:i4>
      </vt:variant>
      <vt:variant>
        <vt:lpwstr>http://www.nevo.co.il/case/5583030</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3276924</vt:i4>
      </vt:variant>
      <vt:variant>
        <vt:i4>57</vt:i4>
      </vt:variant>
      <vt:variant>
        <vt:i4>0</vt:i4>
      </vt:variant>
      <vt:variant>
        <vt:i4>5</vt:i4>
      </vt:variant>
      <vt:variant>
        <vt:lpwstr>http://www.nevo.co.il/case/20205876</vt:lpwstr>
      </vt:variant>
      <vt:variant>
        <vt:lpwstr/>
      </vt:variant>
      <vt:variant>
        <vt:i4>3866738</vt:i4>
      </vt:variant>
      <vt:variant>
        <vt:i4>54</vt:i4>
      </vt:variant>
      <vt:variant>
        <vt:i4>0</vt:i4>
      </vt:variant>
      <vt:variant>
        <vt:i4>5</vt:i4>
      </vt:variant>
      <vt:variant>
        <vt:lpwstr>http://www.nevo.co.il/case/5726579</vt:lpwstr>
      </vt:variant>
      <vt:variant>
        <vt:lpwstr/>
      </vt:variant>
      <vt:variant>
        <vt:i4>3997817</vt:i4>
      </vt:variant>
      <vt:variant>
        <vt:i4>51</vt:i4>
      </vt:variant>
      <vt:variant>
        <vt:i4>0</vt:i4>
      </vt:variant>
      <vt:variant>
        <vt:i4>5</vt:i4>
      </vt:variant>
      <vt:variant>
        <vt:lpwstr>http://www.nevo.co.il/case/17932979</vt:lpwstr>
      </vt:variant>
      <vt:variant>
        <vt:lpwstr/>
      </vt:variant>
      <vt:variant>
        <vt:i4>3997813</vt:i4>
      </vt:variant>
      <vt:variant>
        <vt:i4>48</vt:i4>
      </vt:variant>
      <vt:variant>
        <vt:i4>0</vt:i4>
      </vt:variant>
      <vt:variant>
        <vt:i4>5</vt:i4>
      </vt:variant>
      <vt:variant>
        <vt:lpwstr>http://www.nevo.co.il/case/21472796</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3539057</vt:i4>
      </vt:variant>
      <vt:variant>
        <vt:i4>36</vt:i4>
      </vt:variant>
      <vt:variant>
        <vt:i4>0</vt:i4>
      </vt:variant>
      <vt:variant>
        <vt:i4>5</vt:i4>
      </vt:variant>
      <vt:variant>
        <vt:lpwstr>http://www.nevo.co.il/case/7958246</vt:lpwstr>
      </vt:variant>
      <vt:variant>
        <vt:lpwstr/>
      </vt:variant>
      <vt:variant>
        <vt:i4>3342453</vt:i4>
      </vt:variant>
      <vt:variant>
        <vt:i4>33</vt:i4>
      </vt:variant>
      <vt:variant>
        <vt:i4>0</vt:i4>
      </vt:variant>
      <vt:variant>
        <vt:i4>5</vt:i4>
      </vt:variant>
      <vt:variant>
        <vt:lpwstr>http://www.nevo.co.il/case/26504706</vt:lpwstr>
      </vt:variant>
      <vt:variant>
        <vt:lpwstr/>
      </vt:variant>
      <vt:variant>
        <vt:i4>3670140</vt:i4>
      </vt:variant>
      <vt:variant>
        <vt:i4>30</vt:i4>
      </vt:variant>
      <vt:variant>
        <vt:i4>0</vt:i4>
      </vt:variant>
      <vt:variant>
        <vt:i4>5</vt:i4>
      </vt:variant>
      <vt:variant>
        <vt:lpwstr>http://www.nevo.co.il/case/23825973</vt:lpwstr>
      </vt:variant>
      <vt:variant>
        <vt:lpwstr/>
      </vt:variant>
      <vt:variant>
        <vt:i4>3145849</vt:i4>
      </vt:variant>
      <vt:variant>
        <vt:i4>27</vt:i4>
      </vt:variant>
      <vt:variant>
        <vt:i4>0</vt:i4>
      </vt:variant>
      <vt:variant>
        <vt:i4>5</vt:i4>
      </vt:variant>
      <vt:variant>
        <vt:lpwstr>http://www.nevo.co.il/case/13093721</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2025-04-23T01:26:00Z</dcterms:created>
  <dcterms:modified xsi:type="dcterms:W3CDTF">2025-04-23T01:26:00Z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42956</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שלום סואיסה</vt:lpwstr>
  </property>
  <property fmtid="{D5CDD505-2E9C-101B-9397-08002B2CF9AE}" pid="10" name="LAWYER">
    <vt:lpwstr>אנבל לוקס;איתי רוזין</vt:lpwstr>
  </property>
  <property fmtid="{D5CDD505-2E9C-101B-9397-08002B2CF9AE}" pid="11" name="JUDGE">
    <vt:lpwstr>ארז נוריאלי</vt:lpwstr>
  </property>
  <property fmtid="{D5CDD505-2E9C-101B-9397-08002B2CF9AE}" pid="12" name="CITY">
    <vt:lpwstr>ראשל"צ</vt:lpwstr>
  </property>
  <property fmtid="{D5CDD505-2E9C-101B-9397-08002B2CF9AE}" pid="13" name="DATE">
    <vt:lpwstr>20220721</vt:lpwstr>
  </property>
  <property fmtid="{D5CDD505-2E9C-101B-9397-08002B2CF9AE}" pid="14" name="TYPE_N_DATE">
    <vt:lpwstr>38020220721</vt:lpwstr>
  </property>
  <property fmtid="{D5CDD505-2E9C-101B-9397-08002B2CF9AE}" pid="15" name="WORDNUMPAGES">
    <vt:lpwstr>8</vt:lpwstr>
  </property>
  <property fmtid="{D5CDD505-2E9C-101B-9397-08002B2CF9AE}" pid="16" name="TYPE_ABS_DATE">
    <vt:lpwstr>380020220721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13093721;23825973;26504706;7958246;21472796;17932979;5726579;20205876;5738608;5583030;5698919;20131420;5786821;6045416;5988308;17939812;6062217;5896323;22830934;20213688;25927150;5605484;22974026;20420496;24268598;5411596;26808682;25584217;5792745</vt:lpwstr>
  </property>
  <property fmtid="{D5CDD505-2E9C-101B-9397-08002B2CF9AE}" pid="36" name="CASESLISTTMP2">
    <vt:lpwstr>5790166</vt:lpwstr>
  </property>
  <property fmtid="{D5CDD505-2E9C-101B-9397-08002B2CF9AE}" pid="37" name="LAWLISTTMP1">
    <vt:lpwstr>4216/013;019.a;036a.b</vt:lpwstr>
  </property>
  <property fmtid="{D5CDD505-2E9C-101B-9397-08002B2CF9AE}" pid="38" name="LAWLISTTMP2">
    <vt:lpwstr>70301/040b;40ja</vt:lpwstr>
  </property>
</Properties>
</file>