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4D37B1" w:rsidRPr="0089490D" w14:paraId="798E3C3A" w14:textId="77777777" w:rsidTr="006A33D0">
        <w:trPr>
          <w:gridAfter w:val="1"/>
          <w:wAfter w:w="99" w:type="dxa"/>
          <w:trHeight w:hRule="exact" w:val="418"/>
          <w:jc w:val="center"/>
        </w:trPr>
        <w:tc>
          <w:tcPr>
            <w:tcW w:w="8721" w:type="dxa"/>
            <w:gridSpan w:val="4"/>
          </w:tcPr>
          <w:p w14:paraId="0F70E858" w14:textId="77777777" w:rsidR="004D37B1" w:rsidRPr="0089490D" w:rsidRDefault="004D37B1" w:rsidP="00A56EDF">
            <w:pPr>
              <w:pStyle w:val="a3"/>
              <w:jc w:val="center"/>
              <w:rPr>
                <w:rFonts w:ascii="Tahoma" w:hAnsi="Tahoma" w:cs="Tahoma"/>
                <w:color w:val="000080"/>
                <w:rtl/>
              </w:rPr>
            </w:pPr>
            <w:r w:rsidRPr="0089490D">
              <w:rPr>
                <w:rFonts w:ascii="Tahoma" w:hAnsi="Tahoma" w:cs="Tahoma"/>
                <w:b/>
                <w:bCs/>
                <w:color w:val="000080"/>
                <w:rtl/>
              </w:rPr>
              <w:t>בית משפט השלום בבאר שבע</w:t>
            </w:r>
          </w:p>
        </w:tc>
      </w:tr>
      <w:tr w:rsidR="004D37B1" w:rsidRPr="0089490D" w14:paraId="1169EB35" w14:textId="77777777" w:rsidTr="006A33D0">
        <w:trPr>
          <w:gridAfter w:val="1"/>
          <w:wAfter w:w="99" w:type="dxa"/>
          <w:trHeight w:val="337"/>
          <w:jc w:val="center"/>
        </w:trPr>
        <w:tc>
          <w:tcPr>
            <w:tcW w:w="5057" w:type="dxa"/>
            <w:gridSpan w:val="3"/>
          </w:tcPr>
          <w:p w14:paraId="60A9691E" w14:textId="77777777" w:rsidR="004D37B1" w:rsidRPr="0089490D" w:rsidRDefault="004D37B1" w:rsidP="00A56EDF">
            <w:pPr>
              <w:rPr>
                <w:rFonts w:cs="FrankRuehl"/>
                <w:sz w:val="28"/>
                <w:szCs w:val="28"/>
                <w:rtl/>
              </w:rPr>
            </w:pPr>
            <w:r w:rsidRPr="0089490D">
              <w:rPr>
                <w:rFonts w:cs="FrankRuehl"/>
                <w:sz w:val="28"/>
                <w:szCs w:val="28"/>
                <w:rtl/>
              </w:rPr>
              <w:t>ת"פ</w:t>
            </w:r>
            <w:r w:rsidRPr="0089490D">
              <w:rPr>
                <w:rFonts w:cs="FrankRuehl" w:hint="cs"/>
                <w:sz w:val="28"/>
                <w:szCs w:val="28"/>
                <w:rtl/>
              </w:rPr>
              <w:t xml:space="preserve"> </w:t>
            </w:r>
            <w:r w:rsidRPr="0089490D">
              <w:rPr>
                <w:rFonts w:cs="FrankRuehl"/>
                <w:sz w:val="28"/>
                <w:szCs w:val="28"/>
                <w:rtl/>
              </w:rPr>
              <w:t>25502-05-22</w:t>
            </w:r>
            <w:r w:rsidRPr="0089490D">
              <w:rPr>
                <w:rFonts w:cs="FrankRuehl" w:hint="cs"/>
                <w:sz w:val="28"/>
                <w:szCs w:val="28"/>
                <w:rtl/>
              </w:rPr>
              <w:t xml:space="preserve"> </w:t>
            </w:r>
            <w:r w:rsidRPr="0089490D">
              <w:rPr>
                <w:rFonts w:cs="FrankRuehl"/>
                <w:sz w:val="28"/>
                <w:szCs w:val="28"/>
                <w:rtl/>
              </w:rPr>
              <w:t>מדינת ישראל נ' אבו סמור(עציר)</w:t>
            </w:r>
          </w:p>
          <w:p w14:paraId="5E327B0A" w14:textId="77777777" w:rsidR="004D37B1" w:rsidRPr="0089490D" w:rsidRDefault="004D37B1" w:rsidP="00A56EDF">
            <w:pPr>
              <w:pStyle w:val="a3"/>
              <w:rPr>
                <w:rFonts w:cs="FrankRuehl"/>
                <w:sz w:val="28"/>
                <w:szCs w:val="28"/>
                <w:rtl/>
              </w:rPr>
            </w:pPr>
          </w:p>
        </w:tc>
        <w:tc>
          <w:tcPr>
            <w:tcW w:w="3664" w:type="dxa"/>
          </w:tcPr>
          <w:p w14:paraId="51A711FD" w14:textId="77777777" w:rsidR="004D37B1" w:rsidRPr="0089490D" w:rsidRDefault="004D37B1" w:rsidP="00A56EDF">
            <w:pPr>
              <w:pStyle w:val="a3"/>
              <w:jc w:val="right"/>
              <w:rPr>
                <w:rFonts w:cs="FrankRuehl"/>
                <w:sz w:val="28"/>
                <w:szCs w:val="28"/>
                <w:rtl/>
              </w:rPr>
            </w:pPr>
          </w:p>
        </w:tc>
      </w:tr>
      <w:tr w:rsidR="004D37B1" w:rsidRPr="0089490D" w14:paraId="3E2D7FC1" w14:textId="77777777" w:rsidTr="006A3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7110FE" w14:textId="77777777" w:rsidR="004D37B1" w:rsidRPr="0089490D" w:rsidRDefault="004D37B1" w:rsidP="004D37B1">
            <w:pPr>
              <w:jc w:val="both"/>
              <w:rPr>
                <w:rFonts w:ascii="David" w:hAnsi="David"/>
                <w:sz w:val="26"/>
                <w:szCs w:val="26"/>
              </w:rPr>
            </w:pPr>
            <w:r w:rsidRPr="0089490D">
              <w:rPr>
                <w:rFonts w:hint="cs"/>
                <w:rtl/>
              </w:rPr>
              <w:t xml:space="preserve"> </w:t>
            </w:r>
            <w:r w:rsidRPr="0089490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7A5B7B7" w14:textId="77777777" w:rsidR="004D37B1" w:rsidRPr="0089490D" w:rsidRDefault="004D37B1" w:rsidP="00A56EDF">
            <w:pPr>
              <w:rPr>
                <w:rFonts w:ascii="David" w:hAnsi="David"/>
                <w:b/>
                <w:bCs/>
                <w:sz w:val="26"/>
                <w:szCs w:val="26"/>
                <w:rtl/>
              </w:rPr>
            </w:pPr>
            <w:r w:rsidRPr="0089490D">
              <w:rPr>
                <w:rFonts w:ascii="David" w:hAnsi="David"/>
                <w:b/>
                <w:bCs/>
                <w:sz w:val="26"/>
                <w:szCs w:val="26"/>
                <w:rtl/>
              </w:rPr>
              <w:t>כבוד השופטת, סגנית הנשיא  ענת חולתא</w:t>
            </w:r>
          </w:p>
          <w:p w14:paraId="6B85C058" w14:textId="77777777" w:rsidR="004D37B1" w:rsidRPr="0089490D" w:rsidRDefault="004D37B1" w:rsidP="00A56EDF">
            <w:pPr>
              <w:rPr>
                <w:rFonts w:ascii="David" w:hAnsi="David"/>
                <w:sz w:val="26"/>
                <w:szCs w:val="26"/>
                <w:rtl/>
              </w:rPr>
            </w:pPr>
          </w:p>
          <w:p w14:paraId="0530DA25" w14:textId="77777777" w:rsidR="004D37B1" w:rsidRPr="0089490D" w:rsidRDefault="004D37B1" w:rsidP="004D37B1">
            <w:pPr>
              <w:jc w:val="both"/>
              <w:rPr>
                <w:rFonts w:ascii="David" w:hAnsi="David"/>
                <w:sz w:val="26"/>
                <w:szCs w:val="26"/>
              </w:rPr>
            </w:pPr>
          </w:p>
        </w:tc>
      </w:tr>
      <w:tr w:rsidR="004D37B1" w:rsidRPr="0089490D" w14:paraId="4D71EDFB" w14:textId="77777777" w:rsidTr="006A3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8ADF6F" w14:textId="77777777" w:rsidR="004D37B1" w:rsidRPr="0089490D" w:rsidRDefault="004D37B1" w:rsidP="004D37B1">
            <w:pPr>
              <w:jc w:val="both"/>
              <w:rPr>
                <w:rFonts w:ascii="David" w:hAnsi="David"/>
                <w:sz w:val="26"/>
                <w:szCs w:val="26"/>
              </w:rPr>
            </w:pPr>
            <w:bookmarkStart w:id="0" w:name="FirstAppellant"/>
            <w:bookmarkStart w:id="1" w:name="LastJudge"/>
            <w:bookmarkEnd w:id="1"/>
            <w:r w:rsidRPr="0089490D">
              <w:rPr>
                <w:rFonts w:ascii="David" w:hAnsi="David"/>
                <w:sz w:val="26"/>
                <w:szCs w:val="26"/>
                <w:rtl/>
              </w:rPr>
              <w:t>בעניין:</w:t>
            </w:r>
          </w:p>
        </w:tc>
        <w:tc>
          <w:tcPr>
            <w:tcW w:w="3219" w:type="dxa"/>
            <w:tcBorders>
              <w:top w:val="nil"/>
              <w:left w:val="nil"/>
              <w:bottom w:val="nil"/>
              <w:right w:val="nil"/>
            </w:tcBorders>
            <w:shd w:val="clear" w:color="auto" w:fill="auto"/>
          </w:tcPr>
          <w:p w14:paraId="54AA9ABC" w14:textId="77777777" w:rsidR="004D37B1" w:rsidRPr="0089490D" w:rsidRDefault="004D37B1" w:rsidP="004D37B1">
            <w:pPr>
              <w:suppressLineNumbers/>
            </w:pPr>
            <w:r w:rsidRPr="0089490D">
              <w:rPr>
                <w:rFonts w:ascii="Arial" w:hAnsi="Arial" w:hint="cs"/>
                <w:b/>
                <w:bCs/>
                <w:sz w:val="26"/>
                <w:szCs w:val="26"/>
                <w:rtl/>
              </w:rPr>
              <w:t>ה</w:t>
            </w:r>
            <w:r w:rsidRPr="0089490D">
              <w:rPr>
                <w:rFonts w:ascii="Arial" w:hAnsi="Arial"/>
                <w:b/>
                <w:bCs/>
                <w:sz w:val="26"/>
                <w:szCs w:val="26"/>
                <w:rtl/>
              </w:rPr>
              <w:t>מאשימה</w:t>
            </w:r>
          </w:p>
          <w:p w14:paraId="2FFF106A" w14:textId="77777777" w:rsidR="004D37B1" w:rsidRPr="0089490D" w:rsidRDefault="004D37B1" w:rsidP="00A56ED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7257E7C" w14:textId="77777777" w:rsidR="004D37B1" w:rsidRPr="0089490D" w:rsidRDefault="004D37B1" w:rsidP="004D37B1">
            <w:pPr>
              <w:suppressLineNumbers/>
            </w:pPr>
            <w:r w:rsidRPr="0089490D">
              <w:rPr>
                <w:rFonts w:ascii="Arial" w:hAnsi="Arial"/>
                <w:b/>
                <w:bCs/>
                <w:sz w:val="26"/>
                <w:szCs w:val="26"/>
                <w:rtl/>
              </w:rPr>
              <w:t>מדינת ישראל</w:t>
            </w:r>
            <w:r w:rsidRPr="0089490D">
              <w:rPr>
                <w:rFonts w:ascii="Arial" w:hAnsi="Arial" w:hint="cs"/>
                <w:b/>
                <w:bCs/>
                <w:sz w:val="26"/>
                <w:szCs w:val="26"/>
                <w:rtl/>
              </w:rPr>
              <w:t xml:space="preserve"> </w:t>
            </w:r>
            <w:r w:rsidRPr="0089490D">
              <w:rPr>
                <w:rFonts w:ascii="Arial" w:hAnsi="Arial"/>
                <w:b/>
                <w:bCs/>
                <w:sz w:val="26"/>
                <w:szCs w:val="26"/>
                <w:rtl/>
              </w:rPr>
              <w:t xml:space="preserve">ע"י </w:t>
            </w:r>
            <w:r w:rsidRPr="0089490D">
              <w:rPr>
                <w:rFonts w:ascii="Arial" w:hAnsi="Arial" w:hint="cs"/>
                <w:b/>
                <w:bCs/>
                <w:sz w:val="26"/>
                <w:szCs w:val="26"/>
                <w:rtl/>
              </w:rPr>
              <w:t>המתמחה איילה סויסה</w:t>
            </w:r>
          </w:p>
          <w:p w14:paraId="24723BEE" w14:textId="77777777" w:rsidR="004D37B1" w:rsidRPr="0089490D" w:rsidRDefault="004D37B1" w:rsidP="00A56EDF">
            <w:pPr>
              <w:rPr>
                <w:rFonts w:ascii="David" w:hAnsi="David"/>
                <w:sz w:val="26"/>
                <w:szCs w:val="26"/>
              </w:rPr>
            </w:pPr>
          </w:p>
        </w:tc>
      </w:tr>
      <w:bookmarkEnd w:id="0"/>
      <w:tr w:rsidR="004D37B1" w:rsidRPr="0089490D" w14:paraId="158030EF" w14:textId="77777777" w:rsidTr="006A3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C38BD4" w14:textId="77777777" w:rsidR="004D37B1" w:rsidRPr="0089490D" w:rsidRDefault="004D37B1" w:rsidP="004D37B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6D80F18" w14:textId="77777777" w:rsidR="004D37B1" w:rsidRPr="0089490D" w:rsidRDefault="004D37B1" w:rsidP="004D37B1">
            <w:pPr>
              <w:jc w:val="center"/>
              <w:rPr>
                <w:rFonts w:ascii="David" w:hAnsi="David"/>
                <w:b/>
                <w:bCs/>
                <w:sz w:val="26"/>
                <w:szCs w:val="26"/>
                <w:rtl/>
              </w:rPr>
            </w:pPr>
          </w:p>
          <w:p w14:paraId="19C7E5B6" w14:textId="77777777" w:rsidR="004D37B1" w:rsidRPr="0089490D" w:rsidRDefault="004D37B1" w:rsidP="004D37B1">
            <w:pPr>
              <w:jc w:val="center"/>
              <w:rPr>
                <w:rFonts w:ascii="David" w:hAnsi="David"/>
                <w:b/>
                <w:bCs/>
                <w:sz w:val="26"/>
                <w:szCs w:val="26"/>
                <w:rtl/>
              </w:rPr>
            </w:pPr>
            <w:r w:rsidRPr="0089490D">
              <w:rPr>
                <w:rFonts w:ascii="David" w:hAnsi="David"/>
                <w:b/>
                <w:bCs/>
                <w:sz w:val="26"/>
                <w:szCs w:val="26"/>
                <w:rtl/>
              </w:rPr>
              <w:t>נגד</w:t>
            </w:r>
          </w:p>
          <w:p w14:paraId="24C4305D" w14:textId="77777777" w:rsidR="004D37B1" w:rsidRPr="0089490D" w:rsidRDefault="004D37B1" w:rsidP="004D37B1">
            <w:pPr>
              <w:jc w:val="both"/>
              <w:rPr>
                <w:rFonts w:ascii="David" w:hAnsi="David"/>
                <w:sz w:val="26"/>
                <w:szCs w:val="26"/>
              </w:rPr>
            </w:pPr>
          </w:p>
        </w:tc>
      </w:tr>
      <w:tr w:rsidR="004D37B1" w:rsidRPr="0089490D" w14:paraId="5A12E6DF" w14:textId="77777777" w:rsidTr="006A3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E20FCC" w14:textId="77777777" w:rsidR="004D37B1" w:rsidRPr="0089490D" w:rsidRDefault="004D37B1" w:rsidP="00A56EDF">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884F030" w14:textId="77777777" w:rsidR="004D37B1" w:rsidRPr="0089490D" w:rsidRDefault="004D37B1" w:rsidP="00A56EDF">
            <w:pPr>
              <w:rPr>
                <w:rFonts w:ascii="Arial" w:hAnsi="Arial"/>
                <w:b/>
                <w:bCs/>
                <w:sz w:val="26"/>
                <w:szCs w:val="26"/>
                <w:rtl/>
              </w:rPr>
            </w:pPr>
            <w:r w:rsidRPr="0089490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EFF0447" w14:textId="77777777" w:rsidR="004D37B1" w:rsidRPr="0089490D" w:rsidRDefault="004D37B1" w:rsidP="004D37B1">
            <w:pPr>
              <w:suppressLineNumbers/>
            </w:pPr>
            <w:r w:rsidRPr="0089490D">
              <w:rPr>
                <w:rFonts w:ascii="Arial" w:hAnsi="Arial"/>
                <w:b/>
                <w:bCs/>
                <w:sz w:val="26"/>
                <w:szCs w:val="26"/>
                <w:rtl/>
              </w:rPr>
              <w:t>סאלם אבו סמור (עציר)</w:t>
            </w:r>
            <w:r w:rsidRPr="0089490D">
              <w:rPr>
                <w:rFonts w:ascii="Arial" w:hAnsi="Arial" w:hint="cs"/>
                <w:b/>
                <w:bCs/>
                <w:sz w:val="26"/>
                <w:szCs w:val="26"/>
                <w:rtl/>
              </w:rPr>
              <w:t xml:space="preserve"> </w:t>
            </w:r>
            <w:r w:rsidRPr="0089490D">
              <w:rPr>
                <w:rFonts w:ascii="Arial" w:hAnsi="Arial"/>
                <w:b/>
                <w:bCs/>
                <w:sz w:val="26"/>
                <w:szCs w:val="26"/>
                <w:rtl/>
              </w:rPr>
              <w:t>ע"י ב"כ עוה"ד</w:t>
            </w:r>
            <w:r w:rsidRPr="0089490D">
              <w:rPr>
                <w:rFonts w:hint="cs"/>
                <w:rtl/>
              </w:rPr>
              <w:t xml:space="preserve"> אחמד ותד</w:t>
            </w:r>
          </w:p>
          <w:p w14:paraId="48540364" w14:textId="77777777" w:rsidR="004D37B1" w:rsidRPr="0089490D" w:rsidRDefault="004D37B1" w:rsidP="00A56EDF">
            <w:pPr>
              <w:rPr>
                <w:rFonts w:ascii="David" w:hAnsi="David"/>
                <w:sz w:val="26"/>
                <w:szCs w:val="26"/>
              </w:rPr>
            </w:pPr>
          </w:p>
        </w:tc>
      </w:tr>
      <w:bookmarkEnd w:id="2"/>
    </w:tbl>
    <w:p w14:paraId="222FE729" w14:textId="77777777" w:rsidR="006A33D0" w:rsidRDefault="006A33D0" w:rsidP="0089490D">
      <w:pPr>
        <w:rPr>
          <w:sz w:val="26"/>
          <w:szCs w:val="26"/>
          <w:rtl/>
        </w:rPr>
      </w:pPr>
    </w:p>
    <w:p w14:paraId="22C3C3D2" w14:textId="77777777" w:rsidR="006A33D0" w:rsidRPr="006A33D0" w:rsidRDefault="006A33D0" w:rsidP="006A33D0">
      <w:pPr>
        <w:spacing w:after="120" w:line="240" w:lineRule="exact"/>
        <w:ind w:left="283" w:hanging="283"/>
        <w:jc w:val="both"/>
        <w:rPr>
          <w:rFonts w:ascii="FrankRuehl" w:hAnsi="FrankRuehl" w:cs="FrankRuehl"/>
          <w:rtl/>
        </w:rPr>
      </w:pPr>
    </w:p>
    <w:p w14:paraId="4B3C2468" w14:textId="77777777" w:rsidR="003F67FB" w:rsidRPr="003F67FB" w:rsidRDefault="003F67FB" w:rsidP="003F67FB">
      <w:pPr>
        <w:spacing w:before="120" w:after="120" w:line="240" w:lineRule="exact"/>
        <w:ind w:left="283" w:hanging="283"/>
        <w:jc w:val="both"/>
        <w:rPr>
          <w:rFonts w:ascii="FrankRuehl" w:hAnsi="FrankRuehl" w:cs="FrankRuehl"/>
          <w:rtl/>
        </w:rPr>
      </w:pPr>
    </w:p>
    <w:p w14:paraId="5D4D90CE" w14:textId="77777777" w:rsidR="003C08CA" w:rsidRDefault="003C08CA" w:rsidP="003C08CA">
      <w:pPr>
        <w:rPr>
          <w:sz w:val="26"/>
          <w:szCs w:val="26"/>
          <w:rtl/>
        </w:rPr>
      </w:pPr>
      <w:bookmarkStart w:id="3" w:name="LawTable"/>
      <w:bookmarkEnd w:id="3"/>
    </w:p>
    <w:p w14:paraId="03B925AD" w14:textId="77777777" w:rsidR="003C08CA" w:rsidRPr="003C08CA" w:rsidRDefault="003C08CA" w:rsidP="003C08CA">
      <w:pPr>
        <w:spacing w:before="120" w:after="120" w:line="240" w:lineRule="exact"/>
        <w:ind w:left="283" w:hanging="283"/>
        <w:jc w:val="both"/>
        <w:rPr>
          <w:rFonts w:ascii="FrankRuehl" w:hAnsi="FrankRuehl" w:cs="FrankRuehl"/>
          <w:rtl/>
        </w:rPr>
      </w:pPr>
    </w:p>
    <w:p w14:paraId="70E71478" w14:textId="77777777" w:rsidR="003C08CA" w:rsidRPr="003C08CA" w:rsidRDefault="003C08CA" w:rsidP="003C08CA">
      <w:pPr>
        <w:spacing w:before="120" w:after="120" w:line="240" w:lineRule="exact"/>
        <w:ind w:left="283" w:hanging="283"/>
        <w:jc w:val="both"/>
        <w:rPr>
          <w:rFonts w:ascii="FrankRuehl" w:hAnsi="FrankRuehl" w:cs="FrankRuehl"/>
          <w:rtl/>
        </w:rPr>
      </w:pPr>
    </w:p>
    <w:p w14:paraId="6C092964" w14:textId="77777777" w:rsidR="003C08CA" w:rsidRPr="003C08CA" w:rsidRDefault="003C08CA" w:rsidP="003C08CA">
      <w:pPr>
        <w:spacing w:before="120" w:after="120" w:line="240" w:lineRule="exact"/>
        <w:ind w:left="283" w:hanging="283"/>
        <w:jc w:val="both"/>
        <w:rPr>
          <w:rFonts w:ascii="FrankRuehl" w:hAnsi="FrankRuehl" w:cs="FrankRuehl"/>
          <w:rtl/>
        </w:rPr>
      </w:pPr>
      <w:r w:rsidRPr="003C08CA">
        <w:rPr>
          <w:rFonts w:ascii="FrankRuehl" w:hAnsi="FrankRuehl" w:cs="FrankRuehl"/>
          <w:rtl/>
        </w:rPr>
        <w:t xml:space="preserve">חקיקה שאוזכרה: </w:t>
      </w:r>
    </w:p>
    <w:p w14:paraId="3685CD73" w14:textId="77777777" w:rsidR="003C08CA" w:rsidRPr="003C08CA" w:rsidRDefault="003C08CA" w:rsidP="003C08CA">
      <w:pPr>
        <w:spacing w:before="120" w:after="120" w:line="240" w:lineRule="exact"/>
        <w:ind w:left="283" w:hanging="283"/>
        <w:jc w:val="both"/>
        <w:rPr>
          <w:rFonts w:ascii="FrankRuehl" w:hAnsi="FrankRuehl" w:cs="FrankRuehl"/>
          <w:rtl/>
        </w:rPr>
      </w:pPr>
      <w:hyperlink r:id="rId7" w:history="1">
        <w:r w:rsidRPr="003C08CA">
          <w:rPr>
            <w:rFonts w:ascii="FrankRuehl" w:hAnsi="FrankRuehl" w:cs="FrankRuehl"/>
            <w:color w:val="0000FF"/>
            <w:rtl/>
          </w:rPr>
          <w:t>פקודת הסמים המסוכנים [נוסח חדש], תשל"ג-1973</w:t>
        </w:r>
      </w:hyperlink>
      <w:r w:rsidRPr="003C08CA">
        <w:rPr>
          <w:rFonts w:ascii="FrankRuehl" w:hAnsi="FrankRuehl" w:cs="FrankRuehl"/>
          <w:rtl/>
        </w:rPr>
        <w:t xml:space="preserve">: סע'  </w:t>
      </w:r>
      <w:hyperlink r:id="rId8" w:history="1">
        <w:r w:rsidRPr="003C08CA">
          <w:rPr>
            <w:rFonts w:ascii="FrankRuehl" w:hAnsi="FrankRuehl" w:cs="FrankRuehl"/>
            <w:color w:val="0000FF"/>
            <w:rtl/>
          </w:rPr>
          <w:t>7(א)</w:t>
        </w:r>
      </w:hyperlink>
      <w:r w:rsidRPr="003C08CA">
        <w:rPr>
          <w:rFonts w:ascii="FrankRuehl" w:hAnsi="FrankRuehl" w:cs="FrankRuehl"/>
          <w:rtl/>
        </w:rPr>
        <w:t xml:space="preserve">, </w:t>
      </w:r>
      <w:hyperlink r:id="rId9" w:history="1">
        <w:r w:rsidRPr="003C08CA">
          <w:rPr>
            <w:rFonts w:ascii="FrankRuehl" w:hAnsi="FrankRuehl" w:cs="FrankRuehl"/>
            <w:color w:val="0000FF"/>
            <w:rtl/>
          </w:rPr>
          <w:t>ג</w:t>
        </w:r>
      </w:hyperlink>
    </w:p>
    <w:p w14:paraId="462792D0" w14:textId="77777777" w:rsidR="003C08CA" w:rsidRPr="003C08CA" w:rsidRDefault="003C08CA" w:rsidP="003C08CA">
      <w:pPr>
        <w:spacing w:before="120" w:after="120" w:line="240" w:lineRule="exact"/>
        <w:ind w:left="283" w:hanging="283"/>
        <w:jc w:val="both"/>
        <w:rPr>
          <w:rFonts w:ascii="FrankRuehl" w:hAnsi="FrankRuehl" w:cs="FrankRuehl"/>
          <w:rtl/>
        </w:rPr>
      </w:pPr>
      <w:hyperlink r:id="rId10" w:history="1">
        <w:r w:rsidRPr="003C08CA">
          <w:rPr>
            <w:rFonts w:ascii="FrankRuehl" w:hAnsi="FrankRuehl" w:cs="FrankRuehl"/>
            <w:color w:val="0000FF"/>
            <w:rtl/>
          </w:rPr>
          <w:t>חוק העונשין, תשל"ז-1977</w:t>
        </w:r>
      </w:hyperlink>
      <w:r w:rsidRPr="003C08CA">
        <w:rPr>
          <w:rFonts w:ascii="FrankRuehl" w:hAnsi="FrankRuehl" w:cs="FrankRuehl"/>
          <w:rtl/>
        </w:rPr>
        <w:t xml:space="preserve">: סע'  </w:t>
      </w:r>
      <w:hyperlink r:id="rId11" w:history="1">
        <w:r w:rsidRPr="003C08CA">
          <w:rPr>
            <w:rFonts w:ascii="FrankRuehl" w:hAnsi="FrankRuehl" w:cs="FrankRuehl"/>
            <w:color w:val="0000FF"/>
            <w:rtl/>
          </w:rPr>
          <w:t>25</w:t>
        </w:r>
      </w:hyperlink>
    </w:p>
    <w:p w14:paraId="77380DD3" w14:textId="77777777" w:rsidR="003C08CA" w:rsidRPr="003C08CA" w:rsidRDefault="003C08CA" w:rsidP="003C08CA">
      <w:pPr>
        <w:rPr>
          <w:sz w:val="26"/>
          <w:szCs w:val="26"/>
          <w:rtl/>
        </w:rPr>
      </w:pPr>
      <w:bookmarkStart w:id="4" w:name="LawTable_End"/>
      <w:bookmarkEnd w:id="4"/>
    </w:p>
    <w:p w14:paraId="3C7756CE" w14:textId="77777777" w:rsidR="004D37B1" w:rsidRPr="003F67FB" w:rsidRDefault="004D37B1" w:rsidP="003F67F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37B1" w14:paraId="2EC011EE" w14:textId="77777777" w:rsidTr="004D37B1">
        <w:trPr>
          <w:trHeight w:val="355"/>
          <w:jc w:val="center"/>
        </w:trPr>
        <w:tc>
          <w:tcPr>
            <w:tcW w:w="8820" w:type="dxa"/>
            <w:tcBorders>
              <w:top w:val="nil"/>
              <w:left w:val="nil"/>
              <w:bottom w:val="nil"/>
              <w:right w:val="nil"/>
            </w:tcBorders>
            <w:shd w:val="clear" w:color="auto" w:fill="auto"/>
          </w:tcPr>
          <w:p w14:paraId="494A001E" w14:textId="77777777" w:rsidR="0089490D" w:rsidRPr="0089490D" w:rsidRDefault="0089490D" w:rsidP="0089490D">
            <w:pPr>
              <w:jc w:val="center"/>
              <w:rPr>
                <w:rFonts w:ascii="David" w:hAnsi="David"/>
                <w:b/>
                <w:bCs/>
                <w:sz w:val="32"/>
                <w:szCs w:val="32"/>
                <w:u w:val="single"/>
                <w:rtl/>
              </w:rPr>
            </w:pPr>
            <w:bookmarkStart w:id="5" w:name="PsakDin" w:colFirst="0" w:colLast="0"/>
            <w:r w:rsidRPr="0089490D">
              <w:rPr>
                <w:rFonts w:ascii="David" w:hAnsi="David"/>
                <w:b/>
                <w:bCs/>
                <w:sz w:val="32"/>
                <w:szCs w:val="32"/>
                <w:u w:val="single"/>
                <w:rtl/>
              </w:rPr>
              <w:t>גזר דין</w:t>
            </w:r>
          </w:p>
          <w:p w14:paraId="36F34C3A" w14:textId="77777777" w:rsidR="004D37B1" w:rsidRPr="0089490D" w:rsidRDefault="004D37B1" w:rsidP="0089490D">
            <w:pPr>
              <w:jc w:val="center"/>
              <w:rPr>
                <w:rFonts w:ascii="David" w:hAnsi="David"/>
                <w:bCs/>
                <w:sz w:val="32"/>
                <w:szCs w:val="32"/>
                <w:u w:val="single"/>
                <w:rtl/>
              </w:rPr>
            </w:pPr>
          </w:p>
        </w:tc>
      </w:tr>
    </w:tbl>
    <w:bookmarkEnd w:id="5"/>
    <w:p w14:paraId="197CAE88" w14:textId="77777777" w:rsidR="004D37B1" w:rsidRPr="00564261" w:rsidRDefault="004D37B1" w:rsidP="004D37B1">
      <w:pPr>
        <w:spacing w:line="360" w:lineRule="auto"/>
        <w:jc w:val="both"/>
        <w:rPr>
          <w:rFonts w:ascii="David" w:hAnsi="David"/>
          <w:b/>
          <w:bCs/>
          <w:u w:val="single"/>
          <w:rtl/>
        </w:rPr>
      </w:pPr>
      <w:r>
        <w:rPr>
          <w:rFonts w:ascii="David" w:hAnsi="David" w:hint="cs"/>
          <w:b/>
          <w:bCs/>
          <w:u w:val="single"/>
          <w:rtl/>
        </w:rPr>
        <w:t>רקע</w:t>
      </w:r>
    </w:p>
    <w:p w14:paraId="5F404D6E" w14:textId="77777777" w:rsidR="004D37B1" w:rsidRPr="00C84A93" w:rsidRDefault="004D37B1" w:rsidP="004D37B1">
      <w:pPr>
        <w:pStyle w:val="a9"/>
        <w:numPr>
          <w:ilvl w:val="0"/>
          <w:numId w:val="3"/>
        </w:numPr>
        <w:spacing w:line="360" w:lineRule="auto"/>
        <w:jc w:val="both"/>
        <w:rPr>
          <w:rFonts w:ascii="David" w:hAnsi="David" w:cs="David"/>
          <w:sz w:val="24"/>
          <w:szCs w:val="24"/>
          <w:rtl/>
        </w:rPr>
      </w:pPr>
      <w:bookmarkStart w:id="6" w:name="ABSTRACT_START"/>
      <w:bookmarkEnd w:id="6"/>
      <w:r w:rsidRPr="00C84A93">
        <w:rPr>
          <w:rFonts w:ascii="David" w:hAnsi="David" w:cs="David"/>
          <w:sz w:val="24"/>
          <w:szCs w:val="24"/>
          <w:rtl/>
        </w:rPr>
        <w:t>הנאשם הורשע</w:t>
      </w:r>
      <w:r w:rsidRPr="00C84A93">
        <w:rPr>
          <w:rFonts w:ascii="David" w:hAnsi="David" w:cs="David" w:hint="cs"/>
          <w:sz w:val="24"/>
          <w:szCs w:val="24"/>
          <w:rtl/>
        </w:rPr>
        <w:t xml:space="preserve"> ביום 28.02.23 ב</w:t>
      </w:r>
      <w:r w:rsidRPr="00C84A93">
        <w:rPr>
          <w:rFonts w:ascii="David" w:hAnsi="David" w:cs="David"/>
          <w:sz w:val="24"/>
          <w:szCs w:val="24"/>
          <w:rtl/>
        </w:rPr>
        <w:t>התאם להודאתו בעובדות כתב האישום</w:t>
      </w:r>
      <w:r w:rsidRPr="00C84A93">
        <w:rPr>
          <w:rFonts w:ascii="David" w:hAnsi="David" w:cs="David" w:hint="cs"/>
          <w:sz w:val="24"/>
          <w:szCs w:val="24"/>
          <w:rtl/>
        </w:rPr>
        <w:t xml:space="preserve"> המתוקן</w:t>
      </w:r>
      <w:r w:rsidRPr="00C84A93">
        <w:rPr>
          <w:rFonts w:ascii="David" w:hAnsi="David" w:cs="David"/>
          <w:sz w:val="24"/>
          <w:szCs w:val="24"/>
          <w:rtl/>
        </w:rPr>
        <w:t xml:space="preserve"> בעבירות כדלקמן</w:t>
      </w:r>
      <w:r w:rsidRPr="00C84A93">
        <w:rPr>
          <w:rFonts w:ascii="David" w:hAnsi="David" w:cs="David"/>
          <w:b/>
          <w:bCs/>
          <w:sz w:val="24"/>
          <w:szCs w:val="24"/>
          <w:rtl/>
        </w:rPr>
        <w:t>:</w:t>
      </w:r>
      <w:r w:rsidRPr="00C84A93">
        <w:rPr>
          <w:rFonts w:ascii="David" w:hAnsi="David" w:cs="David" w:hint="cs"/>
          <w:b/>
          <w:bCs/>
          <w:sz w:val="24"/>
          <w:szCs w:val="24"/>
          <w:rtl/>
        </w:rPr>
        <w:t xml:space="preserve"> החזקת סם שלא לצריכה עצמית</w:t>
      </w:r>
      <w:r w:rsidRPr="00C84A93">
        <w:rPr>
          <w:rFonts w:ascii="David" w:hAnsi="David" w:cs="David" w:hint="cs"/>
          <w:sz w:val="24"/>
          <w:szCs w:val="24"/>
          <w:rtl/>
        </w:rPr>
        <w:t xml:space="preserve">, לפי </w:t>
      </w:r>
      <w:hyperlink r:id="rId12" w:history="1">
        <w:r w:rsidR="006A33D0" w:rsidRPr="006A33D0">
          <w:rPr>
            <w:rStyle w:val="Hyperlink"/>
            <w:rFonts w:ascii="David" w:hAnsi="David" w:cs="David" w:hint="eastAsia"/>
            <w:sz w:val="24"/>
            <w:szCs w:val="24"/>
            <w:rtl/>
          </w:rPr>
          <w:t>סעיף</w:t>
        </w:r>
        <w:r w:rsidR="006A33D0" w:rsidRPr="006A33D0">
          <w:rPr>
            <w:rStyle w:val="Hyperlink"/>
            <w:rFonts w:ascii="David" w:hAnsi="David" w:cs="David"/>
            <w:sz w:val="24"/>
            <w:szCs w:val="24"/>
            <w:rtl/>
          </w:rPr>
          <w:t xml:space="preserve"> 7(א)</w:t>
        </w:r>
      </w:hyperlink>
      <w:r w:rsidRPr="00C84A93">
        <w:rPr>
          <w:rFonts w:ascii="David" w:hAnsi="David" w:cs="David" w:hint="cs"/>
          <w:sz w:val="24"/>
          <w:szCs w:val="24"/>
          <w:rtl/>
        </w:rPr>
        <w:t xml:space="preserve"> + (</w:t>
      </w:r>
      <w:hyperlink r:id="rId13" w:history="1">
        <w:r w:rsidR="006A33D0" w:rsidRPr="006A33D0">
          <w:rPr>
            <w:rStyle w:val="Hyperlink"/>
            <w:rFonts w:ascii="David" w:hAnsi="David" w:cs="David" w:hint="eastAsia"/>
            <w:sz w:val="24"/>
            <w:szCs w:val="24"/>
            <w:rtl/>
          </w:rPr>
          <w:t>ג</w:t>
        </w:r>
      </w:hyperlink>
      <w:r w:rsidRPr="00C84A93">
        <w:rPr>
          <w:rFonts w:ascii="David" w:hAnsi="David" w:cs="David" w:hint="cs"/>
          <w:sz w:val="24"/>
          <w:szCs w:val="24"/>
          <w:rtl/>
        </w:rPr>
        <w:t>) ל</w:t>
      </w:r>
      <w:hyperlink r:id="rId14" w:history="1">
        <w:r w:rsidR="0089490D" w:rsidRPr="0089490D">
          <w:rPr>
            <w:rFonts w:ascii="David" w:hAnsi="David" w:cs="David"/>
            <w:color w:val="0000FF"/>
            <w:sz w:val="24"/>
            <w:szCs w:val="24"/>
            <w:u w:val="single"/>
            <w:rtl/>
          </w:rPr>
          <w:t>פקודת הסמים המסוכנים</w:t>
        </w:r>
      </w:hyperlink>
      <w:r w:rsidRPr="00C84A93">
        <w:rPr>
          <w:rFonts w:ascii="David" w:hAnsi="David" w:cs="David" w:hint="cs"/>
          <w:sz w:val="24"/>
          <w:szCs w:val="24"/>
          <w:rtl/>
        </w:rPr>
        <w:t xml:space="preserve"> נוסח חדש תשל"ג - 1973 + </w:t>
      </w:r>
      <w:r w:rsidRPr="00C84A93">
        <w:rPr>
          <w:rFonts w:ascii="David" w:hAnsi="David" w:cs="David" w:hint="cs"/>
          <w:b/>
          <w:bCs/>
          <w:sz w:val="24"/>
          <w:szCs w:val="24"/>
          <w:rtl/>
        </w:rPr>
        <w:t>ניסיון להחזקת סם שלא לצריכה עצמית</w:t>
      </w:r>
      <w:r w:rsidRPr="00C84A93">
        <w:rPr>
          <w:rFonts w:ascii="David" w:hAnsi="David" w:cs="David" w:hint="cs"/>
          <w:sz w:val="24"/>
          <w:szCs w:val="24"/>
          <w:rtl/>
        </w:rPr>
        <w:t xml:space="preserve">, לפי סעיף </w:t>
      </w:r>
      <w:hyperlink r:id="rId15" w:history="1">
        <w:r w:rsidR="006A33D0" w:rsidRPr="006A33D0">
          <w:rPr>
            <w:rStyle w:val="Hyperlink"/>
            <w:rFonts w:ascii="David" w:hAnsi="David" w:cs="David"/>
            <w:sz w:val="24"/>
            <w:szCs w:val="24"/>
            <w:rtl/>
          </w:rPr>
          <w:t>7(א) + (ג)</w:t>
        </w:r>
      </w:hyperlink>
      <w:r w:rsidRPr="00C84A93">
        <w:rPr>
          <w:rFonts w:ascii="David" w:hAnsi="David" w:cs="David" w:hint="cs"/>
          <w:sz w:val="24"/>
          <w:szCs w:val="24"/>
          <w:rtl/>
        </w:rPr>
        <w:t xml:space="preserve"> לפקודה בצירוף </w:t>
      </w:r>
      <w:hyperlink r:id="rId16" w:history="1">
        <w:r w:rsidR="006A33D0" w:rsidRPr="006A33D0">
          <w:rPr>
            <w:rStyle w:val="Hyperlink"/>
            <w:rFonts w:ascii="David" w:hAnsi="David" w:cs="David" w:hint="eastAsia"/>
            <w:sz w:val="24"/>
            <w:szCs w:val="24"/>
            <w:rtl/>
          </w:rPr>
          <w:t>סעיף</w:t>
        </w:r>
        <w:r w:rsidR="006A33D0" w:rsidRPr="006A33D0">
          <w:rPr>
            <w:rStyle w:val="Hyperlink"/>
            <w:rFonts w:ascii="David" w:hAnsi="David" w:cs="David"/>
            <w:sz w:val="24"/>
            <w:szCs w:val="24"/>
            <w:rtl/>
          </w:rPr>
          <w:t xml:space="preserve"> 25</w:t>
        </w:r>
      </w:hyperlink>
      <w:r w:rsidRPr="00C84A93">
        <w:rPr>
          <w:rFonts w:ascii="David" w:hAnsi="David" w:cs="David" w:hint="cs"/>
          <w:sz w:val="24"/>
          <w:szCs w:val="24"/>
          <w:rtl/>
        </w:rPr>
        <w:t xml:space="preserve"> ל</w:t>
      </w:r>
      <w:hyperlink r:id="rId17" w:history="1">
        <w:r w:rsidR="0089490D" w:rsidRPr="0089490D">
          <w:rPr>
            <w:rFonts w:ascii="David" w:hAnsi="David" w:cs="David"/>
            <w:color w:val="0000FF"/>
            <w:sz w:val="24"/>
            <w:szCs w:val="24"/>
            <w:u w:val="single"/>
            <w:rtl/>
          </w:rPr>
          <w:t>חוק העונשין</w:t>
        </w:r>
      </w:hyperlink>
      <w:r w:rsidRPr="00C84A93">
        <w:rPr>
          <w:rFonts w:ascii="David" w:hAnsi="David" w:cs="David" w:hint="cs"/>
          <w:sz w:val="24"/>
          <w:szCs w:val="24"/>
          <w:rtl/>
        </w:rPr>
        <w:t xml:space="preserve"> תשל"ז </w:t>
      </w:r>
      <w:r w:rsidRPr="00C84A93">
        <w:rPr>
          <w:rFonts w:ascii="David" w:hAnsi="David" w:cs="David"/>
          <w:sz w:val="24"/>
          <w:szCs w:val="24"/>
          <w:rtl/>
        </w:rPr>
        <w:t>–</w:t>
      </w:r>
      <w:r w:rsidRPr="00C84A93">
        <w:rPr>
          <w:rFonts w:ascii="David" w:hAnsi="David" w:cs="David" w:hint="cs"/>
          <w:sz w:val="24"/>
          <w:szCs w:val="24"/>
          <w:rtl/>
        </w:rPr>
        <w:t xml:space="preserve"> 1977.</w:t>
      </w:r>
    </w:p>
    <w:p w14:paraId="40E74D60" w14:textId="77777777" w:rsidR="004D37B1" w:rsidRDefault="004D37B1" w:rsidP="004D37B1">
      <w:pPr>
        <w:spacing w:line="360" w:lineRule="auto"/>
        <w:ind w:left="720"/>
        <w:jc w:val="both"/>
        <w:rPr>
          <w:rFonts w:ascii="David" w:hAnsi="David"/>
          <w:rtl/>
        </w:rPr>
      </w:pPr>
      <w:bookmarkStart w:id="7" w:name="ABSTRACT_END"/>
      <w:bookmarkEnd w:id="7"/>
      <w:r>
        <w:rPr>
          <w:rFonts w:ascii="David" w:hAnsi="David" w:hint="cs"/>
          <w:rtl/>
        </w:rPr>
        <w:t xml:space="preserve">על פי עובדות כתב האישום המתוקן הנאשם הינו תושב רהט ובעת המקרה התגורר בעיר אילת. ביום 27.04.22 במסגרת מבצע חיפוש שנערך, שוטרי מרחב אילת איתרו זולת סמים, ובה גרב ובתוכה 60.48 גרם קוקאין. </w:t>
      </w:r>
    </w:p>
    <w:p w14:paraId="0490429B" w14:textId="77777777" w:rsidR="004D37B1" w:rsidRDefault="004D37B1" w:rsidP="004D37B1">
      <w:pPr>
        <w:spacing w:line="360" w:lineRule="auto"/>
        <w:ind w:left="720"/>
        <w:jc w:val="both"/>
        <w:rPr>
          <w:rFonts w:ascii="David" w:hAnsi="David"/>
          <w:rtl/>
        </w:rPr>
      </w:pPr>
      <w:r>
        <w:rPr>
          <w:rFonts w:ascii="David" w:hAnsi="David" w:hint="cs"/>
          <w:rtl/>
        </w:rPr>
        <w:t xml:space="preserve">שוטרי מרחב אילת באישור פרקליטות מחוז דרום, ביצעו החלפה בזולת הסמים, כך השאירו 5% מכמות הסם בגרב משוכפלת שאותה יניחו במקום הגרב המקורית שנתפסה, והוסף חומר אחר שאיננו סם לתערובת.  </w:t>
      </w:r>
    </w:p>
    <w:p w14:paraId="2D57E8E9" w14:textId="77777777" w:rsidR="004D37B1" w:rsidRDefault="004D37B1" w:rsidP="004D37B1">
      <w:pPr>
        <w:spacing w:line="360" w:lineRule="auto"/>
        <w:ind w:left="720"/>
        <w:jc w:val="both"/>
        <w:rPr>
          <w:rFonts w:ascii="David" w:hAnsi="David"/>
          <w:rtl/>
        </w:rPr>
      </w:pPr>
      <w:r>
        <w:rPr>
          <w:rFonts w:ascii="David" w:hAnsi="David" w:hint="cs"/>
          <w:rtl/>
        </w:rPr>
        <w:lastRenderedPageBreak/>
        <w:t xml:space="preserve">ביום 30.04.22 הנאשם הגיע למקום, התכופף ולקח את הגרב שהוטמנה. השוטרים שהיו בתצפית ביצעו מעצר מידי. </w:t>
      </w:r>
    </w:p>
    <w:p w14:paraId="208EF9C1" w14:textId="77777777" w:rsidR="004D37B1" w:rsidRDefault="004D37B1" w:rsidP="004D37B1">
      <w:pPr>
        <w:spacing w:line="360" w:lineRule="auto"/>
        <w:jc w:val="both"/>
        <w:rPr>
          <w:rFonts w:ascii="David" w:hAnsi="David"/>
          <w:b/>
          <w:bCs/>
          <w:u w:val="single"/>
          <w:rtl/>
        </w:rPr>
      </w:pPr>
    </w:p>
    <w:p w14:paraId="2810230D" w14:textId="77777777" w:rsidR="004D37B1" w:rsidRPr="003F45F1" w:rsidRDefault="004D37B1" w:rsidP="004D37B1">
      <w:pPr>
        <w:spacing w:line="360" w:lineRule="auto"/>
        <w:jc w:val="both"/>
        <w:rPr>
          <w:rFonts w:ascii="David" w:hAnsi="David"/>
          <w:rtl/>
        </w:rPr>
      </w:pPr>
      <w:r>
        <w:rPr>
          <w:rFonts w:ascii="David" w:hAnsi="David" w:hint="cs"/>
          <w:b/>
          <w:bCs/>
          <w:u w:val="single"/>
          <w:rtl/>
        </w:rPr>
        <w:t>טענות הצדדים</w:t>
      </w:r>
    </w:p>
    <w:p w14:paraId="0E1D7D92" w14:textId="77777777" w:rsidR="004D37B1" w:rsidRPr="00510483" w:rsidRDefault="004D37B1" w:rsidP="004D37B1">
      <w:pPr>
        <w:pStyle w:val="a9"/>
        <w:numPr>
          <w:ilvl w:val="0"/>
          <w:numId w:val="3"/>
        </w:numPr>
        <w:spacing w:line="360" w:lineRule="auto"/>
        <w:jc w:val="both"/>
        <w:rPr>
          <w:rFonts w:ascii="David" w:hAnsi="David" w:cs="David"/>
          <w:sz w:val="24"/>
          <w:szCs w:val="24"/>
          <w:rtl/>
        </w:rPr>
      </w:pPr>
      <w:r w:rsidRPr="00510483">
        <w:rPr>
          <w:rFonts w:ascii="David" w:hAnsi="David" w:cs="David" w:hint="cs"/>
          <w:b/>
          <w:bCs/>
          <w:sz w:val="24"/>
          <w:szCs w:val="24"/>
          <w:rtl/>
        </w:rPr>
        <w:t>המאשימה</w:t>
      </w:r>
      <w:r w:rsidRPr="00510483">
        <w:rPr>
          <w:rFonts w:ascii="David" w:hAnsi="David" w:cs="David" w:hint="cs"/>
          <w:sz w:val="24"/>
          <w:szCs w:val="24"/>
          <w:rtl/>
        </w:rPr>
        <w:t xml:space="preserve"> בטיעוניה עמדה על הערכים החברתיים שנפגעו ממעשי הנאשם ומידת הפגיעה בהם. כן הפנתה לנסיבות הקשורות בביצוע העבירה. לדעת המאשימה מדובר בפגיעה בערכים המוגנים ברף הבינוני ויש לקבוע מתחם של 3-5 שנות מאסר בפועל.</w:t>
      </w:r>
    </w:p>
    <w:p w14:paraId="1C670755" w14:textId="77777777" w:rsidR="004D37B1" w:rsidRDefault="004D37B1" w:rsidP="004D37B1">
      <w:pPr>
        <w:spacing w:line="360" w:lineRule="auto"/>
        <w:ind w:left="720"/>
        <w:jc w:val="both"/>
        <w:rPr>
          <w:rFonts w:ascii="David" w:hAnsi="David"/>
          <w:b/>
          <w:bCs/>
          <w:rtl/>
        </w:rPr>
      </w:pPr>
      <w:r>
        <w:rPr>
          <w:rFonts w:ascii="David" w:hAnsi="David" w:hint="cs"/>
          <w:rtl/>
        </w:rPr>
        <w:t>עברו הפלילי של הנאשם בשקלול נטילת האחריות במהלך ניהול ההוכחות והחיסכון החלקי בזמן השיפוטי מצדיקים הטלת עונש ברף האמצעי של המתחם לצד מאסר מותנה, קנס, ופסילת רישיון נהיגה.</w:t>
      </w:r>
    </w:p>
    <w:p w14:paraId="379111AF" w14:textId="77777777" w:rsidR="004D37B1" w:rsidRPr="00510483" w:rsidRDefault="004D37B1" w:rsidP="004D37B1">
      <w:pPr>
        <w:pStyle w:val="a9"/>
        <w:numPr>
          <w:ilvl w:val="0"/>
          <w:numId w:val="3"/>
        </w:numPr>
        <w:spacing w:line="360" w:lineRule="auto"/>
        <w:jc w:val="both"/>
        <w:rPr>
          <w:rFonts w:ascii="David" w:hAnsi="David" w:cs="David"/>
          <w:sz w:val="24"/>
          <w:szCs w:val="24"/>
          <w:rtl/>
        </w:rPr>
      </w:pPr>
      <w:r>
        <w:rPr>
          <w:rFonts w:ascii="David" w:hAnsi="David" w:cs="David" w:hint="cs"/>
          <w:b/>
          <w:bCs/>
          <w:sz w:val="24"/>
          <w:szCs w:val="24"/>
          <w:rtl/>
        </w:rPr>
        <w:t>לדעת ההגנה</w:t>
      </w:r>
      <w:r w:rsidRPr="00510483">
        <w:rPr>
          <w:rFonts w:ascii="David" w:hAnsi="David" w:cs="David" w:hint="cs"/>
          <w:sz w:val="24"/>
          <w:szCs w:val="24"/>
          <w:rtl/>
        </w:rPr>
        <w:t xml:space="preserve"> </w:t>
      </w:r>
      <w:r>
        <w:rPr>
          <w:rFonts w:ascii="David" w:hAnsi="David" w:cs="David" w:hint="cs"/>
          <w:sz w:val="24"/>
          <w:szCs w:val="24"/>
          <w:rtl/>
        </w:rPr>
        <w:t>עוצמת הפגיעה ב</w:t>
      </w:r>
      <w:r w:rsidRPr="00510483">
        <w:rPr>
          <w:rFonts w:ascii="David" w:hAnsi="David" w:cs="David" w:hint="cs"/>
          <w:sz w:val="24"/>
          <w:szCs w:val="24"/>
          <w:rtl/>
        </w:rPr>
        <w:t xml:space="preserve">ערכים </w:t>
      </w:r>
      <w:r>
        <w:rPr>
          <w:rFonts w:ascii="David" w:hAnsi="David" w:cs="David" w:hint="cs"/>
          <w:sz w:val="24"/>
          <w:szCs w:val="24"/>
          <w:rtl/>
        </w:rPr>
        <w:t xml:space="preserve">המוגנים היא </w:t>
      </w:r>
      <w:r w:rsidRPr="00510483">
        <w:rPr>
          <w:rFonts w:ascii="David" w:hAnsi="David" w:cs="David" w:hint="cs"/>
          <w:sz w:val="24"/>
          <w:szCs w:val="24"/>
          <w:rtl/>
        </w:rPr>
        <w:t>ברף הנמוך בינוני.</w:t>
      </w:r>
      <w:r w:rsidRPr="00510483">
        <w:rPr>
          <w:rFonts w:ascii="David" w:hAnsi="David" w:cs="David" w:hint="cs"/>
          <w:b/>
          <w:bCs/>
          <w:sz w:val="24"/>
          <w:szCs w:val="24"/>
          <w:rtl/>
        </w:rPr>
        <w:t xml:space="preserve"> </w:t>
      </w:r>
      <w:r w:rsidRPr="00510483">
        <w:rPr>
          <w:rFonts w:ascii="David" w:hAnsi="David" w:cs="David" w:hint="cs"/>
          <w:sz w:val="24"/>
          <w:szCs w:val="24"/>
          <w:rtl/>
        </w:rPr>
        <w:t>ב"כ הנאשם</w:t>
      </w:r>
      <w:r w:rsidRPr="00510483">
        <w:rPr>
          <w:rFonts w:ascii="David" w:hAnsi="David" w:cs="David" w:hint="cs"/>
          <w:b/>
          <w:bCs/>
          <w:sz w:val="24"/>
          <w:szCs w:val="24"/>
          <w:rtl/>
        </w:rPr>
        <w:t xml:space="preserve"> </w:t>
      </w:r>
      <w:r w:rsidRPr="00510483">
        <w:rPr>
          <w:rFonts w:ascii="David" w:hAnsi="David" w:cs="David" w:hint="cs"/>
          <w:sz w:val="24"/>
          <w:szCs w:val="24"/>
          <w:rtl/>
        </w:rPr>
        <w:t>עמד על כך שעיקר הסמים ה</w:t>
      </w:r>
      <w:r>
        <w:rPr>
          <w:rFonts w:ascii="David" w:hAnsi="David" w:cs="David" w:hint="cs"/>
          <w:sz w:val="24"/>
          <w:szCs w:val="24"/>
          <w:rtl/>
        </w:rPr>
        <w:t>יו בגדרי</w:t>
      </w:r>
      <w:r w:rsidRPr="00510483">
        <w:rPr>
          <w:rFonts w:ascii="David" w:hAnsi="David" w:cs="David" w:hint="cs"/>
          <w:sz w:val="24"/>
          <w:szCs w:val="24"/>
          <w:rtl/>
        </w:rPr>
        <w:t xml:space="preserve"> הניסיון וכן הסם המסוכן לא היה ארוז באופן המלמד על כוונת הפצתו. בהיבט זה, לא נגרם נזק בפועל אלא מדובר בפוטנציאל בלבד.</w:t>
      </w:r>
    </w:p>
    <w:p w14:paraId="53603D31" w14:textId="77777777" w:rsidR="004D37B1" w:rsidRDefault="004D37B1" w:rsidP="004D37B1">
      <w:pPr>
        <w:spacing w:line="360" w:lineRule="auto"/>
        <w:ind w:left="720"/>
        <w:jc w:val="both"/>
        <w:rPr>
          <w:rFonts w:ascii="David" w:hAnsi="David"/>
          <w:rtl/>
        </w:rPr>
      </w:pPr>
      <w:r w:rsidRPr="00DC4FE4">
        <w:rPr>
          <w:rFonts w:ascii="David" w:hAnsi="David" w:hint="cs"/>
          <w:rtl/>
        </w:rPr>
        <w:t xml:space="preserve">ב"כ הנאשם </w:t>
      </w:r>
      <w:r>
        <w:rPr>
          <w:rFonts w:ascii="David" w:hAnsi="David" w:hint="cs"/>
          <w:rtl/>
        </w:rPr>
        <w:t>טען כי העונש המתאים נע במתחם שבין 15 חודשי מאסר ועד ל 34 חודשי מאסר, והפנה לאסמכתאות.</w:t>
      </w:r>
    </w:p>
    <w:p w14:paraId="2E1859BE" w14:textId="77777777" w:rsidR="004D37B1" w:rsidRDefault="004D37B1" w:rsidP="004D37B1">
      <w:pPr>
        <w:spacing w:line="360" w:lineRule="auto"/>
        <w:ind w:left="720"/>
        <w:jc w:val="both"/>
        <w:rPr>
          <w:rFonts w:ascii="David" w:hAnsi="David"/>
          <w:rtl/>
        </w:rPr>
      </w:pPr>
      <w:r>
        <w:rPr>
          <w:rFonts w:ascii="David" w:hAnsi="David" w:hint="cs"/>
          <w:rtl/>
        </w:rPr>
        <w:t>נוכח גילו הצעיר של הנאשם והרצון למנוע ממנו להיטמע בעולם העבריינות בגיל זה, בשים לב לכך שהנאשם הודה ולקח אחריות על מעשיו וחסך זמן שיפוטי ביקש להתחשב בעונשו ולהטיל עליו עונש ברף התחתון-בינוני של המתחם.</w:t>
      </w:r>
    </w:p>
    <w:p w14:paraId="773798CD" w14:textId="77777777" w:rsidR="004D37B1" w:rsidRDefault="004D37B1" w:rsidP="004D37B1">
      <w:pPr>
        <w:spacing w:line="360" w:lineRule="auto"/>
        <w:ind w:firstLine="720"/>
        <w:jc w:val="both"/>
        <w:rPr>
          <w:rFonts w:ascii="David" w:hAnsi="David"/>
          <w:rtl/>
        </w:rPr>
      </w:pPr>
      <w:r>
        <w:rPr>
          <w:rFonts w:ascii="David" w:hAnsi="David" w:hint="cs"/>
          <w:rtl/>
        </w:rPr>
        <w:t>כן ביקש להתחשב בתקופת המעצר הממושכת.</w:t>
      </w:r>
    </w:p>
    <w:p w14:paraId="2AEDD4F4" w14:textId="77777777" w:rsidR="004D37B1" w:rsidRPr="00A31340" w:rsidRDefault="004D37B1" w:rsidP="004D37B1">
      <w:pPr>
        <w:spacing w:line="360" w:lineRule="auto"/>
        <w:jc w:val="both"/>
        <w:rPr>
          <w:rFonts w:ascii="David" w:hAnsi="David"/>
          <w:rtl/>
        </w:rPr>
      </w:pPr>
    </w:p>
    <w:p w14:paraId="010F5E73" w14:textId="77777777" w:rsidR="004D37B1" w:rsidRPr="00564261" w:rsidRDefault="004D37B1" w:rsidP="004D37B1">
      <w:pPr>
        <w:spacing w:line="360" w:lineRule="auto"/>
        <w:jc w:val="both"/>
        <w:rPr>
          <w:rFonts w:ascii="David" w:hAnsi="David"/>
          <w:b/>
          <w:bCs/>
          <w:u w:val="single"/>
          <w:rtl/>
        </w:rPr>
      </w:pPr>
      <w:r w:rsidRPr="00564261">
        <w:rPr>
          <w:rFonts w:ascii="David" w:hAnsi="David"/>
          <w:b/>
          <w:bCs/>
          <w:u w:val="single"/>
          <w:rtl/>
        </w:rPr>
        <w:t>קביעת מתחם העונש ההולם:</w:t>
      </w:r>
    </w:p>
    <w:p w14:paraId="45A71208" w14:textId="77777777" w:rsidR="004D37B1" w:rsidRPr="00510483" w:rsidRDefault="004D37B1" w:rsidP="004D37B1">
      <w:pPr>
        <w:pStyle w:val="a9"/>
        <w:numPr>
          <w:ilvl w:val="0"/>
          <w:numId w:val="3"/>
        </w:numPr>
        <w:spacing w:line="360" w:lineRule="auto"/>
        <w:jc w:val="both"/>
        <w:rPr>
          <w:rFonts w:ascii="David" w:hAnsi="David" w:cs="David"/>
          <w:sz w:val="24"/>
          <w:szCs w:val="24"/>
          <w:rtl/>
        </w:rPr>
      </w:pPr>
      <w:r w:rsidRPr="00510483">
        <w:rPr>
          <w:rFonts w:ascii="David" w:hAnsi="David" w:cs="David"/>
          <w:sz w:val="24"/>
          <w:szCs w:val="24"/>
          <w:rtl/>
        </w:rPr>
        <w:t xml:space="preserve">מתחם העונש ההולם למעשה העבירה </w:t>
      </w:r>
      <w:r w:rsidRPr="00510483">
        <w:rPr>
          <w:rFonts w:ascii="David" w:hAnsi="David" w:cs="David" w:hint="cs"/>
          <w:sz w:val="24"/>
          <w:szCs w:val="24"/>
          <w:rtl/>
        </w:rPr>
        <w:t xml:space="preserve">נקבע בהתאם לעיקרון ההלימה ולפיו נדרש יחס הולם </w:t>
      </w:r>
      <w:r w:rsidRPr="00510483">
        <w:rPr>
          <w:rFonts w:ascii="David" w:hAnsi="David" w:cs="David"/>
          <w:sz w:val="24"/>
          <w:szCs w:val="24"/>
          <w:rtl/>
        </w:rPr>
        <w:t>בין חומרת מעשה העבירה בנסיבותיו ומידת אשמו של הנאשם, לבין סוג ומידת העונש המוטל עליו.</w:t>
      </w:r>
      <w:r w:rsidRPr="00510483">
        <w:rPr>
          <w:rFonts w:ascii="David" w:hAnsi="David" w:cs="David" w:hint="cs"/>
          <w:sz w:val="24"/>
          <w:szCs w:val="24"/>
          <w:rtl/>
        </w:rPr>
        <w:t xml:space="preserve"> ביישום עיקרון ההלימה וקביעת מתחם העונש במקרה קונקרטי, בית המשפט יתחשב בשלושת אלה:  ה</w:t>
      </w:r>
      <w:r w:rsidRPr="00510483">
        <w:rPr>
          <w:rFonts w:ascii="David" w:hAnsi="David" w:cs="David"/>
          <w:sz w:val="24"/>
          <w:szCs w:val="24"/>
          <w:rtl/>
        </w:rPr>
        <w:t>ערך החברתי שנפגע</w:t>
      </w:r>
      <w:r w:rsidRPr="00510483">
        <w:rPr>
          <w:rFonts w:ascii="David" w:hAnsi="David" w:cs="David" w:hint="cs"/>
          <w:sz w:val="24"/>
          <w:szCs w:val="24"/>
          <w:rtl/>
        </w:rPr>
        <w:t xml:space="preserve"> ומידת הפגיעה בו; </w:t>
      </w:r>
      <w:r w:rsidRPr="00510483">
        <w:rPr>
          <w:rFonts w:ascii="David" w:hAnsi="David" w:cs="David"/>
          <w:sz w:val="24"/>
          <w:szCs w:val="24"/>
          <w:rtl/>
        </w:rPr>
        <w:t>מדיניות הענישה הנוהגת</w:t>
      </w:r>
      <w:r w:rsidRPr="00510483">
        <w:rPr>
          <w:rFonts w:ascii="David" w:hAnsi="David" w:cs="David" w:hint="cs"/>
          <w:sz w:val="24"/>
          <w:szCs w:val="24"/>
          <w:rtl/>
        </w:rPr>
        <w:t xml:space="preserve">; </w:t>
      </w:r>
      <w:r w:rsidRPr="00510483">
        <w:rPr>
          <w:rFonts w:ascii="David" w:hAnsi="David" w:cs="David"/>
          <w:sz w:val="24"/>
          <w:szCs w:val="24"/>
          <w:rtl/>
        </w:rPr>
        <w:t>ונסיבות הקשורות בביצוע העבירה.</w:t>
      </w:r>
    </w:p>
    <w:p w14:paraId="356B95D9" w14:textId="77777777" w:rsidR="004D37B1" w:rsidRDefault="004D37B1" w:rsidP="004D37B1">
      <w:pPr>
        <w:spacing w:line="360" w:lineRule="auto"/>
        <w:jc w:val="both"/>
        <w:rPr>
          <w:rFonts w:ascii="David" w:hAnsi="David"/>
          <w:b/>
          <w:bCs/>
          <w:rtl/>
        </w:rPr>
      </w:pPr>
    </w:p>
    <w:p w14:paraId="7B607C12" w14:textId="77777777" w:rsidR="004D37B1" w:rsidRPr="00510483" w:rsidRDefault="004D37B1" w:rsidP="004D37B1">
      <w:pPr>
        <w:pStyle w:val="a9"/>
        <w:numPr>
          <w:ilvl w:val="0"/>
          <w:numId w:val="3"/>
        </w:numPr>
        <w:spacing w:line="360" w:lineRule="auto"/>
        <w:jc w:val="both"/>
        <w:rPr>
          <w:rFonts w:ascii="David" w:hAnsi="David" w:cs="David"/>
          <w:sz w:val="24"/>
          <w:szCs w:val="24"/>
          <w:rtl/>
        </w:rPr>
      </w:pPr>
      <w:r w:rsidRPr="00510483">
        <w:rPr>
          <w:rFonts w:ascii="David" w:hAnsi="David" w:cs="David"/>
          <w:b/>
          <w:bCs/>
          <w:sz w:val="24"/>
          <w:szCs w:val="24"/>
          <w:rtl/>
        </w:rPr>
        <w:t>הערך החברתי</w:t>
      </w:r>
      <w:r w:rsidRPr="00510483">
        <w:rPr>
          <w:rFonts w:ascii="David" w:hAnsi="David" w:cs="David"/>
          <w:sz w:val="24"/>
          <w:szCs w:val="24"/>
          <w:rtl/>
        </w:rPr>
        <w:t xml:space="preserve"> שנפגע </w:t>
      </w:r>
      <w:r w:rsidRPr="00510483">
        <w:rPr>
          <w:rFonts w:ascii="David" w:hAnsi="David" w:cs="David" w:hint="cs"/>
          <w:sz w:val="24"/>
          <w:szCs w:val="24"/>
          <w:rtl/>
        </w:rPr>
        <w:t>בעבירת סמים שלא לצריכה עצמית, הינו הגנה ושמירה על ביטחון הציבור מפני נזקים ישירים ועקיפים הנגרמים בשל שימוש בסמים והפצתם;  פגיעה בשלמות ובריאות הגוף של הציבור ;  והפשיעה הנלווית בתחום האלימות, הרכוש והסדר הציבורי, לתעשיית הסמים ולהתמכרות להם.</w:t>
      </w:r>
    </w:p>
    <w:p w14:paraId="3F84C15D" w14:textId="77777777" w:rsidR="004D37B1" w:rsidRPr="007537C8" w:rsidRDefault="004D37B1" w:rsidP="004D37B1">
      <w:pPr>
        <w:spacing w:line="360" w:lineRule="auto"/>
        <w:jc w:val="both"/>
        <w:rPr>
          <w:rFonts w:ascii="David" w:hAnsi="David"/>
          <w:rtl/>
        </w:rPr>
      </w:pPr>
    </w:p>
    <w:p w14:paraId="62FAEC51" w14:textId="77777777" w:rsidR="004D37B1" w:rsidRDefault="004D37B1" w:rsidP="004D37B1">
      <w:pPr>
        <w:pStyle w:val="a9"/>
        <w:numPr>
          <w:ilvl w:val="0"/>
          <w:numId w:val="3"/>
        </w:numPr>
        <w:spacing w:line="360" w:lineRule="auto"/>
        <w:jc w:val="both"/>
        <w:rPr>
          <w:rFonts w:ascii="David" w:hAnsi="David" w:cs="David"/>
          <w:sz w:val="24"/>
          <w:szCs w:val="24"/>
        </w:rPr>
      </w:pPr>
      <w:r w:rsidRPr="006C4546">
        <w:rPr>
          <w:rFonts w:ascii="David" w:hAnsi="David" w:cs="David" w:hint="cs"/>
          <w:sz w:val="24"/>
          <w:szCs w:val="24"/>
          <w:rtl/>
        </w:rPr>
        <w:lastRenderedPageBreak/>
        <w:t>מידת</w:t>
      </w:r>
      <w:r w:rsidRPr="006C4546">
        <w:rPr>
          <w:rFonts w:ascii="David" w:hAnsi="David" w:cs="David"/>
          <w:sz w:val="24"/>
          <w:szCs w:val="24"/>
          <w:rtl/>
        </w:rPr>
        <w:t xml:space="preserve"> </w:t>
      </w:r>
      <w:r w:rsidRPr="006C4546">
        <w:rPr>
          <w:rFonts w:ascii="David" w:hAnsi="David" w:cs="David"/>
          <w:b/>
          <w:bCs/>
          <w:sz w:val="24"/>
          <w:szCs w:val="24"/>
          <w:rtl/>
        </w:rPr>
        <w:t>הפגיעה בער</w:t>
      </w:r>
      <w:r>
        <w:rPr>
          <w:rFonts w:ascii="David" w:hAnsi="David" w:cs="David" w:hint="cs"/>
          <w:b/>
          <w:bCs/>
          <w:sz w:val="24"/>
          <w:szCs w:val="24"/>
          <w:rtl/>
        </w:rPr>
        <w:t>כים המוגנים</w:t>
      </w:r>
      <w:r w:rsidRPr="006C4546">
        <w:rPr>
          <w:rFonts w:ascii="David" w:hAnsi="David" w:cs="David" w:hint="cs"/>
          <w:b/>
          <w:bCs/>
          <w:sz w:val="24"/>
          <w:szCs w:val="24"/>
          <w:rtl/>
        </w:rPr>
        <w:t xml:space="preserve"> </w:t>
      </w:r>
      <w:r w:rsidRPr="006C4546">
        <w:rPr>
          <w:rFonts w:ascii="David" w:hAnsi="David" w:cs="David" w:hint="cs"/>
          <w:sz w:val="24"/>
          <w:szCs w:val="24"/>
          <w:rtl/>
        </w:rPr>
        <w:t xml:space="preserve">במקרה </w:t>
      </w:r>
      <w:r>
        <w:rPr>
          <w:rFonts w:ascii="David" w:hAnsi="David" w:cs="David" w:hint="cs"/>
          <w:sz w:val="24"/>
          <w:szCs w:val="24"/>
          <w:rtl/>
        </w:rPr>
        <w:t xml:space="preserve">זה נגזרת מסוג הסם, כמותו ונסיבות החזקתו. כן נלקחת בחשבון העובדה, כי מרבית הסם הוחלף (ומכאן עבירת הניסיון) אך הדבר אינו משפיע על מידת אשמת הנאשם, שהיא מלאה. </w:t>
      </w:r>
    </w:p>
    <w:p w14:paraId="4F48CFF8" w14:textId="77777777" w:rsidR="004D37B1" w:rsidRPr="006C4546" w:rsidRDefault="004D37B1" w:rsidP="004D37B1">
      <w:pPr>
        <w:pStyle w:val="a9"/>
        <w:rPr>
          <w:rFonts w:ascii="David" w:hAnsi="David" w:cs="David"/>
          <w:sz w:val="24"/>
          <w:szCs w:val="24"/>
          <w:rtl/>
        </w:rPr>
      </w:pPr>
    </w:p>
    <w:p w14:paraId="375F3031" w14:textId="77777777" w:rsidR="004D37B1" w:rsidRDefault="004D37B1" w:rsidP="004D37B1">
      <w:pPr>
        <w:spacing w:line="360" w:lineRule="auto"/>
        <w:ind w:left="720"/>
        <w:jc w:val="both"/>
        <w:rPr>
          <w:rFonts w:ascii="David" w:hAnsi="David"/>
          <w:b/>
          <w:bCs/>
          <w:rtl/>
        </w:rPr>
      </w:pPr>
      <w:r w:rsidRPr="007537C8">
        <w:rPr>
          <w:rFonts w:ascii="David" w:hAnsi="David"/>
          <w:rtl/>
        </w:rPr>
        <w:t>ב</w:t>
      </w:r>
      <w:r>
        <w:rPr>
          <w:rFonts w:ascii="David" w:hAnsi="David" w:hint="cs"/>
          <w:rtl/>
        </w:rPr>
        <w:t>עניין החזקת סמים שלא לצריכה עצמית, נקבע ב</w:t>
      </w:r>
      <w:hyperlink r:id="rId18" w:history="1">
        <w:r w:rsidR="0089490D" w:rsidRPr="0089490D">
          <w:rPr>
            <w:rFonts w:ascii="David" w:hAnsi="David"/>
            <w:b/>
            <w:bCs/>
            <w:color w:val="0000FF"/>
            <w:u w:val="single"/>
            <w:rtl/>
          </w:rPr>
          <w:t>ע"פ 4998/95</w:t>
        </w:r>
      </w:hyperlink>
      <w:r w:rsidRPr="00274108">
        <w:rPr>
          <w:rFonts w:ascii="David" w:hAnsi="David"/>
          <w:b/>
          <w:bCs/>
          <w:rtl/>
        </w:rPr>
        <w:t xml:space="preserve"> מדינת ישראל נ' קרדוסו, </w:t>
      </w:r>
      <w:r>
        <w:rPr>
          <w:rFonts w:ascii="David" w:hAnsi="David" w:hint="cs"/>
          <w:b/>
          <w:bCs/>
          <w:rtl/>
        </w:rPr>
        <w:t xml:space="preserve">פ"ד </w:t>
      </w:r>
      <w:r w:rsidRPr="00274108">
        <w:rPr>
          <w:rFonts w:ascii="David" w:hAnsi="David"/>
          <w:b/>
          <w:bCs/>
          <w:rtl/>
        </w:rPr>
        <w:t>נא(3) 769</w:t>
      </w:r>
      <w:r>
        <w:rPr>
          <w:rFonts w:ascii="David" w:hAnsi="David" w:hint="cs"/>
          <w:b/>
          <w:bCs/>
          <w:rtl/>
        </w:rPr>
        <w:t>:</w:t>
      </w:r>
    </w:p>
    <w:p w14:paraId="59C88C22" w14:textId="77777777" w:rsidR="004D37B1" w:rsidRPr="00274108" w:rsidRDefault="004D37B1" w:rsidP="004D37B1">
      <w:pPr>
        <w:spacing w:line="360" w:lineRule="auto"/>
        <w:ind w:left="931" w:right="426"/>
        <w:jc w:val="both"/>
        <w:rPr>
          <w:rFonts w:ascii="David" w:hAnsi="David"/>
          <w:rtl/>
        </w:rPr>
      </w:pPr>
      <w:r w:rsidRPr="00274108">
        <w:rPr>
          <w:rFonts w:ascii="David" w:hAnsi="David"/>
          <w:b/>
          <w:bCs/>
          <w:rtl/>
        </w:rPr>
        <w:t xml:space="preserve">"לעולם נזכור עבירת סמים מה היא, </w:t>
      </w:r>
      <w:r w:rsidRPr="006C4546">
        <w:rPr>
          <w:rFonts w:ascii="David" w:hAnsi="David"/>
          <w:b/>
          <w:bCs/>
          <w:rtl/>
        </w:rPr>
        <w:t>ומה הם ערכי-החברה שאנו נדרשים להגן עליהם</w:t>
      </w:r>
      <w:r w:rsidRPr="00274108">
        <w:rPr>
          <w:rFonts w:ascii="David" w:hAnsi="David"/>
          <w:b/>
          <w:bCs/>
          <w:rtl/>
        </w:rPr>
        <w:t>.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עיסקאות-מכר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w:t>
      </w:r>
    </w:p>
    <w:p w14:paraId="7DB4E75D" w14:textId="77777777" w:rsidR="004D37B1" w:rsidRPr="007537C8" w:rsidRDefault="004D37B1" w:rsidP="004D37B1">
      <w:pPr>
        <w:spacing w:line="360" w:lineRule="auto"/>
        <w:jc w:val="both"/>
        <w:rPr>
          <w:rFonts w:ascii="David" w:hAnsi="David"/>
          <w:rtl/>
        </w:rPr>
      </w:pPr>
    </w:p>
    <w:p w14:paraId="201CD405" w14:textId="77777777" w:rsidR="004D37B1" w:rsidRDefault="004D37B1" w:rsidP="004D37B1">
      <w:pPr>
        <w:pStyle w:val="a9"/>
        <w:numPr>
          <w:ilvl w:val="0"/>
          <w:numId w:val="3"/>
        </w:numPr>
        <w:spacing w:line="360" w:lineRule="auto"/>
        <w:jc w:val="both"/>
        <w:rPr>
          <w:rFonts w:ascii="David" w:hAnsi="David" w:cs="David"/>
          <w:sz w:val="24"/>
          <w:szCs w:val="24"/>
        </w:rPr>
      </w:pPr>
      <w:r>
        <w:rPr>
          <w:rFonts w:ascii="David" w:hAnsi="David" w:cs="David" w:hint="cs"/>
          <w:sz w:val="24"/>
          <w:szCs w:val="24"/>
          <w:rtl/>
        </w:rPr>
        <w:t xml:space="preserve">בקביעת המתחם במקרה זה נלקח בחשבון </w:t>
      </w:r>
      <w:r w:rsidRPr="006C4546">
        <w:rPr>
          <w:rFonts w:ascii="David" w:hAnsi="David" w:cs="David"/>
          <w:sz w:val="24"/>
          <w:szCs w:val="24"/>
          <w:rtl/>
        </w:rPr>
        <w:t>הנזק שהיה צפוי להיגרם מביצוע העבירות</w:t>
      </w:r>
      <w:r w:rsidRPr="006C4546">
        <w:rPr>
          <w:rFonts w:ascii="David" w:hAnsi="David" w:cs="David" w:hint="cs"/>
          <w:sz w:val="24"/>
          <w:szCs w:val="24"/>
          <w:rtl/>
        </w:rPr>
        <w:t xml:space="preserve"> </w:t>
      </w:r>
      <w:r w:rsidRPr="006C4546">
        <w:rPr>
          <w:rFonts w:ascii="David" w:hAnsi="David" w:cs="David"/>
          <w:sz w:val="24"/>
          <w:szCs w:val="24"/>
          <w:rtl/>
        </w:rPr>
        <w:t>–</w:t>
      </w:r>
      <w:r w:rsidRPr="006C4546">
        <w:rPr>
          <w:rFonts w:ascii="David" w:hAnsi="David" w:cs="David" w:hint="cs"/>
          <w:sz w:val="24"/>
          <w:szCs w:val="24"/>
          <w:rtl/>
        </w:rPr>
        <w:t xml:space="preserve"> כמות הסם ה'אמיתי' שנתפסה בפועל אינה גדולה</w:t>
      </w:r>
      <w:r>
        <w:rPr>
          <w:rFonts w:ascii="David" w:hAnsi="David" w:cs="David" w:hint="cs"/>
          <w:sz w:val="24"/>
          <w:szCs w:val="24"/>
          <w:rtl/>
        </w:rPr>
        <w:t xml:space="preserve">. </w:t>
      </w:r>
      <w:r w:rsidRPr="006C4546">
        <w:rPr>
          <w:rFonts w:ascii="David" w:hAnsi="David" w:cs="David" w:hint="cs"/>
          <w:sz w:val="24"/>
          <w:szCs w:val="24"/>
          <w:rtl/>
        </w:rPr>
        <w:t>עיקר הכמות המסחרית הוחלפה</w:t>
      </w:r>
      <w:r>
        <w:rPr>
          <w:rFonts w:ascii="David" w:hAnsi="David" w:cs="David" w:hint="cs"/>
          <w:sz w:val="24"/>
          <w:szCs w:val="24"/>
          <w:rtl/>
        </w:rPr>
        <w:t xml:space="preserve"> מראש,</w:t>
      </w:r>
      <w:r w:rsidRPr="006C4546">
        <w:rPr>
          <w:rFonts w:ascii="David" w:hAnsi="David" w:cs="David" w:hint="cs"/>
          <w:sz w:val="24"/>
          <w:szCs w:val="24"/>
          <w:rtl/>
        </w:rPr>
        <w:t xml:space="preserve"> הודות לפעולות מודיעין ואכיפה של המשטרה, ופוטנציאל הנזק </w:t>
      </w:r>
      <w:r>
        <w:rPr>
          <w:rFonts w:ascii="David" w:hAnsi="David" w:cs="David" w:hint="cs"/>
          <w:sz w:val="24"/>
          <w:szCs w:val="24"/>
          <w:rtl/>
        </w:rPr>
        <w:t xml:space="preserve">הופחת משמעותית עקב כך. אך זאת, </w:t>
      </w:r>
      <w:r w:rsidRPr="006C4546">
        <w:rPr>
          <w:rFonts w:ascii="David" w:hAnsi="David" w:cs="David" w:hint="cs"/>
          <w:sz w:val="24"/>
          <w:szCs w:val="24"/>
          <w:rtl/>
        </w:rPr>
        <w:t xml:space="preserve">לא בזכות מעשי הנאשם </w:t>
      </w:r>
      <w:r>
        <w:rPr>
          <w:rFonts w:ascii="David" w:hAnsi="David" w:cs="David" w:hint="cs"/>
          <w:sz w:val="24"/>
          <w:szCs w:val="24"/>
          <w:rtl/>
        </w:rPr>
        <w:t xml:space="preserve">שהתכוון מראש לבצע עבירה מושלמת, </w:t>
      </w:r>
      <w:r w:rsidRPr="006C4546">
        <w:rPr>
          <w:rFonts w:ascii="David" w:hAnsi="David" w:cs="David" w:hint="cs"/>
          <w:sz w:val="24"/>
          <w:szCs w:val="24"/>
          <w:rtl/>
        </w:rPr>
        <w:t>אלא הודות לעבודת המשטרה.</w:t>
      </w:r>
      <w:r>
        <w:rPr>
          <w:rFonts w:ascii="David" w:hAnsi="David" w:cs="David" w:hint="cs"/>
          <w:sz w:val="24"/>
          <w:szCs w:val="24"/>
          <w:rtl/>
        </w:rPr>
        <w:t xml:space="preserve"> לו הושלמה תוכנית הנאשם, היה פוטנציאל הנזק רב בשים לב לסוג הסם ולכמות שלו. כן נלקח בחשבון מיקומו של הנאשם בפירמידה העבריינית והמוסכם, כי הנאשם אינו הבעלים של הסם.</w:t>
      </w:r>
    </w:p>
    <w:p w14:paraId="0CFE99C3" w14:textId="77777777" w:rsidR="004D37B1" w:rsidRPr="00052A4B" w:rsidRDefault="004D37B1" w:rsidP="004D37B1">
      <w:pPr>
        <w:pStyle w:val="a9"/>
        <w:numPr>
          <w:ilvl w:val="0"/>
          <w:numId w:val="3"/>
        </w:numPr>
        <w:spacing w:line="360" w:lineRule="auto"/>
        <w:jc w:val="both"/>
        <w:rPr>
          <w:rFonts w:ascii="David" w:hAnsi="David" w:cs="David"/>
          <w:sz w:val="24"/>
          <w:szCs w:val="24"/>
          <w:rtl/>
        </w:rPr>
      </w:pPr>
      <w:r w:rsidRPr="00052A4B">
        <w:rPr>
          <w:rFonts w:ascii="David" w:hAnsi="David" w:cs="David"/>
          <w:b/>
          <w:bCs/>
          <w:sz w:val="24"/>
          <w:szCs w:val="24"/>
          <w:rtl/>
        </w:rPr>
        <w:t>ב</w:t>
      </w:r>
      <w:r w:rsidRPr="00052A4B">
        <w:rPr>
          <w:rFonts w:ascii="David" w:hAnsi="David" w:cs="David" w:hint="cs"/>
          <w:b/>
          <w:bCs/>
          <w:sz w:val="24"/>
          <w:szCs w:val="24"/>
          <w:rtl/>
        </w:rPr>
        <w:t>ב</w:t>
      </w:r>
      <w:r w:rsidRPr="00052A4B">
        <w:rPr>
          <w:rFonts w:ascii="David" w:hAnsi="David" w:cs="David"/>
          <w:b/>
          <w:bCs/>
          <w:sz w:val="24"/>
          <w:szCs w:val="24"/>
          <w:rtl/>
        </w:rPr>
        <w:t>חינת מדיניות הענישה</w:t>
      </w:r>
      <w:r w:rsidRPr="00052A4B">
        <w:rPr>
          <w:rFonts w:ascii="David" w:hAnsi="David" w:cs="David"/>
          <w:sz w:val="24"/>
          <w:szCs w:val="24"/>
          <w:rtl/>
        </w:rPr>
        <w:t xml:space="preserve"> הנוהגת</w:t>
      </w:r>
      <w:r w:rsidRPr="00052A4B">
        <w:rPr>
          <w:rFonts w:ascii="David" w:hAnsi="David" w:cs="David" w:hint="cs"/>
          <w:sz w:val="24"/>
          <w:szCs w:val="24"/>
          <w:rtl/>
        </w:rPr>
        <w:t>, הצדדים הפנו לאסמכתאות שונות מהן ניתן להקיש למתחם העונש ההולם.</w:t>
      </w:r>
    </w:p>
    <w:p w14:paraId="1E5D8E6E" w14:textId="77777777" w:rsidR="004D37B1" w:rsidRDefault="004D37B1" w:rsidP="004D37B1">
      <w:pPr>
        <w:spacing w:line="360" w:lineRule="auto"/>
        <w:ind w:firstLine="720"/>
        <w:jc w:val="both"/>
        <w:rPr>
          <w:rFonts w:ascii="David" w:hAnsi="David"/>
          <w:rtl/>
        </w:rPr>
      </w:pPr>
      <w:r>
        <w:rPr>
          <w:rFonts w:ascii="David" w:hAnsi="David" w:hint="cs"/>
          <w:rtl/>
        </w:rPr>
        <w:t>עיינתי באסמכתאות אליהן הפנתה המאשימה:</w:t>
      </w:r>
    </w:p>
    <w:p w14:paraId="062DDB78" w14:textId="77777777" w:rsidR="004D37B1" w:rsidRDefault="0089490D" w:rsidP="004D37B1">
      <w:pPr>
        <w:spacing w:line="360" w:lineRule="auto"/>
        <w:ind w:left="720"/>
        <w:jc w:val="both"/>
        <w:rPr>
          <w:rFonts w:ascii="David" w:hAnsi="David"/>
          <w:rtl/>
        </w:rPr>
      </w:pPr>
      <w:hyperlink r:id="rId19" w:history="1">
        <w:r w:rsidRPr="0089490D">
          <w:rPr>
            <w:rFonts w:ascii="David" w:hAnsi="David"/>
            <w:color w:val="0000FF"/>
            <w:u w:val="single"/>
            <w:rtl/>
          </w:rPr>
          <w:t>ע"פ 1313/14</w:t>
        </w:r>
      </w:hyperlink>
      <w:r w:rsidR="004D37B1">
        <w:rPr>
          <w:rFonts w:ascii="David" w:hAnsi="David" w:hint="cs"/>
          <w:b/>
          <w:bCs/>
          <w:rtl/>
        </w:rPr>
        <w:t xml:space="preserve"> בהתימי נ' מדינת ישראל</w:t>
      </w:r>
      <w:r w:rsidR="004D37B1">
        <w:rPr>
          <w:rFonts w:ascii="David" w:hAnsi="David" w:hint="cs"/>
          <w:rtl/>
        </w:rPr>
        <w:t>, שם הורשע הנאשם בהחזקת 50 גרם קוקאין והוטלו עליו 42 חודשי מאסר בפועל. הערעור נדחה על ידי בית המשפט העליון. יצוין, כי מדובר בפסק דין שניתן בטרם כניסת תיקון 113 ב</w:t>
      </w:r>
      <w:hyperlink r:id="rId20" w:history="1">
        <w:r w:rsidRPr="0089490D">
          <w:rPr>
            <w:rFonts w:ascii="David" w:hAnsi="David"/>
            <w:color w:val="0000FF"/>
            <w:u w:val="single"/>
            <w:rtl/>
          </w:rPr>
          <w:t>חוק העונשין</w:t>
        </w:r>
      </w:hyperlink>
      <w:r w:rsidR="004D37B1">
        <w:rPr>
          <w:rFonts w:ascii="David" w:hAnsi="David" w:hint="cs"/>
          <w:rtl/>
        </w:rPr>
        <w:t xml:space="preserve"> לתוקפו.</w:t>
      </w:r>
    </w:p>
    <w:p w14:paraId="28494557" w14:textId="77777777" w:rsidR="004D37B1" w:rsidRDefault="0089490D" w:rsidP="004D37B1">
      <w:pPr>
        <w:spacing w:line="360" w:lineRule="auto"/>
        <w:ind w:left="720"/>
        <w:jc w:val="both"/>
        <w:rPr>
          <w:rFonts w:ascii="David" w:hAnsi="David"/>
          <w:rtl/>
        </w:rPr>
      </w:pPr>
      <w:hyperlink r:id="rId21" w:history="1">
        <w:r w:rsidRPr="0089490D">
          <w:rPr>
            <w:rFonts w:ascii="David" w:hAnsi="David"/>
            <w:color w:val="0000FF"/>
            <w:u w:val="single"/>
            <w:rtl/>
          </w:rPr>
          <w:t>ת"פ 6997-06-18</w:t>
        </w:r>
      </w:hyperlink>
      <w:r w:rsidR="004D37B1">
        <w:rPr>
          <w:rFonts w:ascii="David" w:hAnsi="David" w:hint="cs"/>
          <w:b/>
          <w:bCs/>
          <w:rtl/>
        </w:rPr>
        <w:t xml:space="preserve"> מדינת ישראל נ' מטר</w:t>
      </w:r>
      <w:r w:rsidR="004D37B1">
        <w:rPr>
          <w:rFonts w:ascii="David" w:hAnsi="David" w:hint="cs"/>
          <w:rtl/>
        </w:rPr>
        <w:t>, שם הורשע הנאשם בהחזקת 62.85 גרם קוקאין ו- 2.41 גרם הרואין. נקבע, כי מתחם הענישה הוא בין 3-5 שנות מאסר בפועל והוטלו על הנאשם 4 שנות מאסר בפועל.</w:t>
      </w:r>
    </w:p>
    <w:p w14:paraId="1DF5DDAB" w14:textId="77777777" w:rsidR="004D37B1" w:rsidRDefault="004D37B1" w:rsidP="004D37B1">
      <w:pPr>
        <w:spacing w:line="360" w:lineRule="auto"/>
        <w:ind w:left="720"/>
        <w:jc w:val="both"/>
        <w:rPr>
          <w:rFonts w:ascii="David" w:hAnsi="David"/>
          <w:rtl/>
        </w:rPr>
      </w:pPr>
      <w:r w:rsidRPr="00F06616">
        <w:rPr>
          <w:rFonts w:ascii="David" w:hAnsi="David" w:hint="cs"/>
          <w:rtl/>
        </w:rPr>
        <w:t xml:space="preserve">ת"פ </w:t>
      </w:r>
      <w:hyperlink r:id="rId22" w:history="1">
        <w:r w:rsidR="003F67FB" w:rsidRPr="003F67FB">
          <w:rPr>
            <w:rFonts w:ascii="David" w:hAnsi="David"/>
            <w:color w:val="0000FF"/>
            <w:u w:val="single"/>
            <w:rtl/>
          </w:rPr>
          <w:t xml:space="preserve">6277/14 </w:t>
        </w:r>
      </w:hyperlink>
      <w:r w:rsidRPr="00F06616">
        <w:rPr>
          <w:rFonts w:ascii="David" w:hAnsi="David" w:hint="cs"/>
          <w:rtl/>
        </w:rPr>
        <w:t xml:space="preserve"> </w:t>
      </w:r>
      <w:r>
        <w:rPr>
          <w:rFonts w:ascii="David" w:hAnsi="David" w:hint="cs"/>
          <w:b/>
          <w:bCs/>
          <w:rtl/>
        </w:rPr>
        <w:t>משלטי נ' מדינת ישראל</w:t>
      </w:r>
      <w:r>
        <w:rPr>
          <w:rFonts w:ascii="David" w:hAnsi="David" w:hint="cs"/>
          <w:rtl/>
        </w:rPr>
        <w:t>, שם הורשע הנאשם בהחזקת 51.36 גרם קוקאין, וכן לידוקאין במשקל 10.11 גרם. על הנאשם הוטלו 4 שנות מאסר ובנוסף, הופעל תנאי קודם בחפיפה חלקית.</w:t>
      </w:r>
    </w:p>
    <w:p w14:paraId="7C45B266" w14:textId="77777777" w:rsidR="004D37B1" w:rsidRDefault="0089490D" w:rsidP="004D37B1">
      <w:pPr>
        <w:spacing w:line="360" w:lineRule="auto"/>
        <w:ind w:left="720"/>
        <w:jc w:val="both"/>
        <w:rPr>
          <w:rFonts w:ascii="David" w:hAnsi="David"/>
          <w:rtl/>
        </w:rPr>
      </w:pPr>
      <w:hyperlink r:id="rId23" w:history="1">
        <w:r w:rsidRPr="0089490D">
          <w:rPr>
            <w:rFonts w:ascii="David" w:hAnsi="David"/>
            <w:color w:val="0000FF"/>
            <w:u w:val="single"/>
            <w:rtl/>
          </w:rPr>
          <w:t>ת"פ 47757-02-18</w:t>
        </w:r>
      </w:hyperlink>
      <w:r w:rsidR="004D37B1" w:rsidRPr="00F06616">
        <w:rPr>
          <w:rFonts w:ascii="David" w:hAnsi="David"/>
          <w:rtl/>
        </w:rPr>
        <w:t xml:space="preserve"> </w:t>
      </w:r>
      <w:r w:rsidR="004D37B1" w:rsidRPr="00C10980">
        <w:rPr>
          <w:rFonts w:ascii="David" w:hAnsi="David"/>
          <w:b/>
          <w:bCs/>
          <w:rtl/>
        </w:rPr>
        <w:t>מדינת ישראל נ' עמאש</w:t>
      </w:r>
      <w:r w:rsidR="004D37B1">
        <w:rPr>
          <w:rFonts w:ascii="David" w:hAnsi="David" w:hint="cs"/>
          <w:b/>
          <w:bCs/>
          <w:rtl/>
        </w:rPr>
        <w:t xml:space="preserve">, </w:t>
      </w:r>
      <w:r w:rsidR="004D37B1">
        <w:rPr>
          <w:rFonts w:ascii="David" w:hAnsi="David" w:hint="cs"/>
          <w:rtl/>
        </w:rPr>
        <w:t xml:space="preserve">שם </w:t>
      </w:r>
      <w:r w:rsidR="004D37B1" w:rsidRPr="00C10980">
        <w:rPr>
          <w:rFonts w:ascii="David" w:hAnsi="David"/>
          <w:rtl/>
        </w:rPr>
        <w:t xml:space="preserve">הורשע </w:t>
      </w:r>
      <w:r w:rsidR="004D37B1">
        <w:rPr>
          <w:rFonts w:ascii="David" w:hAnsi="David" w:hint="cs"/>
          <w:rtl/>
        </w:rPr>
        <w:t xml:space="preserve">הנאשם </w:t>
      </w:r>
      <w:r w:rsidR="004D37B1" w:rsidRPr="00C10980">
        <w:rPr>
          <w:rFonts w:ascii="David" w:hAnsi="David"/>
          <w:rtl/>
        </w:rPr>
        <w:t xml:space="preserve">בהחזקת </w:t>
      </w:r>
      <w:r w:rsidR="004D37B1">
        <w:rPr>
          <w:rFonts w:ascii="David" w:hAnsi="David" w:hint="cs"/>
          <w:rtl/>
        </w:rPr>
        <w:t xml:space="preserve">הרואין במשקל </w:t>
      </w:r>
      <w:r w:rsidR="004D37B1" w:rsidRPr="00C10980">
        <w:rPr>
          <w:rFonts w:ascii="David" w:hAnsi="David"/>
          <w:rtl/>
        </w:rPr>
        <w:t>כולל של 69 ג</w:t>
      </w:r>
      <w:r w:rsidR="004D37B1">
        <w:rPr>
          <w:rFonts w:ascii="David" w:hAnsi="David" w:hint="cs"/>
          <w:rtl/>
        </w:rPr>
        <w:t>רם וקוקאין במשקל של כ</w:t>
      </w:r>
      <w:r w:rsidR="004D37B1" w:rsidRPr="00C10980">
        <w:rPr>
          <w:rFonts w:ascii="David" w:hAnsi="David"/>
          <w:rtl/>
        </w:rPr>
        <w:t>-4 ג</w:t>
      </w:r>
      <w:r w:rsidR="004D37B1">
        <w:rPr>
          <w:rFonts w:ascii="David" w:hAnsi="David" w:hint="cs"/>
          <w:rtl/>
        </w:rPr>
        <w:t>רם. לנאשם הרשעות קודמות ב</w:t>
      </w:r>
      <w:r w:rsidR="004D37B1" w:rsidRPr="00C10980">
        <w:rPr>
          <w:rFonts w:ascii="David" w:hAnsi="David"/>
          <w:rtl/>
        </w:rPr>
        <w:t xml:space="preserve">עבירות רכוש ואלימות. נקבע שמתחם העונש ההולם הוא 3-5 שנות מאסר והושתו 40 חודשי מאסר בפועל. ערעור לבית המשפט העליון נמחק.  </w:t>
      </w:r>
    </w:p>
    <w:p w14:paraId="18D9E59F" w14:textId="77777777" w:rsidR="004D37B1" w:rsidRDefault="0089490D" w:rsidP="004D37B1">
      <w:pPr>
        <w:spacing w:line="360" w:lineRule="auto"/>
        <w:ind w:left="720"/>
        <w:jc w:val="both"/>
        <w:rPr>
          <w:rFonts w:ascii="David" w:hAnsi="David"/>
          <w:rtl/>
        </w:rPr>
      </w:pPr>
      <w:hyperlink r:id="rId24" w:history="1">
        <w:r w:rsidRPr="0089490D">
          <w:rPr>
            <w:rFonts w:ascii="David" w:hAnsi="David"/>
            <w:color w:val="0000FF"/>
            <w:u w:val="single"/>
            <w:rtl/>
          </w:rPr>
          <w:t>ע"פ 8820/14</w:t>
        </w:r>
      </w:hyperlink>
      <w:r w:rsidR="004D37B1" w:rsidRPr="00F06616">
        <w:rPr>
          <w:rFonts w:ascii="David" w:hAnsi="David"/>
          <w:rtl/>
        </w:rPr>
        <w:t xml:space="preserve"> </w:t>
      </w:r>
      <w:r w:rsidR="004D37B1" w:rsidRPr="00C10980">
        <w:rPr>
          <w:rFonts w:ascii="David" w:hAnsi="David"/>
          <w:b/>
          <w:bCs/>
          <w:rtl/>
        </w:rPr>
        <w:t>שחר נ' מדינת ישראל</w:t>
      </w:r>
      <w:r w:rsidR="004D37B1">
        <w:rPr>
          <w:rFonts w:ascii="David" w:hAnsi="David" w:hint="cs"/>
          <w:rtl/>
        </w:rPr>
        <w:t xml:space="preserve"> </w:t>
      </w:r>
      <w:r w:rsidR="004D37B1" w:rsidRPr="00C10980">
        <w:rPr>
          <w:rFonts w:ascii="David" w:hAnsi="David"/>
          <w:rtl/>
        </w:rPr>
        <w:t>נקבע מתחם של 3-5 שנות מאסר בגין החזקת 112 ג' קוקאין ו-4 ג' חשיש. הנאשם</w:t>
      </w:r>
      <w:r w:rsidR="004D37B1">
        <w:rPr>
          <w:rFonts w:ascii="David" w:hAnsi="David" w:hint="cs"/>
          <w:rtl/>
        </w:rPr>
        <w:t xml:space="preserve">, בעל </w:t>
      </w:r>
      <w:r w:rsidR="004D37B1" w:rsidRPr="00C10980">
        <w:rPr>
          <w:rFonts w:ascii="David" w:hAnsi="David"/>
          <w:rtl/>
        </w:rPr>
        <w:t>עבר פלילי ותסקיר חיובי</w:t>
      </w:r>
      <w:r w:rsidR="004D37B1">
        <w:rPr>
          <w:rFonts w:ascii="David" w:hAnsi="David" w:hint="cs"/>
          <w:rtl/>
        </w:rPr>
        <w:t xml:space="preserve"> </w:t>
      </w:r>
      <w:r w:rsidR="004D37B1" w:rsidRPr="00C10980">
        <w:rPr>
          <w:rFonts w:ascii="David" w:hAnsi="David"/>
          <w:rtl/>
        </w:rPr>
        <w:t>נדון ל-3 שנות מאסר</w:t>
      </w:r>
      <w:r w:rsidR="004D37B1">
        <w:rPr>
          <w:rFonts w:ascii="David" w:hAnsi="David" w:hint="cs"/>
          <w:rtl/>
        </w:rPr>
        <w:t>. ערעור הנאשם לבית המשפט העליון, נדחה.</w:t>
      </w:r>
    </w:p>
    <w:p w14:paraId="7A4AD442" w14:textId="77777777" w:rsidR="004D37B1" w:rsidRDefault="004D37B1" w:rsidP="004D37B1">
      <w:pPr>
        <w:spacing w:line="360" w:lineRule="auto"/>
        <w:jc w:val="both"/>
        <w:rPr>
          <w:rFonts w:ascii="David" w:hAnsi="David"/>
          <w:rtl/>
        </w:rPr>
      </w:pPr>
    </w:p>
    <w:p w14:paraId="23BDDD77" w14:textId="77777777" w:rsidR="004D37B1" w:rsidRDefault="004D37B1" w:rsidP="004D37B1">
      <w:pPr>
        <w:spacing w:line="360" w:lineRule="auto"/>
        <w:ind w:firstLine="720"/>
        <w:jc w:val="both"/>
        <w:rPr>
          <w:rFonts w:ascii="David" w:hAnsi="David"/>
          <w:rtl/>
        </w:rPr>
      </w:pPr>
      <w:r>
        <w:rPr>
          <w:rFonts w:ascii="David" w:hAnsi="David" w:hint="cs"/>
          <w:rtl/>
        </w:rPr>
        <w:t>עיינתי באסמכתאות אליהן הפנתה ההגנה:</w:t>
      </w:r>
    </w:p>
    <w:p w14:paraId="45E5F0E0" w14:textId="77777777" w:rsidR="004D37B1" w:rsidRDefault="0089490D" w:rsidP="004D37B1">
      <w:pPr>
        <w:spacing w:line="360" w:lineRule="auto"/>
        <w:ind w:left="720"/>
        <w:jc w:val="both"/>
        <w:rPr>
          <w:rFonts w:ascii="David" w:hAnsi="David"/>
          <w:rtl/>
        </w:rPr>
      </w:pPr>
      <w:hyperlink r:id="rId25" w:history="1">
        <w:r w:rsidRPr="0089490D">
          <w:rPr>
            <w:rFonts w:ascii="David" w:hAnsi="David"/>
            <w:color w:val="0000FF"/>
            <w:u w:val="single"/>
            <w:rtl/>
          </w:rPr>
          <w:t>רע"פ 1807/22</w:t>
        </w:r>
      </w:hyperlink>
      <w:r w:rsidR="004D37B1" w:rsidRPr="008661DA">
        <w:rPr>
          <w:rFonts w:ascii="David" w:hAnsi="David" w:hint="cs"/>
          <w:rtl/>
        </w:rPr>
        <w:t xml:space="preserve"> </w:t>
      </w:r>
      <w:r w:rsidR="004D37B1" w:rsidRPr="005C7635">
        <w:rPr>
          <w:rFonts w:ascii="David" w:hAnsi="David" w:hint="cs"/>
          <w:b/>
          <w:bCs/>
          <w:rtl/>
        </w:rPr>
        <w:t>פלוני נ' מדינת ישראל</w:t>
      </w:r>
      <w:r w:rsidR="004D37B1" w:rsidRPr="005C7635">
        <w:rPr>
          <w:rFonts w:ascii="David" w:hAnsi="David" w:hint="cs"/>
          <w:rtl/>
        </w:rPr>
        <w:t xml:space="preserve">, שם הורשע הנאשם בהחזקת 49.3 גרם קוקאין ובעבירות תנועה והוטלו עליו הנאשם 18 חודשי מאסר בפועל. </w:t>
      </w:r>
    </w:p>
    <w:p w14:paraId="2156A8A1" w14:textId="77777777" w:rsidR="004D37B1" w:rsidRDefault="004D37B1" w:rsidP="004D37B1">
      <w:pPr>
        <w:spacing w:line="360" w:lineRule="auto"/>
        <w:ind w:left="720"/>
        <w:jc w:val="both"/>
        <w:rPr>
          <w:rFonts w:ascii="David" w:hAnsi="David"/>
          <w:rtl/>
        </w:rPr>
      </w:pPr>
      <w:r>
        <w:rPr>
          <w:rFonts w:ascii="David" w:hAnsi="David" w:hint="cs"/>
          <w:rtl/>
        </w:rPr>
        <w:t xml:space="preserve">במקרה זה נקבע בבית משפט השלום מתחם ענישה של 15-30 חודשי מאסר והוטלו על הנאשם 9 חודשי מאסר בעבודות שירות משיקולי שיקומו. ערעור המדינה לבית המשפט המחוזי התקבל, ועונשו של הנאשם הוכפל ל- 18 חודשי מאסר בפועל תוך ציון, כי ערכאת הערעור אינה ממצה את הדין. בית המשפט העליון דחה את בקשת הנאשם וקבע כי במכלול נסיבות העניין אין להתערב בעונש לקולא. </w:t>
      </w:r>
    </w:p>
    <w:p w14:paraId="148FE782" w14:textId="77777777" w:rsidR="004D37B1" w:rsidRDefault="004D37B1" w:rsidP="004D37B1">
      <w:pPr>
        <w:spacing w:line="360" w:lineRule="auto"/>
        <w:ind w:left="720"/>
        <w:jc w:val="both"/>
        <w:rPr>
          <w:rFonts w:ascii="David" w:hAnsi="David"/>
          <w:rtl/>
        </w:rPr>
      </w:pPr>
      <w:r>
        <w:rPr>
          <w:rFonts w:ascii="David" w:hAnsi="David" w:hint="cs"/>
          <w:rtl/>
        </w:rPr>
        <w:t>בנסיבות אלה לא מצאתי, כי לאסמכתא זו ערך מנחה רב לקולא.</w:t>
      </w:r>
    </w:p>
    <w:p w14:paraId="6FB1107C" w14:textId="77777777" w:rsidR="004D37B1" w:rsidRDefault="0089490D" w:rsidP="004D37B1">
      <w:pPr>
        <w:spacing w:line="360" w:lineRule="auto"/>
        <w:ind w:left="720"/>
        <w:jc w:val="both"/>
        <w:rPr>
          <w:rFonts w:ascii="David" w:hAnsi="David"/>
          <w:rtl/>
        </w:rPr>
      </w:pPr>
      <w:hyperlink r:id="rId26" w:history="1">
        <w:r w:rsidRPr="0089490D">
          <w:rPr>
            <w:rFonts w:ascii="David" w:hAnsi="David"/>
            <w:color w:val="0000FF"/>
            <w:u w:val="single"/>
            <w:rtl/>
          </w:rPr>
          <w:t>ע"פ 971/21</w:t>
        </w:r>
      </w:hyperlink>
      <w:r w:rsidR="004D37B1" w:rsidRPr="006B4B0D">
        <w:rPr>
          <w:rFonts w:ascii="David" w:hAnsi="David" w:hint="cs"/>
          <w:rtl/>
        </w:rPr>
        <w:t xml:space="preserve"> </w:t>
      </w:r>
      <w:r w:rsidR="004D37B1" w:rsidRPr="005C7635">
        <w:rPr>
          <w:rFonts w:ascii="David" w:hAnsi="David" w:hint="cs"/>
          <w:b/>
          <w:bCs/>
          <w:rtl/>
        </w:rPr>
        <w:t>אמאצי נ' מדינת ישראל</w:t>
      </w:r>
      <w:r w:rsidR="004D37B1" w:rsidRPr="005C7635">
        <w:rPr>
          <w:rFonts w:ascii="David" w:hAnsi="David" w:hint="cs"/>
          <w:rtl/>
        </w:rPr>
        <w:t xml:space="preserve"> שם </w:t>
      </w:r>
      <w:r w:rsidR="004D37B1">
        <w:rPr>
          <w:rFonts w:ascii="David" w:hAnsi="David" w:hint="cs"/>
          <w:rtl/>
        </w:rPr>
        <w:t xml:space="preserve">נדחה ערעור הנאשם על חומרת עונשו. הנאשם </w:t>
      </w:r>
      <w:r w:rsidR="004D37B1" w:rsidRPr="005C7635">
        <w:rPr>
          <w:rFonts w:ascii="David" w:hAnsi="David" w:hint="cs"/>
          <w:rtl/>
        </w:rPr>
        <w:t xml:space="preserve">הורשע הנאשם בהחזקת 43 יחידות </w:t>
      </w:r>
      <w:r w:rsidR="004D37B1">
        <w:rPr>
          <w:rFonts w:ascii="David" w:hAnsi="David" w:hint="cs"/>
          <w:rtl/>
        </w:rPr>
        <w:t xml:space="preserve">קוקאין </w:t>
      </w:r>
      <w:r w:rsidR="004D37B1" w:rsidRPr="005C7635">
        <w:rPr>
          <w:rFonts w:ascii="David" w:hAnsi="David" w:hint="cs"/>
          <w:rtl/>
        </w:rPr>
        <w:t>במשקל של</w:t>
      </w:r>
      <w:r w:rsidR="004D37B1">
        <w:rPr>
          <w:rFonts w:ascii="David" w:hAnsi="David" w:hint="cs"/>
          <w:rtl/>
        </w:rPr>
        <w:t xml:space="preserve"> כ-</w:t>
      </w:r>
      <w:r w:rsidR="004D37B1" w:rsidRPr="005C7635">
        <w:rPr>
          <w:rFonts w:ascii="David" w:hAnsi="David" w:hint="cs"/>
          <w:rtl/>
        </w:rPr>
        <w:t xml:space="preserve"> 678 גרם</w:t>
      </w:r>
      <w:r w:rsidR="004D37B1">
        <w:rPr>
          <w:rFonts w:ascii="David" w:hAnsi="David" w:hint="cs"/>
          <w:rtl/>
        </w:rPr>
        <w:t xml:space="preserve">. נקבע מתחם ענישה של 24-60 חודשי מאסר ועל הנאשם הוטלו </w:t>
      </w:r>
      <w:r w:rsidR="004D37B1" w:rsidRPr="005C7635">
        <w:rPr>
          <w:rFonts w:ascii="David" w:hAnsi="David" w:hint="cs"/>
          <w:rtl/>
        </w:rPr>
        <w:t>30 חודשי מאסר</w:t>
      </w:r>
      <w:r w:rsidR="004D37B1">
        <w:rPr>
          <w:rFonts w:ascii="David" w:hAnsi="David" w:hint="cs"/>
          <w:rtl/>
        </w:rPr>
        <w:t xml:space="preserve"> ועונשים נלווים. </w:t>
      </w:r>
    </w:p>
    <w:p w14:paraId="76D24FF7" w14:textId="77777777" w:rsidR="004D37B1" w:rsidRPr="00C10980" w:rsidRDefault="004D37B1" w:rsidP="004D37B1">
      <w:pPr>
        <w:spacing w:line="360" w:lineRule="auto"/>
        <w:ind w:left="720"/>
        <w:jc w:val="both"/>
        <w:rPr>
          <w:rFonts w:ascii="David" w:hAnsi="David"/>
          <w:rtl/>
        </w:rPr>
      </w:pPr>
      <w:r>
        <w:rPr>
          <w:rFonts w:ascii="David" w:hAnsi="David" w:hint="cs"/>
          <w:rtl/>
        </w:rPr>
        <w:t xml:space="preserve">עיון בפסק הדין מלמד, כי </w:t>
      </w:r>
      <w:r w:rsidRPr="005C7635">
        <w:rPr>
          <w:rFonts w:ascii="David" w:hAnsi="David" w:hint="cs"/>
          <w:rtl/>
        </w:rPr>
        <w:t xml:space="preserve">בקביעת </w:t>
      </w:r>
      <w:r>
        <w:rPr>
          <w:rFonts w:ascii="David" w:hAnsi="David" w:hint="cs"/>
          <w:rtl/>
        </w:rPr>
        <w:t xml:space="preserve">העונש התחשב בית המשפט בגילו המבוגר של הנאשם, עברו הנקי, נסיבות אישיות חריגות והמלצה חיובית של שירות המבחן וכן שיקולי שיקום שנקבע כי אינן מצדיקות סטייה מהמתחם אלא התחשבות בגדרו. בית המשפט העליון דחה את הערעור וקבע כי העונש מתאים וכי אין מקום להתערבות נוספת לקולא. </w:t>
      </w:r>
    </w:p>
    <w:p w14:paraId="7D52BEB9" w14:textId="77777777" w:rsidR="004D37B1" w:rsidRPr="007677B4" w:rsidRDefault="004D37B1" w:rsidP="004D37B1">
      <w:pPr>
        <w:spacing w:line="360" w:lineRule="auto"/>
        <w:jc w:val="both"/>
        <w:rPr>
          <w:rFonts w:ascii="David" w:hAnsi="David"/>
          <w:rtl/>
        </w:rPr>
      </w:pPr>
    </w:p>
    <w:p w14:paraId="6A6BB31E" w14:textId="77777777" w:rsidR="004D37B1" w:rsidRDefault="0089490D" w:rsidP="004D37B1">
      <w:pPr>
        <w:spacing w:line="360" w:lineRule="auto"/>
        <w:ind w:left="720"/>
        <w:jc w:val="both"/>
        <w:rPr>
          <w:rFonts w:ascii="David" w:hAnsi="David"/>
          <w:rtl/>
        </w:rPr>
      </w:pPr>
      <w:hyperlink r:id="rId27" w:history="1">
        <w:r w:rsidRPr="0089490D">
          <w:rPr>
            <w:rFonts w:ascii="David" w:hAnsi="David"/>
            <w:color w:val="0000FF"/>
            <w:u w:val="single"/>
            <w:rtl/>
          </w:rPr>
          <w:t>ע"פ 8048/19</w:t>
        </w:r>
      </w:hyperlink>
      <w:r w:rsidR="004D37B1" w:rsidRPr="000B4410">
        <w:rPr>
          <w:rFonts w:ascii="David" w:hAnsi="David" w:hint="cs"/>
          <w:rtl/>
        </w:rPr>
        <w:t xml:space="preserve"> </w:t>
      </w:r>
      <w:r w:rsidR="004D37B1">
        <w:rPr>
          <w:rFonts w:ascii="David" w:hAnsi="David" w:hint="cs"/>
          <w:b/>
          <w:bCs/>
          <w:rtl/>
        </w:rPr>
        <w:t xml:space="preserve">פיצ'חדזה נ' מדינת ישראל </w:t>
      </w:r>
      <w:r w:rsidR="004D37B1">
        <w:rPr>
          <w:rFonts w:ascii="David" w:hAnsi="David" w:hint="cs"/>
          <w:rtl/>
        </w:rPr>
        <w:t>שם נדחה ערעור הנאשם על חומרת העונש. על הנאשם הוטלו 18 חודשי מאסר בפועל בגין החזקת 55 גרם קוקאין, מחולקים ל-38 מנות, בביתו. הוטלו בנוסף קנס בסך 10,000 ₪, מאסר על תנאי והתחייבות בסך 20,000.</w:t>
      </w:r>
    </w:p>
    <w:p w14:paraId="40C3861A" w14:textId="77777777" w:rsidR="004D37B1" w:rsidRDefault="004D37B1" w:rsidP="004D37B1">
      <w:pPr>
        <w:spacing w:line="360" w:lineRule="auto"/>
        <w:ind w:left="720"/>
        <w:jc w:val="both"/>
        <w:rPr>
          <w:rFonts w:ascii="David" w:hAnsi="David"/>
          <w:rtl/>
        </w:rPr>
      </w:pPr>
      <w:r>
        <w:rPr>
          <w:rFonts w:ascii="David" w:hAnsi="David" w:hint="cs"/>
          <w:rtl/>
        </w:rPr>
        <w:t>עיון בפסק הדין מלמד, כי בבית המשפט המחוזי נקבע מתחם ענישה של 24-42 חודשי מאסר, ועונשים נלווים ובית המשפט גזר את עונשו תוך חריגה לקולא מהמתחם משיקולי שיקומו. בית המשפט העליון קבע, כי אין מקום להקלה נוספת.</w:t>
      </w:r>
    </w:p>
    <w:p w14:paraId="27FC651E" w14:textId="77777777" w:rsidR="004D37B1" w:rsidRDefault="004D37B1" w:rsidP="004D37B1">
      <w:pPr>
        <w:spacing w:line="360" w:lineRule="auto"/>
        <w:jc w:val="both"/>
        <w:rPr>
          <w:rFonts w:ascii="David" w:hAnsi="David"/>
          <w:rtl/>
        </w:rPr>
      </w:pPr>
    </w:p>
    <w:p w14:paraId="18C0094A" w14:textId="77777777" w:rsidR="004D37B1" w:rsidRDefault="004D37B1" w:rsidP="004D37B1">
      <w:pPr>
        <w:spacing w:line="360" w:lineRule="auto"/>
        <w:ind w:left="720"/>
        <w:jc w:val="both"/>
        <w:rPr>
          <w:rFonts w:ascii="David" w:hAnsi="David"/>
          <w:rtl/>
        </w:rPr>
      </w:pPr>
      <w:r>
        <w:rPr>
          <w:rFonts w:ascii="David" w:hAnsi="David" w:hint="cs"/>
          <w:rtl/>
        </w:rPr>
        <w:t xml:space="preserve">ראו גם </w:t>
      </w:r>
      <w:hyperlink r:id="rId28" w:history="1">
        <w:r w:rsidR="0089490D" w:rsidRPr="0089490D">
          <w:rPr>
            <w:rFonts w:ascii="David" w:hAnsi="David"/>
            <w:color w:val="0000FF"/>
            <w:u w:val="single"/>
            <w:rtl/>
          </w:rPr>
          <w:t>עפ"ג (ב"ש) 37749-10-22</w:t>
        </w:r>
      </w:hyperlink>
      <w:r>
        <w:rPr>
          <w:rFonts w:ascii="David" w:hAnsi="David" w:hint="cs"/>
          <w:rtl/>
        </w:rPr>
        <w:t xml:space="preserve"> </w:t>
      </w:r>
      <w:r>
        <w:rPr>
          <w:rFonts w:ascii="David" w:hAnsi="David" w:hint="cs"/>
          <w:b/>
          <w:bCs/>
          <w:rtl/>
        </w:rPr>
        <w:t xml:space="preserve">אסמעאיל נ' מדינת ישראל </w:t>
      </w:r>
      <w:r>
        <w:rPr>
          <w:rFonts w:ascii="David" w:hAnsi="David"/>
          <w:rtl/>
        </w:rPr>
        <w:t>–</w:t>
      </w:r>
      <w:r>
        <w:rPr>
          <w:rFonts w:ascii="David" w:hAnsi="David" w:hint="cs"/>
          <w:rtl/>
        </w:rPr>
        <w:t xml:space="preserve"> בית המשפט המחוזי בבאר-שבע דחה ערעור על פסק דינו של מותב זה, אשר הטיל על הנאשם 15 חודשי מאסר בפועל ועונשים נלווים בגין הרשעתו בהחזקת 18 גרם קוקאין שלא לצריכה עצמית ו-5 גרם לצריכה עצמית וכן שידול להשמדת ראיה. נקבע מתחם של 18-33 והעונש הוטל מתוך התחשבות בשיקולי שיקומו. בית המשפט המחוזי העיר, כי מתחם העונש שנקבע מקל וכי גזר הדין שניתן מקל עם הנאשם.</w:t>
      </w:r>
    </w:p>
    <w:p w14:paraId="1A312A1C" w14:textId="77777777" w:rsidR="004D37B1" w:rsidRPr="009B1238" w:rsidRDefault="004D37B1" w:rsidP="004D37B1">
      <w:pPr>
        <w:spacing w:line="360" w:lineRule="auto"/>
        <w:ind w:left="720"/>
        <w:jc w:val="both"/>
        <w:rPr>
          <w:rFonts w:ascii="David" w:hAnsi="David"/>
          <w:rtl/>
        </w:rPr>
      </w:pPr>
      <w:r>
        <w:rPr>
          <w:rFonts w:ascii="David" w:hAnsi="David" w:hint="cs"/>
          <w:rtl/>
        </w:rPr>
        <w:t xml:space="preserve"> </w:t>
      </w:r>
    </w:p>
    <w:p w14:paraId="6B293FEC" w14:textId="77777777" w:rsidR="004D37B1" w:rsidRDefault="004D37B1" w:rsidP="004D37B1">
      <w:pPr>
        <w:spacing w:line="360" w:lineRule="auto"/>
        <w:ind w:left="720"/>
        <w:jc w:val="both"/>
        <w:rPr>
          <w:rFonts w:ascii="David" w:hAnsi="David"/>
          <w:rtl/>
        </w:rPr>
      </w:pPr>
      <w:r>
        <w:rPr>
          <w:rFonts w:ascii="David" w:hAnsi="David" w:hint="cs"/>
          <w:rtl/>
        </w:rPr>
        <w:t>בהינתן כל המפורט לעיל נראה, כי עתירתה העונשית של המאשימה מתאימה יותר לעבירה מושלמת וכי עתירתה העונשית של ההגנה אינה מתיישבת עם הפסיקה הנוהגת. במכלול הנסיבות יש לקבוע כי מתחם העונש ההולם במקרה זה הוא 30-60 חודשי מאסר בפועל, וענישה נלווית.</w:t>
      </w:r>
    </w:p>
    <w:p w14:paraId="28863314" w14:textId="77777777" w:rsidR="004D37B1" w:rsidRPr="007537C8" w:rsidRDefault="004D37B1" w:rsidP="004D37B1">
      <w:pPr>
        <w:spacing w:line="360" w:lineRule="auto"/>
        <w:jc w:val="both"/>
        <w:rPr>
          <w:rFonts w:ascii="David" w:hAnsi="David"/>
          <w:rtl/>
        </w:rPr>
      </w:pPr>
    </w:p>
    <w:p w14:paraId="3F6240EF" w14:textId="77777777" w:rsidR="004D37B1" w:rsidRPr="000F63D4" w:rsidRDefault="004D37B1" w:rsidP="004D37B1">
      <w:pPr>
        <w:spacing w:line="360" w:lineRule="auto"/>
        <w:jc w:val="both"/>
        <w:rPr>
          <w:rFonts w:ascii="David" w:hAnsi="David"/>
          <w:u w:val="single"/>
          <w:rtl/>
        </w:rPr>
      </w:pPr>
      <w:r w:rsidRPr="000F63D4">
        <w:rPr>
          <w:rFonts w:ascii="David" w:hAnsi="David" w:hint="cs"/>
          <w:b/>
          <w:bCs/>
          <w:u w:val="single"/>
          <w:rtl/>
        </w:rPr>
        <w:t>קביעת העונש המתאים בגדרי המתחם</w:t>
      </w:r>
    </w:p>
    <w:p w14:paraId="3761F348" w14:textId="77777777" w:rsidR="004D37B1" w:rsidRPr="00BD7757" w:rsidRDefault="004D37B1" w:rsidP="004D37B1">
      <w:pPr>
        <w:pStyle w:val="a9"/>
        <w:numPr>
          <w:ilvl w:val="0"/>
          <w:numId w:val="3"/>
        </w:numPr>
        <w:spacing w:line="360" w:lineRule="auto"/>
        <w:jc w:val="both"/>
        <w:rPr>
          <w:rFonts w:ascii="David" w:hAnsi="David" w:cs="David"/>
          <w:sz w:val="24"/>
          <w:szCs w:val="24"/>
          <w:rtl/>
        </w:rPr>
      </w:pPr>
      <w:r w:rsidRPr="00BD7757">
        <w:rPr>
          <w:rFonts w:ascii="David" w:hAnsi="David" w:cs="David"/>
          <w:sz w:val="24"/>
          <w:szCs w:val="24"/>
          <w:rtl/>
        </w:rPr>
        <w:t>בגזירת העונש המתאים לנאשם, בגדרי מתחם העונש ההולם, י</w:t>
      </w:r>
      <w:r w:rsidRPr="00BD7757">
        <w:rPr>
          <w:rFonts w:ascii="David" w:hAnsi="David" w:cs="David" w:hint="cs"/>
          <w:sz w:val="24"/>
          <w:szCs w:val="24"/>
          <w:rtl/>
        </w:rPr>
        <w:t xml:space="preserve">תחשב בית המשפט בשיקולים כלליים ובשיקולים פרטניים, שאינם קשורים בנסיבות ביצוע העבירה. </w:t>
      </w:r>
    </w:p>
    <w:p w14:paraId="43BEDE8F" w14:textId="77777777" w:rsidR="004D37B1" w:rsidRDefault="004D37B1" w:rsidP="004D37B1">
      <w:pPr>
        <w:spacing w:line="360" w:lineRule="auto"/>
        <w:ind w:firstLine="720"/>
        <w:jc w:val="both"/>
        <w:rPr>
          <w:rFonts w:ascii="David" w:hAnsi="David"/>
          <w:rtl/>
        </w:rPr>
      </w:pPr>
      <w:r>
        <w:rPr>
          <w:rFonts w:ascii="David" w:hAnsi="David" w:hint="cs"/>
          <w:rtl/>
        </w:rPr>
        <w:t>לקחתי בחשבון את גילו הצעיר של הנאשם, בן 26 שנים בלבד.</w:t>
      </w:r>
    </w:p>
    <w:p w14:paraId="0C6CDFC8" w14:textId="77777777" w:rsidR="004D37B1" w:rsidRDefault="004D37B1" w:rsidP="004D37B1">
      <w:pPr>
        <w:spacing w:line="360" w:lineRule="auto"/>
        <w:ind w:left="720"/>
        <w:jc w:val="both"/>
        <w:rPr>
          <w:rFonts w:ascii="David" w:hAnsi="David"/>
        </w:rPr>
      </w:pPr>
      <w:r>
        <w:rPr>
          <w:rFonts w:ascii="David" w:hAnsi="David" w:hint="cs"/>
          <w:rtl/>
        </w:rPr>
        <w:t>עם זאת, עבר פלילי בעבירות שונות, לרבות עבירת אלימות בגינה הוטל עליו מאסר. הרשעות אלה מלמדות כי לא מדובר במעידה חד פעמית של הנאשם בהתנהגות עוברת חוק ודומה, כי הליכים קודמים בעניינו לא הרתיעו את הנאשם ממעורבות עבריינית חוזרת.  עם זאת, בכל הקשור לעבירות סם, לנאשם הרשעה בודדת בעבירה להחזקה עצמית בלבד.</w:t>
      </w:r>
    </w:p>
    <w:p w14:paraId="47D1A83D" w14:textId="77777777" w:rsidR="004D37B1" w:rsidRDefault="004D37B1" w:rsidP="004D37B1">
      <w:pPr>
        <w:spacing w:line="360" w:lineRule="auto"/>
        <w:ind w:left="720"/>
        <w:jc w:val="both"/>
        <w:rPr>
          <w:rFonts w:ascii="David" w:hAnsi="David"/>
          <w:rtl/>
        </w:rPr>
      </w:pPr>
      <w:r>
        <w:rPr>
          <w:rFonts w:ascii="David" w:hAnsi="David" w:hint="cs"/>
          <w:rtl/>
        </w:rPr>
        <w:t xml:space="preserve">לקחתי בחשבון את הודאת הנאשם בכתב האישום המתוקן ואת נטילת האחריות וכן את החיסכון המסוים בזמן השיפוטי, שכן הנאשם ביקש לחזור בו מכפירתו לאחר דיון הוכחות ושמיעת פרשת תביעה. </w:t>
      </w:r>
    </w:p>
    <w:p w14:paraId="513008EC" w14:textId="77777777" w:rsidR="004D37B1" w:rsidRDefault="004D37B1" w:rsidP="004D37B1">
      <w:pPr>
        <w:spacing w:line="360" w:lineRule="auto"/>
        <w:ind w:firstLine="720"/>
        <w:jc w:val="both"/>
        <w:rPr>
          <w:rFonts w:ascii="David" w:hAnsi="David"/>
          <w:rtl/>
        </w:rPr>
      </w:pPr>
      <w:r>
        <w:rPr>
          <w:rFonts w:ascii="David" w:hAnsi="David" w:hint="cs"/>
          <w:rtl/>
        </w:rPr>
        <w:t>לקחתי בחשבון את תקופת מעצרו של הנאשם בתיק זה.</w:t>
      </w:r>
    </w:p>
    <w:p w14:paraId="3AD31AA1" w14:textId="77777777" w:rsidR="004D37B1" w:rsidRDefault="004D37B1" w:rsidP="004D37B1">
      <w:pPr>
        <w:spacing w:line="360" w:lineRule="auto"/>
        <w:ind w:firstLine="720"/>
        <w:jc w:val="both"/>
        <w:rPr>
          <w:rFonts w:ascii="David" w:hAnsi="David"/>
          <w:rtl/>
        </w:rPr>
      </w:pPr>
    </w:p>
    <w:p w14:paraId="4FB1649C" w14:textId="77777777" w:rsidR="004D37B1" w:rsidRDefault="004D37B1" w:rsidP="004D37B1">
      <w:pPr>
        <w:spacing w:line="360" w:lineRule="auto"/>
        <w:ind w:left="720"/>
        <w:jc w:val="both"/>
        <w:rPr>
          <w:rFonts w:ascii="David" w:hAnsi="David"/>
          <w:rtl/>
        </w:rPr>
      </w:pPr>
      <w:r>
        <w:rPr>
          <w:rFonts w:ascii="David" w:hAnsi="David" w:hint="cs"/>
          <w:rtl/>
        </w:rPr>
        <w:t xml:space="preserve">לקחתי בחשבון את שיקולי הרתעת הרבים, בעבירה זו שרווחיה קלים וסיכויי חשיפתה נמוכים. כדברי בית המשפט העליון </w:t>
      </w:r>
      <w:r w:rsidRPr="005C7635">
        <w:rPr>
          <w:rFonts w:ascii="David" w:hAnsi="David" w:hint="cs"/>
          <w:rtl/>
        </w:rPr>
        <w:t>ב</w:t>
      </w:r>
      <w:hyperlink r:id="rId29" w:history="1">
        <w:r w:rsidR="0089490D" w:rsidRPr="0089490D">
          <w:rPr>
            <w:rFonts w:ascii="David" w:hAnsi="David"/>
            <w:color w:val="0000FF"/>
            <w:u w:val="single"/>
            <w:rtl/>
          </w:rPr>
          <w:t>ע"פ 972/11</w:t>
        </w:r>
      </w:hyperlink>
      <w:r w:rsidRPr="00BD7757">
        <w:rPr>
          <w:rFonts w:ascii="David" w:hAnsi="David" w:hint="cs"/>
          <w:rtl/>
        </w:rPr>
        <w:t xml:space="preserve"> </w:t>
      </w:r>
      <w:r w:rsidRPr="005C7635">
        <w:rPr>
          <w:rFonts w:ascii="David" w:hAnsi="David" w:hint="cs"/>
          <w:b/>
          <w:bCs/>
          <w:rtl/>
        </w:rPr>
        <w:t>מדינת ישראל נ' יונה:</w:t>
      </w:r>
    </w:p>
    <w:p w14:paraId="636D9182" w14:textId="77777777" w:rsidR="004D37B1" w:rsidRPr="00BD7757" w:rsidRDefault="004D37B1" w:rsidP="004D37B1">
      <w:pPr>
        <w:spacing w:line="360" w:lineRule="auto"/>
        <w:ind w:left="720"/>
        <w:jc w:val="both"/>
        <w:rPr>
          <w:rFonts w:ascii="David" w:hAnsi="David"/>
          <w:rtl/>
        </w:rPr>
      </w:pPr>
    </w:p>
    <w:p w14:paraId="7D740416" w14:textId="77777777" w:rsidR="004D37B1" w:rsidRDefault="004D37B1" w:rsidP="004D37B1">
      <w:pPr>
        <w:spacing w:line="360" w:lineRule="auto"/>
        <w:ind w:left="1218" w:right="851"/>
        <w:jc w:val="both"/>
        <w:rPr>
          <w:rFonts w:ascii="David" w:hAnsi="David"/>
          <w:b/>
          <w:bCs/>
          <w:rtl/>
        </w:rPr>
      </w:pPr>
      <w:r w:rsidRPr="005C7635">
        <w:rPr>
          <w:rFonts w:ascii="David" w:hAnsi="David"/>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sidRPr="005C7635">
        <w:rPr>
          <w:rFonts w:ascii="David" w:hAnsi="David" w:hint="cs"/>
          <w:b/>
          <w:bCs/>
          <w:rtl/>
        </w:rPr>
        <w:t>.</w:t>
      </w:r>
    </w:p>
    <w:p w14:paraId="66CDB45B" w14:textId="77777777" w:rsidR="004D37B1" w:rsidRPr="005C7635" w:rsidRDefault="004D37B1" w:rsidP="004D37B1">
      <w:pPr>
        <w:spacing w:line="360" w:lineRule="auto"/>
        <w:ind w:left="793" w:right="1418"/>
        <w:jc w:val="both"/>
        <w:rPr>
          <w:rFonts w:ascii="David" w:hAnsi="David"/>
          <w:b/>
          <w:bCs/>
          <w:rtl/>
        </w:rPr>
      </w:pPr>
    </w:p>
    <w:p w14:paraId="7C8CE457" w14:textId="77777777" w:rsidR="004D37B1" w:rsidRDefault="004D37B1" w:rsidP="004D37B1">
      <w:pPr>
        <w:spacing w:line="360" w:lineRule="auto"/>
        <w:jc w:val="both"/>
        <w:rPr>
          <w:rFonts w:ascii="David" w:hAnsi="David"/>
          <w:b/>
          <w:bCs/>
          <w:u w:val="single"/>
          <w:rtl/>
        </w:rPr>
      </w:pPr>
      <w:r w:rsidRPr="00843448">
        <w:rPr>
          <w:rFonts w:ascii="David" w:hAnsi="David"/>
          <w:b/>
          <w:bCs/>
          <w:u w:val="single"/>
          <w:rtl/>
        </w:rPr>
        <w:t>סוף דבר:</w:t>
      </w:r>
    </w:p>
    <w:p w14:paraId="4420E347" w14:textId="77777777" w:rsidR="004D37B1" w:rsidRPr="00843448" w:rsidRDefault="004D37B1" w:rsidP="004D37B1">
      <w:pPr>
        <w:spacing w:line="360" w:lineRule="auto"/>
        <w:jc w:val="both"/>
        <w:rPr>
          <w:rFonts w:ascii="David" w:hAnsi="David"/>
          <w:b/>
          <w:bCs/>
          <w:u w:val="single"/>
        </w:rPr>
      </w:pPr>
    </w:p>
    <w:p w14:paraId="3CBBF66E" w14:textId="77777777" w:rsidR="004D37B1" w:rsidRPr="00BD7757" w:rsidRDefault="004D37B1" w:rsidP="004D37B1">
      <w:pPr>
        <w:pStyle w:val="a9"/>
        <w:numPr>
          <w:ilvl w:val="0"/>
          <w:numId w:val="3"/>
        </w:numPr>
        <w:spacing w:line="360" w:lineRule="auto"/>
        <w:jc w:val="both"/>
        <w:rPr>
          <w:rFonts w:ascii="David" w:hAnsi="David" w:cs="David"/>
          <w:sz w:val="24"/>
          <w:szCs w:val="24"/>
          <w:rtl/>
        </w:rPr>
      </w:pPr>
      <w:r w:rsidRPr="00BD7757">
        <w:rPr>
          <w:rFonts w:ascii="David" w:hAnsi="David" w:cs="David" w:hint="cs"/>
          <w:sz w:val="24"/>
          <w:szCs w:val="24"/>
          <w:rtl/>
        </w:rPr>
        <w:t xml:space="preserve">לאחר ששקלתי את מכלול השיקולים כמפורט לעיל </w:t>
      </w:r>
      <w:r>
        <w:rPr>
          <w:rFonts w:ascii="David" w:hAnsi="David" w:cs="David" w:hint="cs"/>
          <w:sz w:val="24"/>
          <w:szCs w:val="24"/>
          <w:rtl/>
        </w:rPr>
        <w:t>מצאתי כי יש להטיל על הנאשם עונש תחתית השליש האמצעי של מתחם הענישה, כדלקמן</w:t>
      </w:r>
      <w:r w:rsidRPr="00BD7757">
        <w:rPr>
          <w:rFonts w:ascii="David" w:hAnsi="David" w:cs="David" w:hint="cs"/>
          <w:sz w:val="24"/>
          <w:szCs w:val="24"/>
          <w:rtl/>
        </w:rPr>
        <w:t>:</w:t>
      </w:r>
    </w:p>
    <w:p w14:paraId="11E9B96C" w14:textId="77777777" w:rsidR="004D37B1" w:rsidRPr="00F42BF2" w:rsidRDefault="004D37B1" w:rsidP="004D37B1">
      <w:pPr>
        <w:spacing w:line="360" w:lineRule="auto"/>
        <w:jc w:val="both"/>
        <w:rPr>
          <w:rFonts w:ascii="Arial" w:hAnsi="Arial"/>
          <w:rtl/>
        </w:rPr>
      </w:pPr>
    </w:p>
    <w:p w14:paraId="4E7B2772" w14:textId="77777777" w:rsidR="004D37B1" w:rsidRDefault="004D37B1" w:rsidP="004D37B1">
      <w:pPr>
        <w:pStyle w:val="a9"/>
        <w:numPr>
          <w:ilvl w:val="0"/>
          <w:numId w:val="1"/>
        </w:numPr>
        <w:spacing w:line="360" w:lineRule="auto"/>
        <w:jc w:val="both"/>
        <w:rPr>
          <w:rFonts w:ascii="Arial" w:hAnsi="Arial" w:cs="David"/>
          <w:sz w:val="24"/>
          <w:szCs w:val="24"/>
        </w:rPr>
      </w:pPr>
      <w:r>
        <w:rPr>
          <w:rFonts w:ascii="Arial" w:hAnsi="Arial" w:cs="David" w:hint="cs"/>
          <w:sz w:val="24"/>
          <w:szCs w:val="24"/>
          <w:rtl/>
        </w:rPr>
        <w:t xml:space="preserve">40 </w:t>
      </w:r>
      <w:r w:rsidRPr="00F42BF2">
        <w:rPr>
          <w:rFonts w:ascii="Arial" w:hAnsi="Arial" w:cs="David"/>
          <w:sz w:val="24"/>
          <w:szCs w:val="24"/>
          <w:rtl/>
        </w:rPr>
        <w:t xml:space="preserve">חודשי מאסר בפועל, </w:t>
      </w:r>
      <w:r w:rsidRPr="00BD7757">
        <w:rPr>
          <w:rFonts w:ascii="Arial" w:hAnsi="Arial" w:cs="David" w:hint="cs"/>
          <w:sz w:val="24"/>
          <w:szCs w:val="24"/>
          <w:rtl/>
        </w:rPr>
        <w:t>בניכוי ימי מעצרו של הנאשם בתיק זה, על פי רישומי שב"ס.</w:t>
      </w:r>
    </w:p>
    <w:p w14:paraId="65A517A1" w14:textId="77777777" w:rsidR="004D37B1" w:rsidRPr="00421B45" w:rsidRDefault="004D37B1" w:rsidP="004D37B1">
      <w:pPr>
        <w:pStyle w:val="a9"/>
        <w:spacing w:line="360" w:lineRule="auto"/>
        <w:jc w:val="both"/>
        <w:rPr>
          <w:rFonts w:ascii="Arial" w:hAnsi="Arial" w:cs="David"/>
          <w:sz w:val="24"/>
          <w:szCs w:val="24"/>
          <w:rtl/>
        </w:rPr>
      </w:pPr>
    </w:p>
    <w:p w14:paraId="098865D1" w14:textId="77777777" w:rsidR="004D37B1" w:rsidRDefault="004D37B1" w:rsidP="004D37B1">
      <w:pPr>
        <w:pStyle w:val="a9"/>
        <w:numPr>
          <w:ilvl w:val="0"/>
          <w:numId w:val="1"/>
        </w:numPr>
        <w:spacing w:line="360" w:lineRule="auto"/>
        <w:jc w:val="both"/>
        <w:rPr>
          <w:rFonts w:ascii="Arial" w:hAnsi="Arial" w:cs="David"/>
          <w:sz w:val="24"/>
          <w:szCs w:val="24"/>
        </w:rPr>
      </w:pPr>
      <w:r w:rsidRPr="00F42BF2">
        <w:rPr>
          <w:rFonts w:ascii="Arial" w:hAnsi="Arial" w:cs="David"/>
          <w:sz w:val="24"/>
          <w:szCs w:val="24"/>
          <w:rtl/>
        </w:rPr>
        <w:t xml:space="preserve">מאסר על תנאי </w:t>
      </w:r>
      <w:r w:rsidRPr="00F42BF2">
        <w:rPr>
          <w:rFonts w:ascii="Arial" w:hAnsi="Arial" w:cs="David" w:hint="cs"/>
          <w:sz w:val="24"/>
          <w:szCs w:val="24"/>
          <w:rtl/>
        </w:rPr>
        <w:t xml:space="preserve">לתקופה של </w:t>
      </w:r>
      <w:r>
        <w:rPr>
          <w:rFonts w:ascii="Arial" w:hAnsi="Arial" w:cs="David" w:hint="cs"/>
          <w:sz w:val="24"/>
          <w:szCs w:val="24"/>
          <w:rtl/>
        </w:rPr>
        <w:t>8</w:t>
      </w:r>
      <w:r w:rsidRPr="00F42BF2">
        <w:rPr>
          <w:rFonts w:ascii="Arial" w:hAnsi="Arial" w:cs="David" w:hint="cs"/>
          <w:sz w:val="24"/>
          <w:szCs w:val="24"/>
          <w:rtl/>
        </w:rPr>
        <w:t xml:space="preserve"> </w:t>
      </w:r>
      <w:r w:rsidRPr="00F42BF2">
        <w:rPr>
          <w:rFonts w:ascii="Arial" w:hAnsi="Arial" w:cs="David"/>
          <w:sz w:val="24"/>
          <w:szCs w:val="24"/>
          <w:rtl/>
        </w:rPr>
        <w:t>חודשים</w:t>
      </w:r>
      <w:r w:rsidRPr="00F42BF2">
        <w:rPr>
          <w:rFonts w:ascii="Arial" w:hAnsi="Arial" w:cs="David" w:hint="cs"/>
          <w:sz w:val="24"/>
          <w:szCs w:val="24"/>
          <w:rtl/>
        </w:rPr>
        <w:t>.</w:t>
      </w:r>
    </w:p>
    <w:p w14:paraId="50B6ACBC" w14:textId="77777777" w:rsidR="004D37B1" w:rsidRDefault="004D37B1" w:rsidP="004D37B1">
      <w:pPr>
        <w:pStyle w:val="a9"/>
        <w:spacing w:line="360" w:lineRule="auto"/>
        <w:jc w:val="both"/>
        <w:rPr>
          <w:rFonts w:ascii="Arial" w:hAnsi="Arial" w:cs="David"/>
          <w:sz w:val="24"/>
          <w:szCs w:val="24"/>
          <w:rtl/>
        </w:rPr>
      </w:pPr>
      <w:r w:rsidRPr="00421B45">
        <w:rPr>
          <w:rFonts w:ascii="Arial" w:hAnsi="Arial" w:cs="David" w:hint="cs"/>
          <w:sz w:val="24"/>
          <w:szCs w:val="24"/>
          <w:rtl/>
        </w:rPr>
        <w:t xml:space="preserve">המאסר המותנה יופעל אם תוך תקופה של 3 </w:t>
      </w:r>
      <w:r>
        <w:rPr>
          <w:rFonts w:ascii="Arial" w:hAnsi="Arial" w:cs="David" w:hint="cs"/>
          <w:sz w:val="24"/>
          <w:szCs w:val="24"/>
          <w:rtl/>
        </w:rPr>
        <w:t xml:space="preserve">שנים </w:t>
      </w:r>
      <w:r w:rsidRPr="00421B45">
        <w:rPr>
          <w:rFonts w:ascii="Arial" w:hAnsi="Arial" w:cs="David" w:hint="cs"/>
          <w:sz w:val="24"/>
          <w:szCs w:val="24"/>
          <w:rtl/>
        </w:rPr>
        <w:t xml:space="preserve">מיום שחרורו, יעבור הנאשם </w:t>
      </w:r>
      <w:r>
        <w:rPr>
          <w:rFonts w:ascii="Arial" w:hAnsi="Arial" w:cs="David" w:hint="cs"/>
          <w:sz w:val="24"/>
          <w:szCs w:val="24"/>
          <w:rtl/>
        </w:rPr>
        <w:t>עבירת סמים מסוג פשע</w:t>
      </w:r>
      <w:r w:rsidRPr="00421B45">
        <w:rPr>
          <w:rFonts w:ascii="Arial" w:hAnsi="Arial" w:cs="David" w:hint="cs"/>
          <w:sz w:val="24"/>
          <w:szCs w:val="24"/>
          <w:rtl/>
        </w:rPr>
        <w:t xml:space="preserve">. </w:t>
      </w:r>
    </w:p>
    <w:p w14:paraId="0B0D8FC7" w14:textId="77777777" w:rsidR="004D37B1" w:rsidRPr="00421B45" w:rsidRDefault="004D37B1" w:rsidP="004D37B1">
      <w:pPr>
        <w:pStyle w:val="a9"/>
        <w:spacing w:line="360" w:lineRule="auto"/>
        <w:jc w:val="both"/>
        <w:rPr>
          <w:rFonts w:ascii="Arial" w:hAnsi="Arial" w:cs="David"/>
          <w:sz w:val="24"/>
          <w:szCs w:val="24"/>
          <w:rtl/>
        </w:rPr>
      </w:pPr>
    </w:p>
    <w:p w14:paraId="225172DA" w14:textId="77777777" w:rsidR="004D37B1" w:rsidRPr="00F42BF2" w:rsidRDefault="004D37B1" w:rsidP="004D37B1">
      <w:pPr>
        <w:pStyle w:val="a9"/>
        <w:numPr>
          <w:ilvl w:val="0"/>
          <w:numId w:val="1"/>
        </w:numPr>
        <w:spacing w:line="360" w:lineRule="auto"/>
        <w:jc w:val="both"/>
        <w:rPr>
          <w:rFonts w:ascii="Arial" w:hAnsi="Arial" w:cs="David"/>
          <w:sz w:val="24"/>
          <w:szCs w:val="24"/>
          <w:rtl/>
        </w:rPr>
      </w:pPr>
      <w:r>
        <w:rPr>
          <w:rFonts w:ascii="Arial" w:hAnsi="Arial" w:cs="David" w:hint="cs"/>
          <w:sz w:val="24"/>
          <w:szCs w:val="24"/>
          <w:rtl/>
        </w:rPr>
        <w:t xml:space="preserve">הצדדים לא טענו למתחם הקנס. בהיקש מהאסמכתאות אליהן הופנו ובשים לב לתקופת המאסר שהוטלה על הנאשם יש להטיל </w:t>
      </w:r>
      <w:r w:rsidRPr="00F42BF2">
        <w:rPr>
          <w:rFonts w:ascii="Arial" w:hAnsi="Arial" w:cs="David"/>
          <w:sz w:val="24"/>
          <w:szCs w:val="24"/>
          <w:rtl/>
        </w:rPr>
        <w:t>קנס בסך</w:t>
      </w:r>
      <w:r w:rsidRPr="00F42BF2">
        <w:rPr>
          <w:rFonts w:ascii="Arial" w:hAnsi="Arial" w:cs="David" w:hint="cs"/>
          <w:sz w:val="24"/>
          <w:szCs w:val="24"/>
          <w:rtl/>
        </w:rPr>
        <w:t xml:space="preserve"> </w:t>
      </w:r>
      <w:r>
        <w:rPr>
          <w:rFonts w:ascii="Arial" w:hAnsi="Arial" w:cs="David" w:hint="cs"/>
          <w:sz w:val="24"/>
          <w:szCs w:val="24"/>
          <w:rtl/>
        </w:rPr>
        <w:t>10,000</w:t>
      </w:r>
      <w:r w:rsidR="0089490D">
        <w:rPr>
          <w:rFonts w:ascii="Arial" w:hAnsi="Arial" w:cs="David"/>
          <w:sz w:val="24"/>
          <w:szCs w:val="24"/>
          <w:rtl/>
        </w:rPr>
        <w:t xml:space="preserve"> </w:t>
      </w:r>
      <w:r w:rsidRPr="00F42BF2">
        <w:rPr>
          <w:rFonts w:ascii="Arial" w:hAnsi="Arial" w:cs="David"/>
          <w:sz w:val="24"/>
          <w:szCs w:val="24"/>
          <w:rtl/>
        </w:rPr>
        <w:t xml:space="preserve"> ₪</w:t>
      </w:r>
      <w:r w:rsidR="0089490D">
        <w:rPr>
          <w:rFonts w:ascii="Arial" w:hAnsi="Arial" w:cs="David"/>
          <w:sz w:val="24"/>
          <w:szCs w:val="24"/>
          <w:rtl/>
        </w:rPr>
        <w:t xml:space="preserve"> </w:t>
      </w:r>
      <w:r w:rsidRPr="00F42BF2">
        <w:rPr>
          <w:rFonts w:ascii="Arial" w:hAnsi="Arial" w:cs="David"/>
          <w:sz w:val="24"/>
          <w:szCs w:val="24"/>
          <w:rtl/>
        </w:rPr>
        <w:t xml:space="preserve"> או</w:t>
      </w:r>
      <w:r>
        <w:rPr>
          <w:rFonts w:ascii="Arial" w:hAnsi="Arial" w:cs="David" w:hint="cs"/>
          <w:sz w:val="24"/>
          <w:szCs w:val="24"/>
          <w:rtl/>
        </w:rPr>
        <w:t xml:space="preserve"> 50 ימי </w:t>
      </w:r>
      <w:r w:rsidRPr="00F42BF2">
        <w:rPr>
          <w:rFonts w:ascii="Arial" w:hAnsi="Arial" w:cs="David"/>
          <w:sz w:val="24"/>
          <w:szCs w:val="24"/>
          <w:rtl/>
        </w:rPr>
        <w:t xml:space="preserve">מאסר תמורתו. </w:t>
      </w:r>
    </w:p>
    <w:p w14:paraId="29AFD975" w14:textId="77777777" w:rsidR="004D37B1" w:rsidRPr="005E2BBE" w:rsidRDefault="004D37B1" w:rsidP="004D37B1">
      <w:pPr>
        <w:spacing w:line="360" w:lineRule="auto"/>
        <w:ind w:firstLine="720"/>
        <w:jc w:val="both"/>
        <w:rPr>
          <w:rFonts w:ascii="David" w:hAnsi="David"/>
        </w:rPr>
      </w:pPr>
      <w:r w:rsidRPr="005E2BBE">
        <w:rPr>
          <w:rFonts w:ascii="David" w:hAnsi="David" w:hint="eastAsia"/>
          <w:rtl/>
        </w:rPr>
        <w:t>את</w:t>
      </w:r>
      <w:r w:rsidRPr="005E2BBE">
        <w:rPr>
          <w:rFonts w:ascii="David" w:hAnsi="David"/>
          <w:rtl/>
        </w:rPr>
        <w:t xml:space="preserve"> </w:t>
      </w:r>
      <w:r w:rsidRPr="005E2BBE">
        <w:rPr>
          <w:rFonts w:ascii="David" w:hAnsi="David" w:hint="eastAsia"/>
          <w:rtl/>
        </w:rPr>
        <w:t>הקנס</w:t>
      </w:r>
      <w:r w:rsidRPr="005E2BBE">
        <w:rPr>
          <w:rFonts w:ascii="David" w:hAnsi="David"/>
          <w:rtl/>
        </w:rPr>
        <w:t xml:space="preserve"> </w:t>
      </w:r>
      <w:r w:rsidRPr="005E2BBE">
        <w:rPr>
          <w:rFonts w:ascii="David" w:hAnsi="David" w:hint="eastAsia"/>
          <w:rtl/>
        </w:rPr>
        <w:t>ניתן</w:t>
      </w:r>
      <w:r w:rsidRPr="005E2BBE">
        <w:rPr>
          <w:rFonts w:ascii="David" w:hAnsi="David"/>
          <w:rtl/>
        </w:rPr>
        <w:t xml:space="preserve"> </w:t>
      </w:r>
      <w:r w:rsidRPr="005E2BBE">
        <w:rPr>
          <w:rFonts w:ascii="David" w:hAnsi="David" w:hint="eastAsia"/>
          <w:rtl/>
        </w:rPr>
        <w:t>לשלם</w:t>
      </w:r>
      <w:r w:rsidRPr="005E2BBE">
        <w:rPr>
          <w:rFonts w:ascii="David" w:hAnsi="David"/>
          <w:rtl/>
        </w:rPr>
        <w:t xml:space="preserve"> </w:t>
      </w:r>
      <w:r w:rsidRPr="005E2BBE">
        <w:rPr>
          <w:rFonts w:ascii="David" w:hAnsi="David" w:hint="eastAsia"/>
          <w:rtl/>
        </w:rPr>
        <w:t>כעבור</w:t>
      </w:r>
      <w:r w:rsidRPr="005E2BBE">
        <w:rPr>
          <w:rFonts w:ascii="David" w:hAnsi="David"/>
          <w:rtl/>
        </w:rPr>
        <w:t xml:space="preserve">  3 </w:t>
      </w:r>
      <w:r w:rsidRPr="005E2BBE">
        <w:rPr>
          <w:rFonts w:ascii="David" w:hAnsi="David" w:hint="eastAsia"/>
          <w:rtl/>
        </w:rPr>
        <w:t>ימים</w:t>
      </w:r>
      <w:r w:rsidRPr="005E2BBE">
        <w:rPr>
          <w:rFonts w:ascii="David" w:hAnsi="David"/>
          <w:rtl/>
        </w:rPr>
        <w:t xml:space="preserve"> </w:t>
      </w:r>
      <w:r w:rsidRPr="005E2BBE">
        <w:rPr>
          <w:rFonts w:ascii="David" w:hAnsi="David" w:hint="eastAsia"/>
          <w:rtl/>
        </w:rPr>
        <w:t>מהיום</w:t>
      </w:r>
      <w:r w:rsidRPr="005E2BBE">
        <w:rPr>
          <w:rFonts w:ascii="David" w:hAnsi="David"/>
          <w:rtl/>
        </w:rPr>
        <w:t xml:space="preserve"> </w:t>
      </w:r>
      <w:r w:rsidRPr="005E2BBE">
        <w:rPr>
          <w:rFonts w:ascii="David" w:hAnsi="David" w:hint="eastAsia"/>
          <w:rtl/>
        </w:rPr>
        <w:t>באחת</w:t>
      </w:r>
      <w:r w:rsidRPr="005E2BBE">
        <w:rPr>
          <w:rFonts w:ascii="David" w:hAnsi="David"/>
          <w:rtl/>
        </w:rPr>
        <w:t xml:space="preserve"> </w:t>
      </w:r>
      <w:r w:rsidRPr="005E2BBE">
        <w:rPr>
          <w:rFonts w:ascii="David" w:hAnsi="David" w:hint="eastAsia"/>
          <w:rtl/>
        </w:rPr>
        <w:t>מהדרכים</w:t>
      </w:r>
      <w:r w:rsidRPr="005E2BBE">
        <w:rPr>
          <w:rFonts w:ascii="David" w:hAnsi="David"/>
          <w:rtl/>
        </w:rPr>
        <w:t xml:space="preserve"> </w:t>
      </w:r>
      <w:r w:rsidRPr="005E2BBE">
        <w:rPr>
          <w:rFonts w:ascii="David" w:hAnsi="David" w:hint="eastAsia"/>
          <w:rtl/>
        </w:rPr>
        <w:t>הבאות</w:t>
      </w:r>
      <w:r w:rsidRPr="005E2BBE">
        <w:rPr>
          <w:rFonts w:ascii="David" w:hAnsi="David"/>
          <w:rtl/>
        </w:rPr>
        <w:t xml:space="preserve">: </w:t>
      </w:r>
    </w:p>
    <w:p w14:paraId="5A362330" w14:textId="77777777" w:rsidR="004D37B1" w:rsidRPr="005E2BBE" w:rsidRDefault="004D37B1" w:rsidP="004D37B1">
      <w:pPr>
        <w:numPr>
          <w:ilvl w:val="0"/>
          <w:numId w:val="2"/>
        </w:numPr>
        <w:spacing w:line="360" w:lineRule="auto"/>
        <w:jc w:val="both"/>
        <w:rPr>
          <w:rFonts w:ascii="David" w:hAnsi="David"/>
        </w:rPr>
      </w:pPr>
      <w:r w:rsidRPr="005E2BBE">
        <w:rPr>
          <w:rFonts w:ascii="David" w:hAnsi="David" w:hint="eastAsia"/>
          <w:rtl/>
        </w:rPr>
        <w:t>בכרטיס</w:t>
      </w:r>
      <w:r w:rsidRPr="005E2BBE">
        <w:rPr>
          <w:rFonts w:ascii="David" w:hAnsi="David"/>
          <w:rtl/>
        </w:rPr>
        <w:t xml:space="preserve"> </w:t>
      </w:r>
      <w:r w:rsidRPr="005E2BBE">
        <w:rPr>
          <w:rFonts w:ascii="David" w:hAnsi="David" w:hint="eastAsia"/>
          <w:rtl/>
        </w:rPr>
        <w:t>אשראי</w:t>
      </w:r>
      <w:r w:rsidRPr="005E2BBE">
        <w:rPr>
          <w:rFonts w:ascii="David" w:hAnsi="David"/>
          <w:rtl/>
        </w:rPr>
        <w:t xml:space="preserve"> – </w:t>
      </w:r>
      <w:r w:rsidRPr="005E2BBE">
        <w:rPr>
          <w:rFonts w:ascii="David" w:hAnsi="David" w:hint="eastAsia"/>
          <w:rtl/>
        </w:rPr>
        <w:t>באתר</w:t>
      </w:r>
      <w:r w:rsidRPr="005E2BBE">
        <w:rPr>
          <w:rFonts w:ascii="David" w:hAnsi="David"/>
          <w:rtl/>
        </w:rPr>
        <w:t xml:space="preserve"> </w:t>
      </w:r>
      <w:r w:rsidRPr="005E2BBE">
        <w:rPr>
          <w:rFonts w:ascii="David" w:hAnsi="David" w:hint="eastAsia"/>
          <w:rtl/>
        </w:rPr>
        <w:t>המקוון</w:t>
      </w:r>
      <w:r w:rsidRPr="005E2BBE">
        <w:rPr>
          <w:rFonts w:ascii="David" w:hAnsi="David"/>
          <w:rtl/>
        </w:rPr>
        <w:t xml:space="preserve"> </w:t>
      </w:r>
      <w:r w:rsidRPr="005E2BBE">
        <w:rPr>
          <w:rFonts w:ascii="David" w:hAnsi="David" w:hint="eastAsia"/>
          <w:rtl/>
        </w:rPr>
        <w:t>של</w:t>
      </w:r>
      <w:r w:rsidRPr="005E2BBE">
        <w:rPr>
          <w:rFonts w:ascii="David" w:hAnsi="David"/>
          <w:rtl/>
        </w:rPr>
        <w:t xml:space="preserve"> </w:t>
      </w:r>
      <w:r w:rsidRPr="005E2BBE">
        <w:rPr>
          <w:rFonts w:ascii="David" w:hAnsi="David" w:hint="eastAsia"/>
          <w:rtl/>
        </w:rPr>
        <w:t>רשות</w:t>
      </w:r>
      <w:r w:rsidRPr="005E2BBE">
        <w:rPr>
          <w:rFonts w:ascii="David" w:hAnsi="David"/>
          <w:rtl/>
        </w:rPr>
        <w:t xml:space="preserve"> </w:t>
      </w:r>
      <w:r w:rsidRPr="005E2BBE">
        <w:rPr>
          <w:rFonts w:ascii="David" w:hAnsi="David" w:hint="eastAsia"/>
          <w:rtl/>
        </w:rPr>
        <w:t>האכיפה</w:t>
      </w:r>
      <w:r w:rsidRPr="005E2BBE">
        <w:rPr>
          <w:rFonts w:ascii="David" w:hAnsi="David"/>
          <w:rtl/>
        </w:rPr>
        <w:t xml:space="preserve"> </w:t>
      </w:r>
      <w:r w:rsidRPr="005E2BBE">
        <w:rPr>
          <w:rFonts w:ascii="David" w:hAnsi="David" w:hint="eastAsia"/>
          <w:rtl/>
        </w:rPr>
        <w:t>והגבייה</w:t>
      </w:r>
      <w:r w:rsidRPr="005E2BBE">
        <w:rPr>
          <w:rFonts w:ascii="David" w:hAnsi="David"/>
          <w:rtl/>
        </w:rPr>
        <w:t xml:space="preserve">, </w:t>
      </w:r>
      <w:r w:rsidRPr="004D37B1">
        <w:rPr>
          <w:rFonts w:ascii="David" w:hAnsi="David"/>
          <w:color w:val="0563C1"/>
          <w:u w:val="single"/>
        </w:rPr>
        <w:t>www.eca.gov.il</w:t>
      </w:r>
      <w:r w:rsidRPr="005E2BBE">
        <w:rPr>
          <w:rFonts w:ascii="David" w:hAnsi="David"/>
        </w:rPr>
        <w:t xml:space="preserve"> </w:t>
      </w:r>
      <w:r w:rsidR="0089490D">
        <w:rPr>
          <w:rFonts w:ascii="David" w:hAnsi="David"/>
          <w:rtl/>
        </w:rPr>
        <w:t xml:space="preserve"> </w:t>
      </w:r>
    </w:p>
    <w:p w14:paraId="69F0BF6D" w14:textId="77777777" w:rsidR="004D37B1" w:rsidRPr="005E2BBE" w:rsidRDefault="004D37B1" w:rsidP="004D37B1">
      <w:pPr>
        <w:numPr>
          <w:ilvl w:val="0"/>
          <w:numId w:val="2"/>
        </w:numPr>
        <w:spacing w:line="360" w:lineRule="auto"/>
        <w:jc w:val="both"/>
        <w:rPr>
          <w:rFonts w:ascii="David" w:hAnsi="David"/>
        </w:rPr>
      </w:pPr>
      <w:r w:rsidRPr="005E2BBE">
        <w:rPr>
          <w:rFonts w:ascii="David" w:hAnsi="David" w:hint="eastAsia"/>
          <w:rtl/>
        </w:rPr>
        <w:t>מוקד</w:t>
      </w:r>
      <w:r w:rsidRPr="005E2BBE">
        <w:rPr>
          <w:rFonts w:ascii="David" w:hAnsi="David"/>
          <w:rtl/>
        </w:rPr>
        <w:t xml:space="preserve"> </w:t>
      </w:r>
      <w:r w:rsidRPr="005E2BBE">
        <w:rPr>
          <w:rFonts w:ascii="David" w:hAnsi="David" w:hint="eastAsia"/>
          <w:rtl/>
        </w:rPr>
        <w:t>שירות</w:t>
      </w:r>
      <w:r w:rsidRPr="005E2BBE">
        <w:rPr>
          <w:rFonts w:ascii="David" w:hAnsi="David"/>
          <w:rtl/>
        </w:rPr>
        <w:t xml:space="preserve"> </w:t>
      </w:r>
      <w:r w:rsidRPr="005E2BBE">
        <w:rPr>
          <w:rFonts w:ascii="David" w:hAnsi="David" w:hint="eastAsia"/>
          <w:rtl/>
        </w:rPr>
        <w:t>טלפוני</w:t>
      </w:r>
      <w:r w:rsidRPr="005E2BBE">
        <w:rPr>
          <w:rFonts w:ascii="David" w:hAnsi="David"/>
          <w:rtl/>
        </w:rPr>
        <w:t xml:space="preserve"> </w:t>
      </w:r>
      <w:r w:rsidRPr="005E2BBE">
        <w:rPr>
          <w:rFonts w:ascii="David" w:hAnsi="David" w:hint="eastAsia"/>
          <w:rtl/>
        </w:rPr>
        <w:t>בשרות</w:t>
      </w:r>
      <w:r w:rsidRPr="005E2BBE">
        <w:rPr>
          <w:rFonts w:ascii="David" w:hAnsi="David"/>
          <w:rtl/>
        </w:rPr>
        <w:t xml:space="preserve"> </w:t>
      </w:r>
      <w:r w:rsidRPr="005E2BBE">
        <w:rPr>
          <w:rFonts w:ascii="David" w:hAnsi="David" w:hint="eastAsia"/>
          <w:rtl/>
        </w:rPr>
        <w:t>עצמי</w:t>
      </w:r>
      <w:r w:rsidRPr="005E2BBE">
        <w:rPr>
          <w:rFonts w:ascii="David" w:hAnsi="David"/>
          <w:rtl/>
        </w:rPr>
        <w:t xml:space="preserve"> (</w:t>
      </w:r>
      <w:r w:rsidRPr="005E2BBE">
        <w:rPr>
          <w:rFonts w:ascii="David" w:hAnsi="David" w:hint="eastAsia"/>
          <w:rtl/>
        </w:rPr>
        <w:t>מרכז</w:t>
      </w:r>
      <w:r w:rsidRPr="005E2BBE">
        <w:rPr>
          <w:rFonts w:ascii="David" w:hAnsi="David"/>
          <w:rtl/>
        </w:rPr>
        <w:t xml:space="preserve"> </w:t>
      </w:r>
      <w:r w:rsidRPr="005E2BBE">
        <w:rPr>
          <w:rFonts w:ascii="David" w:hAnsi="David" w:hint="eastAsia"/>
          <w:rtl/>
        </w:rPr>
        <w:t>גבייה</w:t>
      </w:r>
      <w:r w:rsidRPr="005E2BBE">
        <w:rPr>
          <w:rFonts w:ascii="David" w:hAnsi="David"/>
          <w:rtl/>
        </w:rPr>
        <w:t>)</w:t>
      </w:r>
      <w:r w:rsidR="0089490D">
        <w:rPr>
          <w:rFonts w:ascii="David" w:hAnsi="David"/>
          <w:rtl/>
        </w:rPr>
        <w:t xml:space="preserve"> </w:t>
      </w:r>
      <w:r w:rsidRPr="005E2BBE">
        <w:rPr>
          <w:rFonts w:ascii="David" w:hAnsi="David"/>
          <w:rtl/>
        </w:rPr>
        <w:t xml:space="preserve"> – </w:t>
      </w:r>
      <w:r w:rsidRPr="005E2BBE">
        <w:rPr>
          <w:rFonts w:ascii="David" w:hAnsi="David" w:hint="eastAsia"/>
          <w:rtl/>
        </w:rPr>
        <w:t>בטלפון</w:t>
      </w:r>
      <w:r w:rsidRPr="005E2BBE">
        <w:rPr>
          <w:rFonts w:ascii="David" w:hAnsi="David"/>
          <w:rtl/>
        </w:rPr>
        <w:t xml:space="preserve"> 35592* </w:t>
      </w:r>
      <w:r w:rsidRPr="005E2BBE">
        <w:rPr>
          <w:rFonts w:ascii="David" w:hAnsi="David" w:hint="eastAsia"/>
          <w:rtl/>
        </w:rPr>
        <w:t>או</w:t>
      </w:r>
      <w:r w:rsidRPr="005E2BBE">
        <w:rPr>
          <w:rFonts w:ascii="David" w:hAnsi="David"/>
          <w:rtl/>
        </w:rPr>
        <w:t xml:space="preserve"> </w:t>
      </w:r>
      <w:r w:rsidRPr="005E2BBE">
        <w:rPr>
          <w:rFonts w:ascii="David" w:hAnsi="David" w:hint="eastAsia"/>
          <w:rtl/>
        </w:rPr>
        <w:t>בטלפון</w:t>
      </w:r>
      <w:r w:rsidRPr="005E2BBE">
        <w:rPr>
          <w:rFonts w:ascii="David" w:hAnsi="David"/>
          <w:rtl/>
        </w:rPr>
        <w:t xml:space="preserve"> 073-2055000</w:t>
      </w:r>
    </w:p>
    <w:p w14:paraId="53ECB461" w14:textId="77777777" w:rsidR="004D37B1" w:rsidRPr="005E2BBE" w:rsidRDefault="004D37B1" w:rsidP="004D37B1">
      <w:pPr>
        <w:numPr>
          <w:ilvl w:val="0"/>
          <w:numId w:val="2"/>
        </w:numPr>
        <w:spacing w:line="360" w:lineRule="auto"/>
        <w:jc w:val="both"/>
        <w:rPr>
          <w:rFonts w:ascii="David" w:hAnsi="David"/>
          <w:rtl/>
        </w:rPr>
      </w:pPr>
      <w:r w:rsidRPr="005E2BBE">
        <w:rPr>
          <w:rFonts w:ascii="David" w:hAnsi="David" w:hint="eastAsia"/>
          <w:rtl/>
        </w:rPr>
        <w:t>במזומן</w:t>
      </w:r>
      <w:r w:rsidRPr="005E2BBE">
        <w:rPr>
          <w:rFonts w:ascii="David" w:hAnsi="David"/>
          <w:rtl/>
        </w:rPr>
        <w:t xml:space="preserve"> </w:t>
      </w:r>
      <w:r w:rsidRPr="005E2BBE">
        <w:rPr>
          <w:rFonts w:ascii="David" w:hAnsi="David" w:hint="eastAsia"/>
          <w:rtl/>
        </w:rPr>
        <w:t>בכל</w:t>
      </w:r>
      <w:r w:rsidRPr="005E2BBE">
        <w:rPr>
          <w:rFonts w:ascii="David" w:hAnsi="David"/>
          <w:rtl/>
        </w:rPr>
        <w:t xml:space="preserve"> </w:t>
      </w:r>
      <w:r w:rsidRPr="005E2BBE">
        <w:rPr>
          <w:rFonts w:ascii="David" w:hAnsi="David" w:hint="eastAsia"/>
          <w:rtl/>
        </w:rPr>
        <w:t>סניף</w:t>
      </w:r>
      <w:r w:rsidRPr="005E2BBE">
        <w:rPr>
          <w:rFonts w:ascii="David" w:hAnsi="David"/>
          <w:rtl/>
        </w:rPr>
        <w:t xml:space="preserve"> </w:t>
      </w:r>
      <w:r w:rsidRPr="005E2BBE">
        <w:rPr>
          <w:rFonts w:ascii="David" w:hAnsi="David" w:hint="eastAsia"/>
          <w:rtl/>
        </w:rPr>
        <w:t>של</w:t>
      </w:r>
      <w:r w:rsidRPr="005E2BBE">
        <w:rPr>
          <w:rFonts w:ascii="David" w:hAnsi="David"/>
          <w:rtl/>
        </w:rPr>
        <w:t xml:space="preserve"> </w:t>
      </w:r>
      <w:r w:rsidRPr="005E2BBE">
        <w:rPr>
          <w:rFonts w:ascii="David" w:hAnsi="David" w:hint="eastAsia"/>
          <w:rtl/>
        </w:rPr>
        <w:t>בנק</w:t>
      </w:r>
      <w:r w:rsidRPr="005E2BBE">
        <w:rPr>
          <w:rFonts w:ascii="David" w:hAnsi="David"/>
          <w:rtl/>
        </w:rPr>
        <w:t xml:space="preserve"> </w:t>
      </w:r>
      <w:r w:rsidRPr="005E2BBE">
        <w:rPr>
          <w:rFonts w:ascii="David" w:hAnsi="David" w:hint="eastAsia"/>
          <w:rtl/>
        </w:rPr>
        <w:t>הדואר</w:t>
      </w:r>
      <w:r w:rsidRPr="005E2BBE">
        <w:rPr>
          <w:rFonts w:ascii="David" w:hAnsi="David"/>
          <w:rtl/>
        </w:rPr>
        <w:t xml:space="preserve"> – </w:t>
      </w:r>
      <w:r w:rsidRPr="005E2BBE">
        <w:rPr>
          <w:rFonts w:ascii="David" w:hAnsi="David" w:hint="eastAsia"/>
          <w:rtl/>
        </w:rPr>
        <w:t>בהצגת</w:t>
      </w:r>
      <w:r w:rsidRPr="005E2BBE">
        <w:rPr>
          <w:rFonts w:ascii="David" w:hAnsi="David"/>
          <w:rtl/>
        </w:rPr>
        <w:t xml:space="preserve"> </w:t>
      </w:r>
      <w:r w:rsidRPr="005E2BBE">
        <w:rPr>
          <w:rFonts w:ascii="David" w:hAnsi="David" w:hint="eastAsia"/>
          <w:rtl/>
        </w:rPr>
        <w:t>תעודת</w:t>
      </w:r>
      <w:r w:rsidRPr="005E2BBE">
        <w:rPr>
          <w:rFonts w:ascii="David" w:hAnsi="David"/>
          <w:rtl/>
        </w:rPr>
        <w:t xml:space="preserve"> </w:t>
      </w:r>
      <w:r w:rsidRPr="005E2BBE">
        <w:rPr>
          <w:rFonts w:ascii="David" w:hAnsi="David" w:hint="eastAsia"/>
          <w:rtl/>
        </w:rPr>
        <w:t>זהות</w:t>
      </w:r>
      <w:r w:rsidRPr="005E2BBE">
        <w:rPr>
          <w:rFonts w:ascii="David" w:hAnsi="David"/>
          <w:rtl/>
        </w:rPr>
        <w:t xml:space="preserve"> </w:t>
      </w:r>
      <w:r w:rsidRPr="005E2BBE">
        <w:rPr>
          <w:rFonts w:ascii="David" w:hAnsi="David" w:hint="eastAsia"/>
          <w:rtl/>
        </w:rPr>
        <w:t>בלבד</w:t>
      </w:r>
      <w:r w:rsidRPr="005E2BBE">
        <w:rPr>
          <w:rFonts w:ascii="David" w:hAnsi="David"/>
          <w:rtl/>
        </w:rPr>
        <w:t xml:space="preserve"> (</w:t>
      </w:r>
      <w:r w:rsidRPr="005E2BBE">
        <w:rPr>
          <w:rFonts w:ascii="David" w:hAnsi="David" w:hint="eastAsia"/>
          <w:rtl/>
        </w:rPr>
        <w:t>אין</w:t>
      </w:r>
      <w:r w:rsidRPr="005E2BBE">
        <w:rPr>
          <w:rFonts w:ascii="David" w:hAnsi="David"/>
          <w:rtl/>
        </w:rPr>
        <w:t xml:space="preserve"> </w:t>
      </w:r>
      <w:r w:rsidRPr="005E2BBE">
        <w:rPr>
          <w:rFonts w:ascii="David" w:hAnsi="David" w:hint="eastAsia"/>
          <w:rtl/>
        </w:rPr>
        <w:t>צורך</w:t>
      </w:r>
      <w:r w:rsidRPr="005E2BBE">
        <w:rPr>
          <w:rFonts w:ascii="David" w:hAnsi="David"/>
          <w:rtl/>
        </w:rPr>
        <w:t xml:space="preserve"> </w:t>
      </w:r>
      <w:r w:rsidRPr="005E2BBE">
        <w:rPr>
          <w:rFonts w:ascii="David" w:hAnsi="David" w:hint="eastAsia"/>
          <w:rtl/>
        </w:rPr>
        <w:t>בהצגת</w:t>
      </w:r>
      <w:r w:rsidRPr="005E2BBE">
        <w:rPr>
          <w:rFonts w:ascii="David" w:hAnsi="David"/>
          <w:rtl/>
        </w:rPr>
        <w:t xml:space="preserve"> </w:t>
      </w:r>
      <w:r w:rsidRPr="005E2BBE">
        <w:rPr>
          <w:rFonts w:ascii="David" w:hAnsi="David" w:hint="eastAsia"/>
          <w:rtl/>
        </w:rPr>
        <w:t>בשוברי</w:t>
      </w:r>
      <w:r w:rsidRPr="005E2BBE">
        <w:rPr>
          <w:rFonts w:ascii="David" w:hAnsi="David"/>
          <w:rtl/>
        </w:rPr>
        <w:t xml:space="preserve"> </w:t>
      </w:r>
      <w:r w:rsidRPr="005E2BBE">
        <w:rPr>
          <w:rFonts w:ascii="David" w:hAnsi="David" w:hint="eastAsia"/>
          <w:rtl/>
        </w:rPr>
        <w:t>תשלום</w:t>
      </w:r>
      <w:r w:rsidRPr="005E2BBE">
        <w:rPr>
          <w:rFonts w:ascii="David" w:hAnsi="David"/>
          <w:rtl/>
        </w:rPr>
        <w:t>).</w:t>
      </w:r>
    </w:p>
    <w:p w14:paraId="3AD0C9C6" w14:textId="77777777" w:rsidR="004D37B1" w:rsidRPr="00F42BF2" w:rsidRDefault="004D37B1" w:rsidP="004D37B1">
      <w:pPr>
        <w:spacing w:line="360" w:lineRule="auto"/>
        <w:jc w:val="both"/>
        <w:rPr>
          <w:rFonts w:ascii="Arial" w:hAnsi="Arial"/>
          <w:rtl/>
        </w:rPr>
      </w:pPr>
    </w:p>
    <w:p w14:paraId="76D99747" w14:textId="77777777" w:rsidR="004D37B1" w:rsidRDefault="004D37B1" w:rsidP="004D37B1">
      <w:pPr>
        <w:pStyle w:val="a9"/>
        <w:numPr>
          <w:ilvl w:val="0"/>
          <w:numId w:val="1"/>
        </w:numPr>
        <w:spacing w:line="360" w:lineRule="auto"/>
        <w:jc w:val="both"/>
        <w:rPr>
          <w:rFonts w:ascii="Arial" w:hAnsi="Arial" w:cs="David"/>
          <w:sz w:val="24"/>
          <w:szCs w:val="24"/>
        </w:rPr>
      </w:pPr>
      <w:r>
        <w:rPr>
          <w:rFonts w:ascii="Arial" w:hAnsi="Arial" w:cs="David" w:hint="cs"/>
          <w:sz w:val="24"/>
          <w:szCs w:val="24"/>
          <w:rtl/>
        </w:rPr>
        <w:t>אין בפניי אינדיקציה לשימוש ברכב לצורך ביצוע העבירה. על מנת שלא להקשות על אפשרויות שיקומו התעסוקתי של הנאשם לאחר שחרורו מתקופת מאסר ארוכה, אסתפק במקרה זה בפסילת רישיון על תנאי לתקופה של 12 חודשים והתנאי הוא, שלא יעבור עבירת סמים כלשהי במשך שלוש שנים מיום שחרורו.</w:t>
      </w:r>
    </w:p>
    <w:p w14:paraId="148D83A5" w14:textId="77777777" w:rsidR="004D37B1" w:rsidRPr="009142D9" w:rsidRDefault="004D37B1" w:rsidP="004D37B1">
      <w:pPr>
        <w:spacing w:line="360" w:lineRule="auto"/>
        <w:ind w:firstLine="720"/>
        <w:jc w:val="both"/>
        <w:rPr>
          <w:rtl/>
        </w:rPr>
      </w:pPr>
    </w:p>
    <w:p w14:paraId="1400065E" w14:textId="77777777" w:rsidR="004D37B1" w:rsidRDefault="004D37B1" w:rsidP="004D37B1">
      <w:pPr>
        <w:spacing w:line="360" w:lineRule="auto"/>
        <w:jc w:val="both"/>
        <w:rPr>
          <w:rFonts w:ascii="Calibri" w:hAnsi="Calibri"/>
          <w:b/>
          <w:bCs/>
          <w:rtl/>
        </w:rPr>
      </w:pPr>
      <w:r w:rsidRPr="00F42BF2">
        <w:rPr>
          <w:rFonts w:ascii="Arial" w:hAnsi="Arial"/>
          <w:b/>
          <w:bCs/>
          <w:rtl/>
        </w:rPr>
        <w:t>ניתן בזאת צו להשמדת מוצג</w:t>
      </w:r>
      <w:r>
        <w:rPr>
          <w:rFonts w:ascii="Arial" w:hAnsi="Arial" w:hint="cs"/>
          <w:b/>
          <w:bCs/>
          <w:rtl/>
        </w:rPr>
        <w:t xml:space="preserve"> </w:t>
      </w:r>
      <w:r>
        <w:rPr>
          <w:rFonts w:ascii="Arial" w:hAnsi="Arial"/>
          <w:b/>
          <w:bCs/>
          <w:rtl/>
        </w:rPr>
        <w:t>–</w:t>
      </w:r>
      <w:r>
        <w:rPr>
          <w:rFonts w:ascii="Arial" w:hAnsi="Arial" w:hint="cs"/>
          <w:b/>
          <w:bCs/>
          <w:rtl/>
        </w:rPr>
        <w:t xml:space="preserve"> סמים, חומרים וגרב - </w:t>
      </w:r>
      <w:r w:rsidRPr="00F42BF2">
        <w:rPr>
          <w:rFonts w:ascii="Arial" w:hAnsi="Arial"/>
          <w:b/>
          <w:bCs/>
          <w:rtl/>
        </w:rPr>
        <w:t>בכפוף לחלוף תקופת הערעור.</w:t>
      </w:r>
    </w:p>
    <w:p w14:paraId="60010B2E" w14:textId="77777777" w:rsidR="004D37B1" w:rsidRPr="00F42BF2" w:rsidRDefault="004D37B1" w:rsidP="004D37B1">
      <w:pPr>
        <w:spacing w:line="360" w:lineRule="auto"/>
        <w:jc w:val="both"/>
        <w:rPr>
          <w:rFonts w:ascii="Calibri" w:hAnsi="Calibri"/>
          <w:b/>
          <w:bCs/>
          <w:rtl/>
        </w:rPr>
      </w:pPr>
      <w:r>
        <w:rPr>
          <w:rFonts w:ascii="Calibri" w:hAnsi="Calibri" w:hint="cs"/>
          <w:b/>
          <w:bCs/>
          <w:rtl/>
        </w:rPr>
        <w:t xml:space="preserve">אופניים, קסדה, מפתחות, מכשיר טלפון </w:t>
      </w:r>
      <w:r>
        <w:rPr>
          <w:rFonts w:ascii="Calibri" w:hAnsi="Calibri"/>
          <w:b/>
          <w:bCs/>
          <w:rtl/>
        </w:rPr>
        <w:t>–</w:t>
      </w:r>
      <w:r>
        <w:rPr>
          <w:rFonts w:ascii="Calibri" w:hAnsi="Calibri" w:hint="cs"/>
          <w:b/>
          <w:bCs/>
          <w:rtl/>
        </w:rPr>
        <w:t xml:space="preserve"> יוחזרו לבעלים.</w:t>
      </w:r>
    </w:p>
    <w:p w14:paraId="2316C50B" w14:textId="77777777" w:rsidR="004D37B1" w:rsidRDefault="004D37B1" w:rsidP="004D37B1">
      <w:pPr>
        <w:spacing w:line="360" w:lineRule="auto"/>
        <w:jc w:val="both"/>
        <w:rPr>
          <w:rtl/>
        </w:rPr>
      </w:pPr>
      <w:r w:rsidRPr="00F42BF2">
        <w:rPr>
          <w:rFonts w:ascii="Arial" w:hAnsi="Arial"/>
          <w:b/>
          <w:bCs/>
          <w:u w:val="single"/>
          <w:rtl/>
        </w:rPr>
        <w:t xml:space="preserve"> </w:t>
      </w:r>
    </w:p>
    <w:p w14:paraId="3B920EF6" w14:textId="77777777" w:rsidR="004D37B1" w:rsidRDefault="0089490D" w:rsidP="004D37B1">
      <w:pPr>
        <w:spacing w:line="360" w:lineRule="auto"/>
        <w:jc w:val="both"/>
        <w:rPr>
          <w:rtl/>
        </w:rPr>
      </w:pPr>
      <w:r w:rsidRPr="0089490D">
        <w:rPr>
          <w:color w:val="FFFFFF"/>
          <w:sz w:val="2"/>
          <w:szCs w:val="2"/>
          <w:rtl/>
        </w:rPr>
        <w:t>5129371</w:t>
      </w:r>
      <w:r w:rsidR="004D37B1">
        <w:rPr>
          <w:rFonts w:hint="cs"/>
          <w:rtl/>
        </w:rPr>
        <w:t xml:space="preserve">זכות ערעור כחוק. </w:t>
      </w:r>
    </w:p>
    <w:p w14:paraId="6D54D6A5" w14:textId="77777777" w:rsidR="004D37B1" w:rsidRPr="0089490D" w:rsidRDefault="0089490D" w:rsidP="004D37B1">
      <w:pPr>
        <w:rPr>
          <w:rFonts w:ascii="Arial" w:hAnsi="Arial"/>
          <w:b/>
          <w:bCs/>
          <w:color w:val="FFFFFF"/>
          <w:sz w:val="2"/>
          <w:szCs w:val="2"/>
          <w:rtl/>
        </w:rPr>
      </w:pPr>
      <w:r w:rsidRPr="0089490D">
        <w:rPr>
          <w:rFonts w:ascii="Arial" w:hAnsi="Arial"/>
          <w:b/>
          <w:bCs/>
          <w:color w:val="FFFFFF"/>
          <w:sz w:val="2"/>
          <w:szCs w:val="2"/>
          <w:rtl/>
        </w:rPr>
        <w:t>54678313</w:t>
      </w:r>
    </w:p>
    <w:p w14:paraId="6ABB6BA1" w14:textId="77777777" w:rsidR="004D37B1" w:rsidRPr="000F2247" w:rsidRDefault="004D37B1" w:rsidP="004D37B1">
      <w:pPr>
        <w:rPr>
          <w:rFonts w:ascii="Arial" w:hAnsi="Arial"/>
          <w:b/>
          <w:bCs/>
          <w:sz w:val="26"/>
          <w:szCs w:val="26"/>
          <w:rtl/>
        </w:rPr>
      </w:pPr>
    </w:p>
    <w:p w14:paraId="331CEAB6" w14:textId="77777777" w:rsidR="004D37B1" w:rsidRPr="000F2247" w:rsidRDefault="0089490D" w:rsidP="004D37B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אייר תשפ"ג, 25 אפריל 2023, בהעדר הצדדים. </w:t>
      </w:r>
      <w:bookmarkEnd w:id="8"/>
      <w:r w:rsidR="004D37B1">
        <w:rPr>
          <w:rFonts w:ascii="Arial" w:hAnsi="Arial"/>
          <w:b/>
          <w:bCs/>
          <w:sz w:val="26"/>
          <w:szCs w:val="26"/>
          <w:rtl/>
        </w:rPr>
        <w:tab/>
      </w:r>
      <w:r w:rsidR="004D37B1">
        <w:rPr>
          <w:rFonts w:ascii="Arial" w:hAnsi="Arial"/>
          <w:b/>
          <w:bCs/>
          <w:sz w:val="26"/>
          <w:szCs w:val="26"/>
          <w:rtl/>
        </w:rPr>
        <w:tab/>
      </w:r>
      <w:r w:rsidR="004D37B1">
        <w:rPr>
          <w:rFonts w:ascii="Arial" w:hAnsi="Arial"/>
          <w:b/>
          <w:bCs/>
          <w:sz w:val="26"/>
          <w:szCs w:val="26"/>
          <w:rtl/>
        </w:rPr>
        <w:tab/>
      </w:r>
      <w:r w:rsidR="004D37B1">
        <w:rPr>
          <w:rFonts w:ascii="Arial" w:hAnsi="Arial"/>
          <w:b/>
          <w:bCs/>
          <w:sz w:val="26"/>
          <w:szCs w:val="26"/>
          <w:rtl/>
        </w:rPr>
        <w:tab/>
      </w:r>
      <w:r w:rsidR="004D37B1">
        <w:rPr>
          <w:rFonts w:ascii="Arial" w:hAnsi="Arial"/>
          <w:b/>
          <w:bCs/>
          <w:sz w:val="26"/>
          <w:szCs w:val="26"/>
          <w:rtl/>
        </w:rPr>
        <w:tab/>
      </w:r>
      <w:r w:rsidR="004D37B1">
        <w:rPr>
          <w:rFonts w:ascii="Arial" w:hAnsi="Arial"/>
          <w:b/>
          <w:bCs/>
          <w:sz w:val="26"/>
          <w:szCs w:val="26"/>
          <w:rtl/>
        </w:rPr>
        <w:tab/>
      </w:r>
      <w:r w:rsidR="004D37B1">
        <w:rPr>
          <w:rFonts w:ascii="Arial" w:hAnsi="Arial"/>
          <w:b/>
          <w:bCs/>
          <w:sz w:val="26"/>
          <w:szCs w:val="26"/>
          <w:rtl/>
        </w:rPr>
        <w:tab/>
      </w:r>
      <w:r w:rsidR="004D37B1">
        <w:rPr>
          <w:rFonts w:ascii="Arial" w:hAnsi="Arial" w:hint="cs"/>
          <w:b/>
          <w:bCs/>
          <w:sz w:val="26"/>
          <w:szCs w:val="26"/>
          <w:rtl/>
        </w:rPr>
        <w:t xml:space="preserve">         </w:t>
      </w:r>
    </w:p>
    <w:p w14:paraId="77651F2E" w14:textId="77777777" w:rsidR="004D37B1" w:rsidRPr="000F2247" w:rsidRDefault="004D37B1" w:rsidP="0089490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6A2A75" w14:textId="77777777" w:rsidR="004D37B1" w:rsidRPr="006A33D0" w:rsidRDefault="006A33D0" w:rsidP="004D37B1">
      <w:pPr>
        <w:jc w:val="center"/>
        <w:rPr>
          <w:rFonts w:ascii="Arial" w:hAnsi="Arial"/>
          <w:b/>
          <w:bCs/>
          <w:color w:val="FFFFFF"/>
          <w:sz w:val="2"/>
          <w:szCs w:val="2"/>
          <w:rtl/>
        </w:rPr>
      </w:pPr>
      <w:r w:rsidRPr="006A33D0">
        <w:rPr>
          <w:rFonts w:ascii="Arial" w:hAnsi="Arial"/>
          <w:b/>
          <w:bCs/>
          <w:color w:val="FFFFFF"/>
          <w:sz w:val="2"/>
          <w:szCs w:val="2"/>
          <w:rtl/>
        </w:rPr>
        <w:t>5129371</w:t>
      </w:r>
    </w:p>
    <w:p w14:paraId="6CEBC95B" w14:textId="77777777" w:rsidR="00C62837" w:rsidRPr="006A33D0" w:rsidRDefault="006A33D0" w:rsidP="0089490D">
      <w:pPr>
        <w:keepNext/>
        <w:rPr>
          <w:rFonts w:ascii="David" w:hAnsi="David"/>
          <w:color w:val="FFFFFF"/>
          <w:sz w:val="2"/>
          <w:szCs w:val="2"/>
          <w:rtl/>
        </w:rPr>
      </w:pPr>
      <w:r w:rsidRPr="006A33D0">
        <w:rPr>
          <w:rFonts w:ascii="David" w:hAnsi="David"/>
          <w:color w:val="FFFFFF"/>
          <w:sz w:val="2"/>
          <w:szCs w:val="2"/>
          <w:rtl/>
        </w:rPr>
        <w:t>54678313</w:t>
      </w:r>
    </w:p>
    <w:p w14:paraId="2C9895D4" w14:textId="77777777" w:rsidR="0089490D" w:rsidRDefault="0089490D" w:rsidP="0089490D">
      <w:pPr>
        <w:rPr>
          <w:rtl/>
        </w:rPr>
      </w:pPr>
    </w:p>
    <w:p w14:paraId="74B8C3E6" w14:textId="77777777" w:rsidR="0089490D" w:rsidRDefault="0089490D" w:rsidP="0089490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F403F3F" w14:textId="77777777" w:rsidR="006A33D0" w:rsidRPr="006A33D0" w:rsidRDefault="006A33D0" w:rsidP="006A33D0">
      <w:pPr>
        <w:keepNext/>
        <w:rPr>
          <w:rFonts w:ascii="David" w:hAnsi="David"/>
          <w:color w:val="000000"/>
          <w:sz w:val="22"/>
          <w:szCs w:val="22"/>
          <w:rtl/>
        </w:rPr>
      </w:pPr>
    </w:p>
    <w:p w14:paraId="0EC734EC" w14:textId="77777777" w:rsidR="006A33D0" w:rsidRPr="006A33D0" w:rsidRDefault="006A33D0" w:rsidP="006A33D0">
      <w:pPr>
        <w:keepNext/>
        <w:rPr>
          <w:rFonts w:ascii="David" w:hAnsi="David"/>
          <w:color w:val="000000"/>
          <w:sz w:val="22"/>
          <w:szCs w:val="22"/>
          <w:rtl/>
        </w:rPr>
      </w:pPr>
      <w:r w:rsidRPr="006A33D0">
        <w:rPr>
          <w:rFonts w:ascii="David" w:hAnsi="David"/>
          <w:color w:val="000000"/>
          <w:sz w:val="22"/>
          <w:szCs w:val="22"/>
          <w:rtl/>
        </w:rPr>
        <w:t>ענת חולתא 54678313-/</w:t>
      </w:r>
    </w:p>
    <w:p w14:paraId="0B45FDE8" w14:textId="77777777" w:rsidR="0089490D" w:rsidRPr="0089490D" w:rsidRDefault="006A33D0" w:rsidP="006A33D0">
      <w:pPr>
        <w:rPr>
          <w:color w:val="0000FF"/>
          <w:u w:val="single"/>
        </w:rPr>
      </w:pPr>
      <w:r w:rsidRPr="006A33D0">
        <w:rPr>
          <w:color w:val="000000"/>
          <w:u w:val="single"/>
          <w:rtl/>
        </w:rPr>
        <w:t>נוסח מסמך זה כפוף לשינויי ניסוח ועריכה</w:t>
      </w:r>
    </w:p>
    <w:sectPr w:rsidR="0089490D" w:rsidRPr="0089490D" w:rsidSect="006A33D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EC6F" w14:textId="77777777" w:rsidR="00D07E24" w:rsidRDefault="00D07E24" w:rsidP="00176FB4">
      <w:r>
        <w:separator/>
      </w:r>
    </w:p>
  </w:endnote>
  <w:endnote w:type="continuationSeparator" w:id="0">
    <w:p w14:paraId="5FCDABEF" w14:textId="77777777" w:rsidR="00D07E24" w:rsidRDefault="00D07E24" w:rsidP="0017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2FC0" w14:textId="77777777" w:rsidR="006A33D0" w:rsidRDefault="006A33D0" w:rsidP="006A33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2ACBFC" w14:textId="77777777" w:rsidR="00A56EDF" w:rsidRPr="006A33D0" w:rsidRDefault="006A33D0" w:rsidP="006A33D0">
    <w:pPr>
      <w:pStyle w:val="a5"/>
      <w:pBdr>
        <w:top w:val="single" w:sz="4" w:space="1" w:color="auto"/>
        <w:between w:val="single" w:sz="4" w:space="0" w:color="auto"/>
      </w:pBdr>
      <w:spacing w:after="60"/>
      <w:jc w:val="center"/>
      <w:rPr>
        <w:rFonts w:ascii="FrankRuehl" w:hAnsi="FrankRuehl" w:cs="FrankRuehl"/>
        <w:color w:val="000000"/>
      </w:rPr>
    </w:pPr>
    <w:r w:rsidRPr="006A33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392F" w14:textId="77777777" w:rsidR="006A33D0" w:rsidRDefault="006A33D0" w:rsidP="006A33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373B">
      <w:rPr>
        <w:rFonts w:ascii="FrankRuehl" w:hAnsi="FrankRuehl" w:cs="FrankRuehl"/>
        <w:noProof/>
        <w:rtl/>
      </w:rPr>
      <w:t>1</w:t>
    </w:r>
    <w:r>
      <w:rPr>
        <w:rFonts w:ascii="FrankRuehl" w:hAnsi="FrankRuehl" w:cs="FrankRuehl"/>
        <w:rtl/>
      </w:rPr>
      <w:fldChar w:fldCharType="end"/>
    </w:r>
  </w:p>
  <w:p w14:paraId="249B9904" w14:textId="77777777" w:rsidR="00A56EDF" w:rsidRPr="006A33D0" w:rsidRDefault="006A33D0" w:rsidP="006A33D0">
    <w:pPr>
      <w:pStyle w:val="a5"/>
      <w:pBdr>
        <w:top w:val="single" w:sz="4" w:space="1" w:color="auto"/>
        <w:between w:val="single" w:sz="4" w:space="0" w:color="auto"/>
      </w:pBdr>
      <w:spacing w:after="60"/>
      <w:jc w:val="center"/>
      <w:rPr>
        <w:rFonts w:ascii="FrankRuehl" w:hAnsi="FrankRuehl" w:cs="FrankRuehl"/>
        <w:color w:val="000000"/>
      </w:rPr>
    </w:pPr>
    <w:r w:rsidRPr="006A33D0">
      <w:rPr>
        <w:rFonts w:ascii="FrankRuehl" w:hAnsi="FrankRuehl" w:cs="FrankRuehl"/>
        <w:color w:val="000000"/>
      </w:rPr>
      <w:pict w14:anchorId="49C04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CED97" w14:textId="77777777" w:rsidR="00D07E24" w:rsidRDefault="00D07E24" w:rsidP="00176FB4">
      <w:r>
        <w:separator/>
      </w:r>
    </w:p>
  </w:footnote>
  <w:footnote w:type="continuationSeparator" w:id="0">
    <w:p w14:paraId="4CBBD096" w14:textId="77777777" w:rsidR="00D07E24" w:rsidRDefault="00D07E24" w:rsidP="00176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B74B2" w14:textId="77777777" w:rsidR="0089490D" w:rsidRPr="006A33D0" w:rsidRDefault="006A33D0" w:rsidP="006A33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25502-05-22</w:t>
    </w:r>
    <w:r>
      <w:rPr>
        <w:rFonts w:ascii="David" w:hAnsi="David"/>
        <w:color w:val="000000"/>
        <w:sz w:val="22"/>
        <w:szCs w:val="22"/>
        <w:rtl/>
      </w:rPr>
      <w:tab/>
      <w:t xml:space="preserve"> מדינת ישראל נ' סאלם אבו סמור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58519" w14:textId="77777777" w:rsidR="0089490D" w:rsidRPr="006A33D0" w:rsidRDefault="006A33D0" w:rsidP="006A33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25502-05-22</w:t>
    </w:r>
    <w:r>
      <w:rPr>
        <w:rFonts w:ascii="David" w:hAnsi="David"/>
        <w:color w:val="000000"/>
        <w:sz w:val="22"/>
        <w:szCs w:val="22"/>
        <w:rtl/>
      </w:rPr>
      <w:tab/>
      <w:t xml:space="preserve"> מדינת ישראל נ' סאלם אבו סמור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0F144E7"/>
    <w:multiLevelType w:val="hybridMultilevel"/>
    <w:tmpl w:val="DB82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81929"/>
    <w:multiLevelType w:val="hybridMultilevel"/>
    <w:tmpl w:val="41AA65A2"/>
    <w:lvl w:ilvl="0" w:tplc="A4ACDB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511146">
    <w:abstractNumId w:val="2"/>
  </w:num>
  <w:num w:numId="2" w16cid:durableId="1825924971">
    <w:abstractNumId w:val="0"/>
  </w:num>
  <w:num w:numId="3" w16cid:durableId="118201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37B1"/>
    <w:rsid w:val="000552DF"/>
    <w:rsid w:val="00176FB4"/>
    <w:rsid w:val="001B5A3B"/>
    <w:rsid w:val="003C08CA"/>
    <w:rsid w:val="003D0396"/>
    <w:rsid w:val="003F67FB"/>
    <w:rsid w:val="004D37B1"/>
    <w:rsid w:val="006A33D0"/>
    <w:rsid w:val="0089490D"/>
    <w:rsid w:val="009024D8"/>
    <w:rsid w:val="00A56EDF"/>
    <w:rsid w:val="00AB45B0"/>
    <w:rsid w:val="00B76027"/>
    <w:rsid w:val="00C62837"/>
    <w:rsid w:val="00D07E24"/>
    <w:rsid w:val="00F53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DA0EEE"/>
  <w15:chartTrackingRefBased/>
  <w15:docId w15:val="{EB0BB9D6-B0A7-4868-B73B-20DC8D5F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37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D37B1"/>
    <w:pPr>
      <w:tabs>
        <w:tab w:val="center" w:pos="4153"/>
        <w:tab w:val="right" w:pos="8306"/>
      </w:tabs>
    </w:pPr>
  </w:style>
  <w:style w:type="character" w:customStyle="1" w:styleId="a4">
    <w:name w:val="כותרת עליונה תו"/>
    <w:link w:val="a3"/>
    <w:rsid w:val="004D37B1"/>
    <w:rPr>
      <w:rFonts w:ascii="Times New Roman" w:eastAsia="Times New Roman" w:hAnsi="Times New Roman" w:cs="David"/>
      <w:sz w:val="24"/>
      <w:szCs w:val="24"/>
    </w:rPr>
  </w:style>
  <w:style w:type="paragraph" w:styleId="a5">
    <w:name w:val="footer"/>
    <w:basedOn w:val="a"/>
    <w:link w:val="a6"/>
    <w:rsid w:val="004D37B1"/>
    <w:pPr>
      <w:tabs>
        <w:tab w:val="center" w:pos="4153"/>
        <w:tab w:val="right" w:pos="8306"/>
      </w:tabs>
    </w:pPr>
  </w:style>
  <w:style w:type="character" w:customStyle="1" w:styleId="a6">
    <w:name w:val="כותרת תחתונה תו"/>
    <w:link w:val="a5"/>
    <w:rsid w:val="004D37B1"/>
    <w:rPr>
      <w:rFonts w:ascii="Times New Roman" w:eastAsia="Times New Roman" w:hAnsi="Times New Roman" w:cs="David"/>
      <w:sz w:val="24"/>
      <w:szCs w:val="24"/>
    </w:rPr>
  </w:style>
  <w:style w:type="table" w:styleId="a7">
    <w:name w:val="Table Grid"/>
    <w:basedOn w:val="a1"/>
    <w:rsid w:val="004D37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D37B1"/>
  </w:style>
  <w:style w:type="paragraph" w:styleId="a9">
    <w:name w:val="List Paragraph"/>
    <w:basedOn w:val="a"/>
    <w:qFormat/>
    <w:rsid w:val="004D37B1"/>
    <w:pPr>
      <w:spacing w:after="160" w:line="259" w:lineRule="auto"/>
      <w:ind w:left="720"/>
      <w:contextualSpacing/>
    </w:pPr>
    <w:rPr>
      <w:rFonts w:ascii="Calibri" w:hAnsi="Calibri" w:cs="Arial"/>
      <w:sz w:val="22"/>
      <w:szCs w:val="22"/>
    </w:rPr>
  </w:style>
  <w:style w:type="character" w:styleId="Hyperlink">
    <w:name w:val="Hyperlink"/>
    <w:rsid w:val="00894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988308" TargetMode="External"/><Relationship Id="rId26" Type="http://schemas.openxmlformats.org/officeDocument/2006/relationships/hyperlink" Target="http://www.nevo.co.il/case/27397210" TargetMode="External"/><Relationship Id="rId3" Type="http://schemas.openxmlformats.org/officeDocument/2006/relationships/settings" Target="settings.xml"/><Relationship Id="rId21" Type="http://schemas.openxmlformats.org/officeDocument/2006/relationships/hyperlink" Target="http://www.nevo.co.il/case/24273847"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40004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7386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1875321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3658232" TargetMode="External"/><Relationship Id="rId28" Type="http://schemas.openxmlformats.org/officeDocument/2006/relationships/hyperlink" Target="http://www.nevo.co.il/case/29072600"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1206397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947582" TargetMode="External"/><Relationship Id="rId27" Type="http://schemas.openxmlformats.org/officeDocument/2006/relationships/hyperlink" Target="http://www.nevo.co.il/case/2624648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1888</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11309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3145852</vt:i4>
      </vt:variant>
      <vt:variant>
        <vt:i4>63</vt:i4>
      </vt:variant>
      <vt:variant>
        <vt:i4>0</vt:i4>
      </vt:variant>
      <vt:variant>
        <vt:i4>5</vt:i4>
      </vt:variant>
      <vt:variant>
        <vt:lpwstr>http://www.nevo.co.il/case/29072600</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3604600</vt:i4>
      </vt:variant>
      <vt:variant>
        <vt:i4>57</vt:i4>
      </vt:variant>
      <vt:variant>
        <vt:i4>0</vt:i4>
      </vt:variant>
      <vt:variant>
        <vt:i4>5</vt:i4>
      </vt:variant>
      <vt:variant>
        <vt:lpwstr>http://www.nevo.co.il/case/27397210</vt:lpwstr>
      </vt:variant>
      <vt:variant>
        <vt:lpwstr/>
      </vt:variant>
      <vt:variant>
        <vt:i4>3276924</vt:i4>
      </vt:variant>
      <vt:variant>
        <vt:i4>54</vt:i4>
      </vt:variant>
      <vt:variant>
        <vt:i4>0</vt:i4>
      </vt:variant>
      <vt:variant>
        <vt:i4>5</vt:i4>
      </vt:variant>
      <vt:variant>
        <vt:lpwstr>http://www.nevo.co.il/case/28400049</vt:lpwstr>
      </vt:variant>
      <vt:variant>
        <vt:lpwstr/>
      </vt:variant>
      <vt:variant>
        <vt:i4>3407995</vt:i4>
      </vt:variant>
      <vt:variant>
        <vt:i4>51</vt:i4>
      </vt:variant>
      <vt:variant>
        <vt:i4>0</vt:i4>
      </vt:variant>
      <vt:variant>
        <vt:i4>5</vt:i4>
      </vt:variant>
      <vt:variant>
        <vt:lpwstr>http://www.nevo.co.il/case/18753213</vt:lpwstr>
      </vt:variant>
      <vt:variant>
        <vt:lpwstr/>
      </vt:variant>
      <vt:variant>
        <vt:i4>4128880</vt:i4>
      </vt:variant>
      <vt:variant>
        <vt:i4>48</vt:i4>
      </vt:variant>
      <vt:variant>
        <vt:i4>0</vt:i4>
      </vt:variant>
      <vt:variant>
        <vt:i4>5</vt:i4>
      </vt:variant>
      <vt:variant>
        <vt:lpwstr>http://www.nevo.co.il/case/23658232</vt:lpwstr>
      </vt:variant>
      <vt:variant>
        <vt:lpwstr/>
      </vt:variant>
      <vt:variant>
        <vt:i4>3604594</vt:i4>
      </vt:variant>
      <vt:variant>
        <vt:i4>45</vt:i4>
      </vt:variant>
      <vt:variant>
        <vt:i4>0</vt:i4>
      </vt:variant>
      <vt:variant>
        <vt:i4>5</vt:i4>
      </vt:variant>
      <vt:variant>
        <vt:lpwstr>http://www.nevo.co.il/case/17947582</vt:lpwstr>
      </vt:variant>
      <vt:variant>
        <vt:lpwstr/>
      </vt:variant>
      <vt:variant>
        <vt:i4>3604607</vt:i4>
      </vt:variant>
      <vt:variant>
        <vt:i4>42</vt:i4>
      </vt:variant>
      <vt:variant>
        <vt:i4>0</vt:i4>
      </vt:variant>
      <vt:variant>
        <vt:i4>5</vt:i4>
      </vt:variant>
      <vt:variant>
        <vt:lpwstr>http://www.nevo.co.il/case/24273847</vt:lpwstr>
      </vt:variant>
      <vt:variant>
        <vt:lpwstr/>
      </vt:variant>
      <vt:variant>
        <vt:i4>7995492</vt:i4>
      </vt:variant>
      <vt:variant>
        <vt:i4>39</vt:i4>
      </vt:variant>
      <vt:variant>
        <vt:i4>0</vt:i4>
      </vt:variant>
      <vt:variant>
        <vt:i4>5</vt:i4>
      </vt:variant>
      <vt:variant>
        <vt:lpwstr>http://www.nevo.co.il/law/70301</vt:lpwstr>
      </vt:variant>
      <vt:variant>
        <vt:lpwstr/>
      </vt:variant>
      <vt:variant>
        <vt:i4>3473529</vt:i4>
      </vt:variant>
      <vt:variant>
        <vt:i4>36</vt:i4>
      </vt:variant>
      <vt:variant>
        <vt:i4>0</vt:i4>
      </vt:variant>
      <vt:variant>
        <vt:i4>5</vt:i4>
      </vt:variant>
      <vt:variant>
        <vt:lpwstr>http://www.nevo.co.il/case/12063973</vt:lpwstr>
      </vt:variant>
      <vt:variant>
        <vt:lpwstr/>
      </vt:variant>
      <vt:variant>
        <vt:i4>3539061</vt:i4>
      </vt:variant>
      <vt:variant>
        <vt:i4>33</vt:i4>
      </vt:variant>
      <vt:variant>
        <vt:i4>0</vt:i4>
      </vt:variant>
      <vt:variant>
        <vt:i4>5</vt:i4>
      </vt:variant>
      <vt:variant>
        <vt:lpwstr>http://www.nevo.co.il/case/5988308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25502</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סאלם אבו סמור</vt:lpwstr>
  </property>
  <property fmtid="{D5CDD505-2E9C-101B-9397-08002B2CF9AE}" pid="10" name="LAWYER">
    <vt:lpwstr>אחמד ותד</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20230425</vt:lpwstr>
  </property>
  <property fmtid="{D5CDD505-2E9C-101B-9397-08002B2CF9AE}" pid="14" name="TYPE_N_DATE">
    <vt:lpwstr>38020230425</vt:lpwstr>
  </property>
  <property fmtid="{D5CDD505-2E9C-101B-9397-08002B2CF9AE}" pid="15" name="WORDNUMPAGES">
    <vt:lpwstr>7</vt:lpwstr>
  </property>
  <property fmtid="{D5CDD505-2E9C-101B-9397-08002B2CF9AE}" pid="16" name="TYPE_ABS_DATE">
    <vt:lpwstr>380020230425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5988308;12063973;24273847;17947582;23658232;18753213;28400049;27397210;26246488;29072600;5738608</vt:lpwstr>
  </property>
  <property fmtid="{D5CDD505-2E9C-101B-9397-08002B2CF9AE}" pid="36" name="LAWLISTTMP1">
    <vt:lpwstr>4216/007.a:2;007.c:2</vt:lpwstr>
  </property>
  <property fmtid="{D5CDD505-2E9C-101B-9397-08002B2CF9AE}" pid="37" name="LAWLISTTMP2">
    <vt:lpwstr>70301/025</vt:lpwstr>
  </property>
</Properties>
</file>