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0"/>
        <w:gridCol w:w="3659"/>
        <w:gridCol w:w="99"/>
      </w:tblGrid>
      <w:tr w:rsidR="00A22E0E" w:rsidRPr="003A3FA0" w14:paraId="1536F72D" w14:textId="77777777" w:rsidTr="009B1E2A">
        <w:trPr>
          <w:gridAfter w:val="1"/>
          <w:wAfter w:w="99" w:type="dxa"/>
          <w:trHeight w:hRule="exact" w:val="418"/>
          <w:jc w:val="center"/>
        </w:trPr>
        <w:tc>
          <w:tcPr>
            <w:tcW w:w="8721" w:type="dxa"/>
            <w:gridSpan w:val="4"/>
          </w:tcPr>
          <w:p w14:paraId="36FFFA6D" w14:textId="77777777" w:rsidR="00A22E0E" w:rsidRPr="003A3FA0" w:rsidRDefault="00A22E0E" w:rsidP="00B100AA">
            <w:pPr>
              <w:pStyle w:val="a4"/>
              <w:jc w:val="center"/>
              <w:rPr>
                <w:rFonts w:ascii="Tahoma" w:hAnsi="Tahoma" w:cs="Tahoma"/>
                <w:color w:val="000080"/>
                <w:rtl/>
              </w:rPr>
            </w:pPr>
            <w:bookmarkStart w:id="0" w:name="LastJudge"/>
            <w:r w:rsidRPr="003A3FA0">
              <w:rPr>
                <w:rFonts w:ascii="Tahoma" w:hAnsi="Tahoma" w:cs="Tahoma"/>
                <w:b/>
                <w:bCs/>
                <w:color w:val="000080"/>
                <w:rtl/>
              </w:rPr>
              <w:t>בית משפט השלום בקריות</w:t>
            </w:r>
          </w:p>
        </w:tc>
      </w:tr>
      <w:tr w:rsidR="00A22E0E" w:rsidRPr="003A3FA0" w14:paraId="6DBD4995" w14:textId="77777777" w:rsidTr="009B1E2A">
        <w:trPr>
          <w:gridAfter w:val="1"/>
          <w:wAfter w:w="99" w:type="dxa"/>
          <w:trHeight w:val="337"/>
          <w:jc w:val="center"/>
        </w:trPr>
        <w:tc>
          <w:tcPr>
            <w:tcW w:w="5062" w:type="dxa"/>
            <w:gridSpan w:val="3"/>
          </w:tcPr>
          <w:p w14:paraId="78B52913" w14:textId="77777777" w:rsidR="00A22E0E" w:rsidRPr="003A3FA0" w:rsidRDefault="00A22E0E" w:rsidP="00B100AA">
            <w:pPr>
              <w:rPr>
                <w:rFonts w:cs="FrankRuehl"/>
                <w:sz w:val="28"/>
                <w:szCs w:val="28"/>
                <w:rtl/>
              </w:rPr>
            </w:pPr>
            <w:r w:rsidRPr="003A3FA0">
              <w:rPr>
                <w:rFonts w:cs="FrankRuehl"/>
                <w:sz w:val="28"/>
                <w:szCs w:val="28"/>
                <w:rtl/>
              </w:rPr>
              <w:t>ת"פ</w:t>
            </w:r>
            <w:r w:rsidRPr="003A3FA0">
              <w:rPr>
                <w:rFonts w:cs="FrankRuehl" w:hint="cs"/>
                <w:sz w:val="28"/>
                <w:szCs w:val="28"/>
                <w:rtl/>
              </w:rPr>
              <w:t xml:space="preserve"> </w:t>
            </w:r>
            <w:r w:rsidRPr="003A3FA0">
              <w:rPr>
                <w:rFonts w:cs="FrankRuehl"/>
                <w:sz w:val="28"/>
                <w:szCs w:val="28"/>
                <w:rtl/>
              </w:rPr>
              <w:t>31993-05-22</w:t>
            </w:r>
            <w:r w:rsidRPr="003A3FA0">
              <w:rPr>
                <w:rFonts w:cs="FrankRuehl" w:hint="cs"/>
                <w:sz w:val="28"/>
                <w:szCs w:val="28"/>
                <w:rtl/>
              </w:rPr>
              <w:t xml:space="preserve"> </w:t>
            </w:r>
            <w:r w:rsidRPr="003A3FA0">
              <w:rPr>
                <w:rFonts w:cs="FrankRuehl"/>
                <w:sz w:val="28"/>
                <w:szCs w:val="28"/>
                <w:rtl/>
              </w:rPr>
              <w:t>מדינת ישראל נ' אזערי(אחר/נוסף)</w:t>
            </w:r>
          </w:p>
          <w:p w14:paraId="58F5B2CA" w14:textId="77777777" w:rsidR="00A22E0E" w:rsidRPr="003A3FA0" w:rsidRDefault="00A22E0E" w:rsidP="00B100AA">
            <w:pPr>
              <w:pStyle w:val="a4"/>
              <w:rPr>
                <w:rFonts w:cs="FrankRuehl"/>
                <w:sz w:val="28"/>
                <w:szCs w:val="28"/>
                <w:rtl/>
              </w:rPr>
            </w:pPr>
          </w:p>
        </w:tc>
        <w:tc>
          <w:tcPr>
            <w:tcW w:w="3659" w:type="dxa"/>
          </w:tcPr>
          <w:p w14:paraId="64D8D702" w14:textId="77777777" w:rsidR="00A22E0E" w:rsidRPr="003A3FA0" w:rsidRDefault="00A22E0E" w:rsidP="00B100AA">
            <w:pPr>
              <w:pStyle w:val="a4"/>
              <w:jc w:val="right"/>
              <w:rPr>
                <w:rFonts w:cs="FrankRuehl"/>
                <w:sz w:val="28"/>
                <w:szCs w:val="28"/>
                <w:rtl/>
              </w:rPr>
            </w:pPr>
          </w:p>
        </w:tc>
      </w:tr>
      <w:tr w:rsidR="00A22E0E" w:rsidRPr="003A3FA0" w14:paraId="19506B70" w14:textId="77777777" w:rsidTr="009B1E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1BCBB83" w14:textId="77777777" w:rsidR="00A22E0E" w:rsidRPr="003A3FA0" w:rsidRDefault="00A22E0E" w:rsidP="00A22E0E">
            <w:pPr>
              <w:jc w:val="both"/>
              <w:rPr>
                <w:rFonts w:ascii="David" w:hAnsi="David"/>
                <w:sz w:val="26"/>
                <w:szCs w:val="26"/>
              </w:rPr>
            </w:pPr>
            <w:r w:rsidRPr="003A3FA0">
              <w:rPr>
                <w:rFonts w:hint="cs"/>
                <w:rtl/>
              </w:rPr>
              <w:t xml:space="preserve"> </w:t>
            </w:r>
            <w:r w:rsidRPr="003A3FA0">
              <w:rPr>
                <w:rFonts w:ascii="David" w:hAnsi="David" w:hint="cs"/>
                <w:sz w:val="26"/>
                <w:szCs w:val="26"/>
                <w:rtl/>
              </w:rPr>
              <w:t>ל</w:t>
            </w:r>
            <w:r w:rsidRPr="003A3FA0">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072571A" w14:textId="77777777" w:rsidR="00A22E0E" w:rsidRPr="003A3FA0" w:rsidRDefault="00A22E0E" w:rsidP="00B100AA">
            <w:pPr>
              <w:rPr>
                <w:rFonts w:ascii="David" w:hAnsi="David"/>
                <w:b/>
                <w:bCs/>
                <w:sz w:val="26"/>
                <w:szCs w:val="26"/>
                <w:rtl/>
              </w:rPr>
            </w:pPr>
            <w:r w:rsidRPr="003A3FA0">
              <w:rPr>
                <w:rFonts w:ascii="David" w:hAnsi="David"/>
                <w:b/>
                <w:bCs/>
                <w:sz w:val="26"/>
                <w:szCs w:val="26"/>
                <w:rtl/>
              </w:rPr>
              <w:t>כבוד השופטת  סימי פלג קימלוב</w:t>
            </w:r>
          </w:p>
          <w:p w14:paraId="0D843101" w14:textId="77777777" w:rsidR="00A22E0E" w:rsidRPr="003A3FA0" w:rsidRDefault="00A22E0E" w:rsidP="00B100AA">
            <w:pPr>
              <w:rPr>
                <w:rFonts w:ascii="David" w:hAnsi="David"/>
                <w:sz w:val="26"/>
                <w:szCs w:val="26"/>
                <w:rtl/>
              </w:rPr>
            </w:pPr>
          </w:p>
          <w:p w14:paraId="23589B74" w14:textId="77777777" w:rsidR="00A22E0E" w:rsidRPr="003A3FA0" w:rsidRDefault="00A22E0E" w:rsidP="00A22E0E">
            <w:pPr>
              <w:jc w:val="both"/>
              <w:rPr>
                <w:rFonts w:ascii="David" w:hAnsi="David"/>
                <w:sz w:val="26"/>
                <w:szCs w:val="26"/>
              </w:rPr>
            </w:pPr>
          </w:p>
        </w:tc>
      </w:tr>
      <w:tr w:rsidR="00A22E0E" w:rsidRPr="003A3FA0" w14:paraId="5329F39F" w14:textId="77777777" w:rsidTr="009B1E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D36674D" w14:textId="77777777" w:rsidR="00A22E0E" w:rsidRPr="003A3FA0" w:rsidRDefault="00A22E0E" w:rsidP="00A22E0E">
            <w:pPr>
              <w:jc w:val="both"/>
              <w:rPr>
                <w:rFonts w:ascii="David" w:hAnsi="David"/>
                <w:sz w:val="26"/>
                <w:szCs w:val="26"/>
              </w:rPr>
            </w:pPr>
            <w:bookmarkStart w:id="1" w:name="FirstAppellant"/>
            <w:r w:rsidRPr="003A3FA0">
              <w:rPr>
                <w:rFonts w:ascii="David" w:hAnsi="David"/>
                <w:sz w:val="26"/>
                <w:szCs w:val="26"/>
                <w:rtl/>
              </w:rPr>
              <w:t>בעניין:</w:t>
            </w:r>
          </w:p>
        </w:tc>
        <w:tc>
          <w:tcPr>
            <w:tcW w:w="3219" w:type="dxa"/>
            <w:tcBorders>
              <w:top w:val="nil"/>
              <w:left w:val="nil"/>
              <w:bottom w:val="nil"/>
              <w:right w:val="nil"/>
            </w:tcBorders>
            <w:shd w:val="clear" w:color="auto" w:fill="auto"/>
          </w:tcPr>
          <w:p w14:paraId="6B25D6FA" w14:textId="77777777" w:rsidR="00A22E0E" w:rsidRPr="003A3FA0" w:rsidRDefault="00A22E0E" w:rsidP="00A22E0E">
            <w:pPr>
              <w:suppressLineNumbers/>
            </w:pPr>
            <w:r w:rsidRPr="003A3FA0">
              <w:rPr>
                <w:rFonts w:ascii="Arial" w:hAnsi="Arial" w:hint="cs"/>
                <w:b/>
                <w:bCs/>
                <w:sz w:val="26"/>
                <w:szCs w:val="26"/>
                <w:rtl/>
              </w:rPr>
              <w:t>ה</w:t>
            </w:r>
            <w:r w:rsidRPr="003A3FA0">
              <w:rPr>
                <w:rFonts w:ascii="Arial" w:hAnsi="Arial"/>
                <w:b/>
                <w:bCs/>
                <w:sz w:val="26"/>
                <w:szCs w:val="26"/>
                <w:rtl/>
              </w:rPr>
              <w:t>מאשימה</w:t>
            </w:r>
          </w:p>
          <w:p w14:paraId="25B52524" w14:textId="77777777" w:rsidR="00A22E0E" w:rsidRPr="003A3FA0" w:rsidRDefault="00A22E0E" w:rsidP="00B100AA">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15E9458" w14:textId="77777777" w:rsidR="00A22E0E" w:rsidRPr="003A3FA0" w:rsidRDefault="00A22E0E" w:rsidP="00A22E0E">
            <w:pPr>
              <w:suppressLineNumbers/>
            </w:pPr>
            <w:r w:rsidRPr="003A3FA0">
              <w:rPr>
                <w:rFonts w:ascii="Arial" w:hAnsi="Arial"/>
                <w:b/>
                <w:bCs/>
                <w:sz w:val="26"/>
                <w:szCs w:val="26"/>
                <w:rtl/>
              </w:rPr>
              <w:t>מדינת ישראל</w:t>
            </w:r>
            <w:r w:rsidRPr="003A3FA0">
              <w:rPr>
                <w:rFonts w:ascii="Arial" w:hAnsi="Arial" w:hint="cs"/>
                <w:b/>
                <w:bCs/>
                <w:sz w:val="26"/>
                <w:szCs w:val="26"/>
                <w:rtl/>
              </w:rPr>
              <w:t xml:space="preserve"> </w:t>
            </w:r>
          </w:p>
          <w:p w14:paraId="146DCBA3" w14:textId="77777777" w:rsidR="00A22E0E" w:rsidRPr="003A3FA0" w:rsidRDefault="00A22E0E" w:rsidP="00B100AA">
            <w:pPr>
              <w:rPr>
                <w:rFonts w:ascii="David" w:hAnsi="David"/>
                <w:sz w:val="26"/>
                <w:szCs w:val="26"/>
              </w:rPr>
            </w:pPr>
          </w:p>
        </w:tc>
      </w:tr>
      <w:bookmarkEnd w:id="1"/>
      <w:tr w:rsidR="00A22E0E" w:rsidRPr="003A3FA0" w14:paraId="50FB4CB9" w14:textId="77777777" w:rsidTr="009B1E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B73F893" w14:textId="77777777" w:rsidR="00A22E0E" w:rsidRPr="003A3FA0" w:rsidRDefault="00A22E0E" w:rsidP="00A22E0E">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B13E2C2" w14:textId="77777777" w:rsidR="00A22E0E" w:rsidRPr="003A3FA0" w:rsidRDefault="00A22E0E" w:rsidP="00A22E0E">
            <w:pPr>
              <w:jc w:val="center"/>
              <w:rPr>
                <w:rFonts w:ascii="David" w:hAnsi="David"/>
                <w:b/>
                <w:bCs/>
                <w:sz w:val="26"/>
                <w:szCs w:val="26"/>
                <w:rtl/>
              </w:rPr>
            </w:pPr>
          </w:p>
          <w:p w14:paraId="44EF37FE" w14:textId="77777777" w:rsidR="00A22E0E" w:rsidRPr="003A3FA0" w:rsidRDefault="00A22E0E" w:rsidP="00A22E0E">
            <w:pPr>
              <w:jc w:val="center"/>
              <w:rPr>
                <w:rFonts w:ascii="David" w:hAnsi="David"/>
                <w:b/>
                <w:bCs/>
                <w:sz w:val="26"/>
                <w:szCs w:val="26"/>
                <w:rtl/>
              </w:rPr>
            </w:pPr>
            <w:r w:rsidRPr="003A3FA0">
              <w:rPr>
                <w:rFonts w:ascii="David" w:hAnsi="David"/>
                <w:b/>
                <w:bCs/>
                <w:sz w:val="26"/>
                <w:szCs w:val="26"/>
                <w:rtl/>
              </w:rPr>
              <w:t>נגד</w:t>
            </w:r>
          </w:p>
          <w:p w14:paraId="2843ED82" w14:textId="77777777" w:rsidR="00A22E0E" w:rsidRPr="003A3FA0" w:rsidRDefault="00A22E0E" w:rsidP="00A22E0E">
            <w:pPr>
              <w:jc w:val="both"/>
              <w:rPr>
                <w:rFonts w:ascii="David" w:hAnsi="David"/>
                <w:sz w:val="26"/>
                <w:szCs w:val="26"/>
              </w:rPr>
            </w:pPr>
          </w:p>
        </w:tc>
      </w:tr>
      <w:tr w:rsidR="00A22E0E" w:rsidRPr="003A3FA0" w14:paraId="41C10961" w14:textId="77777777" w:rsidTr="009B1E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3BB2D66" w14:textId="77777777" w:rsidR="00A22E0E" w:rsidRPr="003A3FA0" w:rsidRDefault="00A22E0E" w:rsidP="00B100AA">
            <w:pPr>
              <w:rPr>
                <w:rFonts w:ascii="David" w:hAnsi="David"/>
                <w:sz w:val="26"/>
                <w:szCs w:val="26"/>
                <w:rtl/>
              </w:rPr>
            </w:pPr>
          </w:p>
        </w:tc>
        <w:tc>
          <w:tcPr>
            <w:tcW w:w="3219" w:type="dxa"/>
            <w:tcBorders>
              <w:top w:val="nil"/>
              <w:left w:val="nil"/>
              <w:bottom w:val="nil"/>
              <w:right w:val="nil"/>
            </w:tcBorders>
            <w:shd w:val="clear" w:color="auto" w:fill="auto"/>
          </w:tcPr>
          <w:p w14:paraId="4EC973E0" w14:textId="77777777" w:rsidR="00A22E0E" w:rsidRPr="003A3FA0" w:rsidRDefault="00A22E0E" w:rsidP="00B100AA">
            <w:pPr>
              <w:rPr>
                <w:rFonts w:ascii="Arial" w:hAnsi="Arial"/>
                <w:b/>
                <w:bCs/>
                <w:sz w:val="26"/>
                <w:szCs w:val="26"/>
                <w:rtl/>
              </w:rPr>
            </w:pPr>
            <w:r w:rsidRPr="003A3FA0">
              <w:rPr>
                <w:rFonts w:ascii="Arial" w:hAnsi="Arial"/>
                <w:b/>
                <w:bCs/>
                <w:sz w:val="26"/>
                <w:szCs w:val="26"/>
                <w:rtl/>
              </w:rPr>
              <w:t>הנאש</w:t>
            </w:r>
            <w:r w:rsidRPr="003A3FA0">
              <w:rPr>
                <w:rFonts w:ascii="Arial" w:hAnsi="Arial" w:hint="cs"/>
                <w:b/>
                <w:bCs/>
                <w:sz w:val="26"/>
                <w:szCs w:val="26"/>
                <w:rtl/>
              </w:rPr>
              <w:t>מת</w:t>
            </w:r>
          </w:p>
        </w:tc>
        <w:tc>
          <w:tcPr>
            <w:tcW w:w="4678" w:type="dxa"/>
            <w:gridSpan w:val="3"/>
            <w:tcBorders>
              <w:top w:val="nil"/>
              <w:left w:val="nil"/>
              <w:bottom w:val="nil"/>
              <w:right w:val="nil"/>
            </w:tcBorders>
            <w:shd w:val="clear" w:color="auto" w:fill="auto"/>
            <w:vAlign w:val="center"/>
          </w:tcPr>
          <w:p w14:paraId="216F3FB4" w14:textId="77777777" w:rsidR="00A22E0E" w:rsidRPr="003A3FA0" w:rsidRDefault="00A22E0E" w:rsidP="00A22E0E">
            <w:pPr>
              <w:suppressLineNumbers/>
            </w:pPr>
            <w:r w:rsidRPr="003A3FA0">
              <w:rPr>
                <w:rFonts w:ascii="Arial" w:hAnsi="Arial"/>
                <w:b/>
                <w:bCs/>
                <w:sz w:val="26"/>
                <w:szCs w:val="26"/>
                <w:rtl/>
              </w:rPr>
              <w:t xml:space="preserve">שני אזערי </w:t>
            </w:r>
          </w:p>
          <w:p w14:paraId="43EBA260" w14:textId="77777777" w:rsidR="00A22E0E" w:rsidRPr="003A3FA0" w:rsidRDefault="00A22E0E" w:rsidP="00B100AA">
            <w:pPr>
              <w:rPr>
                <w:rFonts w:ascii="David" w:hAnsi="David"/>
                <w:sz w:val="26"/>
                <w:szCs w:val="26"/>
              </w:rPr>
            </w:pPr>
          </w:p>
        </w:tc>
      </w:tr>
    </w:tbl>
    <w:p w14:paraId="2591932D" w14:textId="77777777" w:rsidR="00A16730" w:rsidRDefault="00A16730" w:rsidP="00804958">
      <w:pPr>
        <w:rPr>
          <w:sz w:val="26"/>
          <w:szCs w:val="26"/>
          <w:rtl/>
        </w:rPr>
      </w:pPr>
      <w:bookmarkStart w:id="2" w:name="Links_Kitvei_Start"/>
    </w:p>
    <w:p w14:paraId="5CC7DD05" w14:textId="77777777" w:rsidR="00A16730" w:rsidRPr="00A16730" w:rsidRDefault="00A16730" w:rsidP="00A16730">
      <w:pPr>
        <w:spacing w:after="120" w:line="240" w:lineRule="exact"/>
        <w:ind w:left="283" w:hanging="283"/>
        <w:jc w:val="both"/>
        <w:rPr>
          <w:rFonts w:ascii="FrankRuehl" w:hAnsi="FrankRuehl" w:cs="FrankRuehl"/>
          <w:rtl/>
        </w:rPr>
      </w:pPr>
    </w:p>
    <w:bookmarkEnd w:id="2"/>
    <w:p w14:paraId="7A76E114" w14:textId="77777777" w:rsidR="00A16730" w:rsidRPr="00A16730" w:rsidRDefault="00A16730" w:rsidP="00A16730">
      <w:pPr>
        <w:spacing w:after="120" w:line="240" w:lineRule="exact"/>
        <w:ind w:left="283" w:hanging="283"/>
        <w:jc w:val="both"/>
        <w:rPr>
          <w:rStyle w:val="Hyperlink"/>
          <w:rFonts w:ascii="FrankRuehl" w:hAnsi="FrankRuehl" w:cs="FrankRuehl"/>
          <w:u w:val="none"/>
        </w:rPr>
      </w:pPr>
      <w:r w:rsidRPr="00A16730">
        <w:rPr>
          <w:rFonts w:ascii="FrankRuehl" w:hAnsi="FrankRuehl" w:cs="FrankRuehl"/>
          <w:rtl/>
        </w:rPr>
        <w:t>כתבי עת:</w:t>
      </w:r>
      <w:r w:rsidRPr="00A16730">
        <w:rPr>
          <w:rFonts w:ascii="FrankRuehl" w:hAnsi="FrankRuehl" w:cs="FrankRuehl"/>
          <w:color w:val="0000FF"/>
          <w:rtl/>
        </w:rPr>
        <w:fldChar w:fldCharType="begin"/>
      </w:r>
      <w:r w:rsidRPr="00A16730">
        <w:rPr>
          <w:rFonts w:ascii="FrankRuehl" w:hAnsi="FrankRuehl" w:cs="FrankRuehl"/>
          <w:color w:val="0000FF"/>
          <w:rtl/>
        </w:rPr>
        <w:instrText xml:space="preserve"> </w:instrText>
      </w:r>
      <w:r w:rsidRPr="00A16730">
        <w:rPr>
          <w:rFonts w:ascii="FrankRuehl" w:hAnsi="FrankRuehl" w:cs="FrankRuehl"/>
          <w:color w:val="0000FF"/>
        </w:rPr>
        <w:instrText xml:space="preserve">HYPERLINK </w:instrText>
      </w:r>
      <w:r w:rsidRPr="00A16730">
        <w:rPr>
          <w:rFonts w:ascii="FrankRuehl" w:hAnsi="FrankRuehl" w:cs="FrankRuehl"/>
          <w:color w:val="0000FF"/>
          <w:rtl/>
        </w:rPr>
        <w:instrText>"</w:instrText>
      </w:r>
      <w:r w:rsidRPr="00A16730">
        <w:rPr>
          <w:rFonts w:ascii="FrankRuehl" w:hAnsi="FrankRuehl" w:cs="FrankRuehl"/>
          <w:color w:val="0000FF"/>
        </w:rPr>
        <w:instrText>http://www.nevo.co.il/safrut/book/30035"</w:instrText>
      </w:r>
      <w:r w:rsidRPr="00A16730">
        <w:rPr>
          <w:rFonts w:ascii="FrankRuehl" w:hAnsi="FrankRuehl" w:cs="FrankRuehl"/>
          <w:color w:val="0000FF"/>
          <w:rtl/>
        </w:rPr>
        <w:instrText xml:space="preserve"> </w:instrText>
      </w:r>
      <w:r w:rsidRPr="00A16730">
        <w:rPr>
          <w:rFonts w:ascii="FrankRuehl" w:hAnsi="FrankRuehl" w:cs="FrankRuehl"/>
          <w:color w:val="0000FF"/>
          <w:rtl/>
        </w:rPr>
      </w:r>
      <w:r w:rsidRPr="00A16730">
        <w:rPr>
          <w:rFonts w:ascii="FrankRuehl" w:hAnsi="FrankRuehl" w:cs="FrankRuehl"/>
          <w:color w:val="0000FF"/>
          <w:rtl/>
        </w:rPr>
        <w:fldChar w:fldCharType="separate"/>
      </w:r>
    </w:p>
    <w:p w14:paraId="3DA5BB6B" w14:textId="77777777" w:rsidR="00A16730" w:rsidRPr="00A16730" w:rsidRDefault="00A16730" w:rsidP="00A16730">
      <w:pPr>
        <w:spacing w:after="120" w:line="240" w:lineRule="exact"/>
        <w:ind w:left="283" w:hanging="283"/>
        <w:jc w:val="both"/>
        <w:rPr>
          <w:rFonts w:ascii="FrankRuehl" w:hAnsi="FrankRuehl" w:cs="FrankRuehl"/>
        </w:rPr>
      </w:pPr>
      <w:r w:rsidRPr="00A16730">
        <w:rPr>
          <w:rStyle w:val="Hyperlink"/>
          <w:rFonts w:ascii="FrankRuehl" w:hAnsi="FrankRuehl" w:cs="FrankRuehl"/>
          <w:u w:val="none"/>
          <w:rtl/>
        </w:rPr>
        <w:t>אורן גזל-אייל, "חריגה ממתחם העונש ההולם", ספר דורית ביניש,  (אונ' בר אילן, נבו, 2018) 539</w:t>
      </w:r>
      <w:r w:rsidRPr="00A16730">
        <w:rPr>
          <w:rFonts w:ascii="FrankRuehl" w:hAnsi="FrankRuehl" w:cs="FrankRuehl"/>
          <w:color w:val="0000FF"/>
          <w:rtl/>
        </w:rPr>
        <w:fldChar w:fldCharType="end"/>
      </w:r>
    </w:p>
    <w:p w14:paraId="1A13DB27" w14:textId="77777777" w:rsidR="00A16730" w:rsidRDefault="00A16730" w:rsidP="00A16730">
      <w:pPr>
        <w:rPr>
          <w:sz w:val="26"/>
          <w:szCs w:val="26"/>
          <w:rtl/>
        </w:rPr>
      </w:pPr>
      <w:bookmarkStart w:id="3" w:name="Links_Kitvei_End"/>
      <w:bookmarkStart w:id="4" w:name="LawTable"/>
      <w:bookmarkEnd w:id="3"/>
      <w:bookmarkEnd w:id="4"/>
    </w:p>
    <w:p w14:paraId="06CB347F" w14:textId="77777777" w:rsidR="00A16730" w:rsidRPr="00A16730" w:rsidRDefault="00A16730" w:rsidP="00A16730">
      <w:pPr>
        <w:spacing w:before="120" w:after="120" w:line="240" w:lineRule="exact"/>
        <w:ind w:left="283" w:hanging="283"/>
        <w:jc w:val="both"/>
        <w:rPr>
          <w:rFonts w:ascii="FrankRuehl" w:hAnsi="FrankRuehl" w:cs="FrankRuehl"/>
          <w:rtl/>
        </w:rPr>
      </w:pPr>
    </w:p>
    <w:p w14:paraId="3CA9B0FF" w14:textId="77777777" w:rsidR="00A16730" w:rsidRPr="00A16730" w:rsidRDefault="00A16730" w:rsidP="00A16730">
      <w:pPr>
        <w:spacing w:before="120" w:after="120" w:line="240" w:lineRule="exact"/>
        <w:ind w:left="283" w:hanging="283"/>
        <w:jc w:val="both"/>
        <w:rPr>
          <w:rFonts w:ascii="FrankRuehl" w:hAnsi="FrankRuehl" w:cs="FrankRuehl"/>
          <w:rtl/>
        </w:rPr>
      </w:pPr>
    </w:p>
    <w:p w14:paraId="54F7FDB4" w14:textId="77777777" w:rsidR="00A16730" w:rsidRPr="00A16730" w:rsidRDefault="00A16730" w:rsidP="00A16730">
      <w:pPr>
        <w:spacing w:before="120" w:after="120" w:line="240" w:lineRule="exact"/>
        <w:ind w:left="283" w:hanging="283"/>
        <w:jc w:val="both"/>
        <w:rPr>
          <w:rFonts w:ascii="FrankRuehl" w:hAnsi="FrankRuehl" w:cs="FrankRuehl"/>
          <w:rtl/>
        </w:rPr>
      </w:pPr>
      <w:r w:rsidRPr="00A16730">
        <w:rPr>
          <w:rFonts w:ascii="FrankRuehl" w:hAnsi="FrankRuehl" w:cs="FrankRuehl"/>
          <w:rtl/>
        </w:rPr>
        <w:t xml:space="preserve">חקיקה שאוזכרה: </w:t>
      </w:r>
    </w:p>
    <w:p w14:paraId="48CCBEC7" w14:textId="77777777" w:rsidR="00A16730" w:rsidRPr="00A16730" w:rsidRDefault="00A16730" w:rsidP="00A16730">
      <w:pPr>
        <w:spacing w:before="120" w:after="120" w:line="240" w:lineRule="exact"/>
        <w:ind w:left="283" w:hanging="283"/>
        <w:jc w:val="both"/>
        <w:rPr>
          <w:rFonts w:ascii="FrankRuehl" w:hAnsi="FrankRuehl" w:cs="FrankRuehl"/>
          <w:rtl/>
        </w:rPr>
      </w:pPr>
      <w:hyperlink r:id="rId7" w:history="1">
        <w:r w:rsidRPr="00A16730">
          <w:rPr>
            <w:rFonts w:ascii="FrankRuehl" w:hAnsi="FrankRuehl" w:cs="FrankRuehl"/>
            <w:color w:val="0000FF"/>
            <w:rtl/>
          </w:rPr>
          <w:t>פקודת הסמים המסוכנים [נוסח חדש], תשל"ג-1973</w:t>
        </w:r>
      </w:hyperlink>
      <w:r w:rsidRPr="00A16730">
        <w:rPr>
          <w:rFonts w:ascii="FrankRuehl" w:hAnsi="FrankRuehl" w:cs="FrankRuehl"/>
          <w:rtl/>
        </w:rPr>
        <w:t xml:space="preserve">: סע'  </w:t>
      </w:r>
      <w:hyperlink r:id="rId8" w:history="1">
        <w:r w:rsidRPr="00A16730">
          <w:rPr>
            <w:rFonts w:ascii="FrankRuehl" w:hAnsi="FrankRuehl" w:cs="FrankRuehl"/>
            <w:color w:val="0000FF"/>
            <w:rtl/>
          </w:rPr>
          <w:t>7(א)</w:t>
        </w:r>
      </w:hyperlink>
      <w:r w:rsidRPr="00A16730">
        <w:rPr>
          <w:rFonts w:ascii="FrankRuehl" w:hAnsi="FrankRuehl" w:cs="FrankRuehl"/>
          <w:rtl/>
        </w:rPr>
        <w:t xml:space="preserve">, </w:t>
      </w:r>
      <w:hyperlink r:id="rId9" w:history="1">
        <w:r w:rsidRPr="00A16730">
          <w:rPr>
            <w:rFonts w:ascii="FrankRuehl" w:hAnsi="FrankRuehl" w:cs="FrankRuehl"/>
            <w:color w:val="0000FF"/>
            <w:rtl/>
          </w:rPr>
          <w:t>7(ג)</w:t>
        </w:r>
      </w:hyperlink>
    </w:p>
    <w:p w14:paraId="71BFB0B5" w14:textId="77777777" w:rsidR="00A16730" w:rsidRPr="00A16730" w:rsidRDefault="00A16730" w:rsidP="00A16730">
      <w:pPr>
        <w:spacing w:before="120" w:after="120" w:line="240" w:lineRule="exact"/>
        <w:ind w:left="283" w:hanging="283"/>
        <w:jc w:val="both"/>
        <w:rPr>
          <w:rFonts w:ascii="FrankRuehl" w:hAnsi="FrankRuehl" w:cs="FrankRuehl"/>
          <w:rtl/>
        </w:rPr>
      </w:pPr>
      <w:hyperlink r:id="rId10" w:history="1">
        <w:r w:rsidRPr="00A16730">
          <w:rPr>
            <w:rFonts w:ascii="FrankRuehl" w:hAnsi="FrankRuehl" w:cs="FrankRuehl"/>
            <w:color w:val="0000FF"/>
            <w:rtl/>
          </w:rPr>
          <w:t>חוק העונשין, תשל"ז-1977</w:t>
        </w:r>
      </w:hyperlink>
      <w:r w:rsidRPr="00A16730">
        <w:rPr>
          <w:rFonts w:ascii="FrankRuehl" w:hAnsi="FrankRuehl" w:cs="FrankRuehl"/>
          <w:rtl/>
        </w:rPr>
        <w:t xml:space="preserve">: סע'  </w:t>
      </w:r>
      <w:hyperlink r:id="rId11" w:history="1">
        <w:r w:rsidRPr="00A16730">
          <w:rPr>
            <w:rFonts w:ascii="FrankRuehl" w:hAnsi="FrankRuehl" w:cs="FrankRuehl"/>
            <w:color w:val="0000FF"/>
            <w:rtl/>
          </w:rPr>
          <w:t>40ג(א)</w:t>
        </w:r>
      </w:hyperlink>
    </w:p>
    <w:p w14:paraId="61EAF67B" w14:textId="77777777" w:rsidR="00A16730" w:rsidRPr="00A16730" w:rsidRDefault="00A16730" w:rsidP="00A16730">
      <w:pPr>
        <w:rPr>
          <w:sz w:val="26"/>
          <w:szCs w:val="26"/>
          <w:rtl/>
        </w:rPr>
      </w:pPr>
      <w:bookmarkStart w:id="5" w:name="LawTable_End"/>
      <w:bookmarkEnd w:id="5"/>
    </w:p>
    <w:p w14:paraId="0DFEA7BA" w14:textId="77777777" w:rsidR="00A22E0E" w:rsidRPr="00A16730" w:rsidRDefault="00A22E0E" w:rsidP="0080495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22E0E" w14:paraId="4B762F89" w14:textId="77777777" w:rsidTr="00A22E0E">
        <w:trPr>
          <w:trHeight w:val="355"/>
          <w:jc w:val="center"/>
        </w:trPr>
        <w:tc>
          <w:tcPr>
            <w:tcW w:w="8820" w:type="dxa"/>
            <w:tcBorders>
              <w:top w:val="nil"/>
              <w:left w:val="nil"/>
              <w:bottom w:val="nil"/>
              <w:right w:val="nil"/>
            </w:tcBorders>
            <w:shd w:val="clear" w:color="auto" w:fill="auto"/>
          </w:tcPr>
          <w:p w14:paraId="7D753247" w14:textId="77777777" w:rsidR="003A3FA0" w:rsidRPr="003A3FA0" w:rsidRDefault="003A3FA0" w:rsidP="003A3FA0">
            <w:pPr>
              <w:jc w:val="center"/>
              <w:rPr>
                <w:rFonts w:ascii="David" w:hAnsi="David"/>
                <w:b/>
                <w:bCs/>
                <w:sz w:val="26"/>
                <w:szCs w:val="26"/>
                <w:u w:val="single"/>
                <w:rtl/>
              </w:rPr>
            </w:pPr>
            <w:bookmarkStart w:id="6" w:name="PsakDin" w:colFirst="0" w:colLast="0"/>
            <w:bookmarkEnd w:id="0"/>
            <w:r w:rsidRPr="003A3FA0">
              <w:rPr>
                <w:rFonts w:ascii="David" w:hAnsi="David"/>
                <w:b/>
                <w:bCs/>
                <w:sz w:val="26"/>
                <w:szCs w:val="26"/>
                <w:u w:val="single"/>
                <w:rtl/>
              </w:rPr>
              <w:t>גזר דין</w:t>
            </w:r>
          </w:p>
          <w:p w14:paraId="1416D857" w14:textId="77777777" w:rsidR="00A22E0E" w:rsidRPr="003A3FA0" w:rsidRDefault="00A22E0E" w:rsidP="003A3FA0">
            <w:pPr>
              <w:jc w:val="center"/>
              <w:rPr>
                <w:rFonts w:ascii="David" w:hAnsi="David"/>
                <w:bCs/>
                <w:sz w:val="26"/>
                <w:szCs w:val="26"/>
                <w:u w:val="single"/>
                <w:rtl/>
              </w:rPr>
            </w:pPr>
          </w:p>
        </w:tc>
      </w:tr>
      <w:bookmarkEnd w:id="6"/>
    </w:tbl>
    <w:p w14:paraId="100A81E0" w14:textId="77777777" w:rsidR="00A22E0E" w:rsidRPr="000F2247" w:rsidRDefault="00A22E0E" w:rsidP="00A22E0E">
      <w:pPr>
        <w:rPr>
          <w:rFonts w:ascii="Arial" w:hAnsi="Arial"/>
          <w:b/>
          <w:bCs/>
          <w:sz w:val="26"/>
          <w:szCs w:val="26"/>
          <w:rtl/>
        </w:rPr>
      </w:pPr>
    </w:p>
    <w:p w14:paraId="7E251F73" w14:textId="77777777" w:rsidR="00A22E0E" w:rsidRDefault="00A22E0E" w:rsidP="00A22E0E">
      <w:pPr>
        <w:spacing w:line="360" w:lineRule="auto"/>
        <w:jc w:val="both"/>
        <w:rPr>
          <w:rFonts w:ascii="Arial" w:hAnsi="Arial"/>
          <w:b/>
          <w:bCs/>
          <w:u w:val="single"/>
          <w:rtl/>
        </w:rPr>
      </w:pPr>
      <w:r>
        <w:rPr>
          <w:rFonts w:ascii="Arial" w:hAnsi="Arial"/>
          <w:rtl/>
        </w:rPr>
        <w:tab/>
      </w:r>
      <w:r w:rsidRPr="00C65DB8">
        <w:rPr>
          <w:rFonts w:ascii="Arial" w:hAnsi="Arial" w:hint="cs"/>
          <w:b/>
          <w:bCs/>
          <w:u w:val="single"/>
          <w:rtl/>
        </w:rPr>
        <w:t xml:space="preserve">כתב אישום מתוקן </w:t>
      </w:r>
    </w:p>
    <w:p w14:paraId="71347E01" w14:textId="77777777" w:rsidR="00A22E0E" w:rsidRPr="00356DC0" w:rsidRDefault="00A22E0E" w:rsidP="00A22E0E">
      <w:pPr>
        <w:pStyle w:val="aa"/>
        <w:numPr>
          <w:ilvl w:val="0"/>
          <w:numId w:val="1"/>
        </w:numPr>
        <w:spacing w:line="360" w:lineRule="auto"/>
        <w:jc w:val="both"/>
        <w:rPr>
          <w:rFonts w:ascii="Arial" w:hAnsi="Arial"/>
          <w:b/>
          <w:bCs/>
        </w:rPr>
      </w:pPr>
      <w:bookmarkStart w:id="7" w:name="ABSTRACT_START"/>
      <w:bookmarkEnd w:id="7"/>
      <w:r>
        <w:rPr>
          <w:rFonts w:ascii="Arial" w:hAnsi="Arial" w:hint="cs"/>
          <w:rtl/>
        </w:rPr>
        <w:t xml:space="preserve">הנאשמת הורשעה על פי הודאתה בעבירה של החזקת סם שלא לצריכה עצמית </w:t>
      </w:r>
      <w:r>
        <w:rPr>
          <w:rFonts w:ascii="Arial" w:hAnsi="Arial"/>
          <w:rtl/>
        </w:rPr>
        <w:t>–</w:t>
      </w:r>
      <w:r>
        <w:rPr>
          <w:rFonts w:ascii="Arial" w:hAnsi="Arial" w:hint="cs"/>
          <w:rtl/>
        </w:rPr>
        <w:t xml:space="preserve"> עבירה לפי </w:t>
      </w:r>
      <w:hyperlink r:id="rId12" w:history="1">
        <w:r w:rsidR="009B1E2A" w:rsidRPr="009B1E2A">
          <w:rPr>
            <w:rStyle w:val="Hyperlink"/>
            <w:rFonts w:ascii="Arial" w:hAnsi="Arial" w:hint="eastAsia"/>
            <w:rtl/>
          </w:rPr>
          <w:t>סעיף</w:t>
        </w:r>
        <w:r w:rsidR="009B1E2A" w:rsidRPr="009B1E2A">
          <w:rPr>
            <w:rStyle w:val="Hyperlink"/>
            <w:rFonts w:ascii="Arial" w:hAnsi="Arial"/>
            <w:rtl/>
          </w:rPr>
          <w:t xml:space="preserve"> 7(א)</w:t>
        </w:r>
      </w:hyperlink>
      <w:r>
        <w:rPr>
          <w:rFonts w:ascii="Arial" w:hAnsi="Arial" w:hint="cs"/>
          <w:rtl/>
        </w:rPr>
        <w:t xml:space="preserve"> + </w:t>
      </w:r>
      <w:hyperlink r:id="rId13" w:history="1">
        <w:r w:rsidR="009B1E2A" w:rsidRPr="009B1E2A">
          <w:rPr>
            <w:rStyle w:val="Hyperlink"/>
            <w:rFonts w:ascii="Arial" w:hAnsi="Arial"/>
            <w:rtl/>
          </w:rPr>
          <w:t>7(ג)</w:t>
        </w:r>
      </w:hyperlink>
      <w:r>
        <w:rPr>
          <w:rFonts w:ascii="Arial" w:hAnsi="Arial" w:hint="cs"/>
          <w:rtl/>
        </w:rPr>
        <w:t xml:space="preserve"> רישא ל</w:t>
      </w:r>
      <w:hyperlink r:id="rId14" w:history="1">
        <w:r w:rsidR="003A3FA0" w:rsidRPr="003A3FA0">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w:t>
      </w:r>
      <w:r w:rsidRPr="00356DC0">
        <w:rPr>
          <w:rFonts w:ascii="Arial" w:hAnsi="Arial" w:hint="cs"/>
          <w:b/>
          <w:bCs/>
          <w:rtl/>
        </w:rPr>
        <w:t xml:space="preserve">(להלן: "פקודת הסמים"). </w:t>
      </w:r>
    </w:p>
    <w:p w14:paraId="05D2D6B1" w14:textId="77777777" w:rsidR="00A22E0E" w:rsidRDefault="00A22E0E" w:rsidP="00A22E0E">
      <w:pPr>
        <w:pStyle w:val="aa"/>
        <w:spacing w:line="360" w:lineRule="auto"/>
        <w:jc w:val="both"/>
        <w:rPr>
          <w:rFonts w:ascii="Arial" w:hAnsi="Arial"/>
        </w:rPr>
      </w:pPr>
    </w:p>
    <w:p w14:paraId="0482EE31" w14:textId="77777777" w:rsidR="00A22E0E" w:rsidRDefault="00A22E0E" w:rsidP="00A22E0E">
      <w:pPr>
        <w:pStyle w:val="aa"/>
        <w:numPr>
          <w:ilvl w:val="0"/>
          <w:numId w:val="1"/>
        </w:numPr>
        <w:spacing w:line="360" w:lineRule="auto"/>
        <w:jc w:val="both"/>
        <w:rPr>
          <w:rFonts w:ascii="Arial" w:hAnsi="Arial"/>
        </w:rPr>
      </w:pPr>
      <w:bookmarkStart w:id="8" w:name="ABSTRACT_END"/>
      <w:bookmarkEnd w:id="8"/>
      <w:r>
        <w:rPr>
          <w:rFonts w:ascii="Arial" w:hAnsi="Arial" w:hint="cs"/>
          <w:rtl/>
        </w:rPr>
        <w:t xml:space="preserve">על פי עובדות כתב האישום המתוקן בתאריך 25.4.22 בסמוך לשעה 15:00 במהלך חיפוש כדין בביתה של הנאשמת ברחוב הרב מינץ 7 בעיר קרית אתא נמצאה הנאשמת מחזיקה בחדר השינה סם מסוכן מסוג קוקאין ב </w:t>
      </w:r>
      <w:r>
        <w:rPr>
          <w:rFonts w:ascii="Arial" w:hAnsi="Arial"/>
          <w:rtl/>
        </w:rPr>
        <w:t>–</w:t>
      </w:r>
      <w:r>
        <w:rPr>
          <w:rFonts w:ascii="Arial" w:hAnsi="Arial" w:hint="cs"/>
          <w:rtl/>
        </w:rPr>
        <w:t xml:space="preserve"> 12 יחידות שונות במשקל כולל של 5.8 גרם נטו. </w:t>
      </w:r>
    </w:p>
    <w:p w14:paraId="2DF86F85" w14:textId="77777777" w:rsidR="00A22E0E" w:rsidRPr="00356DC0" w:rsidRDefault="00A22E0E" w:rsidP="00A22E0E">
      <w:pPr>
        <w:pStyle w:val="aa"/>
        <w:rPr>
          <w:rFonts w:ascii="Arial" w:hAnsi="Arial"/>
          <w:rtl/>
        </w:rPr>
      </w:pPr>
    </w:p>
    <w:p w14:paraId="2EDB111E" w14:textId="77777777" w:rsidR="00A22E0E" w:rsidRDefault="00A22E0E" w:rsidP="00A22E0E">
      <w:pPr>
        <w:pStyle w:val="aa"/>
        <w:numPr>
          <w:ilvl w:val="0"/>
          <w:numId w:val="1"/>
        </w:numPr>
        <w:spacing w:line="360" w:lineRule="auto"/>
        <w:jc w:val="both"/>
        <w:rPr>
          <w:rFonts w:ascii="Arial" w:hAnsi="Arial"/>
        </w:rPr>
      </w:pPr>
      <w:r>
        <w:rPr>
          <w:rFonts w:ascii="Arial" w:hAnsi="Arial" w:hint="cs"/>
          <w:rtl/>
        </w:rPr>
        <w:lastRenderedPageBreak/>
        <w:t xml:space="preserve">הנאשמת הופנתה לקבלת תסקיר של שירות המבחן לאחר שהורשעה בעבירה . בתחילה הופנתה הנאשמת לבחינת שירות המבחן באשר להתאמתה הנאשמת להליך טיפולי במסגרת בית המשפט הקהילתי. </w:t>
      </w:r>
    </w:p>
    <w:p w14:paraId="252C7089" w14:textId="77777777" w:rsidR="00A22E0E" w:rsidRPr="00356DC0" w:rsidRDefault="00A22E0E" w:rsidP="00A22E0E">
      <w:pPr>
        <w:pStyle w:val="aa"/>
        <w:rPr>
          <w:rFonts w:ascii="Arial" w:hAnsi="Arial"/>
          <w:rtl/>
        </w:rPr>
      </w:pPr>
    </w:p>
    <w:p w14:paraId="34E5F9EF" w14:textId="77777777" w:rsidR="00A22E0E" w:rsidRPr="00356DC0" w:rsidRDefault="00A22E0E" w:rsidP="00A22E0E">
      <w:pPr>
        <w:pStyle w:val="aa"/>
        <w:spacing w:line="360" w:lineRule="auto"/>
        <w:jc w:val="both"/>
        <w:rPr>
          <w:rFonts w:ascii="Arial" w:hAnsi="Arial"/>
          <w:b/>
          <w:bCs/>
          <w:u w:val="single"/>
        </w:rPr>
      </w:pPr>
      <w:r w:rsidRPr="00356DC0">
        <w:rPr>
          <w:rFonts w:ascii="Arial" w:hAnsi="Arial" w:hint="cs"/>
          <w:b/>
          <w:bCs/>
          <w:u w:val="single"/>
          <w:rtl/>
        </w:rPr>
        <w:t xml:space="preserve">תסקירי שירות המבחן </w:t>
      </w:r>
    </w:p>
    <w:p w14:paraId="75B20835" w14:textId="77777777" w:rsidR="00A22E0E" w:rsidRDefault="00A22E0E" w:rsidP="00A22E0E">
      <w:pPr>
        <w:pStyle w:val="aa"/>
        <w:numPr>
          <w:ilvl w:val="0"/>
          <w:numId w:val="1"/>
        </w:numPr>
        <w:spacing w:line="360" w:lineRule="auto"/>
        <w:jc w:val="both"/>
        <w:rPr>
          <w:rFonts w:ascii="Arial" w:hAnsi="Arial"/>
        </w:rPr>
      </w:pPr>
      <w:r>
        <w:rPr>
          <w:rFonts w:ascii="Arial" w:hAnsi="Arial" w:hint="cs"/>
          <w:rtl/>
        </w:rPr>
        <w:t xml:space="preserve">ביום 1.8.22 הוגש תסקיר ראשון של שירות המבחן שהתייחס להתאמתה של הנאשמת להליך בבית המשפט הקהילתי. שירות המבחן סקר את הרקע האישי של הנאשמת כבת 51 גרושה ואם לשלישיית ילדים בני 20. הנאשמת שיתפה שביתה נפטרה לפני 22 שנים בהיותה בת שנתיים בלבד. הנאשמת גידלה את שלושת ילדיה בכוחות עצמה לאחר שנפרדה מבעלה סמוך ללידתם. לפני כ </w:t>
      </w:r>
      <w:r>
        <w:rPr>
          <w:rFonts w:ascii="Arial" w:hAnsi="Arial"/>
          <w:rtl/>
        </w:rPr>
        <w:t>–</w:t>
      </w:r>
      <w:r>
        <w:rPr>
          <w:rFonts w:ascii="Arial" w:hAnsi="Arial" w:hint="cs"/>
          <w:rtl/>
        </w:rPr>
        <w:t xml:space="preserve"> 20 שנה חלתה במחלת פיברומיאלגיה ובמהלך השנים מצבה התדרדר ואף מתקשה מאד בניידות ושירות המבחן מציין כי בהגעתה לשירות המבחן התקשתה משמעותית ללכת והדגישה את הקושי בהתארגנות על רקע מצבה הבריאותי המורכב. אין לחובתה של הנאשמת הרשעות קודמות. הנאשמת תיארה כי בשל מצבה הרפואי והכאבים הכרוניים הביאו אותה  למצב שהיתה מוכנה לעשות הכל כדי לשכך את הכאב ולו במעט. לדבריה כיום אינה עושה שימוש בסמי רחוב. שירות המבחן מציין כי ניכר כי ההליך המשפטי לצד המעצר הממושך מהווים עבורה גורם הרתעתי להימנע ממעורבות חוזרת בפלילים. שירות המבחן מציין כי כל עוד מצבה הרפואי אפשר זאת, ניהלה אורח חיים יציב וכיום ניכר כי היא זקוקה לתמיכה וליווי. הנאשמת מבטאת מוטיבציה לשיתוף פעולה עם שירות המבחן אך סבורה שלא תוכל להשתלב בתכנית טיפולית אינטנסיבית. ולפיכך לא המליץ שירות המבחן על הליך שיקומי במסגרת בית המשפט הקהילתי אך המליץ להפנות את הנאשמת לקבלת תסקיר בעניינה. </w:t>
      </w:r>
    </w:p>
    <w:p w14:paraId="49F1D6E9" w14:textId="77777777" w:rsidR="00A22E0E" w:rsidRDefault="00A22E0E" w:rsidP="00A22E0E">
      <w:pPr>
        <w:pStyle w:val="aa"/>
        <w:spacing w:line="360" w:lineRule="auto"/>
        <w:jc w:val="both"/>
        <w:rPr>
          <w:rFonts w:ascii="Arial" w:hAnsi="Arial"/>
        </w:rPr>
      </w:pPr>
    </w:p>
    <w:p w14:paraId="5DCE73A5" w14:textId="77777777" w:rsidR="00A22E0E" w:rsidRDefault="00A22E0E" w:rsidP="00A22E0E">
      <w:pPr>
        <w:pStyle w:val="aa"/>
        <w:numPr>
          <w:ilvl w:val="0"/>
          <w:numId w:val="1"/>
        </w:numPr>
        <w:spacing w:line="360" w:lineRule="auto"/>
        <w:jc w:val="both"/>
        <w:rPr>
          <w:rFonts w:ascii="Arial" w:hAnsi="Arial"/>
        </w:rPr>
      </w:pPr>
      <w:r>
        <w:rPr>
          <w:rFonts w:ascii="Arial" w:hAnsi="Arial" w:hint="cs"/>
          <w:rtl/>
        </w:rPr>
        <w:t xml:space="preserve">ביום 22.6.23 הוגש תסקיר של שירות המבחן. בתסקיר סקר שירות המבחן את הרקע האישי והמשפחתי של הנאשמת. הנאשמת מתקיימת מקצבת נכות ומוכרת על ידי הביטוח הלאומי. הנאשמת תיארה את מות ביתה כאירוע קשה והיא חווה קשיי נפשיים ונוטלת טיפול תרופתי מותאם. הנאשמת עברה תאונת דרכים משמעותית בצעירותה ועברה מספר ניתוחים שיקומיים בגבה, כאשר לאחר הניתוח השני חלה פגיעה נוירולוגית בעקבותיה חלתה במחלה המלווה בכאבים כרוניים. עוד צוין של ידי שירות המבחן כי הנאשמת אוחזת ברישיון לקנבוס רפואי וכן מטופלת בטיפול תרופתי להתמודדות עם הכאבים שהיא חווה. עוד עולה מהתסקיר כי אין לחובתה של הנאשמת הרשעות קודמות. הנאשמת נוטלת אחריות מלאה על מעשיה ומביעה חרטה על מעשיה. שירות המבחן מציין כי הרקע למעורבותה של הנאשמת בעבירה הוא מצוקה רגשית שבה היתה נתונה וכן מצוקה עקב התמודדותה עם מכאובים פיזיים משמעותיים. על רקע מכלול הגורמים, סבור שירות המבחן כי חלה הפחתה בסיכון להישנות עבירות בעתיד וכי לצורך הפחתה נוספת נדרשת התערבות טיפולית במצבה. בתסקיר זה ביקש שירות המבחן דחיה של ארבעה חודשים . </w:t>
      </w:r>
    </w:p>
    <w:p w14:paraId="54377A53" w14:textId="77777777" w:rsidR="00A22E0E" w:rsidRPr="000B1D9A" w:rsidRDefault="00A22E0E" w:rsidP="00A22E0E">
      <w:pPr>
        <w:pStyle w:val="aa"/>
        <w:rPr>
          <w:rFonts w:ascii="Arial" w:hAnsi="Arial"/>
          <w:rtl/>
        </w:rPr>
      </w:pPr>
    </w:p>
    <w:p w14:paraId="6F5CA5E1" w14:textId="77777777" w:rsidR="00A22E0E" w:rsidRDefault="00A22E0E" w:rsidP="00A22E0E">
      <w:pPr>
        <w:pStyle w:val="aa"/>
        <w:numPr>
          <w:ilvl w:val="0"/>
          <w:numId w:val="1"/>
        </w:numPr>
        <w:spacing w:line="360" w:lineRule="auto"/>
        <w:jc w:val="both"/>
        <w:rPr>
          <w:rFonts w:ascii="Arial" w:hAnsi="Arial"/>
        </w:rPr>
      </w:pPr>
      <w:r>
        <w:rPr>
          <w:rFonts w:ascii="Arial" w:hAnsi="Arial" w:hint="cs"/>
          <w:rtl/>
        </w:rPr>
        <w:t xml:space="preserve">ביום 8.10.23 הוגש תסקיר ובו בקשת דחיה של שירות המבחן. בתסקיר ציין שירות המבחן כי הנאשמת שמרה על קשר טלפוני רציף עם שירות המבחן והגיעה לראיון בשירות המבחן בה נבחנה התאמתה להשתלבות בקבוצה טיפולית ממנו עלה כי היא אינה מתאימה לסוג הטיפול לאור מצבה הרפואי. בהתאם ציין שירות המבחן כי הוא בוחן  את אפשרות שילובה בטיפול פרטני. הנאשמת זומנה לשתי בדיקות לאיתור שרידי סם אך לא הגיעה. </w:t>
      </w:r>
    </w:p>
    <w:p w14:paraId="50549FE0" w14:textId="77777777" w:rsidR="00A22E0E" w:rsidRPr="004161C1" w:rsidRDefault="00A22E0E" w:rsidP="00A22E0E">
      <w:pPr>
        <w:pStyle w:val="aa"/>
        <w:rPr>
          <w:rFonts w:ascii="Arial" w:hAnsi="Arial"/>
          <w:rtl/>
        </w:rPr>
      </w:pPr>
    </w:p>
    <w:p w14:paraId="59862705" w14:textId="77777777" w:rsidR="00A22E0E" w:rsidRDefault="00A22E0E" w:rsidP="00A22E0E">
      <w:pPr>
        <w:pStyle w:val="aa"/>
        <w:numPr>
          <w:ilvl w:val="0"/>
          <w:numId w:val="1"/>
        </w:numPr>
        <w:spacing w:line="360" w:lineRule="auto"/>
        <w:jc w:val="both"/>
        <w:rPr>
          <w:rFonts w:ascii="Arial" w:hAnsi="Arial"/>
        </w:rPr>
      </w:pPr>
      <w:r>
        <w:rPr>
          <w:rFonts w:ascii="Arial" w:hAnsi="Arial" w:hint="cs"/>
          <w:rtl/>
        </w:rPr>
        <w:t xml:space="preserve">ביום 31.12.23 הוגש תסקיר משלים . שירות המבחן ציין כי במהלך הדחיה זומנה הנאשמת לשלוש בדיקות לאיתור סמים אך לא הגיעה וזאת מאחר ואושפזה בגין מצבה הרפואי. במועד האחרון אליו זומנה הנאשמת לא עלה בידיה להגיע כיוון שהמלווה שהיה אמור להסיעה לבדיקה שכח. שירות המבחן מסכם את התסקיר ומציין כי לצד התמודדותה עם מצב רפואי מורכב הנאשמת נעדרת כוחות ומוטיבציה מספקת להשתלב בהליך טיפולי.  לפיכך לא המליץ שירות המבחן על המלצה טיפולית כלשהי. </w:t>
      </w:r>
    </w:p>
    <w:p w14:paraId="0A93D212" w14:textId="77777777" w:rsidR="00A22E0E" w:rsidRPr="00192C83" w:rsidRDefault="00A22E0E" w:rsidP="00A22E0E">
      <w:pPr>
        <w:pStyle w:val="aa"/>
        <w:rPr>
          <w:rFonts w:ascii="Arial" w:hAnsi="Arial"/>
          <w:rtl/>
        </w:rPr>
      </w:pPr>
    </w:p>
    <w:p w14:paraId="63EEBB8D" w14:textId="77777777" w:rsidR="00A22E0E" w:rsidRDefault="00A22E0E" w:rsidP="00A22E0E">
      <w:pPr>
        <w:pStyle w:val="aa"/>
        <w:spacing w:line="360" w:lineRule="auto"/>
        <w:jc w:val="both"/>
        <w:rPr>
          <w:rFonts w:ascii="Arial" w:hAnsi="Arial"/>
          <w:b/>
          <w:bCs/>
          <w:u w:val="single"/>
          <w:rtl/>
        </w:rPr>
      </w:pPr>
    </w:p>
    <w:p w14:paraId="589E0735" w14:textId="77777777" w:rsidR="00A22E0E" w:rsidRPr="00192C83" w:rsidRDefault="00A22E0E" w:rsidP="00A22E0E">
      <w:pPr>
        <w:pStyle w:val="aa"/>
        <w:spacing w:line="360" w:lineRule="auto"/>
        <w:jc w:val="both"/>
        <w:rPr>
          <w:rFonts w:ascii="Arial" w:hAnsi="Arial"/>
          <w:b/>
          <w:bCs/>
          <w:u w:val="single"/>
        </w:rPr>
      </w:pPr>
      <w:r w:rsidRPr="00192C83">
        <w:rPr>
          <w:rFonts w:ascii="Arial" w:hAnsi="Arial" w:hint="cs"/>
          <w:b/>
          <w:bCs/>
          <w:u w:val="single"/>
          <w:rtl/>
        </w:rPr>
        <w:t>טיעוני הצדדים לעונש</w:t>
      </w:r>
    </w:p>
    <w:p w14:paraId="4187672D" w14:textId="77777777" w:rsidR="00A22E0E" w:rsidRDefault="00A22E0E" w:rsidP="00A22E0E">
      <w:pPr>
        <w:pStyle w:val="aa"/>
        <w:numPr>
          <w:ilvl w:val="0"/>
          <w:numId w:val="1"/>
        </w:numPr>
        <w:spacing w:line="360" w:lineRule="auto"/>
        <w:jc w:val="both"/>
        <w:rPr>
          <w:rFonts w:ascii="Arial" w:hAnsi="Arial"/>
        </w:rPr>
      </w:pPr>
      <w:r>
        <w:rPr>
          <w:rFonts w:ascii="Arial" w:hAnsi="Arial" w:hint="cs"/>
          <w:rtl/>
        </w:rPr>
        <w:t xml:space="preserve">ב"כ המאשימה הגיש טיעונים לעונש בכתב </w:t>
      </w:r>
      <w:r>
        <w:rPr>
          <w:rFonts w:ascii="Arial" w:hAnsi="Arial"/>
          <w:rtl/>
        </w:rPr>
        <w:t>–</w:t>
      </w:r>
      <w:r>
        <w:rPr>
          <w:rFonts w:ascii="Arial" w:hAnsi="Arial" w:hint="cs"/>
          <w:rtl/>
        </w:rPr>
        <w:t xml:space="preserve"> ת/1 והדגיש את הנסיבות החמורות לביצוע העבירה. ב"כ המאשימה עתר למתחם ענישה שנע בין עונש של 10 חודשי מאסר ברף התחתון לבין עונש של 24 חודשי מאסר ברף העליון. באשר לעונשה של הנאשמת בתוך מתחם העונש לו עתרה המאשימה, טען ב"כ המאשימה לעונש של 12 חודשי מאסר בפועלן לצד רכיבי ענישה נוספים בדמות של מאסר על תנאי, קנס משמעותי, פסילה מלהחזיק רישיון נהיגה ופסילה על תנאי. ב"כ המאשימה טען כי לא נעלמה מעיני המאשימה העובדה כי מדובר בנאשמת ללא עבר פלילי וכן מצבה הרפואי של הנאשמת. יחד עם זאת, טען ב"כ המאשימה הפסיקה בעבירות מסוג זה בשים לב לסוג הסם מצביעה על מתחמים שהרף התחתון כולל עונש של מאסר מאחורי סורג ובריח והפנה לפסיקה רלוונטית. בעקבות הערות בית המשפט שינה ב"כ המאשימה עמדתו וטען למתחם ענישה שנע בין עונש של 8 חודשי מאסר ועד לעונש של 18 חודשי מאסר בפועל ברף העליון ובאשר לעונשה של הנאשמת עתרה המאשימה לעונש של 10 חודשי מאסר בפועל בצירוף ענישה נלווית. </w:t>
      </w:r>
    </w:p>
    <w:p w14:paraId="028E0AE9" w14:textId="77777777" w:rsidR="00A22E0E" w:rsidRDefault="00A22E0E" w:rsidP="00A22E0E">
      <w:pPr>
        <w:pStyle w:val="aa"/>
        <w:spacing w:line="360" w:lineRule="auto"/>
        <w:jc w:val="both"/>
        <w:rPr>
          <w:rFonts w:ascii="Arial" w:hAnsi="Arial"/>
        </w:rPr>
      </w:pPr>
    </w:p>
    <w:p w14:paraId="1E452CCB" w14:textId="77777777" w:rsidR="00A22E0E" w:rsidRDefault="00A22E0E" w:rsidP="00A22E0E">
      <w:pPr>
        <w:pStyle w:val="aa"/>
        <w:numPr>
          <w:ilvl w:val="0"/>
          <w:numId w:val="1"/>
        </w:numPr>
        <w:spacing w:line="360" w:lineRule="auto"/>
        <w:jc w:val="both"/>
        <w:rPr>
          <w:rFonts w:ascii="Arial" w:hAnsi="Arial"/>
        </w:rPr>
      </w:pPr>
      <w:r>
        <w:rPr>
          <w:rFonts w:ascii="Arial" w:hAnsi="Arial" w:hint="cs"/>
          <w:rtl/>
        </w:rPr>
        <w:t xml:space="preserve">ב"כ הנאשמת בטיעוניו הלין על מתחם הענישה לו עותרת המאשימה ועל העונש בו עותרת המאשימה ביחס לנאשמת. כמו כן הפנה הסנגור לעונש שנגזר על הנאשם האחר (שעניינו בכתב אישום נפרד) ולגזר הדין שניתן בעניינו והעונש שהושת עליו של 10 חודשי מאסר בפועל אותם סיים הנאשם לרצות מזמן, המאשימה לא הגישה ערעור על העונש. הסנגור טען כי מדובר בנאשמת שהודתה בהזדמנות הראשונה והיתה עצורה מאחורי סורג ובריח 17 יום. כמו כן טען ב"כ הנאשמת כי מדובר בנאשמת שמעולם לא הסתבכה עם החוק ומדובר בעבירה מיום 1.4.22 וחלף זמן ניכר. ב"כ הנאשמת הפנה לתסקירי שירות המבחן, לנסיבותיה האישיות כפי שמפורטים בתסקיר. הסנגור הגיש אסופה של מסמכים רפואיים וטען כי מצבה הבריאותי של הנאשמת הוחמר. ב"כ הנאשמת טען כי לטעמו מתחם העונש ההולם נע בין עונש של מאסר על תנאי לבן עונש של מספר חודשי מאסר הדרך של עבודות שירות. </w:t>
      </w:r>
    </w:p>
    <w:p w14:paraId="5ED4184D" w14:textId="77777777" w:rsidR="00A22E0E" w:rsidRPr="00DB7647" w:rsidRDefault="00A22E0E" w:rsidP="00A22E0E">
      <w:pPr>
        <w:pStyle w:val="aa"/>
        <w:rPr>
          <w:rFonts w:ascii="Arial" w:hAnsi="Arial"/>
          <w:rtl/>
        </w:rPr>
      </w:pPr>
    </w:p>
    <w:p w14:paraId="09B5276E" w14:textId="77777777" w:rsidR="00A22E0E" w:rsidRPr="00B1415E" w:rsidRDefault="00A22E0E" w:rsidP="00A22E0E">
      <w:pPr>
        <w:pStyle w:val="aa"/>
        <w:numPr>
          <w:ilvl w:val="0"/>
          <w:numId w:val="1"/>
        </w:numPr>
        <w:spacing w:line="360" w:lineRule="auto"/>
        <w:jc w:val="both"/>
        <w:rPr>
          <w:rFonts w:ascii="Arial" w:hAnsi="Arial"/>
          <w:b/>
          <w:bCs/>
          <w:rtl/>
        </w:rPr>
      </w:pPr>
      <w:r>
        <w:rPr>
          <w:rFonts w:ascii="Arial" w:hAnsi="Arial" w:hint="cs"/>
          <w:rtl/>
        </w:rPr>
        <w:t>הנאשמת בדבריה אמרה :"</w:t>
      </w:r>
      <w:r>
        <w:rPr>
          <w:rFonts w:ascii="Arial" w:hAnsi="Arial" w:hint="cs"/>
          <w:b/>
          <w:bCs/>
          <w:rtl/>
        </w:rPr>
        <w:t>אולי אני מבחוץ נראית בסדר אבל זה לא ככה כי אני סובלת 24/7 כאבים, אני לא מתפקדת מהמיטה להם זה המקום היחידי שאני יוצאת ובתי חולים</w:t>
      </w:r>
      <w:r w:rsidRPr="00B1415E">
        <w:rPr>
          <w:rFonts w:ascii="Arial" w:hAnsi="Arial" w:hint="cs"/>
          <w:b/>
          <w:bCs/>
          <w:rtl/>
        </w:rPr>
        <w:t xml:space="preserve">. אני בן אדם חי בתוך גוף מת, עשיתי עבירה אני מודה, טעיתי, השיקולים לא היו נכונים אבל </w:t>
      </w:r>
      <w:r>
        <w:rPr>
          <w:rFonts w:ascii="Arial" w:hAnsi="Arial" w:hint="cs"/>
          <w:b/>
          <w:bCs/>
          <w:rtl/>
        </w:rPr>
        <w:t xml:space="preserve">עברתי תקופה ממש קשה, עברתי התמוטטות עצבים באותה תקופה והכל משבש אותי בחיים. אני חולה שנים במחלה הזאת לפני שנת 2000. אין לי שליטה בסוגרים, אני מהחדר לשירותים לא מצליחה להגיע, אני נרדמת אני יכולה לשבת פה ולהירדם. אני גרה אצל אמא שלי והיא מטפלת בי שגם אמא היא אחרי ניתוח. עברתי משברים בחיים ואני יודעת שעשיתי טעות בסך הכל אני בן אדם נורמטיבי שעבדתי כל החיים, אני בן אדם עובד, גידלתי שלושה ילדים לתפארת לבד, הגרוש שלי עזב את הבית איך שהם נולדו. גם המצב הזה מה-7.10.23 לא תורם כי הבת שלי קרבית ובדרום ואני כל הזמן בלחץ והיא גם לא מדברת איתי כל יום ונהרג לנו מישהו במשפחה ירון זוהר בן 19 חייל גולני". </w:t>
      </w:r>
    </w:p>
    <w:p w14:paraId="05B65831" w14:textId="77777777" w:rsidR="00A22E0E" w:rsidRPr="00B1415E" w:rsidRDefault="00A22E0E" w:rsidP="00A22E0E">
      <w:pPr>
        <w:rPr>
          <w:rFonts w:ascii="Arial" w:hAnsi="Arial"/>
          <w:b/>
          <w:bCs/>
          <w:sz w:val="26"/>
          <w:szCs w:val="26"/>
          <w:u w:val="single"/>
          <w:rtl/>
        </w:rPr>
      </w:pPr>
    </w:p>
    <w:p w14:paraId="3F62103D" w14:textId="77777777" w:rsidR="00A22E0E" w:rsidRDefault="00A22E0E" w:rsidP="00A22E0E">
      <w:pPr>
        <w:spacing w:line="360" w:lineRule="auto"/>
        <w:ind w:firstLine="720"/>
        <w:rPr>
          <w:b/>
          <w:bCs/>
          <w:u w:val="single"/>
        </w:rPr>
      </w:pPr>
      <w:r>
        <w:rPr>
          <w:rFonts w:hint="cs"/>
          <w:b/>
          <w:bCs/>
          <w:u w:val="single"/>
          <w:rtl/>
        </w:rPr>
        <w:t>דיון והכרעה</w:t>
      </w:r>
    </w:p>
    <w:p w14:paraId="3015D618" w14:textId="77777777" w:rsidR="00A22E0E" w:rsidRDefault="00A22E0E" w:rsidP="00A22E0E">
      <w:pPr>
        <w:pStyle w:val="aa"/>
        <w:numPr>
          <w:ilvl w:val="0"/>
          <w:numId w:val="1"/>
        </w:numPr>
        <w:spacing w:line="360" w:lineRule="auto"/>
        <w:jc w:val="both"/>
        <w:rPr>
          <w:rtl/>
        </w:rPr>
      </w:pPr>
      <w:r>
        <w:rPr>
          <w:rFonts w:hint="cs"/>
          <w:rtl/>
        </w:rPr>
        <w:t>בהיעדר מחלוקת בין הצדדים על כך שמכלול מעשיה של הנאשמת מהווה "אירוע" אחד, ובהתאם לתיקון 113 ל</w:t>
      </w:r>
      <w:hyperlink r:id="rId15" w:history="1">
        <w:r w:rsidR="003A3FA0" w:rsidRPr="003A3FA0">
          <w:rPr>
            <w:color w:val="0000FF"/>
            <w:u w:val="single"/>
            <w:rtl/>
          </w:rPr>
          <w:t>חוק העונשין</w:t>
        </w:r>
      </w:hyperlink>
      <w:r>
        <w:rPr>
          <w:rFonts w:hint="cs"/>
          <w:rtl/>
        </w:rPr>
        <w:t xml:space="preserve">  ולפסיקת בית המשפט העליון ומבחן ה"קשר ההדוק" אני קובעת כי כתב האישום מגלה אירוע אחד בגינו יש לקבוע מתחם עונש אחד. </w:t>
      </w:r>
    </w:p>
    <w:p w14:paraId="50C319B4" w14:textId="77777777" w:rsidR="00A22E0E" w:rsidRDefault="00A22E0E" w:rsidP="00A22E0E">
      <w:pPr>
        <w:pStyle w:val="aa"/>
        <w:spacing w:line="360" w:lineRule="auto"/>
        <w:jc w:val="both"/>
        <w:rPr>
          <w:rFonts w:ascii="David" w:hAnsi="David"/>
          <w:rtl/>
        </w:rPr>
      </w:pPr>
    </w:p>
    <w:p w14:paraId="67BDF710" w14:textId="77777777" w:rsidR="00A22E0E" w:rsidRPr="00C65DB8" w:rsidRDefault="00A22E0E" w:rsidP="00A22E0E">
      <w:pPr>
        <w:pStyle w:val="1"/>
        <w:spacing w:before="0" w:line="360" w:lineRule="auto"/>
        <w:ind w:firstLine="720"/>
        <w:rPr>
          <w:rFonts w:ascii="David" w:eastAsia="David" w:hAnsi="David" w:cs="David"/>
          <w:sz w:val="24"/>
          <w:szCs w:val="24"/>
          <w:u w:val="single"/>
        </w:rPr>
      </w:pPr>
      <w:r w:rsidRPr="00C65DB8">
        <w:rPr>
          <w:rFonts w:ascii="David" w:eastAsia="David" w:hAnsi="David" w:cs="David"/>
          <w:b w:val="0"/>
          <w:sz w:val="24"/>
          <w:szCs w:val="24"/>
          <w:u w:val="single"/>
          <w:rtl/>
        </w:rPr>
        <w:t>קביעת מתחם העונש ההולם</w:t>
      </w:r>
      <w:r w:rsidRPr="00C65DB8">
        <w:rPr>
          <w:rFonts w:ascii="David" w:eastAsia="David" w:hAnsi="David" w:cs="David"/>
          <w:sz w:val="24"/>
          <w:szCs w:val="24"/>
          <w:u w:val="single"/>
          <w:rtl/>
        </w:rPr>
        <w:t xml:space="preserve"> </w:t>
      </w:r>
    </w:p>
    <w:p w14:paraId="7DBC177F" w14:textId="77777777" w:rsidR="00A22E0E" w:rsidRPr="00EB071E" w:rsidRDefault="00A22E0E" w:rsidP="00A22E0E">
      <w:pPr>
        <w:pStyle w:val="aa"/>
        <w:numPr>
          <w:ilvl w:val="0"/>
          <w:numId w:val="1"/>
        </w:numPr>
        <w:spacing w:line="360" w:lineRule="auto"/>
        <w:jc w:val="both"/>
        <w:rPr>
          <w:rFonts w:ascii="David" w:eastAsia="David" w:hAnsi="David"/>
          <w:rtl/>
        </w:rPr>
      </w:pPr>
      <w:r w:rsidRPr="00EB071E">
        <w:rPr>
          <w:rFonts w:ascii="David" w:hAnsi="David"/>
          <w:rtl/>
        </w:rPr>
        <w:t xml:space="preserve">כאמור </w:t>
      </w:r>
      <w:hyperlink r:id="rId16" w:history="1">
        <w:r w:rsidR="009B1E2A" w:rsidRPr="009B1E2A">
          <w:rPr>
            <w:rStyle w:val="Hyperlink"/>
            <w:rFonts w:ascii="David" w:hAnsi="David"/>
            <w:rtl/>
          </w:rPr>
          <w:t>בסעיף 40ג(א)</w:t>
        </w:r>
      </w:hyperlink>
      <w:r w:rsidRPr="00EB071E">
        <w:rPr>
          <w:rFonts w:ascii="David" w:hAnsi="David"/>
          <w:rtl/>
        </w:rPr>
        <w:t xml:space="preserve"> ל</w:t>
      </w:r>
      <w:hyperlink r:id="rId17" w:history="1">
        <w:r w:rsidR="003A3FA0" w:rsidRPr="003A3FA0">
          <w:rPr>
            <w:rFonts w:ascii="David" w:hAnsi="David"/>
            <w:color w:val="0000FF"/>
            <w:u w:val="single"/>
            <w:rtl/>
          </w:rPr>
          <w:t>חוק העונשין</w:t>
        </w:r>
      </w:hyperlink>
      <w:r w:rsidRPr="00EB071E">
        <w:rPr>
          <w:rFonts w:ascii="David" w:hAnsi="David"/>
          <w:rtl/>
        </w:rPr>
        <w:t>, 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w:t>
      </w:r>
    </w:p>
    <w:p w14:paraId="33DE588D" w14:textId="77777777" w:rsidR="00A22E0E" w:rsidRDefault="00A22E0E" w:rsidP="00A22E0E">
      <w:pPr>
        <w:pStyle w:val="aa"/>
        <w:spacing w:line="360" w:lineRule="auto"/>
        <w:jc w:val="both"/>
      </w:pPr>
    </w:p>
    <w:p w14:paraId="73F7E4F9" w14:textId="77777777" w:rsidR="00A22E0E" w:rsidRDefault="00A22E0E" w:rsidP="00A22E0E">
      <w:pPr>
        <w:pStyle w:val="aa"/>
        <w:numPr>
          <w:ilvl w:val="0"/>
          <w:numId w:val="1"/>
        </w:numPr>
        <w:spacing w:line="360" w:lineRule="auto"/>
        <w:jc w:val="both"/>
        <w:rPr>
          <w:rFonts w:ascii="David" w:eastAsia="David" w:hAnsi="David"/>
        </w:rPr>
      </w:pPr>
      <w:r>
        <w:rPr>
          <w:rFonts w:hint="cs"/>
          <w:rtl/>
        </w:rPr>
        <w:t>בכל הנוגע</w:t>
      </w:r>
      <w:r>
        <w:rPr>
          <w:rFonts w:hint="cs"/>
          <w:b/>
          <w:bCs/>
          <w:rtl/>
        </w:rPr>
        <w:t xml:space="preserve"> לערכים החברתיים המוגנים</w:t>
      </w:r>
      <w:r>
        <w:rPr>
          <w:rFonts w:hint="cs"/>
          <w:rtl/>
        </w:rPr>
        <w:t xml:space="preserve"> אשר נפגעו כתוצאה ממעשיה של הנאשמת  נדמה כי אין צורך להכביר מילים על אודות החומרה הרבה הכרוכה בעבירות הסמים. </w:t>
      </w:r>
      <w:hyperlink r:id="rId18" w:history="1">
        <w:r w:rsidR="003A3FA0" w:rsidRPr="003A3FA0">
          <w:rPr>
            <w:color w:val="0000FF"/>
            <w:u w:val="single"/>
            <w:rtl/>
          </w:rPr>
          <w:t>פקודת הסמים המסוכנים</w:t>
        </w:r>
      </w:hyperlink>
      <w:r>
        <w:rPr>
          <w:rFonts w:hint="cs"/>
          <w:rtl/>
        </w:rPr>
        <w:t xml:space="preserve"> נחקקה על מנת להגן על ערכים חברתיים מרכזיים ובראשם החובה להגן על שלומו של הציבור, בריאותו, ביטחונו האישי ועל רכושו.</w:t>
      </w:r>
    </w:p>
    <w:p w14:paraId="081816CD" w14:textId="77777777" w:rsidR="00A22E0E" w:rsidRDefault="00A22E0E" w:rsidP="00A22E0E">
      <w:pPr>
        <w:pStyle w:val="aa"/>
        <w:rPr>
          <w:rtl/>
        </w:rPr>
      </w:pPr>
    </w:p>
    <w:p w14:paraId="1F2F7125" w14:textId="77777777" w:rsidR="00A22E0E" w:rsidRDefault="00A22E0E" w:rsidP="00A22E0E">
      <w:pPr>
        <w:pStyle w:val="aa"/>
        <w:numPr>
          <w:ilvl w:val="0"/>
          <w:numId w:val="1"/>
        </w:numPr>
        <w:spacing w:line="360" w:lineRule="auto"/>
        <w:jc w:val="both"/>
      </w:pPr>
      <w:r>
        <w:rPr>
          <w:rFonts w:hint="cs"/>
          <w:rtl/>
        </w:rPr>
        <w:t xml:space="preserve">בבחינת </w:t>
      </w:r>
      <w:r>
        <w:rPr>
          <w:rFonts w:hint="cs"/>
          <w:b/>
          <w:bCs/>
          <w:rtl/>
        </w:rPr>
        <w:t xml:space="preserve">הנסיבות הקשורות בביצוע </w:t>
      </w:r>
      <w:r>
        <w:rPr>
          <w:rFonts w:hint="cs"/>
          <w:rtl/>
        </w:rPr>
        <w:t xml:space="preserve"> </w:t>
      </w:r>
      <w:r>
        <w:rPr>
          <w:rFonts w:hint="cs"/>
          <w:b/>
          <w:bCs/>
          <w:rtl/>
        </w:rPr>
        <w:t>העבירה,</w:t>
      </w:r>
      <w:r>
        <w:rPr>
          <w:rFonts w:hint="cs"/>
          <w:rtl/>
        </w:rPr>
        <w:t xml:space="preserve"> נתתי דעתי בראש ובראשונה לסוג הסם אותו החזיקה הנאשמת.  המדובר בסם מסוכן מסוג קוקאין הנמנה עם "הסמים הקשים" אותם החזיקה הנאשמת ב </w:t>
      </w:r>
      <w:r>
        <w:rPr>
          <w:rtl/>
        </w:rPr>
        <w:t>–</w:t>
      </w:r>
      <w:r>
        <w:rPr>
          <w:rFonts w:hint="cs"/>
          <w:rtl/>
        </w:rPr>
        <w:t xml:space="preserve"> 12 יחידות שונות במשקל כולל של 5.8.גרם  נטו וזאת שלא לצריכתה העצמית.  </w:t>
      </w:r>
    </w:p>
    <w:p w14:paraId="7A145488" w14:textId="77777777" w:rsidR="00A22E0E" w:rsidRDefault="00A22E0E" w:rsidP="00A22E0E">
      <w:pPr>
        <w:pStyle w:val="aa"/>
        <w:rPr>
          <w:rtl/>
        </w:rPr>
      </w:pPr>
    </w:p>
    <w:p w14:paraId="78FBD92B" w14:textId="77777777" w:rsidR="00A22E0E" w:rsidRDefault="00A22E0E" w:rsidP="00A22E0E">
      <w:pPr>
        <w:pStyle w:val="aa"/>
        <w:numPr>
          <w:ilvl w:val="0"/>
          <w:numId w:val="1"/>
        </w:numPr>
        <w:spacing w:line="360" w:lineRule="auto"/>
        <w:jc w:val="both"/>
        <w:rPr>
          <w:b/>
          <w:bCs/>
        </w:rPr>
      </w:pPr>
      <w:r>
        <w:rPr>
          <w:rFonts w:hint="cs"/>
          <w:b/>
          <w:bCs/>
          <w:rtl/>
        </w:rPr>
        <w:t>באשר למדיניות הענישה הנהוגה בגין החזקה של סם מסוכן מסוג הרואין או קוקאין שלא לצריכה עצמית, בכמויות של עשרות גרמים, כבר קבע בית משפט העליון ב</w:t>
      </w:r>
      <w:hyperlink r:id="rId19" w:history="1">
        <w:r w:rsidR="003A3FA0" w:rsidRPr="003A3FA0">
          <w:rPr>
            <w:b/>
            <w:bCs/>
            <w:color w:val="0000FF"/>
            <w:u w:val="single"/>
            <w:rtl/>
          </w:rPr>
          <w:t>ע"פ 4592/15</w:t>
        </w:r>
      </w:hyperlink>
      <w:r>
        <w:rPr>
          <w:rFonts w:hint="cs"/>
          <w:b/>
          <w:bCs/>
          <w:rtl/>
        </w:rPr>
        <w:t xml:space="preserve"> אשר מסעוד פדידה נ' מדינת ישראל (8.2.16) כדלקמן –</w:t>
      </w:r>
    </w:p>
    <w:p w14:paraId="70C738E2" w14:textId="77777777" w:rsidR="00A22E0E" w:rsidRDefault="00A22E0E" w:rsidP="00A22E0E">
      <w:pPr>
        <w:pStyle w:val="aa"/>
        <w:spacing w:line="360" w:lineRule="auto"/>
        <w:ind w:left="1440"/>
        <w:jc w:val="both"/>
        <w:rPr>
          <w:rFonts w:ascii="David" w:hAnsi="David"/>
        </w:rPr>
      </w:pPr>
      <w:r>
        <w:rPr>
          <w:rFonts w:ascii="Miriam" w:hAnsi="Miriam" w:cs="Miriam"/>
          <w:rtl/>
        </w:rPr>
        <w:t>"מסקירת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 (</w:t>
      </w:r>
      <w:hyperlink r:id="rId20" w:history="1">
        <w:r w:rsidR="003A3FA0" w:rsidRPr="003A3FA0">
          <w:rPr>
            <w:rFonts w:ascii="Miriam" w:hAnsi="Miriam" w:cs="Miriam"/>
            <w:color w:val="0000FF"/>
            <w:u w:val="single"/>
            <w:rtl/>
          </w:rPr>
          <w:t>ע"פ 8820/14</w:t>
        </w:r>
      </w:hyperlink>
      <w:r>
        <w:rPr>
          <w:rFonts w:ascii="Miriam" w:hAnsi="Miriam" w:cs="Miriam"/>
          <w:rtl/>
        </w:rPr>
        <w:t xml:space="preserve"> זהר שחר נ' מדינת ישראל [פורסם בנבו] (2015) בפסקה 12 וההפניות שם; </w:t>
      </w:r>
      <w:hyperlink r:id="rId21" w:history="1">
        <w:r w:rsidR="00804958" w:rsidRPr="00804958">
          <w:rPr>
            <w:rFonts w:ascii="Miriam" w:hAnsi="Miriam" w:cs="Miriam"/>
            <w:color w:val="0000FF"/>
            <w:u w:val="single"/>
            <w:rtl/>
          </w:rPr>
          <w:t xml:space="preserve">1313/14 </w:t>
        </w:r>
      </w:hyperlink>
      <w:r>
        <w:rPr>
          <w:rFonts w:ascii="Miriam" w:hAnsi="Miriam" w:cs="Miriam"/>
          <w:rtl/>
        </w:rPr>
        <w:t xml:space="preserve"> גמאל בהתימי נ' מדינת ישראל [פורסם בנבו] (2015); עניין פיצו, בפסקה 14 וההפניות שם; </w:t>
      </w:r>
      <w:hyperlink r:id="rId22" w:history="1">
        <w:r w:rsidR="003A3FA0" w:rsidRPr="003A3FA0">
          <w:rPr>
            <w:rFonts w:ascii="Miriam" w:hAnsi="Miriam" w:cs="Miriam"/>
            <w:color w:val="0000FF"/>
            <w:u w:val="single"/>
            <w:rtl/>
          </w:rPr>
          <w:t>ע"פ 5374/12</w:t>
        </w:r>
      </w:hyperlink>
      <w:r>
        <w:rPr>
          <w:rFonts w:ascii="Miriam" w:hAnsi="Miriam" w:cs="Miriam"/>
          <w:rtl/>
        </w:rPr>
        <w:t xml:space="preserve"> אברג'יל נ' מדינת ישראל [פורסם בנבו] (2013); </w:t>
      </w:r>
      <w:hyperlink r:id="rId23" w:history="1">
        <w:r w:rsidR="003A3FA0" w:rsidRPr="003A3FA0">
          <w:rPr>
            <w:rFonts w:ascii="Miriam" w:hAnsi="Miriam" w:cs="Miriam"/>
            <w:color w:val="0000FF"/>
            <w:u w:val="single"/>
            <w:rtl/>
          </w:rPr>
          <w:t>ע"פ 11469/05</w:t>
        </w:r>
      </w:hyperlink>
      <w:r>
        <w:rPr>
          <w:rFonts w:ascii="Miriam" w:hAnsi="Miriam" w:cs="Miriam"/>
          <w:rtl/>
        </w:rPr>
        <w:t xml:space="preserve"> מדינת ישראל נ' עייש [פורסם בנבו] (2006); </w:t>
      </w:r>
      <w:hyperlink r:id="rId24" w:history="1">
        <w:r w:rsidR="00804958" w:rsidRPr="00804958">
          <w:rPr>
            <w:rStyle w:val="Hyperlink"/>
            <w:rFonts w:ascii="Miriam" w:hAnsi="Miriam" w:cs="Miriam"/>
            <w:rtl/>
          </w:rPr>
          <w:t xml:space="preserve">5958/13 </w:t>
        </w:r>
      </w:hyperlink>
      <w:r>
        <w:rPr>
          <w:rFonts w:ascii="Miriam" w:hAnsi="Miriam" w:cs="Miriam"/>
          <w:rtl/>
        </w:rPr>
        <w:t xml:space="preserve"> גיא שרגא סבג נ' מדינת ישראל [פורסם בנבו] (2014); </w:t>
      </w:r>
      <w:hyperlink r:id="rId25" w:history="1">
        <w:r w:rsidR="00804958" w:rsidRPr="00804958">
          <w:rPr>
            <w:rFonts w:ascii="Miriam" w:hAnsi="Miriam" w:cs="Miriam"/>
            <w:color w:val="0000FF"/>
            <w:u w:val="single"/>
            <w:rtl/>
          </w:rPr>
          <w:t xml:space="preserve">4203/14 </w:t>
        </w:r>
      </w:hyperlink>
      <w:r>
        <w:rPr>
          <w:rFonts w:ascii="Miriam" w:hAnsi="Miriam" w:cs="Miriam"/>
          <w:rtl/>
        </w:rPr>
        <w:t xml:space="preserve"> אליהו כהן נ' מדינת ישראל [פורסם בנבו] (2015))".</w:t>
      </w:r>
    </w:p>
    <w:p w14:paraId="25DE3675" w14:textId="77777777" w:rsidR="00A22E0E" w:rsidRDefault="00A22E0E" w:rsidP="00A22E0E">
      <w:pPr>
        <w:spacing w:line="360" w:lineRule="auto"/>
        <w:jc w:val="both"/>
      </w:pPr>
    </w:p>
    <w:p w14:paraId="58DBDFD3" w14:textId="77777777" w:rsidR="00A22E0E" w:rsidRDefault="00A22E0E" w:rsidP="00A22E0E">
      <w:pPr>
        <w:pStyle w:val="aa"/>
        <w:numPr>
          <w:ilvl w:val="0"/>
          <w:numId w:val="1"/>
        </w:numPr>
        <w:spacing w:line="360" w:lineRule="auto"/>
        <w:jc w:val="both"/>
      </w:pPr>
      <w:r>
        <w:rPr>
          <w:rFonts w:hint="cs"/>
          <w:rtl/>
        </w:rPr>
        <w:t xml:space="preserve">באשר למדיניות הענישה אפנה למקרים הבאים אשר בחלקם מדובר בנסיבות חמורות הרבה יותר מענייננו: </w:t>
      </w:r>
    </w:p>
    <w:p w14:paraId="062679C6" w14:textId="77777777" w:rsidR="00A22E0E" w:rsidRDefault="00A22E0E" w:rsidP="00A22E0E">
      <w:pPr>
        <w:pStyle w:val="aa"/>
        <w:spacing w:line="360" w:lineRule="auto"/>
        <w:jc w:val="both"/>
      </w:pPr>
    </w:p>
    <w:p w14:paraId="0D1A456C" w14:textId="77777777" w:rsidR="00A22E0E" w:rsidRDefault="00A22E0E" w:rsidP="00A22E0E">
      <w:pPr>
        <w:pStyle w:val="aa"/>
        <w:spacing w:line="360" w:lineRule="auto"/>
        <w:jc w:val="both"/>
        <w:rPr>
          <w:rtl/>
        </w:rPr>
      </w:pPr>
      <w:r>
        <w:rPr>
          <w:rFonts w:hint="cs"/>
          <w:rtl/>
        </w:rPr>
        <w:t>ב</w:t>
      </w:r>
      <w:hyperlink r:id="rId26" w:history="1">
        <w:r w:rsidR="003A3FA0" w:rsidRPr="003A3FA0">
          <w:rPr>
            <w:color w:val="0000FF"/>
            <w:u w:val="single"/>
            <w:rtl/>
          </w:rPr>
          <w:t>רע"פ 1273/08</w:t>
        </w:r>
      </w:hyperlink>
      <w:r>
        <w:rPr>
          <w:rtl/>
        </w:rPr>
        <w:t xml:space="preserve"> </w:t>
      </w:r>
      <w:r>
        <w:rPr>
          <w:rFonts w:hint="cs"/>
          <w:b/>
          <w:bCs/>
          <w:rtl/>
        </w:rPr>
        <w:t>חמאמדה נ' מדינת ישראל</w:t>
      </w:r>
      <w:r>
        <w:rPr>
          <w:rFonts w:hint="cs"/>
          <w:rtl/>
        </w:rPr>
        <w:t xml:space="preserve"> (11.2.08), אישר בית המשפט העליון את פסק דינו של בית המשפט המחוזי, אשר דחה ערעור על פסק דינו של בית משפט השלום שהשית על נאשם בעל עבר מכביד, שהורשע על יסוד הודאתו בעבירה של החזקת סם שלא לצריכה עצמית (נתפס כשהוא מחזיק סם מסוכן מסוג הרואין במשקל 32.3857 גרם, סם מסוכן מסוג קוקאין במשקל 1.3588 גרם, וסם מסוכן מסוג חשיש במשקל 9.2808 גרם) וצירף תיק נוסף בו הודה בהחזקת סם מסוכן מסוג קוקאין במשקל של 2.3 גרם וסם מסוכן מסוג קנבוס במשקל 14 גרם, 12 חודשי מאסר בפועל, תוך הפעלה בחופף של מאסר על תנאי בן 8 חודשים.</w:t>
      </w:r>
    </w:p>
    <w:p w14:paraId="43E60551" w14:textId="77777777" w:rsidR="00A22E0E" w:rsidRDefault="00A22E0E" w:rsidP="00A22E0E">
      <w:pPr>
        <w:pStyle w:val="aa"/>
        <w:spacing w:line="360" w:lineRule="auto"/>
        <w:jc w:val="both"/>
        <w:rPr>
          <w:rFonts w:ascii="David" w:hAnsi="David"/>
        </w:rPr>
      </w:pPr>
    </w:p>
    <w:p w14:paraId="6A66E065" w14:textId="77777777" w:rsidR="00A22E0E" w:rsidRDefault="00A22E0E" w:rsidP="00A22E0E">
      <w:pPr>
        <w:spacing w:line="360" w:lineRule="auto"/>
        <w:jc w:val="both"/>
        <w:rPr>
          <w:rFonts w:ascii="David" w:hAnsi="David"/>
          <w:rtl/>
        </w:rPr>
      </w:pPr>
    </w:p>
    <w:p w14:paraId="07BB7915" w14:textId="77777777" w:rsidR="00A22E0E" w:rsidRDefault="00A22E0E" w:rsidP="00A22E0E">
      <w:pPr>
        <w:spacing w:line="360" w:lineRule="auto"/>
        <w:ind w:left="720"/>
        <w:jc w:val="both"/>
      </w:pPr>
      <w:r>
        <w:rPr>
          <w:rFonts w:hint="cs"/>
          <w:rtl/>
        </w:rPr>
        <w:t>ב</w:t>
      </w:r>
      <w:hyperlink r:id="rId27" w:history="1">
        <w:r w:rsidR="003A3FA0" w:rsidRPr="003A3FA0">
          <w:rPr>
            <w:color w:val="0000FF"/>
            <w:u w:val="single"/>
            <w:rtl/>
          </w:rPr>
          <w:t>רע"פ 1273/08</w:t>
        </w:r>
      </w:hyperlink>
      <w:r>
        <w:rPr>
          <w:rtl/>
        </w:rPr>
        <w:t xml:space="preserve"> </w:t>
      </w:r>
      <w:r>
        <w:rPr>
          <w:rFonts w:hint="cs"/>
          <w:b/>
          <w:bCs/>
          <w:rtl/>
        </w:rPr>
        <w:t>חמאמדה נ' מדינת ישראל</w:t>
      </w:r>
      <w:r>
        <w:rPr>
          <w:rFonts w:hint="cs"/>
          <w:rtl/>
        </w:rPr>
        <w:t xml:space="preserve"> (11.2.08), אישר בית המשפט העליון את פסק דינו של בית המשפט המחוזי, אשר דחה ערעור על פסק דינו של בית משפט השלום שהשית על נאשם בעל עבר מכביד, שהורשע על יסוד הודאתו בעבירה של החזקת סם שלא לצריכה עצמית (נתפס כשהוא מחזיק סם מסוכן מסוג הרואין במשקל 32.3857 גרם, סם מסוכן מסוג קוקאין במשקל 1.3588 גרם, וסם מסוכן מסוג חשיש במשקל 9.2808 גרם) וצירף תיק נוסף בו הודה בהחזקת סם מסוכן מסוג קוקאין במשקל של 2.3 גרם וסם מסוכן מסוג קנבוס במשקל 14 גרם, 12 חודשי מאסר בפועל, תוך הפעלה בחופף של מאסר על תנאי בן 8 חודשים.</w:t>
      </w:r>
    </w:p>
    <w:p w14:paraId="3E20CDCE" w14:textId="77777777" w:rsidR="00A22E0E" w:rsidRDefault="00A22E0E" w:rsidP="00A22E0E">
      <w:pPr>
        <w:spacing w:line="360" w:lineRule="auto"/>
        <w:ind w:left="720"/>
        <w:jc w:val="both"/>
        <w:rPr>
          <w:rtl/>
        </w:rPr>
      </w:pPr>
    </w:p>
    <w:p w14:paraId="0B843400" w14:textId="77777777" w:rsidR="00A22E0E" w:rsidRDefault="003A3FA0" w:rsidP="00A22E0E">
      <w:pPr>
        <w:spacing w:line="360" w:lineRule="auto"/>
        <w:ind w:left="720"/>
        <w:jc w:val="both"/>
        <w:rPr>
          <w:rFonts w:ascii="David" w:hAnsi="David"/>
          <w:rtl/>
        </w:rPr>
      </w:pPr>
      <w:hyperlink r:id="rId28" w:history="1">
        <w:r w:rsidRPr="003A3FA0">
          <w:rPr>
            <w:color w:val="0000FF"/>
            <w:u w:val="single"/>
            <w:rtl/>
          </w:rPr>
          <w:t>עפ"ג 7474-09-17</w:t>
        </w:r>
      </w:hyperlink>
      <w:r w:rsidR="00A22E0E">
        <w:rPr>
          <w:rFonts w:hint="cs"/>
          <w:rtl/>
        </w:rPr>
        <w:t xml:space="preserve"> </w:t>
      </w:r>
      <w:r w:rsidR="00A22E0E">
        <w:rPr>
          <w:rFonts w:hint="cs"/>
          <w:b/>
          <w:bCs/>
          <w:rtl/>
        </w:rPr>
        <w:t>מדינת ישראל נ' שגב</w:t>
      </w:r>
      <w:r w:rsidR="00A22E0E">
        <w:rPr>
          <w:rFonts w:hint="cs"/>
          <w:rtl/>
        </w:rPr>
        <w:t xml:space="preserve"> (26.2.17) בו הורשע נאשם בעבירה של החזקת סם מסוג קוקאין במשקל של 31.37 גרם, ולאור הליך שיקום משמעותי נידון הנאשם ל-6 חודשי עבודות שירות.</w:t>
      </w:r>
    </w:p>
    <w:p w14:paraId="69CBA782" w14:textId="77777777" w:rsidR="00A22E0E" w:rsidRDefault="00A22E0E" w:rsidP="00A22E0E">
      <w:pPr>
        <w:spacing w:line="360" w:lineRule="auto"/>
        <w:ind w:left="720"/>
        <w:jc w:val="both"/>
      </w:pPr>
    </w:p>
    <w:p w14:paraId="44E61951" w14:textId="77777777" w:rsidR="00A22E0E" w:rsidRDefault="00A22E0E" w:rsidP="00A22E0E">
      <w:pPr>
        <w:spacing w:line="360" w:lineRule="auto"/>
        <w:ind w:left="720"/>
        <w:jc w:val="both"/>
      </w:pPr>
      <w:r>
        <w:rPr>
          <w:rFonts w:hint="cs"/>
          <w:rtl/>
        </w:rPr>
        <w:t xml:space="preserve">עפ"ג </w:t>
      </w:r>
      <w:hyperlink r:id="rId29" w:history="1">
        <w:r w:rsidR="00804958" w:rsidRPr="00804958">
          <w:rPr>
            <w:color w:val="0000FF"/>
            <w:u w:val="single"/>
            <w:rtl/>
          </w:rPr>
          <w:t xml:space="preserve">4757-09-12 </w:t>
        </w:r>
      </w:hyperlink>
      <w:r>
        <w:rPr>
          <w:rFonts w:hint="cs"/>
          <w:rtl/>
        </w:rPr>
        <w:t xml:space="preserve"> </w:t>
      </w:r>
      <w:r>
        <w:rPr>
          <w:rFonts w:hint="cs"/>
          <w:b/>
          <w:bCs/>
          <w:rtl/>
        </w:rPr>
        <w:t xml:space="preserve">דהן נ' מדינת ישראל </w:t>
      </w:r>
      <w:r>
        <w:rPr>
          <w:rFonts w:hint="cs"/>
          <w:rtl/>
        </w:rPr>
        <w:t>(21.3.13) נידון עניינו של נאשם שהורשע בהחזקת סם מסוג קוקאין במשקל של 17.2 גרם נטו מחולק ל-6 אריזות ונידון ל-12 חודשי מאסר בפועל.</w:t>
      </w:r>
    </w:p>
    <w:p w14:paraId="4A661244" w14:textId="77777777" w:rsidR="00A22E0E" w:rsidRDefault="00A22E0E" w:rsidP="00A22E0E">
      <w:pPr>
        <w:spacing w:line="360" w:lineRule="auto"/>
        <w:jc w:val="both"/>
        <w:rPr>
          <w:rtl/>
        </w:rPr>
      </w:pPr>
    </w:p>
    <w:p w14:paraId="48D78C60" w14:textId="77777777" w:rsidR="00A22E0E" w:rsidRDefault="003A3FA0" w:rsidP="00A22E0E">
      <w:pPr>
        <w:pStyle w:val="aa"/>
        <w:spacing w:line="360" w:lineRule="auto"/>
        <w:jc w:val="both"/>
        <w:rPr>
          <w:rtl/>
        </w:rPr>
      </w:pPr>
      <w:hyperlink r:id="rId30" w:history="1">
        <w:r w:rsidRPr="003A3FA0">
          <w:rPr>
            <w:color w:val="0000FF"/>
            <w:u w:val="single"/>
            <w:rtl/>
          </w:rPr>
          <w:t>ת"פ 40959-05-19</w:t>
        </w:r>
      </w:hyperlink>
      <w:r w:rsidR="00A22E0E">
        <w:rPr>
          <w:rFonts w:hint="cs"/>
          <w:rtl/>
        </w:rPr>
        <w:t xml:space="preserve"> </w:t>
      </w:r>
      <w:r w:rsidR="00A22E0E">
        <w:rPr>
          <w:rFonts w:hint="cs"/>
          <w:b/>
          <w:bCs/>
          <w:rtl/>
        </w:rPr>
        <w:t>מדינת ישראל נ' גבאי –</w:t>
      </w:r>
      <w:r w:rsidR="00A22E0E">
        <w:rPr>
          <w:rFonts w:hint="cs"/>
          <w:rtl/>
        </w:rPr>
        <w:t xml:space="preserve"> הורשע נאשם בהחזקת 20 גרם של סם מסוכן מסוג קוקאין ובנוסף הורשע בהחזקת סם מסוג קנבוס במקומות שונים בביתו ובמספרה השייכת לאביו. נקבע מתחם ענישה שבין 9 חודשי מאסר שניתן לשאת בדרך של עבודות שירות במקרים מתאימים ועד לעונש של 24 חודשי מאסר בפועל ברף העליון. על הנאשם הושת עונש של 5 חודשי מאסר בדרך של עבודות שירות בשל חריגה משיקולי שיקום. </w:t>
      </w:r>
    </w:p>
    <w:p w14:paraId="10311845" w14:textId="77777777" w:rsidR="00A22E0E" w:rsidRDefault="00A22E0E" w:rsidP="00A22E0E">
      <w:pPr>
        <w:pStyle w:val="aa"/>
        <w:spacing w:line="360" w:lineRule="auto"/>
        <w:jc w:val="both"/>
        <w:rPr>
          <w:rtl/>
        </w:rPr>
      </w:pPr>
    </w:p>
    <w:p w14:paraId="467CB6EE" w14:textId="77777777" w:rsidR="00A22E0E" w:rsidRDefault="00A22E0E" w:rsidP="00A22E0E">
      <w:pPr>
        <w:pStyle w:val="aa"/>
        <w:spacing w:line="360" w:lineRule="auto"/>
        <w:jc w:val="both"/>
        <w:rPr>
          <w:b/>
          <w:bCs/>
          <w:rtl/>
        </w:rPr>
      </w:pPr>
      <w:r>
        <w:rPr>
          <w:rFonts w:hint="cs"/>
          <w:b/>
          <w:bCs/>
          <w:rtl/>
        </w:rPr>
        <w:t xml:space="preserve">לאור כל זאת, אני בדעה כי מתחם הענישה ההולם את העבירה בענייננו, תוך התחשבות בכמות הסם, ומהותו הוא מספר חודשי מאסר שניתן במקרים מתאימים לשאת בדרך של עבודות שירות ועד 18  חודשי  מאסר בפועל בצירוף ענישה נלווית. </w:t>
      </w:r>
    </w:p>
    <w:p w14:paraId="39829437" w14:textId="77777777" w:rsidR="00A22E0E" w:rsidRDefault="00A22E0E" w:rsidP="00A22E0E">
      <w:pPr>
        <w:spacing w:line="360" w:lineRule="auto"/>
        <w:jc w:val="both"/>
        <w:rPr>
          <w:b/>
          <w:bCs/>
          <w:rtl/>
        </w:rPr>
      </w:pPr>
      <w:r>
        <w:rPr>
          <w:rFonts w:hint="cs"/>
          <w:b/>
          <w:bCs/>
          <w:rtl/>
        </w:rPr>
        <w:tab/>
      </w:r>
    </w:p>
    <w:p w14:paraId="617CCDF5" w14:textId="77777777" w:rsidR="00A22E0E" w:rsidRDefault="00A22E0E" w:rsidP="00A22E0E">
      <w:pPr>
        <w:spacing w:after="120" w:line="360" w:lineRule="auto"/>
        <w:jc w:val="both"/>
        <w:rPr>
          <w:bCs/>
          <w:u w:val="single"/>
          <w:lang w:eastAsia="he-IL"/>
        </w:rPr>
      </w:pPr>
      <w:r>
        <w:rPr>
          <w:b/>
          <w:bCs/>
          <w:rtl/>
        </w:rPr>
        <w:tab/>
      </w:r>
      <w:r>
        <w:rPr>
          <w:bCs/>
          <w:u w:val="single"/>
          <w:rtl/>
          <w:lang w:eastAsia="he-IL"/>
        </w:rPr>
        <w:t xml:space="preserve">סטייה מן מהמתחם </w:t>
      </w:r>
      <w:r>
        <w:rPr>
          <w:rFonts w:hint="cs"/>
          <w:bCs/>
          <w:u w:val="single"/>
          <w:rtl/>
          <w:lang w:eastAsia="he-IL"/>
        </w:rPr>
        <w:t>מ</w:t>
      </w:r>
      <w:r>
        <w:rPr>
          <w:bCs/>
          <w:u w:val="single"/>
          <w:rtl/>
          <w:lang w:eastAsia="he-IL"/>
        </w:rPr>
        <w:t>שיקולי צדק</w:t>
      </w:r>
    </w:p>
    <w:p w14:paraId="0BF610E4" w14:textId="77777777" w:rsidR="00A22E0E" w:rsidRDefault="00A22E0E" w:rsidP="00A22E0E">
      <w:pPr>
        <w:pStyle w:val="aa"/>
        <w:numPr>
          <w:ilvl w:val="0"/>
          <w:numId w:val="1"/>
        </w:numPr>
        <w:spacing w:after="120" w:line="360" w:lineRule="auto"/>
        <w:jc w:val="both"/>
        <w:rPr>
          <w:rFonts w:ascii="David" w:hAnsi="David"/>
          <w:color w:val="000000"/>
        </w:rPr>
      </w:pPr>
      <w:r>
        <w:rPr>
          <w:rFonts w:ascii="David" w:hAnsi="David" w:hint="cs"/>
          <w:color w:val="000000"/>
          <w:rtl/>
        </w:rPr>
        <w:t xml:space="preserve">אני סבורה </w:t>
      </w:r>
      <w:r w:rsidRPr="00DC21E5">
        <w:rPr>
          <w:rFonts w:ascii="David" w:hAnsi="David"/>
          <w:color w:val="000000"/>
          <w:rtl/>
        </w:rPr>
        <w:t xml:space="preserve">כי במקרה דנן קיימים שיקולים אשר מצדיקים סטייה מהמתחם </w:t>
      </w:r>
      <w:r>
        <w:rPr>
          <w:rFonts w:ascii="David" w:hAnsi="David" w:hint="cs"/>
          <w:color w:val="000000"/>
          <w:rtl/>
        </w:rPr>
        <w:t xml:space="preserve">שקבעתי  </w:t>
      </w:r>
      <w:r w:rsidRPr="00DC21E5">
        <w:rPr>
          <w:rFonts w:ascii="David" w:hAnsi="David"/>
          <w:color w:val="000000"/>
          <w:rtl/>
        </w:rPr>
        <w:t xml:space="preserve">לקולא וזאת משיקולי צדק. </w:t>
      </w:r>
    </w:p>
    <w:p w14:paraId="79F2A8FB" w14:textId="77777777" w:rsidR="00A22E0E" w:rsidRDefault="00A22E0E" w:rsidP="00A22E0E">
      <w:pPr>
        <w:pStyle w:val="aa"/>
        <w:spacing w:after="120" w:line="360" w:lineRule="auto"/>
        <w:jc w:val="both"/>
        <w:rPr>
          <w:rFonts w:ascii="David" w:hAnsi="David"/>
          <w:color w:val="000000"/>
        </w:rPr>
      </w:pPr>
    </w:p>
    <w:p w14:paraId="6D49A130" w14:textId="77777777" w:rsidR="00A22E0E" w:rsidRDefault="00A22E0E" w:rsidP="00A22E0E">
      <w:pPr>
        <w:pStyle w:val="a"/>
        <w:numPr>
          <w:ilvl w:val="0"/>
          <w:numId w:val="3"/>
        </w:numPr>
        <w:jc w:val="both"/>
      </w:pPr>
      <w:r w:rsidRPr="00DC21E5">
        <w:rPr>
          <w:rtl/>
        </w:rPr>
        <w:t>תיקון 113 ל</w:t>
      </w:r>
      <w:hyperlink r:id="rId31" w:history="1">
        <w:r w:rsidR="003A3FA0" w:rsidRPr="003A3FA0">
          <w:rPr>
            <w:color w:val="0000FF"/>
            <w:u w:val="single"/>
            <w:rtl/>
          </w:rPr>
          <w:t>חוק העונשין</w:t>
        </w:r>
      </w:hyperlink>
      <w:r>
        <w:rPr>
          <w:rFonts w:hint="cs"/>
          <w:rtl/>
        </w:rPr>
        <w:t xml:space="preserve"> </w:t>
      </w:r>
      <w:r w:rsidRPr="00DC21E5">
        <w:rPr>
          <w:rtl/>
        </w:rPr>
        <w:t>מאפשר סטייה לקולא ממתחם העונש ההולם משיקולי שיקום בלבד</w:t>
      </w:r>
      <w:r>
        <w:rPr>
          <w:rFonts w:hint="cs"/>
          <w:rtl/>
        </w:rPr>
        <w:t xml:space="preserve">. בענייננו שירות המבחן לא בא בהמלצה טיפולית מהטעמים בפורטו בתסקיר אך ניתן לחרוג מהמתחם </w:t>
      </w:r>
      <w:r w:rsidRPr="00DC21E5">
        <w:rPr>
          <w:rtl/>
        </w:rPr>
        <w:t xml:space="preserve">משיקולי צדק בהתקיים נסיבות חריגות שאינן בגדר שיקום. לעניין </w:t>
      </w:r>
      <w:r>
        <w:rPr>
          <w:rFonts w:hint="cs"/>
          <w:rtl/>
        </w:rPr>
        <w:t>זה אפנה ל</w:t>
      </w:r>
      <w:r w:rsidRPr="00DC21E5">
        <w:rPr>
          <w:rtl/>
        </w:rPr>
        <w:t xml:space="preserve">מאמרו של פרופ' אורן גזל </w:t>
      </w:r>
      <w:hyperlink r:id="rId32" w:history="1">
        <w:r w:rsidR="003A3FA0" w:rsidRPr="003A3FA0">
          <w:rPr>
            <w:color w:val="0000FF"/>
            <w:u w:val="single"/>
            <w:rtl/>
          </w:rPr>
          <w:t>אייל, "חריגה ממתחם העונש ההולם"</w:t>
        </w:r>
      </w:hyperlink>
      <w:r w:rsidRPr="00DC21E5">
        <w:rPr>
          <w:rtl/>
        </w:rPr>
        <w:t xml:space="preserve"> </w:t>
      </w:r>
      <w:r>
        <w:rPr>
          <w:rFonts w:hint="cs"/>
          <w:rtl/>
        </w:rPr>
        <w:t xml:space="preserve"> אשר </w:t>
      </w:r>
      <w:r w:rsidRPr="00DC21E5">
        <w:rPr>
          <w:rtl/>
        </w:rPr>
        <w:t>פורסם בספר דורית ביניש (עורכים קרן אזולאי, איתי בר סימן טוב, אהרון ברק ושחר ליפשיץ, 2015)</w:t>
      </w:r>
      <w:r>
        <w:rPr>
          <w:rFonts w:hint="cs"/>
          <w:rtl/>
        </w:rPr>
        <w:t xml:space="preserve">. אפנה גם </w:t>
      </w:r>
      <w:r w:rsidRPr="00105D91">
        <w:rPr>
          <w:rFonts w:hint="cs"/>
          <w:color w:val="auto"/>
          <w:rtl/>
        </w:rPr>
        <w:t>ל</w:t>
      </w:r>
      <w:hyperlink r:id="rId33" w:history="1">
        <w:r w:rsidR="003A3FA0" w:rsidRPr="003A3FA0">
          <w:rPr>
            <w:color w:val="0000FF"/>
            <w:u w:val="single"/>
            <w:rtl/>
          </w:rPr>
          <w:t>ת"פ (פ"ת) 32915-07-13</w:t>
        </w:r>
      </w:hyperlink>
      <w:r w:rsidRPr="00105D91">
        <w:rPr>
          <w:color w:val="auto"/>
          <w:rtl/>
        </w:rPr>
        <w:t xml:space="preserve"> </w:t>
      </w:r>
      <w:r w:rsidRPr="00105D91">
        <w:rPr>
          <w:b/>
          <w:bCs/>
          <w:color w:val="auto"/>
          <w:rtl/>
        </w:rPr>
        <w:t>מדינת ישראל נ' אשד</w:t>
      </w:r>
      <w:r w:rsidRPr="00105D91">
        <w:rPr>
          <w:color w:val="auto"/>
          <w:rtl/>
        </w:rPr>
        <w:t xml:space="preserve"> (5.2.15)</w:t>
      </w:r>
      <w:r>
        <w:rPr>
          <w:rFonts w:hint="cs"/>
          <w:color w:val="auto"/>
          <w:rtl/>
        </w:rPr>
        <w:t xml:space="preserve">, ולמאמר של </w:t>
      </w:r>
      <w:r>
        <w:rPr>
          <w:rFonts w:hint="cs"/>
          <w:rtl/>
        </w:rPr>
        <w:t xml:space="preserve"> השופט ד"ר יובל ליבדרו, </w:t>
      </w:r>
      <w:r w:rsidRPr="0091665A">
        <w:rPr>
          <w:rFonts w:hint="cs"/>
          <w:b/>
          <w:bCs/>
          <w:rtl/>
        </w:rPr>
        <w:t>"חריגה ממתחם העונש ההולם מטעמי צדק</w:t>
      </w:r>
      <w:r>
        <w:rPr>
          <w:rFonts w:hint="cs"/>
          <w:rtl/>
        </w:rPr>
        <w:t xml:space="preserve">" </w:t>
      </w:r>
      <w:r>
        <w:rPr>
          <w:rFonts w:hint="cs"/>
          <w:b/>
          <w:bCs/>
          <w:rtl/>
        </w:rPr>
        <w:t xml:space="preserve">הסניגור </w:t>
      </w:r>
      <w:r>
        <w:rPr>
          <w:rFonts w:hint="cs"/>
          <w:rtl/>
        </w:rPr>
        <w:t xml:space="preserve">197-198 (ספטמבר 2013); </w:t>
      </w:r>
      <w:hyperlink r:id="rId34" w:history="1">
        <w:r w:rsidR="003A3FA0" w:rsidRPr="003A3FA0">
          <w:rPr>
            <w:color w:val="0000FF"/>
            <w:u w:val="single"/>
            <w:rtl/>
          </w:rPr>
          <w:t>ת"פ (פ"ת) 29898-02-14</w:t>
        </w:r>
      </w:hyperlink>
      <w:r>
        <w:rPr>
          <w:rFonts w:hint="cs"/>
          <w:rtl/>
        </w:rPr>
        <w:t xml:space="preserve"> </w:t>
      </w:r>
      <w:r>
        <w:rPr>
          <w:rFonts w:hint="cs"/>
          <w:b/>
          <w:bCs/>
          <w:rtl/>
        </w:rPr>
        <w:t>מדינת ישראל נ' אבו גאבר</w:t>
      </w:r>
      <w:r>
        <w:rPr>
          <w:rFonts w:hint="cs"/>
          <w:rtl/>
        </w:rPr>
        <w:t xml:space="preserve"> (13.11.14) וכן </w:t>
      </w:r>
      <w:hyperlink r:id="rId35" w:history="1">
        <w:r w:rsidR="003A3FA0" w:rsidRPr="003A3FA0">
          <w:rPr>
            <w:color w:val="0000FF"/>
            <w:u w:val="single"/>
            <w:rtl/>
          </w:rPr>
          <w:t>ת"פ (ב"ש) 36886-09-12</w:t>
        </w:r>
      </w:hyperlink>
      <w:r>
        <w:rPr>
          <w:rFonts w:hint="cs"/>
          <w:rtl/>
        </w:rPr>
        <w:t xml:space="preserve"> </w:t>
      </w:r>
      <w:r>
        <w:rPr>
          <w:rFonts w:hint="cs"/>
          <w:b/>
          <w:bCs/>
          <w:rtl/>
        </w:rPr>
        <w:t>מדינת ישראל נ' נבאהין</w:t>
      </w:r>
      <w:r>
        <w:rPr>
          <w:rFonts w:hint="cs"/>
          <w:rtl/>
        </w:rPr>
        <w:t xml:space="preserve"> (6.1.13). </w:t>
      </w:r>
    </w:p>
    <w:p w14:paraId="3CB99FF4" w14:textId="77777777" w:rsidR="00A22E0E" w:rsidRDefault="00A22E0E" w:rsidP="00A22E0E">
      <w:pPr>
        <w:pStyle w:val="aa"/>
        <w:spacing w:after="120" w:line="360" w:lineRule="auto"/>
        <w:jc w:val="both"/>
        <w:rPr>
          <w:rFonts w:ascii="David" w:hAnsi="David"/>
          <w:color w:val="000000"/>
          <w:rtl/>
        </w:rPr>
      </w:pPr>
      <w:r>
        <w:rPr>
          <w:rFonts w:ascii="David" w:hAnsi="David" w:hint="cs"/>
          <w:rtl/>
        </w:rPr>
        <w:t xml:space="preserve">לכך גם אוסיף ואפנה </w:t>
      </w:r>
      <w:r>
        <w:rPr>
          <w:rFonts w:ascii="David" w:hAnsi="David" w:hint="cs"/>
          <w:b/>
          <w:bCs/>
          <w:rtl/>
        </w:rPr>
        <w:t xml:space="preserve">לתזכיר להצעת החוק ולהצעת </w:t>
      </w:r>
      <w:hyperlink r:id="rId36" w:history="1">
        <w:r w:rsidR="003A3FA0" w:rsidRPr="003A3FA0">
          <w:rPr>
            <w:rFonts w:ascii="David" w:hAnsi="David"/>
            <w:b/>
            <w:bCs/>
            <w:color w:val="0000FF"/>
            <w:u w:val="single"/>
            <w:rtl/>
          </w:rPr>
          <w:t>חוק העונשין</w:t>
        </w:r>
      </w:hyperlink>
      <w:r>
        <w:rPr>
          <w:rFonts w:ascii="David" w:hAnsi="David" w:hint="cs"/>
          <w:b/>
          <w:bCs/>
          <w:rtl/>
        </w:rPr>
        <w:t xml:space="preserve"> (</w:t>
      </w:r>
      <w:r w:rsidRPr="00105D91">
        <w:rPr>
          <w:rFonts w:ascii="David" w:hAnsi="David"/>
          <w:b/>
          <w:bCs/>
          <w:rtl/>
        </w:rPr>
        <w:t xml:space="preserve">הבניית </w:t>
      </w:r>
      <w:r>
        <w:rPr>
          <w:rFonts w:ascii="David" w:hAnsi="David"/>
          <w:b/>
          <w:bCs/>
          <w:color w:val="000000"/>
          <w:rtl/>
        </w:rPr>
        <w:t>שיקול הדעת השיפוטי בענישה</w:t>
      </w:r>
      <w:r w:rsidRPr="00DC21E5">
        <w:rPr>
          <w:rFonts w:ascii="David" w:hAnsi="David"/>
          <w:b/>
          <w:bCs/>
          <w:color w:val="000000"/>
          <w:rtl/>
        </w:rPr>
        <w:t>)</w:t>
      </w:r>
      <w:r>
        <w:rPr>
          <w:rFonts w:ascii="David" w:hAnsi="David" w:hint="cs"/>
          <w:color w:val="000000"/>
          <w:rtl/>
        </w:rPr>
        <w:t xml:space="preserve"> לפיהם </w:t>
      </w:r>
      <w:r w:rsidRPr="00DC21E5">
        <w:rPr>
          <w:rFonts w:ascii="David" w:hAnsi="David"/>
          <w:color w:val="000000"/>
          <w:rtl/>
        </w:rPr>
        <w:t xml:space="preserve">ניתן יהיה לחרוג לקולא ממתחם העונש ההולם בהתקיים נסיבות חריגות שאינן קשורות בביצוע העבירה. </w:t>
      </w:r>
      <w:r>
        <w:rPr>
          <w:rFonts w:ascii="David" w:hAnsi="David" w:hint="cs"/>
          <w:color w:val="000000"/>
          <w:rtl/>
        </w:rPr>
        <w:t xml:space="preserve">בענייננו אני סבורה כי נסיבות תיק זה נכנס בגדר המקרים החריגים שנקבעו בפסיקה כפי שיפורט להלן. </w:t>
      </w:r>
    </w:p>
    <w:p w14:paraId="383A34AC" w14:textId="77777777" w:rsidR="00A22E0E" w:rsidRDefault="00A22E0E" w:rsidP="00A22E0E">
      <w:pPr>
        <w:pStyle w:val="aa"/>
        <w:spacing w:after="120" w:line="360" w:lineRule="auto"/>
        <w:jc w:val="both"/>
        <w:rPr>
          <w:rFonts w:ascii="David" w:hAnsi="David"/>
          <w:color w:val="000000"/>
          <w:rtl/>
        </w:rPr>
      </w:pPr>
    </w:p>
    <w:p w14:paraId="2C038CF1" w14:textId="77777777" w:rsidR="00A22E0E" w:rsidRDefault="00A22E0E" w:rsidP="00A22E0E">
      <w:pPr>
        <w:pStyle w:val="aa"/>
        <w:spacing w:after="120" w:line="360" w:lineRule="auto"/>
        <w:jc w:val="both"/>
        <w:rPr>
          <w:rFonts w:ascii="David" w:hAnsi="David"/>
          <w:color w:val="000000"/>
          <w:rtl/>
        </w:rPr>
      </w:pPr>
      <w:r w:rsidRPr="009724F6">
        <w:rPr>
          <w:rFonts w:ascii="David" w:hAnsi="David"/>
          <w:rtl/>
        </w:rPr>
        <w:t xml:space="preserve">בעניין סטייה ממתחם בשל שיקולים רפואיים אפנה </w:t>
      </w:r>
      <w:r>
        <w:rPr>
          <w:rFonts w:ascii="David" w:hAnsi="David" w:hint="cs"/>
          <w:rtl/>
        </w:rPr>
        <w:t xml:space="preserve">עוד </w:t>
      </w:r>
      <w:r w:rsidRPr="009724F6">
        <w:rPr>
          <w:rFonts w:ascii="David" w:hAnsi="David"/>
          <w:rtl/>
        </w:rPr>
        <w:t>ל</w:t>
      </w:r>
      <w:hyperlink r:id="rId37" w:history="1">
        <w:r w:rsidR="003A3FA0" w:rsidRPr="003A3FA0">
          <w:rPr>
            <w:rFonts w:ascii="David" w:hAnsi="David"/>
            <w:color w:val="0000FF"/>
            <w:u w:val="single"/>
            <w:rtl/>
          </w:rPr>
          <w:t>ע"פ 5669/14</w:t>
        </w:r>
      </w:hyperlink>
      <w:r w:rsidRPr="009724F6">
        <w:rPr>
          <w:rFonts w:ascii="David" w:hAnsi="David"/>
          <w:rtl/>
        </w:rPr>
        <w:t xml:space="preserve">, פסקה 214-216, </w:t>
      </w:r>
      <w:r w:rsidRPr="0091665A">
        <w:rPr>
          <w:rFonts w:ascii="David" w:hAnsi="David"/>
          <w:b/>
          <w:bCs/>
          <w:rtl/>
        </w:rPr>
        <w:t>לפוליאנסקי נגד מדינת ישראל</w:t>
      </w:r>
      <w:r w:rsidRPr="0091665A">
        <w:rPr>
          <w:rFonts w:ascii="David" w:hAnsi="David" w:hint="cs"/>
          <w:b/>
          <w:bCs/>
          <w:color w:val="000000"/>
          <w:rtl/>
        </w:rPr>
        <w:t xml:space="preserve"> ו</w:t>
      </w:r>
      <w:hyperlink r:id="rId38" w:history="1">
        <w:r w:rsidR="003A3FA0" w:rsidRPr="003A3FA0">
          <w:rPr>
            <w:rFonts w:ascii="David" w:hAnsi="David"/>
            <w:color w:val="0000FF"/>
            <w:u w:val="single"/>
            <w:rtl/>
          </w:rPr>
          <w:t>רע"פ 3337/18</w:t>
        </w:r>
      </w:hyperlink>
      <w:r>
        <w:rPr>
          <w:rFonts w:ascii="David" w:hAnsi="David" w:hint="cs"/>
          <w:color w:val="000000"/>
          <w:rtl/>
        </w:rPr>
        <w:t xml:space="preserve"> </w:t>
      </w:r>
      <w:r w:rsidRPr="0091665A">
        <w:rPr>
          <w:rFonts w:ascii="David" w:hAnsi="David" w:hint="cs"/>
          <w:b/>
          <w:bCs/>
          <w:color w:val="000000"/>
          <w:rtl/>
        </w:rPr>
        <w:t>ביליק נ' מדינת ישראל .</w:t>
      </w:r>
      <w:r>
        <w:rPr>
          <w:rFonts w:ascii="David" w:hAnsi="David" w:hint="cs"/>
          <w:color w:val="000000"/>
          <w:rtl/>
        </w:rPr>
        <w:t xml:space="preserve"> בעניין לפוליאנסקי קבע בית המשפט העליון כך : </w:t>
      </w:r>
    </w:p>
    <w:p w14:paraId="1F42C6F4" w14:textId="77777777" w:rsidR="00A22E0E" w:rsidRDefault="00A22E0E" w:rsidP="00A22E0E">
      <w:pPr>
        <w:pStyle w:val="2"/>
        <w:spacing w:line="360" w:lineRule="auto"/>
        <w:ind w:left="1028"/>
        <w:jc w:val="both"/>
        <w:rPr>
          <w:rFonts w:ascii="Miriam" w:hAnsi="Miriam" w:cs="Miriam"/>
          <w:noProof/>
          <w:sz w:val="24"/>
          <w:szCs w:val="24"/>
          <w:rtl/>
        </w:rPr>
      </w:pPr>
      <w:r w:rsidRPr="007E1DFA">
        <w:rPr>
          <w:rFonts w:ascii="Miriam" w:hAnsi="Miriam" w:cs="Miriam"/>
          <w:noProof/>
          <w:sz w:val="24"/>
          <w:szCs w:val="24"/>
          <w:rtl/>
        </w:rPr>
        <w:t xml:space="preserve">"בקטגוריה שבה עסקינן יש לבחון אם עונש המאסר בפועל עלול לסכן את חייו של מי שהורשע בדין או לקצר בצורה ניכרת את תוחלת חייו, ולהביא מנגד, כאמור, את חומרת המעשים בהם הורשע. תוצאת איזון זה עשויה להיות שליחתו של הנאשם לעונש מאסר בפועל הנמוך מתחתית מתחם הענישה שנקבע, או הימנעות מהשתת מאסר בפועל, גם מקום בו "רצפת" מתחם העונש ההולם כוללת עונש מאסר בפועל, הכל לפי נסיבות המקרה". </w:t>
      </w:r>
    </w:p>
    <w:p w14:paraId="5FD74A77" w14:textId="77777777" w:rsidR="00A22E0E" w:rsidRDefault="00A22E0E" w:rsidP="00A22E0E">
      <w:pPr>
        <w:pStyle w:val="2"/>
        <w:spacing w:line="360" w:lineRule="auto"/>
        <w:ind w:left="1028"/>
        <w:jc w:val="both"/>
        <w:rPr>
          <w:rFonts w:ascii="Miriam" w:hAnsi="Miriam" w:cs="Miriam"/>
          <w:noProof/>
          <w:sz w:val="24"/>
          <w:szCs w:val="24"/>
          <w:rtl/>
        </w:rPr>
      </w:pPr>
    </w:p>
    <w:p w14:paraId="6150B08A" w14:textId="77777777" w:rsidR="00A22E0E" w:rsidRPr="007E1DFA" w:rsidRDefault="00A22E0E" w:rsidP="00A22E0E">
      <w:pPr>
        <w:pStyle w:val="2"/>
        <w:spacing w:line="360" w:lineRule="auto"/>
        <w:ind w:left="1028"/>
        <w:jc w:val="both"/>
        <w:rPr>
          <w:rFonts w:ascii="David" w:hAnsi="David" w:cs="David"/>
          <w:noProof/>
          <w:sz w:val="24"/>
          <w:szCs w:val="24"/>
        </w:rPr>
      </w:pPr>
      <w:r w:rsidRPr="007E1DFA">
        <w:rPr>
          <w:rFonts w:ascii="David" w:hAnsi="David" w:cs="David"/>
          <w:noProof/>
          <w:sz w:val="24"/>
          <w:szCs w:val="24"/>
          <w:rtl/>
        </w:rPr>
        <w:t xml:space="preserve">בית המשפט העליון החליט בסופו של דבר, להקל באופן משמעותי בעונשו של המערער, וקבע אותו על 6 חודשי מאסר לריצוי בעבודות שירות. </w:t>
      </w:r>
    </w:p>
    <w:p w14:paraId="6F917AE4" w14:textId="77777777" w:rsidR="00A22E0E" w:rsidRDefault="00A22E0E" w:rsidP="00A22E0E">
      <w:pPr>
        <w:pStyle w:val="2"/>
        <w:spacing w:line="360" w:lineRule="auto"/>
        <w:ind w:left="52"/>
        <w:jc w:val="both"/>
        <w:rPr>
          <w:rFonts w:ascii="David" w:hAnsi="David"/>
          <w:color w:val="000000"/>
          <w:rtl/>
        </w:rPr>
      </w:pPr>
    </w:p>
    <w:p w14:paraId="3B247816" w14:textId="77777777" w:rsidR="00A22E0E" w:rsidRDefault="00A22E0E" w:rsidP="00A22E0E">
      <w:pPr>
        <w:pStyle w:val="2"/>
        <w:spacing w:line="360" w:lineRule="auto"/>
        <w:jc w:val="both"/>
        <w:rPr>
          <w:rFonts w:ascii="David" w:hAnsi="David" w:cs="David"/>
          <w:noProof/>
          <w:sz w:val="24"/>
          <w:szCs w:val="24"/>
          <w:rtl/>
        </w:rPr>
      </w:pPr>
      <w:r w:rsidRPr="00D86FE7">
        <w:rPr>
          <w:rFonts w:ascii="David" w:hAnsi="David" w:cs="David"/>
          <w:sz w:val="24"/>
          <w:szCs w:val="24"/>
          <w:rtl/>
        </w:rPr>
        <w:t>עוד אפנה ל</w:t>
      </w:r>
      <w:hyperlink r:id="rId39" w:history="1">
        <w:r w:rsidR="003A3FA0" w:rsidRPr="003A3FA0">
          <w:rPr>
            <w:rFonts w:ascii="David" w:hAnsi="David"/>
            <w:b/>
            <w:bCs/>
            <w:noProof/>
            <w:color w:val="0000FF"/>
            <w:u w:val="single"/>
            <w:rtl/>
          </w:rPr>
          <w:t>ת"פ (מחוזי נצרת) 26563-03-14</w:t>
        </w:r>
      </w:hyperlink>
      <w:r w:rsidRPr="00D86FE7">
        <w:rPr>
          <w:rFonts w:ascii="David" w:hAnsi="David" w:cs="David"/>
          <w:b/>
          <w:bCs/>
          <w:noProof/>
          <w:sz w:val="24"/>
          <w:szCs w:val="24"/>
          <w:rtl/>
        </w:rPr>
        <w:t xml:space="preserve"> מדינת ישראל נ' אברהים עסלה </w:t>
      </w:r>
      <w:r w:rsidRPr="00D86FE7">
        <w:rPr>
          <w:rFonts w:ascii="David" w:hAnsi="David" w:cs="David"/>
          <w:noProof/>
          <w:sz w:val="24"/>
          <w:szCs w:val="24"/>
          <w:rtl/>
        </w:rPr>
        <w:t>שם</w:t>
      </w:r>
      <w:r w:rsidRPr="00D86FE7">
        <w:rPr>
          <w:rFonts w:ascii="David" w:hAnsi="David" w:cs="David" w:hint="cs"/>
          <w:noProof/>
          <w:sz w:val="24"/>
          <w:szCs w:val="24"/>
          <w:rtl/>
        </w:rPr>
        <w:t xml:space="preserve"> </w:t>
      </w:r>
      <w:r>
        <w:rPr>
          <w:rFonts w:ascii="David" w:hAnsi="David" w:cs="David" w:hint="cs"/>
          <w:noProof/>
          <w:sz w:val="24"/>
          <w:szCs w:val="24"/>
          <w:rtl/>
        </w:rPr>
        <w:t>מדובר ב</w:t>
      </w:r>
      <w:r>
        <w:rPr>
          <w:rFonts w:ascii="David" w:hAnsi="David" w:cs="David"/>
          <w:noProof/>
          <w:sz w:val="24"/>
          <w:szCs w:val="24"/>
          <w:rtl/>
        </w:rPr>
        <w:t xml:space="preserve">נאשם </w:t>
      </w:r>
      <w:r>
        <w:rPr>
          <w:rFonts w:ascii="David" w:hAnsi="David" w:cs="David" w:hint="cs"/>
          <w:noProof/>
          <w:sz w:val="24"/>
          <w:szCs w:val="24"/>
          <w:rtl/>
        </w:rPr>
        <w:t>ש</w:t>
      </w:r>
      <w:r>
        <w:rPr>
          <w:rFonts w:ascii="David" w:hAnsi="David" w:cs="David"/>
          <w:noProof/>
          <w:sz w:val="24"/>
          <w:szCs w:val="24"/>
          <w:rtl/>
        </w:rPr>
        <w:t xml:space="preserve">הודה במסגרת הסדר טיעון בעבירות של סיכון חיי אנשים בנתיב תחבורה, הפרעה לשוטר בעת מילוי תפקידו, חציית קו הפרדה רצוף (ריבוי מקרים) ועקיפה בצומת (ריבוי מקרים). </w:t>
      </w:r>
      <w:r>
        <w:rPr>
          <w:rFonts w:ascii="David" w:hAnsi="David" w:cs="David" w:hint="cs"/>
          <w:noProof/>
          <w:sz w:val="24"/>
          <w:szCs w:val="24"/>
          <w:rtl/>
        </w:rPr>
        <w:t>בית המשפט קבע ש</w:t>
      </w:r>
      <w:r>
        <w:rPr>
          <w:rFonts w:ascii="David" w:hAnsi="David" w:cs="David"/>
          <w:noProof/>
          <w:sz w:val="24"/>
          <w:szCs w:val="24"/>
          <w:rtl/>
        </w:rPr>
        <w:t xml:space="preserve">מתחם העונש ההולם נע בין 12 ועד 36 חודשי מאסר בפועל. בשל מצבו הרפואי של הנאשם, </w:t>
      </w:r>
      <w:r>
        <w:rPr>
          <w:rFonts w:ascii="David" w:hAnsi="David" w:cs="David" w:hint="cs"/>
          <w:noProof/>
          <w:sz w:val="24"/>
          <w:szCs w:val="24"/>
          <w:rtl/>
        </w:rPr>
        <w:t xml:space="preserve">שנמצא שאינו מתאים </w:t>
      </w:r>
      <w:r>
        <w:rPr>
          <w:rFonts w:ascii="David" w:hAnsi="David" w:cs="David"/>
          <w:noProof/>
          <w:sz w:val="24"/>
          <w:szCs w:val="24"/>
          <w:rtl/>
        </w:rPr>
        <w:t>לבצע עבודות שירות, הסתפק בית המשפט בשל"צ, לצד ענישה נוספת, וזאת מטעמים של צדק.</w:t>
      </w:r>
    </w:p>
    <w:p w14:paraId="011FB631" w14:textId="77777777" w:rsidR="00A22E0E" w:rsidRDefault="00A22E0E" w:rsidP="00A22E0E">
      <w:pPr>
        <w:pStyle w:val="2"/>
        <w:spacing w:line="360" w:lineRule="auto"/>
        <w:jc w:val="both"/>
        <w:rPr>
          <w:rFonts w:ascii="David" w:hAnsi="David" w:cs="David"/>
          <w:noProof/>
          <w:sz w:val="24"/>
          <w:szCs w:val="24"/>
          <w:rtl/>
        </w:rPr>
      </w:pPr>
    </w:p>
    <w:p w14:paraId="389D333E" w14:textId="77777777" w:rsidR="00A22E0E" w:rsidRPr="00D86FE7" w:rsidRDefault="003A3FA0" w:rsidP="00A22E0E">
      <w:pPr>
        <w:pStyle w:val="2"/>
        <w:spacing w:line="360" w:lineRule="auto"/>
        <w:ind w:firstLine="7"/>
        <w:jc w:val="both"/>
        <w:rPr>
          <w:rFonts w:ascii="David" w:hAnsi="David" w:cs="David"/>
          <w:b/>
          <w:bCs/>
          <w:noProof/>
          <w:sz w:val="24"/>
          <w:szCs w:val="24"/>
        </w:rPr>
      </w:pPr>
      <w:hyperlink r:id="rId40" w:history="1">
        <w:r w:rsidRPr="003A3FA0">
          <w:rPr>
            <w:rFonts w:ascii="David" w:hAnsi="David"/>
            <w:b/>
            <w:bCs/>
            <w:noProof/>
            <w:color w:val="0000FF"/>
            <w:u w:val="single"/>
            <w:rtl/>
          </w:rPr>
          <w:t>ת"פ 63803-11-15</w:t>
        </w:r>
      </w:hyperlink>
      <w:r w:rsidR="00A22E0E" w:rsidRPr="00D86FE7">
        <w:rPr>
          <w:rFonts w:ascii="David" w:hAnsi="David" w:cs="David"/>
          <w:b/>
          <w:bCs/>
          <w:noProof/>
          <w:sz w:val="24"/>
          <w:szCs w:val="24"/>
          <w:rtl/>
        </w:rPr>
        <w:t xml:space="preserve"> מדינת ישראל נגד אלבז</w:t>
      </w:r>
      <w:r w:rsidR="00A22E0E">
        <w:rPr>
          <w:rFonts w:ascii="David" w:hAnsi="David" w:cs="David" w:hint="cs"/>
          <w:b/>
          <w:bCs/>
          <w:noProof/>
          <w:sz w:val="24"/>
          <w:szCs w:val="24"/>
          <w:rtl/>
        </w:rPr>
        <w:t xml:space="preserve"> </w:t>
      </w:r>
      <w:r w:rsidR="00A22E0E">
        <w:rPr>
          <w:rFonts w:ascii="David" w:hAnsi="David" w:cs="David" w:hint="cs"/>
          <w:noProof/>
          <w:sz w:val="24"/>
          <w:szCs w:val="24"/>
          <w:rtl/>
        </w:rPr>
        <w:t xml:space="preserve">- </w:t>
      </w:r>
      <w:r w:rsidR="00A22E0E" w:rsidRPr="00D86FE7">
        <w:rPr>
          <w:rFonts w:ascii="David" w:hAnsi="David" w:cs="David"/>
          <w:noProof/>
          <w:sz w:val="24"/>
          <w:szCs w:val="24"/>
          <w:rtl/>
        </w:rPr>
        <w:t>נאשם, בן 65 שנים, הורשע</w:t>
      </w:r>
      <w:r w:rsidR="00A22E0E">
        <w:rPr>
          <w:rFonts w:ascii="David" w:hAnsi="David" w:cs="David" w:hint="cs"/>
          <w:noProof/>
          <w:sz w:val="24"/>
          <w:szCs w:val="24"/>
          <w:rtl/>
        </w:rPr>
        <w:t xml:space="preserve"> על פי הודאתו </w:t>
      </w:r>
      <w:r w:rsidR="00A22E0E" w:rsidRPr="00D86FE7">
        <w:rPr>
          <w:rFonts w:ascii="David" w:hAnsi="David" w:cs="David"/>
          <w:noProof/>
          <w:sz w:val="24"/>
          <w:szCs w:val="24"/>
          <w:rtl/>
        </w:rPr>
        <w:t xml:space="preserve"> בביצוע עבירת איומים ותקיפה סתם. עברו היה נקי. בשל מצבו הרפואי, הנאשם לא נמצא כשיר לבצע עבודות שירות, ומאותם טעמים שירות המבחן לא מצא אותו מתאים לביצוע עבודות של"צ. בית המשפט הפנה לעניין לופליאנסקי, וקבע שכליאת הנאשם עלולה לגרום נזק בלתי הפיך לבריאותו, ואף לקצר את תוחלת חייו, על כן הסתפק במאסר מותנה. </w:t>
      </w:r>
    </w:p>
    <w:p w14:paraId="01C3A945" w14:textId="77777777" w:rsidR="00A22E0E" w:rsidRPr="007E1DFA" w:rsidRDefault="00A22E0E" w:rsidP="00A22E0E">
      <w:pPr>
        <w:pStyle w:val="aa"/>
        <w:spacing w:after="120" w:line="360" w:lineRule="auto"/>
        <w:jc w:val="both"/>
        <w:rPr>
          <w:rFonts w:ascii="David" w:hAnsi="David"/>
          <w:color w:val="000000"/>
          <w:rtl/>
        </w:rPr>
      </w:pPr>
    </w:p>
    <w:p w14:paraId="4A416F8B" w14:textId="77777777" w:rsidR="00A22E0E" w:rsidRPr="00584625" w:rsidRDefault="00A22E0E" w:rsidP="00A22E0E">
      <w:pPr>
        <w:pStyle w:val="aa"/>
        <w:numPr>
          <w:ilvl w:val="0"/>
          <w:numId w:val="4"/>
        </w:numPr>
        <w:spacing w:after="120" w:line="360" w:lineRule="auto"/>
        <w:jc w:val="both"/>
        <w:rPr>
          <w:rFonts w:ascii="David" w:hAnsi="David"/>
          <w:color w:val="000000"/>
        </w:rPr>
      </w:pPr>
      <w:r w:rsidRPr="00584625">
        <w:rPr>
          <w:rFonts w:ascii="David" w:hAnsi="David" w:hint="cs"/>
          <w:color w:val="000000"/>
          <w:rtl/>
        </w:rPr>
        <w:t xml:space="preserve">אני סבורה </w:t>
      </w:r>
      <w:r>
        <w:rPr>
          <w:rFonts w:ascii="David" w:hAnsi="David"/>
          <w:color w:val="000000"/>
          <w:rtl/>
        </w:rPr>
        <w:t xml:space="preserve">כי נוכח השיקולים </w:t>
      </w:r>
      <w:r>
        <w:rPr>
          <w:rFonts w:ascii="David" w:hAnsi="David" w:hint="cs"/>
          <w:color w:val="000000"/>
          <w:rtl/>
        </w:rPr>
        <w:t xml:space="preserve">המפורטים </w:t>
      </w:r>
      <w:r w:rsidRPr="00584625">
        <w:rPr>
          <w:rFonts w:ascii="David" w:hAnsi="David"/>
          <w:color w:val="000000"/>
          <w:rtl/>
        </w:rPr>
        <w:t xml:space="preserve">יש לתת לשיקולי הצדק האמורים לעיל משקל משמעותי, עד כדי חריגה לקולא מן </w:t>
      </w:r>
      <w:r w:rsidRPr="00584625">
        <w:rPr>
          <w:rFonts w:ascii="David" w:hAnsi="David" w:hint="cs"/>
          <w:color w:val="000000"/>
          <w:rtl/>
        </w:rPr>
        <w:t xml:space="preserve">הרף התחתון של </w:t>
      </w:r>
      <w:r w:rsidRPr="00584625">
        <w:rPr>
          <w:rFonts w:ascii="David" w:hAnsi="David"/>
          <w:color w:val="000000"/>
          <w:rtl/>
        </w:rPr>
        <w:t>המתחם</w:t>
      </w:r>
      <w:r>
        <w:rPr>
          <w:rFonts w:ascii="David" w:hAnsi="David" w:hint="cs"/>
          <w:color w:val="000000"/>
          <w:rtl/>
        </w:rPr>
        <w:t xml:space="preserve"> אותו קבעתי</w:t>
      </w:r>
      <w:r w:rsidRPr="00584625">
        <w:rPr>
          <w:rFonts w:ascii="David" w:hAnsi="David"/>
          <w:color w:val="000000"/>
          <w:rtl/>
        </w:rPr>
        <w:t xml:space="preserve">. </w:t>
      </w:r>
      <w:r w:rsidRPr="00584625">
        <w:rPr>
          <w:rFonts w:ascii="David" w:hAnsi="David" w:hint="cs"/>
          <w:color w:val="000000"/>
          <w:rtl/>
        </w:rPr>
        <w:t xml:space="preserve"> </w:t>
      </w:r>
    </w:p>
    <w:p w14:paraId="4B60F92B" w14:textId="77777777" w:rsidR="00A22E0E" w:rsidRDefault="00A22E0E" w:rsidP="00A22E0E">
      <w:pPr>
        <w:spacing w:after="120" w:line="360" w:lineRule="auto"/>
        <w:ind w:left="720"/>
        <w:jc w:val="both"/>
        <w:rPr>
          <w:rFonts w:ascii="David" w:hAnsi="David"/>
          <w:color w:val="000000"/>
        </w:rPr>
      </w:pPr>
    </w:p>
    <w:p w14:paraId="6243D703" w14:textId="77777777" w:rsidR="00A22E0E" w:rsidRDefault="00A22E0E" w:rsidP="00A22E0E">
      <w:pPr>
        <w:pStyle w:val="aa"/>
        <w:numPr>
          <w:ilvl w:val="0"/>
          <w:numId w:val="1"/>
        </w:numPr>
        <w:spacing w:after="120" w:line="360" w:lineRule="auto"/>
        <w:jc w:val="both"/>
        <w:rPr>
          <w:rFonts w:ascii="David" w:hAnsi="David"/>
          <w:color w:val="000000"/>
        </w:rPr>
      </w:pPr>
      <w:r>
        <w:rPr>
          <w:rFonts w:ascii="David" w:hAnsi="David" w:hint="cs"/>
          <w:color w:val="000000"/>
          <w:rtl/>
        </w:rPr>
        <w:t xml:space="preserve">עיינתי במסמכים רפואיים באשר למצבה הרפואי של הנאשמת ואציין כי להתרשמות בית המשפט, במהלך ההליך המשפטי חלה התדרדרות במצבה הרפואי של הנאשמת באופן שניכר הקושי הרב בניידות והיא נדרשת יותר ויותר לסיוע בניידות וזקוקה לליווי צמוד. הדברים מקבלים משנה תוקף מהמסמכים הרפואיים שהוגשו לעיוני מהם ניתן ללמוד על החמרה זו ומצויין שלעיתים הנאשמת גם נזקקת לניידות באמצעות כיסא גלגלים. שוכנעתי שעונש של מאסר בפועל מאחורי סורג ובריח  כפי שעותרת לו המאשימה עלול להביא להחמרה במצבה הרפואי של הנאשמת ולגרום לה לנזק בלתי הפיך. התלבטתי, אם להפנות את הנאשמת לקבלת חוות דעת של הממונה על עבודות השירות אך בנסיבות אלה, נראה כי אין טעם בשליחתה של הנאשמת לקבלת חוות דעת   כיוון שניתן לומר כבר כעת אף ללא חוות דעת שהיא איננה מסוגלת לבצע  עבודות שירות בשל מצבה הרפואי. הנאשמת נעדרת רישום פלילי קודם ואמנם לא יכלה להתחייב להליך טיפולי אך אני סבורה שהסיבה לאי פניות הנאשמת הליך טיפולי והבעת אי יכולתה להתחייב להליך טיפולי נובע אך ורק ממצבה הרפואי המורכב. כמו כן אוסיף כי שוכנעתי שההליך המשפטי כשלעצמו יש בו כדי להרתיע את הנאשמת. מדובר במקרה חריג ומובהק עם נסיבות המצדיקות חריגה ממתחם העונש ההולם בשל שיקולים רפואיים, קרי שיקולי צדק. </w:t>
      </w:r>
    </w:p>
    <w:p w14:paraId="5F9C799C" w14:textId="77777777" w:rsidR="00A22E0E" w:rsidRDefault="00A22E0E" w:rsidP="00A22E0E">
      <w:pPr>
        <w:pStyle w:val="aa"/>
        <w:spacing w:after="120" w:line="360" w:lineRule="auto"/>
        <w:jc w:val="both"/>
        <w:rPr>
          <w:rFonts w:ascii="David" w:hAnsi="David"/>
          <w:color w:val="000000"/>
          <w:rtl/>
        </w:rPr>
      </w:pPr>
    </w:p>
    <w:p w14:paraId="10F2489D" w14:textId="77777777" w:rsidR="00A22E0E" w:rsidRDefault="00A22E0E" w:rsidP="00A22E0E">
      <w:pPr>
        <w:pStyle w:val="aa"/>
        <w:spacing w:after="120" w:line="360" w:lineRule="auto"/>
        <w:jc w:val="both"/>
        <w:rPr>
          <w:rFonts w:ascii="David" w:hAnsi="David"/>
          <w:color w:val="000000"/>
          <w:rtl/>
        </w:rPr>
      </w:pPr>
      <w:r>
        <w:rPr>
          <w:rFonts w:ascii="David" w:hAnsi="David" w:hint="cs"/>
          <w:color w:val="000000"/>
          <w:rtl/>
        </w:rPr>
        <w:t xml:space="preserve">הנאשמת הודתה בהזדמנות הראשונה וכאמור נעדרת מעורבות פלילית לפני תיק זה ולאחריו והגם ששיקולי הלימה מחייבים ענישה הולמת לנאשמים בביצוע עבירות סמים, יש להעדיף את האינטרס של הנאשמת על פני אינטרס הציבור.. </w:t>
      </w:r>
    </w:p>
    <w:p w14:paraId="39D87AF0" w14:textId="77777777" w:rsidR="00A22E0E" w:rsidRDefault="00A22E0E" w:rsidP="00A22E0E">
      <w:pPr>
        <w:pStyle w:val="aa"/>
        <w:spacing w:after="120" w:line="360" w:lineRule="auto"/>
        <w:jc w:val="both"/>
        <w:rPr>
          <w:rFonts w:ascii="David" w:hAnsi="David"/>
          <w:color w:val="000000"/>
        </w:rPr>
      </w:pPr>
    </w:p>
    <w:p w14:paraId="40F1231A" w14:textId="77777777" w:rsidR="00A22E0E" w:rsidRPr="004C7B9A" w:rsidRDefault="00A22E0E" w:rsidP="00A22E0E">
      <w:pPr>
        <w:pStyle w:val="aa"/>
        <w:numPr>
          <w:ilvl w:val="0"/>
          <w:numId w:val="1"/>
        </w:numPr>
        <w:spacing w:after="120" w:line="360" w:lineRule="auto"/>
        <w:jc w:val="both"/>
        <w:rPr>
          <w:rFonts w:ascii="David" w:hAnsi="David"/>
          <w:b/>
          <w:bCs/>
          <w:color w:val="000000"/>
        </w:rPr>
      </w:pPr>
      <w:r w:rsidRPr="004C7B9A">
        <w:rPr>
          <w:rFonts w:ascii="David" w:hAnsi="David" w:hint="cs"/>
          <w:b/>
          <w:bCs/>
          <w:color w:val="000000"/>
          <w:rtl/>
        </w:rPr>
        <w:t xml:space="preserve">במכלול השיקולים לקולא ולחומרא ולאחר ששוכנעתי שיש מקום לחרוג ממתחם העונש ההולם משיקולי צדק נוכח מצבה הרפואי של הנאשמת אני גוזרת עליה את העונשים הבאים: </w:t>
      </w:r>
    </w:p>
    <w:p w14:paraId="7DDC7515" w14:textId="77777777" w:rsidR="00A22E0E" w:rsidRPr="004C7B9A" w:rsidRDefault="00A22E0E" w:rsidP="00A22E0E">
      <w:pPr>
        <w:pStyle w:val="aa"/>
        <w:spacing w:after="120" w:line="360" w:lineRule="auto"/>
        <w:jc w:val="both"/>
        <w:rPr>
          <w:rFonts w:ascii="David" w:hAnsi="David"/>
          <w:b/>
          <w:bCs/>
          <w:color w:val="000000"/>
        </w:rPr>
      </w:pPr>
    </w:p>
    <w:p w14:paraId="0D84A244" w14:textId="77777777" w:rsidR="00A22E0E" w:rsidRDefault="00A22E0E" w:rsidP="00A22E0E">
      <w:pPr>
        <w:pStyle w:val="aa"/>
        <w:spacing w:after="120" w:line="360" w:lineRule="auto"/>
        <w:jc w:val="both"/>
        <w:rPr>
          <w:rFonts w:ascii="David" w:hAnsi="David"/>
          <w:b/>
          <w:bCs/>
          <w:color w:val="000000"/>
          <w:rtl/>
        </w:rPr>
      </w:pPr>
      <w:r w:rsidRPr="004C7B9A">
        <w:rPr>
          <w:rFonts w:ascii="David" w:hAnsi="David" w:hint="cs"/>
          <w:b/>
          <w:bCs/>
          <w:color w:val="000000"/>
          <w:rtl/>
        </w:rPr>
        <w:t xml:space="preserve">4 חודשי מאסר על תנאי למשך שנתיים והתנאי הוא שהנאשמת לא תעבור עבירת פשע על פי פקודת הסמים ותורשע בה. </w:t>
      </w:r>
    </w:p>
    <w:p w14:paraId="3451B317" w14:textId="77777777" w:rsidR="00A22E0E" w:rsidRDefault="00A22E0E" w:rsidP="00A22E0E">
      <w:pPr>
        <w:pStyle w:val="aa"/>
        <w:spacing w:after="120" w:line="360" w:lineRule="auto"/>
        <w:jc w:val="both"/>
        <w:rPr>
          <w:rFonts w:ascii="David" w:hAnsi="David"/>
          <w:b/>
          <w:bCs/>
          <w:color w:val="000000"/>
          <w:rtl/>
        </w:rPr>
      </w:pPr>
    </w:p>
    <w:p w14:paraId="3D504F86" w14:textId="77777777" w:rsidR="00A22E0E" w:rsidRDefault="00A22E0E" w:rsidP="00A22E0E">
      <w:pPr>
        <w:pStyle w:val="aa"/>
        <w:spacing w:after="120" w:line="360" w:lineRule="auto"/>
        <w:jc w:val="both"/>
        <w:rPr>
          <w:rFonts w:ascii="David" w:hAnsi="David"/>
          <w:b/>
          <w:bCs/>
          <w:color w:val="000000"/>
          <w:rtl/>
        </w:rPr>
      </w:pPr>
      <w:r>
        <w:rPr>
          <w:rFonts w:ascii="David" w:hAnsi="David" w:hint="cs"/>
          <w:b/>
          <w:bCs/>
          <w:color w:val="000000"/>
          <w:rtl/>
        </w:rPr>
        <w:t xml:space="preserve">אני מחייבת את הנאשמת בקנס כספי בסכום של 1,500 ₪. </w:t>
      </w:r>
    </w:p>
    <w:p w14:paraId="4D079D2C" w14:textId="77777777" w:rsidR="00A22E0E" w:rsidRPr="001E4FD4" w:rsidRDefault="00A22E0E" w:rsidP="00A22E0E">
      <w:pPr>
        <w:spacing w:line="360" w:lineRule="auto"/>
        <w:ind w:left="720"/>
        <w:jc w:val="both"/>
        <w:rPr>
          <w:rFonts w:ascii="David" w:hAnsi="David"/>
          <w:b/>
          <w:bCs/>
        </w:rPr>
      </w:pPr>
      <w:r w:rsidRPr="001E4FD4">
        <w:rPr>
          <w:rFonts w:ascii="David" w:hAnsi="David" w:hint="cs"/>
          <w:b/>
          <w:bCs/>
          <w:rtl/>
        </w:rPr>
        <w:t xml:space="preserve">את הסכום </w:t>
      </w:r>
      <w:r w:rsidRPr="001E4FD4">
        <w:rPr>
          <w:rFonts w:ascii="David" w:hAnsi="David"/>
          <w:b/>
          <w:bCs/>
          <w:rtl/>
        </w:rPr>
        <w:t>יש לשלם ישירות לחשבון המרכז לגביית קנסות, אגרות והוצאות ברשות האכיפה והגבייה באחת מהדרכים הבאות:</w:t>
      </w:r>
    </w:p>
    <w:p w14:paraId="3825847D" w14:textId="77777777" w:rsidR="00A22E0E" w:rsidRPr="001E4FD4" w:rsidRDefault="00A22E0E" w:rsidP="00A22E0E">
      <w:pPr>
        <w:pStyle w:val="aa"/>
        <w:numPr>
          <w:ilvl w:val="0"/>
          <w:numId w:val="5"/>
        </w:numPr>
        <w:spacing w:line="360" w:lineRule="auto"/>
        <w:ind w:left="1080"/>
        <w:jc w:val="both"/>
        <w:rPr>
          <w:rFonts w:ascii="David" w:hAnsi="David"/>
          <w:b/>
          <w:bCs/>
          <w:rtl/>
        </w:rPr>
      </w:pPr>
      <w:r w:rsidRPr="001E4FD4">
        <w:rPr>
          <w:rFonts w:ascii="David" w:hAnsi="David"/>
          <w:b/>
          <w:bCs/>
          <w:rtl/>
        </w:rPr>
        <w:t xml:space="preserve">בכרטיס אשראי – באתר המקוון של רשות האכיפה והגבייה, </w:t>
      </w:r>
      <w:hyperlink r:id="rId41" w:history="1">
        <w:r w:rsidRPr="001E4FD4">
          <w:rPr>
            <w:rStyle w:val="Hyperlink"/>
            <w:rFonts w:ascii="David" w:hAnsi="David"/>
            <w:b/>
            <w:bCs/>
          </w:rPr>
          <w:t>www.eca.gov.il</w:t>
        </w:r>
      </w:hyperlink>
      <w:r w:rsidRPr="001E4FD4">
        <w:rPr>
          <w:rFonts w:ascii="David" w:hAnsi="David"/>
          <w:b/>
          <w:bCs/>
        </w:rPr>
        <w:t xml:space="preserve"> </w:t>
      </w:r>
      <w:r w:rsidR="003A3FA0">
        <w:rPr>
          <w:rFonts w:ascii="David" w:hAnsi="David"/>
          <w:b/>
          <w:bCs/>
          <w:rtl/>
        </w:rPr>
        <w:t xml:space="preserve"> </w:t>
      </w:r>
    </w:p>
    <w:p w14:paraId="125891A5" w14:textId="77777777" w:rsidR="00A22E0E" w:rsidRPr="001E4FD4" w:rsidRDefault="00A22E0E" w:rsidP="00A22E0E">
      <w:pPr>
        <w:pStyle w:val="aa"/>
        <w:numPr>
          <w:ilvl w:val="0"/>
          <w:numId w:val="5"/>
        </w:numPr>
        <w:spacing w:line="360" w:lineRule="auto"/>
        <w:ind w:left="1080"/>
        <w:jc w:val="both"/>
        <w:rPr>
          <w:rFonts w:ascii="David" w:hAnsi="David"/>
          <w:b/>
          <w:bCs/>
          <w:rtl/>
        </w:rPr>
      </w:pPr>
      <w:r w:rsidRPr="001E4FD4">
        <w:rPr>
          <w:rFonts w:ascii="David" w:hAnsi="David"/>
          <w:b/>
          <w:bCs/>
          <w:rtl/>
        </w:rPr>
        <w:t>מוקד שירות טלפוני בשרות עצמי (מרכז גבייה)</w:t>
      </w:r>
      <w:r w:rsidR="003A3FA0">
        <w:rPr>
          <w:rFonts w:ascii="David" w:hAnsi="David"/>
          <w:b/>
          <w:bCs/>
          <w:rtl/>
        </w:rPr>
        <w:t xml:space="preserve"> </w:t>
      </w:r>
      <w:r w:rsidRPr="001E4FD4">
        <w:rPr>
          <w:rFonts w:ascii="David" w:hAnsi="David"/>
          <w:b/>
          <w:bCs/>
          <w:rtl/>
        </w:rPr>
        <w:t xml:space="preserve"> – בטלפון 35592* או בטלפון 073-2055000</w:t>
      </w:r>
    </w:p>
    <w:p w14:paraId="6AD81F6F" w14:textId="77777777" w:rsidR="00A22E0E" w:rsidRPr="001E4FD4" w:rsidRDefault="00A22E0E" w:rsidP="00A22E0E">
      <w:pPr>
        <w:ind w:firstLine="720"/>
        <w:rPr>
          <w:rFonts w:ascii="David" w:hAnsi="David"/>
          <w:b/>
          <w:bCs/>
        </w:rPr>
      </w:pPr>
      <w:r w:rsidRPr="001E4FD4">
        <w:rPr>
          <w:rFonts w:ascii="David" w:hAnsi="David"/>
          <w:b/>
          <w:bCs/>
          <w:rtl/>
        </w:rPr>
        <w:t>במזומן בכל סניף של בנק הדואר – בהצגת תעודת זהות בלבד (אין צורך בשוברי תשלום).</w:t>
      </w:r>
    </w:p>
    <w:p w14:paraId="003AE3E2" w14:textId="77777777" w:rsidR="00A22E0E" w:rsidRPr="001E4FD4" w:rsidRDefault="00A22E0E" w:rsidP="00A22E0E">
      <w:pPr>
        <w:ind w:left="720"/>
        <w:rPr>
          <w:b/>
          <w:bCs/>
        </w:rPr>
      </w:pPr>
      <w:r>
        <w:rPr>
          <w:rFonts w:hint="cs"/>
          <w:b/>
          <w:bCs/>
          <w:rtl/>
        </w:rPr>
        <w:t xml:space="preserve">קיים פיקדון כספי במסגרת תיק המעצר </w:t>
      </w:r>
      <w:r>
        <w:rPr>
          <w:b/>
          <w:bCs/>
          <w:rtl/>
        </w:rPr>
        <w:t>–</w:t>
      </w:r>
      <w:r>
        <w:rPr>
          <w:rFonts w:hint="cs"/>
          <w:b/>
          <w:bCs/>
          <w:rtl/>
        </w:rPr>
        <w:t xml:space="preserve"> הוא יקוזז לבקשת הנאשמת מסכום הקנס שקבעתי ככל שאין כל מניעה אחרת על פי דין. </w:t>
      </w:r>
    </w:p>
    <w:p w14:paraId="6E4500A2" w14:textId="77777777" w:rsidR="00A22E0E" w:rsidRDefault="00A22E0E" w:rsidP="00A22E0E">
      <w:pPr>
        <w:pStyle w:val="aa"/>
        <w:spacing w:after="120" w:line="360" w:lineRule="auto"/>
        <w:jc w:val="both"/>
        <w:rPr>
          <w:rFonts w:ascii="David" w:hAnsi="David"/>
          <w:b/>
          <w:bCs/>
          <w:color w:val="000000"/>
          <w:rtl/>
        </w:rPr>
      </w:pPr>
    </w:p>
    <w:p w14:paraId="68363525" w14:textId="77777777" w:rsidR="00A22E0E" w:rsidRDefault="003A3FA0" w:rsidP="00A22E0E">
      <w:pPr>
        <w:pStyle w:val="aa"/>
        <w:spacing w:after="120" w:line="360" w:lineRule="auto"/>
        <w:jc w:val="both"/>
        <w:rPr>
          <w:rFonts w:ascii="David" w:hAnsi="David"/>
          <w:b/>
          <w:bCs/>
          <w:color w:val="000000"/>
          <w:rtl/>
        </w:rPr>
      </w:pPr>
      <w:r w:rsidRPr="003A3FA0">
        <w:rPr>
          <w:rFonts w:ascii="David" w:hAnsi="David"/>
          <w:b/>
          <w:bCs/>
          <w:color w:val="FFFFFF"/>
          <w:sz w:val="2"/>
          <w:szCs w:val="2"/>
          <w:rtl/>
        </w:rPr>
        <w:t>5129371</w:t>
      </w:r>
      <w:r w:rsidR="00A22E0E">
        <w:rPr>
          <w:rFonts w:ascii="David" w:hAnsi="David" w:hint="cs"/>
          <w:b/>
          <w:bCs/>
          <w:color w:val="000000"/>
          <w:rtl/>
        </w:rPr>
        <w:t xml:space="preserve">המוצג </w:t>
      </w:r>
      <w:r w:rsidR="00A22E0E">
        <w:rPr>
          <w:rFonts w:ascii="David" w:hAnsi="David"/>
          <w:b/>
          <w:bCs/>
          <w:color w:val="000000"/>
          <w:rtl/>
        </w:rPr>
        <w:t>–</w:t>
      </w:r>
      <w:r w:rsidR="00A22E0E">
        <w:rPr>
          <w:rFonts w:ascii="David" w:hAnsi="David" w:hint="cs"/>
          <w:b/>
          <w:bCs/>
          <w:color w:val="000000"/>
          <w:rtl/>
        </w:rPr>
        <w:t xml:space="preserve"> סמים להשמדה בתום תקופת הערעור.</w:t>
      </w:r>
    </w:p>
    <w:p w14:paraId="02A1C30F" w14:textId="77777777" w:rsidR="00A22E0E" w:rsidRDefault="003A3FA0" w:rsidP="00A22E0E">
      <w:pPr>
        <w:pStyle w:val="aa"/>
        <w:spacing w:after="120" w:line="360" w:lineRule="auto"/>
        <w:jc w:val="both"/>
        <w:rPr>
          <w:rtl/>
        </w:rPr>
      </w:pPr>
      <w:r w:rsidRPr="003A3FA0">
        <w:rPr>
          <w:rFonts w:ascii="David" w:hAnsi="David"/>
          <w:b/>
          <w:bCs/>
          <w:color w:val="FFFFFF"/>
          <w:sz w:val="2"/>
          <w:szCs w:val="2"/>
          <w:rtl/>
        </w:rPr>
        <w:t>54678313</w:t>
      </w:r>
      <w:r w:rsidR="00A22E0E">
        <w:rPr>
          <w:rFonts w:ascii="David" w:hAnsi="David" w:hint="cs"/>
          <w:b/>
          <w:bCs/>
          <w:color w:val="000000"/>
          <w:rtl/>
        </w:rPr>
        <w:t xml:space="preserve">זכות ערעור בתוך 45 יום לבית המשפט המחוזי. </w:t>
      </w:r>
    </w:p>
    <w:p w14:paraId="12C4B82C" w14:textId="77777777" w:rsidR="00A22E0E" w:rsidRPr="000F2247" w:rsidRDefault="00A22E0E" w:rsidP="00A22E0E">
      <w:pPr>
        <w:rPr>
          <w:rFonts w:ascii="Arial" w:hAnsi="Arial"/>
          <w:b/>
          <w:bCs/>
          <w:sz w:val="26"/>
          <w:szCs w:val="26"/>
          <w:rtl/>
        </w:rPr>
      </w:pPr>
    </w:p>
    <w:p w14:paraId="1FDA196D" w14:textId="77777777" w:rsidR="00A22E0E" w:rsidRPr="000F2247" w:rsidRDefault="003A3FA0" w:rsidP="00A22E0E">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ד' אדר א' תשפ"ד, 13 פברואר 2024, בנוכחות הצדדים. </w:t>
      </w:r>
      <w:bookmarkEnd w:id="9"/>
      <w:r w:rsidR="00A22E0E">
        <w:rPr>
          <w:rFonts w:ascii="Arial" w:hAnsi="Arial"/>
          <w:b/>
          <w:bCs/>
          <w:sz w:val="26"/>
          <w:szCs w:val="26"/>
          <w:rtl/>
        </w:rPr>
        <w:tab/>
      </w:r>
      <w:r w:rsidR="00A22E0E">
        <w:rPr>
          <w:rFonts w:ascii="Arial" w:hAnsi="Arial"/>
          <w:b/>
          <w:bCs/>
          <w:sz w:val="26"/>
          <w:szCs w:val="26"/>
          <w:rtl/>
        </w:rPr>
        <w:tab/>
      </w:r>
      <w:r w:rsidR="00A22E0E">
        <w:rPr>
          <w:rFonts w:ascii="Arial" w:hAnsi="Arial"/>
          <w:b/>
          <w:bCs/>
          <w:sz w:val="26"/>
          <w:szCs w:val="26"/>
          <w:rtl/>
        </w:rPr>
        <w:tab/>
      </w:r>
      <w:r w:rsidR="00A22E0E">
        <w:rPr>
          <w:rFonts w:ascii="Arial" w:hAnsi="Arial"/>
          <w:b/>
          <w:bCs/>
          <w:sz w:val="26"/>
          <w:szCs w:val="26"/>
          <w:rtl/>
        </w:rPr>
        <w:tab/>
      </w:r>
      <w:r w:rsidR="00A22E0E">
        <w:rPr>
          <w:rFonts w:ascii="Arial" w:hAnsi="Arial"/>
          <w:b/>
          <w:bCs/>
          <w:sz w:val="26"/>
          <w:szCs w:val="26"/>
          <w:rtl/>
        </w:rPr>
        <w:tab/>
      </w:r>
      <w:r w:rsidR="00A22E0E">
        <w:rPr>
          <w:rFonts w:ascii="Arial" w:hAnsi="Arial"/>
          <w:b/>
          <w:bCs/>
          <w:sz w:val="26"/>
          <w:szCs w:val="26"/>
          <w:rtl/>
        </w:rPr>
        <w:tab/>
      </w:r>
      <w:r w:rsidR="00A22E0E">
        <w:rPr>
          <w:rFonts w:ascii="Arial" w:hAnsi="Arial"/>
          <w:b/>
          <w:bCs/>
          <w:sz w:val="26"/>
          <w:szCs w:val="26"/>
          <w:rtl/>
        </w:rPr>
        <w:tab/>
      </w:r>
      <w:r w:rsidR="00A22E0E">
        <w:rPr>
          <w:rFonts w:ascii="Arial" w:hAnsi="Arial" w:hint="cs"/>
          <w:b/>
          <w:bCs/>
          <w:sz w:val="26"/>
          <w:szCs w:val="26"/>
          <w:rtl/>
        </w:rPr>
        <w:t xml:space="preserve">         </w:t>
      </w:r>
    </w:p>
    <w:p w14:paraId="0D0E1FE0" w14:textId="77777777" w:rsidR="00A22E0E" w:rsidRPr="000F2247" w:rsidRDefault="00A22E0E" w:rsidP="003A3FA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1E98D78" w14:textId="77777777" w:rsidR="00A22E0E" w:rsidRPr="000F2247" w:rsidRDefault="00A22E0E" w:rsidP="00A22E0E">
      <w:pPr>
        <w:jc w:val="center"/>
        <w:rPr>
          <w:rFonts w:ascii="Arial" w:hAnsi="Arial"/>
          <w:b/>
          <w:bCs/>
          <w:sz w:val="26"/>
          <w:szCs w:val="26"/>
          <w:rtl/>
        </w:rPr>
      </w:pPr>
    </w:p>
    <w:p w14:paraId="27E51E2B" w14:textId="77777777" w:rsidR="0074640B" w:rsidRPr="003A3FA0" w:rsidRDefault="0074640B" w:rsidP="003A3FA0">
      <w:pPr>
        <w:keepNext/>
        <w:rPr>
          <w:rFonts w:ascii="David" w:hAnsi="David"/>
          <w:color w:val="000000"/>
          <w:sz w:val="22"/>
          <w:szCs w:val="22"/>
          <w:rtl/>
        </w:rPr>
      </w:pPr>
    </w:p>
    <w:p w14:paraId="1BC32EEA" w14:textId="77777777" w:rsidR="003A3FA0" w:rsidRPr="003A3FA0" w:rsidRDefault="003A3FA0" w:rsidP="003A3FA0">
      <w:pPr>
        <w:keepNext/>
        <w:rPr>
          <w:rFonts w:ascii="David" w:hAnsi="David"/>
          <w:color w:val="000000"/>
          <w:sz w:val="22"/>
          <w:szCs w:val="22"/>
          <w:rtl/>
        </w:rPr>
      </w:pPr>
      <w:r w:rsidRPr="003A3FA0">
        <w:rPr>
          <w:rFonts w:ascii="David" w:hAnsi="David"/>
          <w:color w:val="000000"/>
          <w:sz w:val="22"/>
          <w:szCs w:val="22"/>
          <w:rtl/>
        </w:rPr>
        <w:t>סימי פלג קימלוב 54678313</w:t>
      </w:r>
    </w:p>
    <w:p w14:paraId="29EB91F0" w14:textId="77777777" w:rsidR="003A3FA0" w:rsidRDefault="003A3FA0" w:rsidP="003A3FA0">
      <w:r w:rsidRPr="003A3FA0">
        <w:rPr>
          <w:color w:val="000000"/>
          <w:rtl/>
        </w:rPr>
        <w:t>נוסח מסמך זה כפוף לשינויי ניסוח ועריכה</w:t>
      </w:r>
    </w:p>
    <w:p w14:paraId="4D4A703D" w14:textId="77777777" w:rsidR="003A3FA0" w:rsidRDefault="003A3FA0" w:rsidP="003A3FA0">
      <w:pPr>
        <w:rPr>
          <w:rtl/>
        </w:rPr>
      </w:pPr>
    </w:p>
    <w:p w14:paraId="3BC0BC03" w14:textId="77777777" w:rsidR="003A3FA0" w:rsidRDefault="003A3FA0" w:rsidP="003A3FA0">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6BF98F7C" w14:textId="77777777" w:rsidR="003A3FA0" w:rsidRPr="003A3FA0" w:rsidRDefault="003A3FA0" w:rsidP="003A3FA0">
      <w:pPr>
        <w:jc w:val="center"/>
        <w:rPr>
          <w:color w:val="0000FF"/>
          <w:u w:val="single"/>
        </w:rPr>
      </w:pPr>
    </w:p>
    <w:sectPr w:rsidR="003A3FA0" w:rsidRPr="003A3FA0" w:rsidSect="003A3FA0">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3C408" w14:textId="77777777" w:rsidR="00C26F76" w:rsidRDefault="00C26F76" w:rsidP="008B6EFA">
      <w:r>
        <w:separator/>
      </w:r>
    </w:p>
  </w:endnote>
  <w:endnote w:type="continuationSeparator" w:id="0">
    <w:p w14:paraId="6E11A793" w14:textId="77777777" w:rsidR="00C26F76" w:rsidRDefault="00C26F76" w:rsidP="008B6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06863" w14:textId="77777777" w:rsidR="003A3FA0" w:rsidRDefault="003A3FA0" w:rsidP="003A3FA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92187B1" w14:textId="77777777" w:rsidR="00B100AA" w:rsidRPr="003A3FA0" w:rsidRDefault="003A3FA0" w:rsidP="003A3FA0">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06471" w14:textId="77777777" w:rsidR="003A3FA0" w:rsidRDefault="003A3FA0" w:rsidP="003A3FA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91ED2">
      <w:rPr>
        <w:rFonts w:ascii="FrankRuehl" w:hAnsi="FrankRuehl" w:cs="FrankRuehl"/>
        <w:noProof/>
        <w:rtl/>
      </w:rPr>
      <w:t>1</w:t>
    </w:r>
    <w:r>
      <w:rPr>
        <w:rFonts w:ascii="FrankRuehl" w:hAnsi="FrankRuehl" w:cs="FrankRuehl"/>
        <w:rtl/>
      </w:rPr>
      <w:fldChar w:fldCharType="end"/>
    </w:r>
  </w:p>
  <w:p w14:paraId="1B69ED9D" w14:textId="77777777" w:rsidR="00B100AA" w:rsidRPr="003A3FA0" w:rsidRDefault="003A3FA0" w:rsidP="003A3FA0">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65D7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F3784" w14:textId="77777777" w:rsidR="00C26F76" w:rsidRDefault="00C26F76" w:rsidP="008B6EFA">
      <w:r>
        <w:separator/>
      </w:r>
    </w:p>
  </w:footnote>
  <w:footnote w:type="continuationSeparator" w:id="0">
    <w:p w14:paraId="5537EA82" w14:textId="77777777" w:rsidR="00C26F76" w:rsidRDefault="00C26F76" w:rsidP="008B6E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71FAE" w14:textId="77777777" w:rsidR="003A3FA0" w:rsidRPr="003A3FA0" w:rsidRDefault="003A3FA0" w:rsidP="003A3FA0">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31993-05-22</w:t>
    </w:r>
    <w:r>
      <w:rPr>
        <w:rFonts w:ascii="David" w:hAnsi="David"/>
        <w:color w:val="000000"/>
        <w:sz w:val="22"/>
        <w:szCs w:val="22"/>
        <w:rtl/>
      </w:rPr>
      <w:tab/>
      <w:t xml:space="preserve"> מדינת ישראל נ' שני אזערי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D516C" w14:textId="77777777" w:rsidR="003A3FA0" w:rsidRPr="003A3FA0" w:rsidRDefault="003A3FA0" w:rsidP="003A3FA0">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31993-05-22</w:t>
    </w:r>
    <w:r>
      <w:rPr>
        <w:rFonts w:ascii="David" w:hAnsi="David"/>
        <w:color w:val="000000"/>
        <w:sz w:val="22"/>
        <w:szCs w:val="22"/>
        <w:rtl/>
      </w:rPr>
      <w:tab/>
      <w:t xml:space="preserve"> מדינת ישראל נ' שני אזערי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1B8749DA"/>
    <w:multiLevelType w:val="hybridMultilevel"/>
    <w:tmpl w:val="0A0A649E"/>
    <w:lvl w:ilvl="0" w:tplc="16169CDC">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E6DF5"/>
    <w:multiLevelType w:val="hybridMultilevel"/>
    <w:tmpl w:val="EA1AA382"/>
    <w:lvl w:ilvl="0" w:tplc="51CA0740">
      <w:start w:val="1"/>
      <w:numFmt w:val="decimal"/>
      <w:pStyle w:val="a"/>
      <w:lvlText w:val="%1."/>
      <w:lvlJc w:val="left"/>
      <w:pPr>
        <w:tabs>
          <w:tab w:val="num" w:pos="720"/>
        </w:tabs>
        <w:ind w:left="720" w:hanging="720"/>
      </w:pPr>
      <w:rPr>
        <w:rFonts w:cs="Times New Roman"/>
      </w:rPr>
    </w:lvl>
    <w:lvl w:ilvl="1" w:tplc="37F29F98">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0B42F3A"/>
    <w:multiLevelType w:val="hybridMultilevel"/>
    <w:tmpl w:val="C2527F12"/>
    <w:lvl w:ilvl="0" w:tplc="B0DC8CFA">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D45A47"/>
    <w:multiLevelType w:val="hybridMultilevel"/>
    <w:tmpl w:val="A4F4C7D8"/>
    <w:lvl w:ilvl="0" w:tplc="4F32938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3005982">
    <w:abstractNumId w:val="4"/>
  </w:num>
  <w:num w:numId="2" w16cid:durableId="4640829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1875666">
    <w:abstractNumId w:val="1"/>
  </w:num>
  <w:num w:numId="4" w16cid:durableId="1718315727">
    <w:abstractNumId w:val="3"/>
  </w:num>
  <w:num w:numId="5" w16cid:durableId="120633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22E0E"/>
    <w:rsid w:val="001B5A3B"/>
    <w:rsid w:val="00226738"/>
    <w:rsid w:val="003A3FA0"/>
    <w:rsid w:val="0074640B"/>
    <w:rsid w:val="00781235"/>
    <w:rsid w:val="00791ED2"/>
    <w:rsid w:val="00804958"/>
    <w:rsid w:val="008311E5"/>
    <w:rsid w:val="008B6EFA"/>
    <w:rsid w:val="00990C64"/>
    <w:rsid w:val="009B1E2A"/>
    <w:rsid w:val="00A16730"/>
    <w:rsid w:val="00A22E0E"/>
    <w:rsid w:val="00B100AA"/>
    <w:rsid w:val="00C26F76"/>
    <w:rsid w:val="00DF68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D81C4C"/>
  <w15:chartTrackingRefBased/>
  <w15:docId w15:val="{D80251BC-04D5-46B7-8F02-90EF55ED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22E0E"/>
    <w:pPr>
      <w:bidi/>
    </w:pPr>
    <w:rPr>
      <w:rFonts w:ascii="Times New Roman" w:eastAsia="Times New Roman" w:hAnsi="Times New Roman" w:cs="David"/>
      <w:sz w:val="24"/>
      <w:szCs w:val="24"/>
    </w:rPr>
  </w:style>
  <w:style w:type="paragraph" w:styleId="1">
    <w:name w:val="heading 1"/>
    <w:basedOn w:val="a0"/>
    <w:next w:val="a0"/>
    <w:link w:val="10"/>
    <w:qFormat/>
    <w:rsid w:val="00A22E0E"/>
    <w:pPr>
      <w:keepNext/>
      <w:spacing w:before="240" w:after="60"/>
      <w:outlineLvl w:val="0"/>
    </w:pPr>
    <w:rPr>
      <w:rFonts w:ascii="Arial" w:hAnsi="Arial" w:cs="Arial"/>
      <w:b/>
      <w:bCs/>
      <w:kern w:val="32"/>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link w:val="1"/>
    <w:rsid w:val="00A22E0E"/>
    <w:rPr>
      <w:rFonts w:ascii="Arial" w:eastAsia="Times New Roman" w:hAnsi="Arial" w:cs="Arial"/>
      <w:b/>
      <w:bCs/>
      <w:kern w:val="32"/>
      <w:sz w:val="32"/>
      <w:szCs w:val="32"/>
    </w:rPr>
  </w:style>
  <w:style w:type="paragraph" w:styleId="a4">
    <w:name w:val="header"/>
    <w:basedOn w:val="a0"/>
    <w:link w:val="a5"/>
    <w:rsid w:val="00A22E0E"/>
    <w:pPr>
      <w:tabs>
        <w:tab w:val="center" w:pos="4153"/>
        <w:tab w:val="right" w:pos="8306"/>
      </w:tabs>
    </w:pPr>
  </w:style>
  <w:style w:type="character" w:customStyle="1" w:styleId="a5">
    <w:name w:val="כותרת עליונה תו"/>
    <w:link w:val="a4"/>
    <w:rsid w:val="00A22E0E"/>
    <w:rPr>
      <w:rFonts w:ascii="Times New Roman" w:eastAsia="Times New Roman" w:hAnsi="Times New Roman" w:cs="David"/>
      <w:sz w:val="24"/>
      <w:szCs w:val="24"/>
    </w:rPr>
  </w:style>
  <w:style w:type="paragraph" w:styleId="a6">
    <w:name w:val="footer"/>
    <w:basedOn w:val="a0"/>
    <w:link w:val="a7"/>
    <w:rsid w:val="00A22E0E"/>
    <w:pPr>
      <w:tabs>
        <w:tab w:val="center" w:pos="4153"/>
        <w:tab w:val="right" w:pos="8306"/>
      </w:tabs>
    </w:pPr>
  </w:style>
  <w:style w:type="character" w:customStyle="1" w:styleId="a7">
    <w:name w:val="כותרת תחתונה תו"/>
    <w:link w:val="a6"/>
    <w:rsid w:val="00A22E0E"/>
    <w:rPr>
      <w:rFonts w:ascii="Times New Roman" w:eastAsia="Times New Roman" w:hAnsi="Times New Roman" w:cs="David"/>
      <w:sz w:val="24"/>
      <w:szCs w:val="24"/>
    </w:rPr>
  </w:style>
  <w:style w:type="table" w:styleId="a8">
    <w:name w:val="Table Grid"/>
    <w:basedOn w:val="a2"/>
    <w:rsid w:val="00A22E0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A22E0E"/>
  </w:style>
  <w:style w:type="paragraph" w:styleId="aa">
    <w:name w:val="List Paragraph"/>
    <w:basedOn w:val="a0"/>
    <w:link w:val="ab"/>
    <w:qFormat/>
    <w:rsid w:val="00A22E0E"/>
    <w:pPr>
      <w:ind w:left="720"/>
      <w:contextualSpacing/>
    </w:pPr>
  </w:style>
  <w:style w:type="character" w:styleId="Hyperlink">
    <w:name w:val="Hyperlink"/>
    <w:rsid w:val="00A22E0E"/>
    <w:rPr>
      <w:color w:val="0000FF"/>
      <w:u w:val="single"/>
    </w:rPr>
  </w:style>
  <w:style w:type="character" w:customStyle="1" w:styleId="ab">
    <w:name w:val="פיסקת רשימה תו"/>
    <w:link w:val="aa"/>
    <w:locked/>
    <w:rsid w:val="00A22E0E"/>
    <w:rPr>
      <w:rFonts w:ascii="Times New Roman" w:eastAsia="Times New Roman" w:hAnsi="Times New Roman" w:cs="David"/>
      <w:sz w:val="24"/>
      <w:szCs w:val="24"/>
    </w:rPr>
  </w:style>
  <w:style w:type="paragraph" w:customStyle="1" w:styleId="a">
    <w:name w:val="ממוספר"/>
    <w:basedOn w:val="a0"/>
    <w:rsid w:val="00A22E0E"/>
    <w:pPr>
      <w:numPr>
        <w:numId w:val="2"/>
      </w:numPr>
      <w:spacing w:after="120" w:line="360" w:lineRule="auto"/>
    </w:pPr>
    <w:rPr>
      <w:rFonts w:ascii="David" w:hAnsi="David"/>
      <w:color w:val="000000"/>
    </w:rPr>
  </w:style>
  <w:style w:type="paragraph" w:customStyle="1" w:styleId="2">
    <w:name w:val="פיסקת רשימה2"/>
    <w:basedOn w:val="a0"/>
    <w:rsid w:val="00A22E0E"/>
    <w:pPr>
      <w:spacing w:after="200" w:line="276" w:lineRule="auto"/>
      <w:ind w:left="720"/>
      <w:contextualSpacing/>
    </w:pPr>
    <w:rPr>
      <w:rFonts w:ascii="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758255" TargetMode="External"/><Relationship Id="rId39" Type="http://schemas.openxmlformats.org/officeDocument/2006/relationships/hyperlink" Target="http://www.nevo.co.il/case/13052492" TargetMode="External"/><Relationship Id="rId21" Type="http://schemas.openxmlformats.org/officeDocument/2006/relationships/hyperlink" Target="http://www.nevo.co.il/case/12063973" TargetMode="External"/><Relationship Id="rId34" Type="http://schemas.openxmlformats.org/officeDocument/2006/relationships/hyperlink" Target="http://www.nevo.co.il/case/11358707"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c.a" TargetMode="External"/><Relationship Id="rId29" Type="http://schemas.openxmlformats.org/officeDocument/2006/relationships/hyperlink" Target="http://www.nevo.co.il/case/414003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case/7980156" TargetMode="External"/><Relationship Id="rId32" Type="http://schemas.openxmlformats.org/officeDocument/2006/relationships/hyperlink" Target="http://www.nevo.co.il/safrut/book/30035" TargetMode="External"/><Relationship Id="rId37" Type="http://schemas.openxmlformats.org/officeDocument/2006/relationships/hyperlink" Target="http://www.nevo.co.il/case/17954217" TargetMode="External"/><Relationship Id="rId40" Type="http://schemas.openxmlformats.org/officeDocument/2006/relationships/hyperlink" Target="http://www.nevo.co.il/case/20759687"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6180833" TargetMode="External"/><Relationship Id="rId28" Type="http://schemas.openxmlformats.org/officeDocument/2006/relationships/hyperlink" Target="http://www.nevo.co.il/case/22956321"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0412551" TargetMode="External"/><Relationship Id="rId31" Type="http://schemas.openxmlformats.org/officeDocument/2006/relationships/hyperlink" Target="http://www.nevo.co.il/law/70301"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590128" TargetMode="External"/><Relationship Id="rId27" Type="http://schemas.openxmlformats.org/officeDocument/2006/relationships/hyperlink" Target="http://www.nevo.co.il/case/5758255" TargetMode="External"/><Relationship Id="rId30" Type="http://schemas.openxmlformats.org/officeDocument/2006/relationships/hyperlink" Target="http://www.nevo.co.il/case/25705593" TargetMode="External"/><Relationship Id="rId35" Type="http://schemas.openxmlformats.org/officeDocument/2006/relationships/hyperlink" Target="http://www.nevo.co.il/case/3939035"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061696" TargetMode="External"/><Relationship Id="rId33" Type="http://schemas.openxmlformats.org/officeDocument/2006/relationships/hyperlink" Target="http://www.nevo.co.il/case/7796202" TargetMode="External"/><Relationship Id="rId38" Type="http://schemas.openxmlformats.org/officeDocument/2006/relationships/hyperlink" Target="http://www.nevo.co.il/case/24140727" TargetMode="External"/><Relationship Id="rId46" Type="http://schemas.openxmlformats.org/officeDocument/2006/relationships/footer" Target="footer2.xml"/><Relationship Id="rId20" Type="http://schemas.openxmlformats.org/officeDocument/2006/relationships/hyperlink" Target="http://www.nevo.co.il/case/18753213" TargetMode="External"/><Relationship Id="rId41" Type="http://schemas.openxmlformats.org/officeDocument/2006/relationships/hyperlink" Target="http://www.eca.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2879</Words>
  <Characters>14395</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17240</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7864368</vt:i4>
      </vt:variant>
      <vt:variant>
        <vt:i4>105</vt:i4>
      </vt:variant>
      <vt:variant>
        <vt:i4>0</vt:i4>
      </vt:variant>
      <vt:variant>
        <vt:i4>5</vt:i4>
      </vt:variant>
      <vt:variant>
        <vt:lpwstr>http://www.eca.gov.il/</vt:lpwstr>
      </vt:variant>
      <vt:variant>
        <vt:lpwstr/>
      </vt:variant>
      <vt:variant>
        <vt:i4>3407991</vt:i4>
      </vt:variant>
      <vt:variant>
        <vt:i4>102</vt:i4>
      </vt:variant>
      <vt:variant>
        <vt:i4>0</vt:i4>
      </vt:variant>
      <vt:variant>
        <vt:i4>5</vt:i4>
      </vt:variant>
      <vt:variant>
        <vt:lpwstr>http://www.nevo.co.il/case/20759687</vt:lpwstr>
      </vt:variant>
      <vt:variant>
        <vt:lpwstr/>
      </vt:variant>
      <vt:variant>
        <vt:i4>3801206</vt:i4>
      </vt:variant>
      <vt:variant>
        <vt:i4>99</vt:i4>
      </vt:variant>
      <vt:variant>
        <vt:i4>0</vt:i4>
      </vt:variant>
      <vt:variant>
        <vt:i4>5</vt:i4>
      </vt:variant>
      <vt:variant>
        <vt:lpwstr>http://www.nevo.co.il/case/13052492</vt:lpwstr>
      </vt:variant>
      <vt:variant>
        <vt:lpwstr/>
      </vt:variant>
      <vt:variant>
        <vt:i4>3211379</vt:i4>
      </vt:variant>
      <vt:variant>
        <vt:i4>96</vt:i4>
      </vt:variant>
      <vt:variant>
        <vt:i4>0</vt:i4>
      </vt:variant>
      <vt:variant>
        <vt:i4>5</vt:i4>
      </vt:variant>
      <vt:variant>
        <vt:lpwstr>http://www.nevo.co.il/case/24140727</vt:lpwstr>
      </vt:variant>
      <vt:variant>
        <vt:lpwstr/>
      </vt:variant>
      <vt:variant>
        <vt:i4>3997812</vt:i4>
      </vt:variant>
      <vt:variant>
        <vt:i4>93</vt:i4>
      </vt:variant>
      <vt:variant>
        <vt:i4>0</vt:i4>
      </vt:variant>
      <vt:variant>
        <vt:i4>5</vt:i4>
      </vt:variant>
      <vt:variant>
        <vt:lpwstr>http://www.nevo.co.il/case/17954217</vt:lpwstr>
      </vt:variant>
      <vt:variant>
        <vt:lpwstr/>
      </vt:variant>
      <vt:variant>
        <vt:i4>7995492</vt:i4>
      </vt:variant>
      <vt:variant>
        <vt:i4>90</vt:i4>
      </vt:variant>
      <vt:variant>
        <vt:i4>0</vt:i4>
      </vt:variant>
      <vt:variant>
        <vt:i4>5</vt:i4>
      </vt:variant>
      <vt:variant>
        <vt:lpwstr>http://www.nevo.co.il/law/70301</vt:lpwstr>
      </vt:variant>
      <vt:variant>
        <vt:lpwstr/>
      </vt:variant>
      <vt:variant>
        <vt:i4>3473527</vt:i4>
      </vt:variant>
      <vt:variant>
        <vt:i4>87</vt:i4>
      </vt:variant>
      <vt:variant>
        <vt:i4>0</vt:i4>
      </vt:variant>
      <vt:variant>
        <vt:i4>5</vt:i4>
      </vt:variant>
      <vt:variant>
        <vt:lpwstr>http://www.nevo.co.il/case/3939035</vt:lpwstr>
      </vt:variant>
      <vt:variant>
        <vt:lpwstr/>
      </vt:variant>
      <vt:variant>
        <vt:i4>3801207</vt:i4>
      </vt:variant>
      <vt:variant>
        <vt:i4>84</vt:i4>
      </vt:variant>
      <vt:variant>
        <vt:i4>0</vt:i4>
      </vt:variant>
      <vt:variant>
        <vt:i4>5</vt:i4>
      </vt:variant>
      <vt:variant>
        <vt:lpwstr>http://www.nevo.co.il/case/11358707</vt:lpwstr>
      </vt:variant>
      <vt:variant>
        <vt:lpwstr/>
      </vt:variant>
      <vt:variant>
        <vt:i4>4063349</vt:i4>
      </vt:variant>
      <vt:variant>
        <vt:i4>81</vt:i4>
      </vt:variant>
      <vt:variant>
        <vt:i4>0</vt:i4>
      </vt:variant>
      <vt:variant>
        <vt:i4>5</vt:i4>
      </vt:variant>
      <vt:variant>
        <vt:lpwstr>http://www.nevo.co.il/case/7796202</vt:lpwstr>
      </vt:variant>
      <vt:variant>
        <vt:lpwstr/>
      </vt:variant>
      <vt:variant>
        <vt:i4>7471155</vt:i4>
      </vt:variant>
      <vt:variant>
        <vt:i4>78</vt:i4>
      </vt:variant>
      <vt:variant>
        <vt:i4>0</vt:i4>
      </vt:variant>
      <vt:variant>
        <vt:i4>5</vt:i4>
      </vt:variant>
      <vt:variant>
        <vt:lpwstr>http://www.nevo.co.il/safrut/book/30035</vt:lpwstr>
      </vt:variant>
      <vt:variant>
        <vt:lpwstr/>
      </vt:variant>
      <vt:variant>
        <vt:i4>7995492</vt:i4>
      </vt:variant>
      <vt:variant>
        <vt:i4>75</vt:i4>
      </vt:variant>
      <vt:variant>
        <vt:i4>0</vt:i4>
      </vt:variant>
      <vt:variant>
        <vt:i4>5</vt:i4>
      </vt:variant>
      <vt:variant>
        <vt:lpwstr>http://www.nevo.co.il/law/70301</vt:lpwstr>
      </vt:variant>
      <vt:variant>
        <vt:lpwstr/>
      </vt:variant>
      <vt:variant>
        <vt:i4>3735668</vt:i4>
      </vt:variant>
      <vt:variant>
        <vt:i4>72</vt:i4>
      </vt:variant>
      <vt:variant>
        <vt:i4>0</vt:i4>
      </vt:variant>
      <vt:variant>
        <vt:i4>5</vt:i4>
      </vt:variant>
      <vt:variant>
        <vt:lpwstr>http://www.nevo.co.il/case/25705593</vt:lpwstr>
      </vt:variant>
      <vt:variant>
        <vt:lpwstr/>
      </vt:variant>
      <vt:variant>
        <vt:i4>3342454</vt:i4>
      </vt:variant>
      <vt:variant>
        <vt:i4>69</vt:i4>
      </vt:variant>
      <vt:variant>
        <vt:i4>0</vt:i4>
      </vt:variant>
      <vt:variant>
        <vt:i4>5</vt:i4>
      </vt:variant>
      <vt:variant>
        <vt:lpwstr>http://www.nevo.co.il/case/4140033</vt:lpwstr>
      </vt:variant>
      <vt:variant>
        <vt:lpwstr/>
      </vt:variant>
      <vt:variant>
        <vt:i4>4128880</vt:i4>
      </vt:variant>
      <vt:variant>
        <vt:i4>66</vt:i4>
      </vt:variant>
      <vt:variant>
        <vt:i4>0</vt:i4>
      </vt:variant>
      <vt:variant>
        <vt:i4>5</vt:i4>
      </vt:variant>
      <vt:variant>
        <vt:lpwstr>http://www.nevo.co.il/case/22956321</vt:lpwstr>
      </vt:variant>
      <vt:variant>
        <vt:lpwstr/>
      </vt:variant>
      <vt:variant>
        <vt:i4>3604606</vt:i4>
      </vt:variant>
      <vt:variant>
        <vt:i4>63</vt:i4>
      </vt:variant>
      <vt:variant>
        <vt:i4>0</vt:i4>
      </vt:variant>
      <vt:variant>
        <vt:i4>5</vt:i4>
      </vt:variant>
      <vt:variant>
        <vt:lpwstr>http://www.nevo.co.il/case/5758255</vt:lpwstr>
      </vt:variant>
      <vt:variant>
        <vt:lpwstr/>
      </vt:variant>
      <vt:variant>
        <vt:i4>3604606</vt:i4>
      </vt:variant>
      <vt:variant>
        <vt:i4>60</vt:i4>
      </vt:variant>
      <vt:variant>
        <vt:i4>0</vt:i4>
      </vt:variant>
      <vt:variant>
        <vt:i4>5</vt:i4>
      </vt:variant>
      <vt:variant>
        <vt:lpwstr>http://www.nevo.co.il/case/5758255</vt:lpwstr>
      </vt:variant>
      <vt:variant>
        <vt:lpwstr/>
      </vt:variant>
      <vt:variant>
        <vt:i4>3801204</vt:i4>
      </vt:variant>
      <vt:variant>
        <vt:i4>57</vt:i4>
      </vt:variant>
      <vt:variant>
        <vt:i4>0</vt:i4>
      </vt:variant>
      <vt:variant>
        <vt:i4>5</vt:i4>
      </vt:variant>
      <vt:variant>
        <vt:lpwstr>http://www.nevo.co.il/case/20061696</vt:lpwstr>
      </vt:variant>
      <vt:variant>
        <vt:lpwstr/>
      </vt:variant>
      <vt:variant>
        <vt:i4>3670136</vt:i4>
      </vt:variant>
      <vt:variant>
        <vt:i4>54</vt:i4>
      </vt:variant>
      <vt:variant>
        <vt:i4>0</vt:i4>
      </vt:variant>
      <vt:variant>
        <vt:i4>5</vt:i4>
      </vt:variant>
      <vt:variant>
        <vt:lpwstr>http://www.nevo.co.il/case/7980156</vt:lpwstr>
      </vt:variant>
      <vt:variant>
        <vt:lpwstr/>
      </vt:variant>
      <vt:variant>
        <vt:i4>3473526</vt:i4>
      </vt:variant>
      <vt:variant>
        <vt:i4>51</vt:i4>
      </vt:variant>
      <vt:variant>
        <vt:i4>0</vt:i4>
      </vt:variant>
      <vt:variant>
        <vt:i4>5</vt:i4>
      </vt:variant>
      <vt:variant>
        <vt:lpwstr>http://www.nevo.co.il/case/6180833</vt:lpwstr>
      </vt:variant>
      <vt:variant>
        <vt:lpwstr/>
      </vt:variant>
      <vt:variant>
        <vt:i4>3473523</vt:i4>
      </vt:variant>
      <vt:variant>
        <vt:i4>48</vt:i4>
      </vt:variant>
      <vt:variant>
        <vt:i4>0</vt:i4>
      </vt:variant>
      <vt:variant>
        <vt:i4>5</vt:i4>
      </vt:variant>
      <vt:variant>
        <vt:lpwstr>http://www.nevo.co.il/case/5590128</vt:lpwstr>
      </vt:variant>
      <vt:variant>
        <vt:lpwstr/>
      </vt:variant>
      <vt:variant>
        <vt:i4>3473529</vt:i4>
      </vt:variant>
      <vt:variant>
        <vt:i4>45</vt:i4>
      </vt:variant>
      <vt:variant>
        <vt:i4>0</vt:i4>
      </vt:variant>
      <vt:variant>
        <vt:i4>5</vt:i4>
      </vt:variant>
      <vt:variant>
        <vt:lpwstr>http://www.nevo.co.il/case/12063973</vt:lpwstr>
      </vt:variant>
      <vt:variant>
        <vt:lpwstr/>
      </vt:variant>
      <vt:variant>
        <vt:i4>3407995</vt:i4>
      </vt:variant>
      <vt:variant>
        <vt:i4>42</vt:i4>
      </vt:variant>
      <vt:variant>
        <vt:i4>0</vt:i4>
      </vt:variant>
      <vt:variant>
        <vt:i4>5</vt:i4>
      </vt:variant>
      <vt:variant>
        <vt:lpwstr>http://www.nevo.co.il/case/18753213</vt:lpwstr>
      </vt:variant>
      <vt:variant>
        <vt:lpwstr/>
      </vt:variant>
      <vt:variant>
        <vt:i4>3211376</vt:i4>
      </vt:variant>
      <vt:variant>
        <vt:i4>39</vt:i4>
      </vt:variant>
      <vt:variant>
        <vt:i4>0</vt:i4>
      </vt:variant>
      <vt:variant>
        <vt:i4>5</vt:i4>
      </vt:variant>
      <vt:variant>
        <vt:lpwstr>http://www.nevo.co.il/case/20412551</vt:lpwstr>
      </vt:variant>
      <vt:variant>
        <vt:lpwstr/>
      </vt:variant>
      <vt:variant>
        <vt:i4>8257637</vt:i4>
      </vt:variant>
      <vt:variant>
        <vt:i4>36</vt:i4>
      </vt:variant>
      <vt:variant>
        <vt:i4>0</vt:i4>
      </vt:variant>
      <vt:variant>
        <vt:i4>5</vt:i4>
      </vt:variant>
      <vt:variant>
        <vt:lpwstr>http://www.nevo.co.il/law/4216</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7471155</vt:i4>
      </vt:variant>
      <vt:variant>
        <vt:i4>0</vt:i4>
      </vt:variant>
      <vt:variant>
        <vt:i4>0</vt:i4>
      </vt:variant>
      <vt:variant>
        <vt:i4>5</vt:i4>
      </vt:variant>
      <vt:variant>
        <vt:lpwstr>http://www.nevo.co.il/safrut/book/30035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2025-04-23T01:27:00Z</dcterms:created>
  <dcterms:modified xsi:type="dcterms:W3CDTF">2025-04-23T01:27:00Z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31993</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שני אזערי</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20240213</vt:lpwstr>
  </property>
  <property fmtid="{D5CDD505-2E9C-101B-9397-08002B2CF9AE}" pid="13" name="TYPE_N_DATE">
    <vt:lpwstr>38020240213</vt:lpwstr>
  </property>
  <property fmtid="{D5CDD505-2E9C-101B-9397-08002B2CF9AE}" pid="14" name="WORDNUMPAGES">
    <vt:lpwstr>9</vt:lpwstr>
  </property>
  <property fmtid="{D5CDD505-2E9C-101B-9397-08002B2CF9AE}" pid="15" name="TYPE_ABS_DATE">
    <vt:lpwstr>380020240213</vt:lpwstr>
  </property>
  <property fmtid="{D5CDD505-2E9C-101B-9397-08002B2CF9AE}" pid="16" name="ISABSTRACT">
    <vt:lpwstr>Y</vt:lpwstr>
  </property>
  <property fmtid="{D5CDD505-2E9C-101B-9397-08002B2CF9AE}" pid="17" name="CASESLISTTMP1">
    <vt:lpwstr>20412551;18753213;12063973;5590128;6180833;7980156;20061696;5758255:2;22956321;4140033;25705593;7796202;11358707;3939035;17954217;24140727;13052492;20759687</vt:lpwstr>
  </property>
  <property fmtid="{D5CDD505-2E9C-101B-9397-08002B2CF9AE}" pid="18" name="BOOKLISTTMP1">
    <vt:lpwstr>30035</vt:lpwstr>
  </property>
  <property fmtid="{D5CDD505-2E9C-101B-9397-08002B2CF9AE}" pid="19" name="LAWLISTTMP1">
    <vt:lpwstr>4216/007.a;007.c</vt:lpwstr>
  </property>
  <property fmtid="{D5CDD505-2E9C-101B-9397-08002B2CF9AE}" pid="20" name="LAWLISTTMP2">
    <vt:lpwstr>70301/040c.a</vt:lpwstr>
  </property>
</Properties>
</file>