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B79D2" w:rsidRPr="00AA248A" w14:paraId="6D3BBF3E" w14:textId="77777777" w:rsidTr="00C83E18">
        <w:trPr>
          <w:gridAfter w:val="1"/>
          <w:wAfter w:w="99" w:type="dxa"/>
          <w:trHeight w:hRule="exact" w:val="418"/>
          <w:jc w:val="center"/>
        </w:trPr>
        <w:tc>
          <w:tcPr>
            <w:tcW w:w="8721" w:type="dxa"/>
            <w:gridSpan w:val="4"/>
          </w:tcPr>
          <w:p w14:paraId="679F8199" w14:textId="77777777" w:rsidR="005B79D2" w:rsidRPr="00AA248A" w:rsidRDefault="005B79D2" w:rsidP="007A3E2A">
            <w:pPr>
              <w:pStyle w:val="a3"/>
              <w:jc w:val="center"/>
              <w:rPr>
                <w:rFonts w:ascii="Tahoma" w:hAnsi="Tahoma" w:cs="Tahoma"/>
                <w:color w:val="000080"/>
                <w:rtl/>
              </w:rPr>
            </w:pPr>
            <w:bookmarkStart w:id="0" w:name="LastJudge"/>
            <w:r w:rsidRPr="00AA248A">
              <w:rPr>
                <w:rFonts w:ascii="Tahoma" w:hAnsi="Tahoma" w:cs="Tahoma"/>
                <w:b/>
                <w:bCs/>
                <w:color w:val="000080"/>
                <w:rtl/>
              </w:rPr>
              <w:t>בית משפט השלום בירושלים</w:t>
            </w:r>
          </w:p>
        </w:tc>
      </w:tr>
      <w:tr w:rsidR="005B79D2" w:rsidRPr="00AA248A" w14:paraId="36BC0D7F" w14:textId="77777777" w:rsidTr="00C83E18">
        <w:trPr>
          <w:gridAfter w:val="1"/>
          <w:wAfter w:w="99" w:type="dxa"/>
          <w:trHeight w:val="337"/>
          <w:jc w:val="center"/>
        </w:trPr>
        <w:tc>
          <w:tcPr>
            <w:tcW w:w="5054" w:type="dxa"/>
            <w:gridSpan w:val="3"/>
          </w:tcPr>
          <w:p w14:paraId="2824A69C" w14:textId="77777777" w:rsidR="005B79D2" w:rsidRPr="00AA248A" w:rsidRDefault="005B79D2" w:rsidP="007A3E2A">
            <w:pPr>
              <w:rPr>
                <w:rFonts w:ascii="FrankRuehl" w:hAnsi="FrankRuehl" w:cs="FrankRuehl"/>
                <w:sz w:val="28"/>
                <w:szCs w:val="28"/>
                <w:rtl/>
              </w:rPr>
            </w:pPr>
            <w:r w:rsidRPr="00AA248A">
              <w:rPr>
                <w:rFonts w:ascii="FrankRuehl" w:hAnsi="FrankRuehl" w:cs="FrankRuehl"/>
                <w:sz w:val="28"/>
                <w:szCs w:val="28"/>
                <w:rtl/>
              </w:rPr>
              <w:t>ת"פ 33615-05-22 מדינת ישראל נ' לחיאני</w:t>
            </w:r>
          </w:p>
          <w:p w14:paraId="21187688" w14:textId="77777777" w:rsidR="005B79D2" w:rsidRPr="00AA248A" w:rsidRDefault="005B79D2" w:rsidP="007A3E2A">
            <w:pPr>
              <w:rPr>
                <w:rFonts w:ascii="FrankRuehl" w:hAnsi="FrankRuehl" w:cs="FrankRuehl"/>
                <w:sz w:val="28"/>
                <w:szCs w:val="28"/>
                <w:rtl/>
              </w:rPr>
            </w:pPr>
            <w:r w:rsidRPr="00AA248A">
              <w:rPr>
                <w:rFonts w:ascii="FrankRuehl" w:hAnsi="FrankRuehl" w:cs="FrankRuehl"/>
                <w:sz w:val="28"/>
                <w:szCs w:val="28"/>
                <w:rtl/>
              </w:rPr>
              <w:t>ת"פ 64293-05-23 מדינת ישראל נ' לחיאני</w:t>
            </w:r>
          </w:p>
          <w:p w14:paraId="4287FA4D" w14:textId="77777777" w:rsidR="005B79D2" w:rsidRPr="00AA248A" w:rsidRDefault="005B79D2" w:rsidP="007A3E2A">
            <w:pPr>
              <w:pStyle w:val="a3"/>
              <w:rPr>
                <w:rFonts w:cs="FrankRuehl"/>
                <w:sz w:val="28"/>
                <w:szCs w:val="28"/>
                <w:rtl/>
              </w:rPr>
            </w:pPr>
          </w:p>
        </w:tc>
        <w:tc>
          <w:tcPr>
            <w:tcW w:w="3667" w:type="dxa"/>
          </w:tcPr>
          <w:p w14:paraId="759A2CF8" w14:textId="77777777" w:rsidR="005B79D2" w:rsidRPr="00AA248A" w:rsidRDefault="005B79D2" w:rsidP="007A3E2A">
            <w:pPr>
              <w:pStyle w:val="a3"/>
              <w:jc w:val="right"/>
              <w:rPr>
                <w:rFonts w:cs="FrankRuehl"/>
                <w:sz w:val="28"/>
                <w:szCs w:val="28"/>
                <w:rtl/>
              </w:rPr>
            </w:pPr>
          </w:p>
        </w:tc>
      </w:tr>
      <w:tr w:rsidR="005B79D2" w:rsidRPr="00AA248A" w14:paraId="6D1AB754" w14:textId="77777777" w:rsidTr="00C83E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75E8E16" w14:textId="77777777" w:rsidR="005B79D2" w:rsidRPr="00AA248A" w:rsidRDefault="005B79D2" w:rsidP="005B79D2">
            <w:pPr>
              <w:jc w:val="both"/>
              <w:rPr>
                <w:rFonts w:ascii="David" w:hAnsi="David"/>
                <w:sz w:val="26"/>
                <w:szCs w:val="26"/>
              </w:rPr>
            </w:pPr>
            <w:r w:rsidRPr="00AA248A">
              <w:rPr>
                <w:rFonts w:hint="cs"/>
                <w:rtl/>
              </w:rPr>
              <w:t xml:space="preserve"> </w:t>
            </w:r>
            <w:r w:rsidRPr="00AA248A">
              <w:rPr>
                <w:rFonts w:ascii="David" w:hAnsi="David" w:hint="cs"/>
                <w:sz w:val="26"/>
                <w:szCs w:val="26"/>
                <w:rtl/>
              </w:rPr>
              <w:t>ל</w:t>
            </w:r>
            <w:r w:rsidRPr="00AA248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17DD0BD" w14:textId="77777777" w:rsidR="005B79D2" w:rsidRPr="00AA248A" w:rsidRDefault="005B79D2" w:rsidP="007A3E2A">
            <w:pPr>
              <w:rPr>
                <w:rFonts w:ascii="David" w:hAnsi="David"/>
                <w:b/>
                <w:bCs/>
                <w:sz w:val="26"/>
                <w:szCs w:val="26"/>
                <w:rtl/>
              </w:rPr>
            </w:pPr>
            <w:r w:rsidRPr="00AA248A">
              <w:rPr>
                <w:rFonts w:ascii="David" w:hAnsi="David"/>
                <w:b/>
                <w:bCs/>
                <w:sz w:val="26"/>
                <w:szCs w:val="26"/>
                <w:rtl/>
              </w:rPr>
              <w:t>כבוד השופט מוחמד חאג' יחיא</w:t>
            </w:r>
          </w:p>
          <w:p w14:paraId="42BDA7F8" w14:textId="77777777" w:rsidR="005B79D2" w:rsidRPr="00AA248A" w:rsidRDefault="005B79D2" w:rsidP="007A3E2A">
            <w:pPr>
              <w:rPr>
                <w:rFonts w:ascii="David" w:hAnsi="David"/>
                <w:sz w:val="26"/>
                <w:szCs w:val="26"/>
                <w:rtl/>
              </w:rPr>
            </w:pPr>
          </w:p>
          <w:p w14:paraId="00E1AF9C" w14:textId="77777777" w:rsidR="005B79D2" w:rsidRPr="00AA248A" w:rsidRDefault="005B79D2" w:rsidP="005B79D2">
            <w:pPr>
              <w:jc w:val="both"/>
              <w:rPr>
                <w:rFonts w:ascii="David" w:hAnsi="David"/>
                <w:sz w:val="26"/>
                <w:szCs w:val="26"/>
              </w:rPr>
            </w:pPr>
          </w:p>
        </w:tc>
      </w:tr>
      <w:tr w:rsidR="005B79D2" w:rsidRPr="00AA248A" w14:paraId="1272C482" w14:textId="77777777" w:rsidTr="00C83E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F8128B" w14:textId="77777777" w:rsidR="005B79D2" w:rsidRPr="00AA248A" w:rsidRDefault="005B79D2" w:rsidP="005B79D2">
            <w:pPr>
              <w:jc w:val="both"/>
              <w:rPr>
                <w:rFonts w:ascii="David" w:hAnsi="David"/>
                <w:b/>
                <w:bCs/>
                <w:sz w:val="26"/>
                <w:szCs w:val="26"/>
              </w:rPr>
            </w:pPr>
            <w:bookmarkStart w:id="1" w:name="FirstAppellant"/>
            <w:r w:rsidRPr="00AA248A">
              <w:rPr>
                <w:rFonts w:ascii="David" w:hAnsi="David"/>
                <w:b/>
                <w:bCs/>
                <w:sz w:val="26"/>
                <w:szCs w:val="26"/>
                <w:rtl/>
              </w:rPr>
              <w:t>בעניין:</w:t>
            </w:r>
          </w:p>
        </w:tc>
        <w:tc>
          <w:tcPr>
            <w:tcW w:w="3219" w:type="dxa"/>
            <w:tcBorders>
              <w:top w:val="nil"/>
              <w:left w:val="nil"/>
              <w:bottom w:val="nil"/>
              <w:right w:val="nil"/>
            </w:tcBorders>
            <w:shd w:val="clear" w:color="auto" w:fill="auto"/>
          </w:tcPr>
          <w:p w14:paraId="2BEC3BA2" w14:textId="77777777" w:rsidR="005B79D2" w:rsidRPr="00AA248A" w:rsidRDefault="005B79D2" w:rsidP="005B79D2">
            <w:pPr>
              <w:suppressLineNumbers/>
              <w:rPr>
                <w:b/>
                <w:bCs/>
                <w:sz w:val="26"/>
                <w:szCs w:val="26"/>
              </w:rPr>
            </w:pPr>
            <w:r w:rsidRPr="00AA248A">
              <w:rPr>
                <w:rFonts w:ascii="Arial" w:hAnsi="Arial" w:hint="cs"/>
                <w:b/>
                <w:bCs/>
                <w:sz w:val="26"/>
                <w:szCs w:val="26"/>
                <w:rtl/>
              </w:rPr>
              <w:t>ה</w:t>
            </w:r>
            <w:r w:rsidRPr="00AA248A">
              <w:rPr>
                <w:rFonts w:ascii="Arial" w:hAnsi="Arial"/>
                <w:b/>
                <w:bCs/>
                <w:sz w:val="26"/>
                <w:szCs w:val="26"/>
                <w:rtl/>
              </w:rPr>
              <w:t>מאשימה</w:t>
            </w:r>
          </w:p>
          <w:p w14:paraId="20B8873A" w14:textId="77777777" w:rsidR="005B79D2" w:rsidRPr="00AA248A" w:rsidRDefault="005B79D2" w:rsidP="007A3E2A">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62287996" w14:textId="77777777" w:rsidR="005B79D2" w:rsidRPr="00AA248A" w:rsidRDefault="005B79D2" w:rsidP="005B79D2">
            <w:pPr>
              <w:suppressLineNumbers/>
              <w:rPr>
                <w:rFonts w:ascii="Arial" w:hAnsi="Arial"/>
                <w:b/>
                <w:bCs/>
                <w:sz w:val="26"/>
                <w:szCs w:val="26"/>
                <w:rtl/>
              </w:rPr>
            </w:pPr>
            <w:r w:rsidRPr="00AA248A">
              <w:rPr>
                <w:rFonts w:ascii="Arial" w:hAnsi="Arial"/>
                <w:b/>
                <w:bCs/>
                <w:sz w:val="26"/>
                <w:szCs w:val="26"/>
                <w:rtl/>
              </w:rPr>
              <w:t>מדינת ישראל</w:t>
            </w:r>
            <w:r w:rsidRPr="00AA248A">
              <w:rPr>
                <w:rFonts w:ascii="Arial" w:hAnsi="Arial" w:hint="cs"/>
                <w:b/>
                <w:bCs/>
                <w:sz w:val="26"/>
                <w:szCs w:val="26"/>
                <w:rtl/>
              </w:rPr>
              <w:t xml:space="preserve"> </w:t>
            </w:r>
          </w:p>
          <w:p w14:paraId="45CD4E34" w14:textId="77777777" w:rsidR="005B79D2" w:rsidRPr="00AA248A" w:rsidRDefault="005B79D2" w:rsidP="005B79D2">
            <w:pPr>
              <w:suppressLineNumbers/>
              <w:rPr>
                <w:sz w:val="26"/>
                <w:szCs w:val="26"/>
              </w:rPr>
            </w:pPr>
            <w:r w:rsidRPr="00AA248A">
              <w:rPr>
                <w:rFonts w:hint="cs"/>
                <w:sz w:val="26"/>
                <w:szCs w:val="26"/>
                <w:rtl/>
              </w:rPr>
              <w:t xml:space="preserve">יחידת התביעות במשטרת ישראל </w:t>
            </w:r>
            <w:r w:rsidRPr="00AA248A">
              <w:rPr>
                <w:sz w:val="26"/>
                <w:szCs w:val="26"/>
                <w:rtl/>
              </w:rPr>
              <w:t>–</w:t>
            </w:r>
            <w:r w:rsidRPr="00AA248A">
              <w:rPr>
                <w:rFonts w:hint="cs"/>
                <w:sz w:val="26"/>
                <w:szCs w:val="26"/>
                <w:rtl/>
              </w:rPr>
              <w:t xml:space="preserve"> מחוז י-ם</w:t>
            </w:r>
          </w:p>
          <w:p w14:paraId="703DEB24" w14:textId="77777777" w:rsidR="005B79D2" w:rsidRPr="00AA248A" w:rsidRDefault="005B79D2" w:rsidP="007A3E2A">
            <w:pPr>
              <w:rPr>
                <w:rFonts w:ascii="David" w:hAnsi="David"/>
                <w:b/>
                <w:bCs/>
                <w:sz w:val="26"/>
                <w:szCs w:val="26"/>
              </w:rPr>
            </w:pPr>
          </w:p>
        </w:tc>
      </w:tr>
      <w:bookmarkEnd w:id="1"/>
      <w:tr w:rsidR="005B79D2" w:rsidRPr="00AA248A" w14:paraId="5125031E" w14:textId="77777777" w:rsidTr="00C83E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7E96F97" w14:textId="77777777" w:rsidR="005B79D2" w:rsidRPr="00AA248A" w:rsidRDefault="005B79D2" w:rsidP="005B79D2">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316ACED2" w14:textId="77777777" w:rsidR="005B79D2" w:rsidRPr="00AA248A" w:rsidRDefault="005B79D2" w:rsidP="005B79D2">
            <w:pPr>
              <w:jc w:val="center"/>
              <w:rPr>
                <w:rFonts w:ascii="David" w:hAnsi="David"/>
                <w:b/>
                <w:bCs/>
                <w:sz w:val="26"/>
                <w:szCs w:val="26"/>
                <w:rtl/>
              </w:rPr>
            </w:pPr>
          </w:p>
          <w:p w14:paraId="698D1565" w14:textId="77777777" w:rsidR="005B79D2" w:rsidRPr="00AA248A" w:rsidRDefault="005B79D2" w:rsidP="005B79D2">
            <w:pPr>
              <w:jc w:val="center"/>
              <w:rPr>
                <w:rFonts w:ascii="David" w:hAnsi="David"/>
                <w:b/>
                <w:bCs/>
                <w:sz w:val="26"/>
                <w:szCs w:val="26"/>
                <w:rtl/>
              </w:rPr>
            </w:pPr>
            <w:r w:rsidRPr="00AA248A">
              <w:rPr>
                <w:rFonts w:ascii="David" w:hAnsi="David"/>
                <w:b/>
                <w:bCs/>
                <w:sz w:val="26"/>
                <w:szCs w:val="26"/>
                <w:rtl/>
              </w:rPr>
              <w:t>נגד</w:t>
            </w:r>
          </w:p>
          <w:p w14:paraId="647AABFD" w14:textId="77777777" w:rsidR="005B79D2" w:rsidRPr="00AA248A" w:rsidRDefault="005B79D2" w:rsidP="005B79D2">
            <w:pPr>
              <w:jc w:val="both"/>
              <w:rPr>
                <w:rFonts w:ascii="David" w:hAnsi="David"/>
                <w:b/>
                <w:bCs/>
                <w:sz w:val="26"/>
                <w:szCs w:val="26"/>
              </w:rPr>
            </w:pPr>
          </w:p>
        </w:tc>
      </w:tr>
      <w:tr w:rsidR="005B79D2" w:rsidRPr="00AA248A" w14:paraId="116D6FB9" w14:textId="77777777" w:rsidTr="00C83E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F5798E" w14:textId="77777777" w:rsidR="005B79D2" w:rsidRPr="00AA248A" w:rsidRDefault="005B79D2" w:rsidP="007A3E2A">
            <w:pPr>
              <w:rPr>
                <w:rFonts w:ascii="David" w:hAnsi="David"/>
                <w:b/>
                <w:bCs/>
                <w:sz w:val="26"/>
                <w:szCs w:val="26"/>
                <w:rtl/>
              </w:rPr>
            </w:pPr>
            <w:bookmarkStart w:id="2" w:name="FirstLawyer"/>
          </w:p>
        </w:tc>
        <w:tc>
          <w:tcPr>
            <w:tcW w:w="3219" w:type="dxa"/>
            <w:tcBorders>
              <w:top w:val="nil"/>
              <w:left w:val="nil"/>
              <w:bottom w:val="nil"/>
              <w:right w:val="nil"/>
            </w:tcBorders>
            <w:shd w:val="clear" w:color="auto" w:fill="auto"/>
          </w:tcPr>
          <w:p w14:paraId="4B450664" w14:textId="77777777" w:rsidR="005B79D2" w:rsidRPr="00AA248A" w:rsidRDefault="005B79D2" w:rsidP="007A3E2A">
            <w:pPr>
              <w:rPr>
                <w:rFonts w:ascii="Arial" w:hAnsi="Arial"/>
                <w:b/>
                <w:bCs/>
                <w:sz w:val="26"/>
                <w:szCs w:val="26"/>
                <w:rtl/>
              </w:rPr>
            </w:pPr>
            <w:r w:rsidRPr="00AA248A">
              <w:rPr>
                <w:rFonts w:ascii="Arial" w:hAnsi="Arial"/>
                <w:b/>
                <w:bCs/>
                <w:sz w:val="26"/>
                <w:szCs w:val="26"/>
                <w:rtl/>
              </w:rPr>
              <w:t>הנאש</w:t>
            </w:r>
            <w:r w:rsidRPr="00AA248A">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321300F2" w14:textId="77777777" w:rsidR="005B79D2" w:rsidRPr="00AA248A" w:rsidRDefault="005B79D2" w:rsidP="005B79D2">
            <w:pPr>
              <w:suppressLineNumbers/>
              <w:rPr>
                <w:rFonts w:ascii="Arial" w:hAnsi="Arial"/>
                <w:b/>
                <w:bCs/>
                <w:sz w:val="26"/>
                <w:szCs w:val="26"/>
                <w:rtl/>
              </w:rPr>
            </w:pPr>
            <w:r w:rsidRPr="00AA248A">
              <w:rPr>
                <w:rFonts w:ascii="Arial" w:hAnsi="Arial"/>
                <w:b/>
                <w:bCs/>
                <w:sz w:val="26"/>
                <w:szCs w:val="26"/>
                <w:rtl/>
              </w:rPr>
              <w:t>אייל לחיאני</w:t>
            </w:r>
          </w:p>
          <w:p w14:paraId="1E181CDB" w14:textId="77777777" w:rsidR="005B79D2" w:rsidRPr="00AA248A" w:rsidRDefault="005B79D2" w:rsidP="005B79D2">
            <w:pPr>
              <w:suppressLineNumbers/>
              <w:rPr>
                <w:sz w:val="26"/>
                <w:szCs w:val="26"/>
              </w:rPr>
            </w:pPr>
            <w:r w:rsidRPr="00AA248A">
              <w:rPr>
                <w:rFonts w:ascii="Arial" w:hAnsi="Arial"/>
                <w:sz w:val="26"/>
                <w:szCs w:val="26"/>
                <w:rtl/>
              </w:rPr>
              <w:t>ע"י ב"כ עו"ד</w:t>
            </w:r>
            <w:r w:rsidRPr="00AA248A">
              <w:rPr>
                <w:rFonts w:ascii="Arial" w:hAnsi="Arial" w:hint="cs"/>
                <w:sz w:val="26"/>
                <w:szCs w:val="26"/>
                <w:rtl/>
              </w:rPr>
              <w:t xml:space="preserve"> חגית רייזמן-אבודרהם</w:t>
            </w:r>
          </w:p>
          <w:p w14:paraId="1E17C857" w14:textId="77777777" w:rsidR="005B79D2" w:rsidRPr="00AA248A" w:rsidRDefault="005B79D2" w:rsidP="007A3E2A">
            <w:pPr>
              <w:rPr>
                <w:rFonts w:ascii="David" w:hAnsi="David"/>
                <w:b/>
                <w:bCs/>
                <w:sz w:val="26"/>
                <w:szCs w:val="26"/>
              </w:rPr>
            </w:pPr>
          </w:p>
        </w:tc>
      </w:tr>
      <w:bookmarkEnd w:id="2"/>
    </w:tbl>
    <w:p w14:paraId="2E63D5F0" w14:textId="77777777" w:rsidR="00AA248A" w:rsidRPr="00AA248A" w:rsidRDefault="00AA248A" w:rsidP="00AA248A">
      <w:pPr>
        <w:spacing w:before="120" w:after="120" w:line="240" w:lineRule="exact"/>
        <w:ind w:left="283" w:hanging="283"/>
        <w:jc w:val="both"/>
        <w:rPr>
          <w:rFonts w:ascii="FrankRuehl" w:hAnsi="FrankRuehl" w:cs="FrankRuehl"/>
          <w:rtl/>
        </w:rPr>
      </w:pPr>
    </w:p>
    <w:p w14:paraId="471327D6" w14:textId="77777777" w:rsidR="00C83E18" w:rsidRPr="00C83E18" w:rsidRDefault="00C83E18" w:rsidP="00C83E18">
      <w:pPr>
        <w:spacing w:before="120" w:after="120" w:line="240" w:lineRule="exact"/>
        <w:ind w:left="283" w:hanging="283"/>
        <w:jc w:val="both"/>
        <w:rPr>
          <w:rFonts w:ascii="FrankRuehl" w:hAnsi="FrankRuehl" w:cs="FrankRuehl"/>
          <w:rtl/>
        </w:rPr>
      </w:pPr>
      <w:bookmarkStart w:id="3" w:name="LawTable"/>
      <w:bookmarkEnd w:id="3"/>
    </w:p>
    <w:p w14:paraId="44EC19CE" w14:textId="77777777" w:rsidR="00C83E18" w:rsidRPr="00C83E18" w:rsidRDefault="00C83E18" w:rsidP="00C83E18">
      <w:pPr>
        <w:spacing w:before="120" w:after="120" w:line="240" w:lineRule="exact"/>
        <w:ind w:left="283" w:hanging="283"/>
        <w:jc w:val="both"/>
        <w:rPr>
          <w:rFonts w:ascii="FrankRuehl" w:hAnsi="FrankRuehl" w:cs="FrankRuehl"/>
          <w:rtl/>
        </w:rPr>
      </w:pPr>
      <w:r w:rsidRPr="00C83E18">
        <w:rPr>
          <w:rFonts w:ascii="FrankRuehl" w:hAnsi="FrankRuehl" w:cs="FrankRuehl"/>
          <w:rtl/>
        </w:rPr>
        <w:t xml:space="preserve">חקיקה שאוזכרה: </w:t>
      </w:r>
    </w:p>
    <w:p w14:paraId="30A6BE3E" w14:textId="77777777" w:rsidR="00C83E18" w:rsidRPr="00C83E18" w:rsidRDefault="00C83E18" w:rsidP="00C83E18">
      <w:pPr>
        <w:spacing w:before="120" w:after="120" w:line="240" w:lineRule="exact"/>
        <w:ind w:left="283" w:hanging="283"/>
        <w:jc w:val="both"/>
        <w:rPr>
          <w:rFonts w:ascii="FrankRuehl" w:hAnsi="FrankRuehl" w:cs="FrankRuehl"/>
          <w:color w:val="0000FF"/>
          <w:rtl/>
        </w:rPr>
      </w:pPr>
      <w:hyperlink r:id="rId7" w:history="1">
        <w:r w:rsidRPr="00C83E18">
          <w:rPr>
            <w:rStyle w:val="Hyperlink"/>
            <w:rFonts w:ascii="FrankRuehl" w:hAnsi="FrankRuehl" w:cs="FrankRuehl"/>
            <w:u w:val="none"/>
            <w:rtl/>
          </w:rPr>
          <w:t>פקודת הסמים המסוכנים [נוסח חדש], תשל"ג-1973</w:t>
        </w:r>
      </w:hyperlink>
      <w:r w:rsidRPr="00C83E18">
        <w:rPr>
          <w:rFonts w:ascii="FrankRuehl" w:hAnsi="FrankRuehl" w:cs="FrankRuehl"/>
          <w:color w:val="0000FF"/>
          <w:rtl/>
        </w:rPr>
        <w:t xml:space="preserve">: סע'  </w:t>
      </w:r>
      <w:hyperlink r:id="rId8" w:history="1">
        <w:r w:rsidRPr="00C83E18">
          <w:rPr>
            <w:rStyle w:val="Hyperlink"/>
            <w:rFonts w:ascii="FrankRuehl" w:hAnsi="FrankRuehl" w:cs="FrankRuehl"/>
            <w:u w:val="none"/>
          </w:rPr>
          <w:t>7</w:t>
        </w:r>
      </w:hyperlink>
      <w:r w:rsidRPr="00C83E18">
        <w:rPr>
          <w:rFonts w:ascii="FrankRuehl" w:hAnsi="FrankRuehl" w:cs="FrankRuehl"/>
          <w:color w:val="0000FF"/>
          <w:rtl/>
        </w:rPr>
        <w:t xml:space="preserve">(א), </w:t>
      </w:r>
      <w:hyperlink r:id="rId9" w:history="1">
        <w:r w:rsidRPr="00C83E18">
          <w:rPr>
            <w:rStyle w:val="Hyperlink"/>
            <w:rFonts w:ascii="FrankRuehl" w:hAnsi="FrankRuehl" w:cs="FrankRuehl"/>
            <w:u w:val="none"/>
          </w:rPr>
          <w:t>7</w:t>
        </w:r>
      </w:hyperlink>
      <w:r w:rsidRPr="00C83E18">
        <w:rPr>
          <w:rFonts w:ascii="FrankRuehl" w:hAnsi="FrankRuehl" w:cs="FrankRuehl"/>
          <w:color w:val="0000FF"/>
          <w:rtl/>
        </w:rPr>
        <w:t xml:space="preserve">(ג), </w:t>
      </w:r>
      <w:hyperlink r:id="rId10" w:history="1">
        <w:r w:rsidRPr="00C83E18">
          <w:rPr>
            <w:rStyle w:val="Hyperlink"/>
            <w:rFonts w:ascii="FrankRuehl" w:hAnsi="FrankRuehl" w:cs="FrankRuehl"/>
            <w:u w:val="none"/>
          </w:rPr>
          <w:t>10</w:t>
        </w:r>
      </w:hyperlink>
    </w:p>
    <w:p w14:paraId="07DD122A" w14:textId="77777777" w:rsidR="00C83E18" w:rsidRPr="00C83E18" w:rsidRDefault="00C83E18" w:rsidP="00C83E18">
      <w:pPr>
        <w:spacing w:before="120" w:after="120" w:line="240" w:lineRule="exact"/>
        <w:ind w:left="283" w:hanging="283"/>
        <w:jc w:val="both"/>
        <w:rPr>
          <w:rFonts w:ascii="FrankRuehl" w:hAnsi="FrankRuehl" w:cs="FrankRuehl"/>
          <w:color w:val="0000FF"/>
          <w:rtl/>
        </w:rPr>
      </w:pPr>
      <w:hyperlink r:id="rId11" w:history="1">
        <w:r w:rsidRPr="00C83E18">
          <w:rPr>
            <w:rStyle w:val="Hyperlink"/>
            <w:rFonts w:ascii="FrankRuehl" w:hAnsi="FrankRuehl" w:cs="FrankRuehl"/>
            <w:u w:val="none"/>
            <w:rtl/>
          </w:rPr>
          <w:t>חוק העונשין, תשל"ז-1977</w:t>
        </w:r>
      </w:hyperlink>
      <w:r w:rsidRPr="00C83E18">
        <w:rPr>
          <w:rFonts w:ascii="FrankRuehl" w:hAnsi="FrankRuehl" w:cs="FrankRuehl"/>
          <w:color w:val="0000FF"/>
          <w:rtl/>
        </w:rPr>
        <w:t xml:space="preserve">: סע'  </w:t>
      </w:r>
      <w:hyperlink r:id="rId12" w:history="1">
        <w:r w:rsidRPr="00C83E18">
          <w:rPr>
            <w:rStyle w:val="Hyperlink"/>
            <w:rFonts w:ascii="FrankRuehl" w:hAnsi="FrankRuehl" w:cs="FrankRuehl"/>
            <w:u w:val="none"/>
          </w:rPr>
          <w:t>40</w:t>
        </w:r>
        <w:r w:rsidRPr="00C83E18">
          <w:rPr>
            <w:rStyle w:val="Hyperlink"/>
            <w:rFonts w:ascii="FrankRuehl" w:hAnsi="FrankRuehl" w:cs="FrankRuehl"/>
            <w:u w:val="none"/>
            <w:rtl/>
          </w:rPr>
          <w:t>ב</w:t>
        </w:r>
      </w:hyperlink>
      <w:r w:rsidRPr="00C83E18">
        <w:rPr>
          <w:rFonts w:ascii="FrankRuehl" w:hAnsi="FrankRuehl" w:cs="FrankRuehl"/>
          <w:color w:val="0000FF"/>
          <w:rtl/>
        </w:rPr>
        <w:t xml:space="preserve">, </w:t>
      </w:r>
      <w:hyperlink r:id="rId13" w:history="1">
        <w:r w:rsidRPr="00C83E18">
          <w:rPr>
            <w:rStyle w:val="Hyperlink"/>
            <w:rFonts w:ascii="FrankRuehl" w:hAnsi="FrankRuehl" w:cs="FrankRuehl"/>
            <w:u w:val="none"/>
          </w:rPr>
          <w:t>40</w:t>
        </w:r>
        <w:r w:rsidRPr="00C83E18">
          <w:rPr>
            <w:rStyle w:val="Hyperlink"/>
            <w:rFonts w:ascii="FrankRuehl" w:hAnsi="FrankRuehl" w:cs="FrankRuehl"/>
            <w:u w:val="none"/>
            <w:rtl/>
          </w:rPr>
          <w:t>ג</w:t>
        </w:r>
      </w:hyperlink>
      <w:r w:rsidRPr="00C83E18">
        <w:rPr>
          <w:rFonts w:ascii="FrankRuehl" w:hAnsi="FrankRuehl" w:cs="FrankRuehl"/>
          <w:color w:val="0000FF"/>
          <w:rtl/>
        </w:rPr>
        <w:t xml:space="preserve">(א), </w:t>
      </w:r>
      <w:hyperlink r:id="rId14" w:history="1">
        <w:r w:rsidRPr="00C83E18">
          <w:rPr>
            <w:rStyle w:val="Hyperlink"/>
            <w:rFonts w:ascii="FrankRuehl" w:hAnsi="FrankRuehl" w:cs="FrankRuehl"/>
            <w:u w:val="none"/>
          </w:rPr>
          <w:t>40</w:t>
        </w:r>
        <w:r w:rsidRPr="00C83E18">
          <w:rPr>
            <w:rStyle w:val="Hyperlink"/>
            <w:rFonts w:ascii="FrankRuehl" w:hAnsi="FrankRuehl" w:cs="FrankRuehl"/>
            <w:u w:val="none"/>
            <w:rtl/>
          </w:rPr>
          <w:t>ג</w:t>
        </w:r>
      </w:hyperlink>
      <w:r w:rsidRPr="00C83E18">
        <w:rPr>
          <w:rFonts w:ascii="FrankRuehl" w:hAnsi="FrankRuehl" w:cs="FrankRuehl"/>
          <w:color w:val="0000FF"/>
          <w:rtl/>
        </w:rPr>
        <w:t xml:space="preserve">(ב), </w:t>
      </w:r>
      <w:hyperlink r:id="rId15" w:history="1">
        <w:r w:rsidRPr="00C83E18">
          <w:rPr>
            <w:rStyle w:val="Hyperlink"/>
            <w:rFonts w:ascii="FrankRuehl" w:hAnsi="FrankRuehl" w:cs="FrankRuehl"/>
            <w:u w:val="none"/>
          </w:rPr>
          <w:t>40</w:t>
        </w:r>
        <w:r w:rsidRPr="00C83E18">
          <w:rPr>
            <w:rStyle w:val="Hyperlink"/>
            <w:rFonts w:ascii="FrankRuehl" w:hAnsi="FrankRuehl" w:cs="FrankRuehl"/>
            <w:u w:val="none"/>
            <w:rtl/>
          </w:rPr>
          <w:t>ט</w:t>
        </w:r>
      </w:hyperlink>
    </w:p>
    <w:p w14:paraId="470E8D3B" w14:textId="77777777" w:rsidR="00AA248A" w:rsidRPr="00C83E18" w:rsidRDefault="00AA248A" w:rsidP="00C83E1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79D2" w14:paraId="5D1F9370" w14:textId="77777777" w:rsidTr="005B79D2">
        <w:trPr>
          <w:trHeight w:val="355"/>
          <w:jc w:val="center"/>
        </w:trPr>
        <w:tc>
          <w:tcPr>
            <w:tcW w:w="8820" w:type="dxa"/>
            <w:tcBorders>
              <w:top w:val="nil"/>
              <w:left w:val="nil"/>
              <w:bottom w:val="nil"/>
              <w:right w:val="nil"/>
            </w:tcBorders>
            <w:shd w:val="clear" w:color="auto" w:fill="auto"/>
          </w:tcPr>
          <w:p w14:paraId="144CDE36" w14:textId="77777777" w:rsidR="00AA248A" w:rsidRPr="00AA248A" w:rsidRDefault="00AA248A" w:rsidP="00AA248A">
            <w:pPr>
              <w:jc w:val="center"/>
              <w:rPr>
                <w:rFonts w:ascii="David" w:hAnsi="David"/>
                <w:b/>
                <w:bCs/>
                <w:sz w:val="32"/>
                <w:szCs w:val="32"/>
                <w:u w:val="single"/>
                <w:rtl/>
              </w:rPr>
            </w:pPr>
            <w:bookmarkStart w:id="5" w:name="PsakDin" w:colFirst="0" w:colLast="0"/>
            <w:bookmarkEnd w:id="0"/>
            <w:r w:rsidRPr="00AA248A">
              <w:rPr>
                <w:rFonts w:ascii="David" w:hAnsi="David"/>
                <w:b/>
                <w:bCs/>
                <w:sz w:val="32"/>
                <w:szCs w:val="32"/>
                <w:u w:val="single"/>
                <w:rtl/>
              </w:rPr>
              <w:t>גזר דין</w:t>
            </w:r>
          </w:p>
          <w:p w14:paraId="63F585EC" w14:textId="77777777" w:rsidR="005B79D2" w:rsidRPr="00AA248A" w:rsidRDefault="005B79D2" w:rsidP="00AA248A">
            <w:pPr>
              <w:jc w:val="center"/>
              <w:rPr>
                <w:rFonts w:ascii="David" w:hAnsi="David"/>
                <w:bCs/>
                <w:sz w:val="32"/>
                <w:szCs w:val="32"/>
                <w:u w:val="single"/>
                <w:rtl/>
              </w:rPr>
            </w:pPr>
          </w:p>
        </w:tc>
      </w:tr>
      <w:bookmarkEnd w:id="5"/>
    </w:tbl>
    <w:p w14:paraId="1F680E53" w14:textId="77777777" w:rsidR="005B79D2" w:rsidRPr="000F2247" w:rsidRDefault="005B79D2" w:rsidP="005B79D2">
      <w:pPr>
        <w:rPr>
          <w:rFonts w:ascii="Arial" w:hAnsi="Arial"/>
          <w:b/>
          <w:bCs/>
          <w:sz w:val="26"/>
          <w:szCs w:val="26"/>
          <w:rtl/>
        </w:rPr>
      </w:pPr>
    </w:p>
    <w:p w14:paraId="75FA496F"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Pr>
      </w:pPr>
      <w:bookmarkStart w:id="6" w:name="ABSTRACT_START"/>
      <w:bookmarkEnd w:id="6"/>
      <w:r>
        <w:rPr>
          <w:rFonts w:ascii="FrankRuehl" w:hAnsi="FrankRuehl" w:cs="FrankRuehl"/>
          <w:sz w:val="28"/>
          <w:szCs w:val="28"/>
          <w:rtl/>
        </w:rPr>
        <w:t>גזר דין זה עניינו שני אישומים בתחום הסמים.</w:t>
      </w:r>
    </w:p>
    <w:p w14:paraId="1DE02BE0" w14:textId="77777777" w:rsidR="005B79D2" w:rsidRPr="00D076CE" w:rsidRDefault="005B79D2" w:rsidP="005B79D2">
      <w:pPr>
        <w:pStyle w:val="a9"/>
        <w:spacing w:after="0" w:line="360" w:lineRule="auto"/>
        <w:jc w:val="both"/>
        <w:rPr>
          <w:rFonts w:ascii="FrankRuehl" w:hAnsi="FrankRuehl" w:cs="FrankRuehl"/>
          <w:sz w:val="20"/>
          <w:szCs w:val="20"/>
        </w:rPr>
      </w:pPr>
    </w:p>
    <w:p w14:paraId="3BFFF04A"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באישום הראשון (</w:t>
      </w:r>
      <w:hyperlink r:id="rId16" w:history="1">
        <w:r w:rsidR="00AA248A" w:rsidRPr="00AA248A">
          <w:rPr>
            <w:rFonts w:ascii="FrankRuehl" w:hAnsi="FrankRuehl" w:cs="FrankRuehl"/>
            <w:color w:val="0000FF"/>
            <w:sz w:val="28"/>
            <w:szCs w:val="28"/>
            <w:u w:val="single"/>
            <w:rtl/>
          </w:rPr>
          <w:t>ת"פ 33615-05-22</w:t>
        </w:r>
      </w:hyperlink>
      <w:r>
        <w:rPr>
          <w:rFonts w:ascii="FrankRuehl" w:hAnsi="FrankRuehl" w:cs="FrankRuehl"/>
          <w:sz w:val="28"/>
          <w:szCs w:val="28"/>
          <w:rtl/>
        </w:rPr>
        <w:t xml:space="preserve">), הורשע הנאשם על-יסוד הודאתו, בהחזקה ושימוש בסמים לצריכה עצמית, עבירה לפי </w:t>
      </w:r>
      <w:hyperlink r:id="rId17" w:history="1">
        <w:r w:rsidR="00C83E18" w:rsidRPr="00C83E18">
          <w:rPr>
            <w:rStyle w:val="Hyperlink"/>
            <w:rFonts w:ascii="FrankRuehl" w:hAnsi="FrankRuehl" w:cs="FrankRuehl"/>
            <w:color w:val="0000FF"/>
            <w:sz w:val="28"/>
            <w:szCs w:val="28"/>
            <w:rtl/>
          </w:rPr>
          <w:t>סעיפים 7(א)</w:t>
        </w:r>
      </w:hyperlink>
      <w:r>
        <w:rPr>
          <w:rFonts w:ascii="FrankRuehl" w:hAnsi="FrankRuehl" w:cs="FrankRuehl"/>
          <w:sz w:val="28"/>
          <w:szCs w:val="28"/>
          <w:rtl/>
        </w:rPr>
        <w:t xml:space="preserve"> ו-</w:t>
      </w:r>
      <w:hyperlink r:id="rId18" w:history="1">
        <w:r w:rsidR="00C83E18" w:rsidRPr="00C83E18">
          <w:rPr>
            <w:rStyle w:val="Hyperlink"/>
            <w:rFonts w:ascii="FrankRuehl" w:hAnsi="FrankRuehl" w:cs="FrankRuehl"/>
            <w:color w:val="0000FF"/>
            <w:sz w:val="28"/>
            <w:szCs w:val="28"/>
            <w:rtl/>
          </w:rPr>
          <w:t>7(ג)</w:t>
        </w:r>
      </w:hyperlink>
      <w:r>
        <w:rPr>
          <w:rFonts w:ascii="FrankRuehl" w:hAnsi="FrankRuehl" w:cs="FrankRuehl"/>
          <w:sz w:val="28"/>
          <w:szCs w:val="28"/>
          <w:rtl/>
        </w:rPr>
        <w:t xml:space="preserve"> סיפא </w:t>
      </w:r>
      <w:r>
        <w:rPr>
          <w:rFonts w:ascii="Miriam" w:hAnsi="Miriam" w:cs="Miriam"/>
          <w:sz w:val="24"/>
          <w:szCs w:val="24"/>
          <w:rtl/>
        </w:rPr>
        <w:t>ב</w:t>
      </w:r>
      <w:hyperlink r:id="rId19" w:history="1">
        <w:r w:rsidR="00AA248A" w:rsidRPr="00AA248A">
          <w:rPr>
            <w:rFonts w:ascii="Miriam" w:hAnsi="Miriam" w:cs="Miriam"/>
            <w:color w:val="0000FF"/>
            <w:sz w:val="24"/>
            <w:szCs w:val="24"/>
            <w:u w:val="single"/>
            <w:rtl/>
          </w:rPr>
          <w:t>פקודת הסמים המסוכנים</w:t>
        </w:r>
      </w:hyperlink>
      <w:r>
        <w:rPr>
          <w:rFonts w:ascii="Miriam" w:hAnsi="Miriam" w:cs="Miriam"/>
          <w:sz w:val="24"/>
          <w:szCs w:val="24"/>
          <w:rtl/>
        </w:rPr>
        <w:t xml:space="preserve"> [נוסח חדש], התשל"ג-1973</w:t>
      </w:r>
      <w:r>
        <w:rPr>
          <w:rFonts w:ascii="FrankRuehl" w:hAnsi="FrankRuehl" w:cs="FrankRuehl"/>
          <w:sz w:val="28"/>
          <w:szCs w:val="28"/>
          <w:rtl/>
        </w:rPr>
        <w:t xml:space="preserve"> (להלן: "</w:t>
      </w:r>
      <w:r>
        <w:rPr>
          <w:rFonts w:ascii="Miriam" w:hAnsi="Miriam" w:cs="Miriam"/>
          <w:sz w:val="24"/>
          <w:szCs w:val="24"/>
          <w:rtl/>
        </w:rPr>
        <w:t>פקודת הסמים</w:t>
      </w:r>
      <w:r>
        <w:rPr>
          <w:rFonts w:ascii="FrankRuehl" w:hAnsi="FrankRuehl" w:cs="FrankRuehl"/>
          <w:sz w:val="28"/>
          <w:szCs w:val="28"/>
          <w:rtl/>
        </w:rPr>
        <w:t>"). לפי האישום, ביום 3.11.2021 בערב, החזיק הנאשם ללא רישיון כדין, בסמים מסוכנים מעל דלת של חדר בביתו בבית שמש, משלושה סוגים:</w:t>
      </w:r>
      <w:r>
        <w:rPr>
          <w:rFonts w:ascii="FrankRuehl" w:hAnsi="FrankRuehl" w:cs="FrankRuehl"/>
          <w:sz w:val="28"/>
          <w:szCs w:val="28"/>
        </w:rPr>
        <w:t xml:space="preserve"> </w:t>
      </w:r>
      <w:r>
        <w:rPr>
          <w:rFonts w:ascii="FrankRuehl" w:hAnsi="FrankRuehl" w:cs="FrankRuehl"/>
          <w:sz w:val="28"/>
          <w:szCs w:val="28"/>
          <w:rtl/>
        </w:rPr>
        <w:t xml:space="preserve">9 יחידות של סם מסוכן מסוג </w:t>
      </w:r>
      <w:r>
        <w:rPr>
          <w:rFonts w:ascii="FrankRuehl" w:hAnsi="FrankRuehl" w:cs="FrankRuehl"/>
          <w:sz w:val="20"/>
          <w:szCs w:val="20"/>
        </w:rPr>
        <w:t>MDMA</w:t>
      </w:r>
      <w:r>
        <w:rPr>
          <w:rFonts w:ascii="FrankRuehl" w:hAnsi="FrankRuehl" w:cs="FrankRuehl"/>
          <w:sz w:val="28"/>
          <w:szCs w:val="28"/>
          <w:rtl/>
        </w:rPr>
        <w:t xml:space="preserve">, 28 יחידות של סם מסוכן מסוג </w:t>
      </w:r>
      <w:r>
        <w:rPr>
          <w:rFonts w:ascii="FrankRuehl" w:hAnsi="FrankRuehl" w:cs="FrankRuehl"/>
          <w:sz w:val="20"/>
          <w:szCs w:val="20"/>
        </w:rPr>
        <w:t>EUTYLONE</w:t>
      </w:r>
      <w:r>
        <w:rPr>
          <w:rFonts w:ascii="FrankRuehl" w:hAnsi="FrankRuehl" w:cs="FrankRuehl"/>
          <w:sz w:val="28"/>
          <w:szCs w:val="28"/>
          <w:rtl/>
        </w:rPr>
        <w:t xml:space="preserve"> (שהוא נגזרת מבנית של </w:t>
      </w:r>
      <w:r>
        <w:rPr>
          <w:rFonts w:ascii="FrankRuehl" w:hAnsi="FrankRuehl" w:cs="FrankRuehl"/>
          <w:sz w:val="20"/>
          <w:szCs w:val="20"/>
        </w:rPr>
        <w:t>METHYLONE</w:t>
      </w:r>
      <w:r>
        <w:rPr>
          <w:rFonts w:ascii="FrankRuehl" w:hAnsi="FrankRuehl" w:cs="FrankRuehl"/>
          <w:sz w:val="28"/>
          <w:szCs w:val="28"/>
          <w:rtl/>
        </w:rPr>
        <w:t>); וגם כמות של 44.14</w:t>
      </w:r>
      <w:r>
        <w:rPr>
          <w:rFonts w:ascii="FrankRuehl" w:hAnsi="FrankRuehl" w:cs="FrankRuehl"/>
          <w:sz w:val="28"/>
          <w:szCs w:val="28"/>
        </w:rPr>
        <w:t xml:space="preserve"> </w:t>
      </w:r>
      <w:r>
        <w:rPr>
          <w:rFonts w:ascii="FrankRuehl" w:hAnsi="FrankRuehl" w:cs="FrankRuehl"/>
          <w:sz w:val="28"/>
          <w:szCs w:val="28"/>
          <w:rtl/>
        </w:rPr>
        <w:t>גרמים נטו של סם מסוכן מסוג קנבוס.</w:t>
      </w:r>
    </w:p>
    <w:p w14:paraId="64B21E66" w14:textId="77777777" w:rsidR="005B79D2" w:rsidRPr="004A5F16" w:rsidRDefault="005B79D2" w:rsidP="005B79D2">
      <w:pPr>
        <w:pStyle w:val="a9"/>
        <w:spacing w:after="0" w:line="360" w:lineRule="auto"/>
        <w:rPr>
          <w:rFonts w:ascii="FrankRuehl" w:hAnsi="FrankRuehl" w:cs="FrankRuehl"/>
          <w:sz w:val="20"/>
          <w:szCs w:val="20"/>
        </w:rPr>
      </w:pPr>
      <w:bookmarkStart w:id="7" w:name="ABSTRACT_END"/>
      <w:bookmarkEnd w:id="7"/>
    </w:p>
    <w:p w14:paraId="20450EE4"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באישום השני (</w:t>
      </w:r>
      <w:hyperlink r:id="rId20" w:history="1">
        <w:r w:rsidR="00AA248A" w:rsidRPr="00AA248A">
          <w:rPr>
            <w:rFonts w:ascii="FrankRuehl" w:hAnsi="FrankRuehl" w:cs="FrankRuehl"/>
            <w:color w:val="0000FF"/>
            <w:sz w:val="28"/>
            <w:szCs w:val="28"/>
            <w:u w:val="single"/>
            <w:rtl/>
          </w:rPr>
          <w:t>ת"פ 64293-05-23</w:t>
        </w:r>
      </w:hyperlink>
      <w:r>
        <w:rPr>
          <w:rFonts w:ascii="FrankRuehl" w:hAnsi="FrankRuehl" w:cs="FrankRuehl"/>
          <w:sz w:val="28"/>
          <w:szCs w:val="28"/>
          <w:rtl/>
        </w:rPr>
        <w:t xml:space="preserve">), הורשע הנאשם, גם זאת על-יסוד הודאתו, בהחזקה ושימוש בסמים לצריכה עצמית, ללא רישיון כדין, לפי העבירה המוזכרת לעיל. הוא הורשע גם כן בהחזקת כלים להכנת סם לצריכה עצמית, עבירה לפי </w:t>
      </w:r>
      <w:hyperlink r:id="rId21" w:history="1">
        <w:r w:rsidR="00C83E18" w:rsidRPr="00C83E18">
          <w:rPr>
            <w:rStyle w:val="Hyperlink"/>
            <w:rFonts w:ascii="FrankRuehl" w:hAnsi="FrankRuehl" w:cs="FrankRuehl"/>
            <w:color w:val="0000FF"/>
            <w:sz w:val="28"/>
            <w:szCs w:val="28"/>
            <w:rtl/>
          </w:rPr>
          <w:t>סעיף 10</w:t>
        </w:r>
      </w:hyperlink>
      <w:r>
        <w:rPr>
          <w:rFonts w:ascii="FrankRuehl" w:hAnsi="FrankRuehl" w:cs="FrankRuehl"/>
          <w:sz w:val="28"/>
          <w:szCs w:val="28"/>
          <w:rtl/>
        </w:rPr>
        <w:t xml:space="preserve"> סיפא </w:t>
      </w:r>
      <w:r>
        <w:rPr>
          <w:rFonts w:ascii="Miriam" w:hAnsi="Miriam" w:cs="Miriam"/>
          <w:sz w:val="24"/>
          <w:szCs w:val="24"/>
          <w:rtl/>
        </w:rPr>
        <w:lastRenderedPageBreak/>
        <w:t>בפקודת הסמים</w:t>
      </w:r>
      <w:r>
        <w:rPr>
          <w:rFonts w:ascii="FrankRuehl" w:hAnsi="FrankRuehl" w:cs="FrankRuehl"/>
          <w:sz w:val="28"/>
          <w:szCs w:val="28"/>
          <w:rtl/>
        </w:rPr>
        <w:t>. לפי אישום זה, ביום 7.6.2022 בשעות הבוקר, החזיק הנאשם במחסן שבביתו בבית שמש, בתוך אוהל, שני שתילים של סם מסוכן מסוג קנבוס במשקל כולל של 15.15 גרמים נטו. באותן הנסיבות, החזיק שם גם כלים המשמשים לגידול סמים והם: מיזוג, תאורה, דשנים שונים ומשאבות חמצן.</w:t>
      </w:r>
    </w:p>
    <w:p w14:paraId="14590085" w14:textId="77777777" w:rsidR="005B79D2" w:rsidRPr="004A5F16" w:rsidRDefault="005B79D2" w:rsidP="005B79D2">
      <w:pPr>
        <w:pStyle w:val="a9"/>
        <w:spacing w:after="0" w:line="360" w:lineRule="auto"/>
        <w:rPr>
          <w:rFonts w:ascii="FrankRuehl" w:hAnsi="FrankRuehl" w:cs="FrankRuehl"/>
          <w:sz w:val="24"/>
          <w:szCs w:val="24"/>
        </w:rPr>
      </w:pPr>
    </w:p>
    <w:p w14:paraId="3575B0EE"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ביום 15.12.2024 טענו הצדדים לעונש.</w:t>
      </w:r>
    </w:p>
    <w:p w14:paraId="7F11604A" w14:textId="77777777" w:rsidR="005B79D2" w:rsidRPr="004A5F16" w:rsidRDefault="005B79D2" w:rsidP="005B79D2">
      <w:pPr>
        <w:spacing w:line="360" w:lineRule="auto"/>
        <w:rPr>
          <w:rFonts w:ascii="FrankRuehl" w:hAnsi="FrankRuehl" w:cs="FrankRuehl"/>
        </w:rPr>
      </w:pPr>
    </w:p>
    <w:p w14:paraId="58A8022C" w14:textId="77777777" w:rsidR="005B79D2" w:rsidRDefault="005B79D2" w:rsidP="005B79D2">
      <w:pPr>
        <w:spacing w:line="360" w:lineRule="auto"/>
        <w:rPr>
          <w:rFonts w:ascii="Miriam" w:hAnsi="Miriam" w:cs="Miriam"/>
          <w:u w:val="single"/>
          <w:rtl/>
        </w:rPr>
      </w:pPr>
      <w:r>
        <w:rPr>
          <w:rFonts w:ascii="Miriam" w:hAnsi="Miriam" w:cs="Miriam"/>
          <w:u w:val="single"/>
          <w:rtl/>
        </w:rPr>
        <w:t>התסקיר וחוות הדעת</w:t>
      </w:r>
    </w:p>
    <w:p w14:paraId="40684599" w14:textId="77777777" w:rsidR="005B79D2" w:rsidRPr="003D75B3" w:rsidRDefault="005B79D2" w:rsidP="005B79D2">
      <w:pPr>
        <w:spacing w:line="360" w:lineRule="auto"/>
        <w:rPr>
          <w:rFonts w:ascii="FrankRuehl" w:hAnsi="FrankRuehl" w:cs="FrankRuehl"/>
          <w:sz w:val="20"/>
          <w:szCs w:val="20"/>
        </w:rPr>
      </w:pPr>
    </w:p>
    <w:p w14:paraId="7B42E2D5"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תסקיר שירות המבחן הוגש ביום 6.11.2024. זה המקום לציין, כי בשל שיבוש בקישור בין האישומים שהתנהלו בתיקים נפרדים (אחד בירושלים והשני בבית שמש), התסקיר התייחס רק לאישום שבתיק 33615-05-22. למרות האמור, הסכימו הצדדים בדיון הטיעונים לעונש, לטעון ללא הצורך בהשלמת התסקיר ביחס לאישום הנוסף.</w:t>
      </w:r>
    </w:p>
    <w:p w14:paraId="500506EE" w14:textId="77777777" w:rsidR="005B79D2" w:rsidRPr="003D75B3" w:rsidRDefault="005B79D2" w:rsidP="005B79D2">
      <w:pPr>
        <w:pStyle w:val="a9"/>
        <w:spacing w:after="0" w:line="360" w:lineRule="auto"/>
        <w:jc w:val="both"/>
        <w:rPr>
          <w:rFonts w:ascii="FrankRuehl" w:hAnsi="FrankRuehl" w:cs="FrankRuehl"/>
          <w:sz w:val="20"/>
          <w:szCs w:val="20"/>
        </w:rPr>
      </w:pPr>
    </w:p>
    <w:p w14:paraId="6BE7B48C"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לפי התסקיר, בתמצית מתוך שמירה על צנעת הפרט, הנאשם בן 43, גרוש אך מתגורר עם גרושתו, ואב לחמישה ילדים קטינים. כיום הוא קבלן. ילדותו לא הייתה קלה, וזה בא לידי ביטוי בהמשך בקשיים בשירותו הצבאי שקוצר. הוא השלים שתים-עשרה שנות לימוד. בבגרותו, הוא לא היה יציב תעסוקתית, ובמקום העבודה הנוכחי הוא החל רק לפני מספר חודשים. הוא המפרנס היחיד למשפחתו. הנאשם החל שימוש בסמים לפני מספר שנים, ולדבריו הוא עושה כן בתדירות קבועה.</w:t>
      </w:r>
    </w:p>
    <w:p w14:paraId="330641C4" w14:textId="77777777" w:rsidR="005B79D2" w:rsidRPr="003D75B3" w:rsidRDefault="005B79D2" w:rsidP="005B79D2">
      <w:pPr>
        <w:pStyle w:val="a9"/>
        <w:spacing w:after="0" w:line="360" w:lineRule="auto"/>
        <w:jc w:val="both"/>
        <w:rPr>
          <w:rFonts w:ascii="FrankRuehl" w:hAnsi="FrankRuehl" w:cs="FrankRuehl"/>
          <w:sz w:val="20"/>
          <w:szCs w:val="20"/>
        </w:rPr>
      </w:pPr>
    </w:p>
    <w:p w14:paraId="1215CD0E"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כגורמי סיכון להישנות מעשה עברייני, עמד התסקיר על העדר נכונות הנאשם להליך טיפולי, על עברו הפלילי, על קשייו ההסתגלותיים וחוסר היציבות בחייו האישיים והתעסוקתיים. לא רק שהנאשם הודיע כי אינו מעוניין להפסיק שימוש בסמים, אלא הביע גם את דעתו שתומכת בשימוש זה. כגורמי סיכוי לשיקום לעומת זאת, עמד התסקיר על מאמציו של הנאשם לנהל את חייו חרף קשייו, דאגתו לפרנס את משפחתו וגם יכולתו לתקשורת טובה. בנסיבות אלו, התסקיר לא בא בהמלצה טיפולית, והמליץ על ענישה מוחשית בדמות קנס כספי וענישה מותנית מרתיעה.</w:t>
      </w:r>
    </w:p>
    <w:p w14:paraId="6968452F" w14:textId="77777777" w:rsidR="005B79D2" w:rsidRPr="003D75B3" w:rsidRDefault="005B79D2" w:rsidP="005B79D2">
      <w:pPr>
        <w:spacing w:line="360" w:lineRule="auto"/>
        <w:jc w:val="both"/>
        <w:rPr>
          <w:rFonts w:ascii="FrankRuehl" w:hAnsi="FrankRuehl" w:cs="FrankRuehl"/>
          <w:sz w:val="20"/>
          <w:szCs w:val="20"/>
        </w:rPr>
      </w:pPr>
    </w:p>
    <w:p w14:paraId="603317A1"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לפי חוות דעתו של הממונה על עבודות השירות מיום 27.10.2024, הנאשם נמצא מתאים לביצוע עבודות שירות אך במגבלות.</w:t>
      </w:r>
    </w:p>
    <w:p w14:paraId="231E697C" w14:textId="77777777" w:rsidR="005B79D2" w:rsidRPr="003D75B3" w:rsidRDefault="005B79D2" w:rsidP="005B79D2">
      <w:pPr>
        <w:spacing w:line="360" w:lineRule="auto"/>
        <w:jc w:val="both"/>
        <w:rPr>
          <w:rFonts w:ascii="FrankRuehl" w:hAnsi="FrankRuehl" w:cs="FrankRuehl"/>
          <w:sz w:val="20"/>
          <w:szCs w:val="20"/>
        </w:rPr>
      </w:pPr>
    </w:p>
    <w:p w14:paraId="60C18666" w14:textId="77777777" w:rsidR="005B79D2" w:rsidRDefault="005B79D2" w:rsidP="005B79D2">
      <w:pPr>
        <w:spacing w:line="360" w:lineRule="auto"/>
        <w:rPr>
          <w:rFonts w:ascii="Miriam" w:hAnsi="Miriam" w:cs="Miriam"/>
          <w:u w:val="single"/>
          <w:rtl/>
        </w:rPr>
      </w:pPr>
      <w:r>
        <w:rPr>
          <w:rFonts w:ascii="Miriam" w:hAnsi="Miriam" w:cs="Miriam"/>
          <w:u w:val="single"/>
          <w:rtl/>
        </w:rPr>
        <w:lastRenderedPageBreak/>
        <w:t>עיקרי טיעוני הצדדים לעונש</w:t>
      </w:r>
    </w:p>
    <w:p w14:paraId="7B4DD469" w14:textId="77777777" w:rsidR="005B79D2" w:rsidRPr="003D75B3" w:rsidRDefault="005B79D2" w:rsidP="005B79D2">
      <w:pPr>
        <w:spacing w:line="360" w:lineRule="auto"/>
        <w:rPr>
          <w:rFonts w:ascii="FrankRuehl" w:hAnsi="FrankRuehl" w:cs="FrankRuehl"/>
          <w:sz w:val="20"/>
          <w:szCs w:val="20"/>
        </w:rPr>
      </w:pPr>
    </w:p>
    <w:p w14:paraId="73DACCC8"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המאשימה טוענת בעיקר, כי הנאשם הודה והורשע בשני כתבי אישום מתוקנים, שעניינם החזקת סמים מסוכנים לצריכה עצמית. באישום השני, הוא החזיק גם כלים לגידול סמים, נתון</w:t>
      </w:r>
      <w:r>
        <w:rPr>
          <w:rFonts w:ascii="FrankRuehl" w:hAnsi="FrankRuehl" w:cs="FrankRuehl" w:hint="cs"/>
          <w:sz w:val="28"/>
          <w:szCs w:val="28"/>
          <w:rtl/>
        </w:rPr>
        <w:t xml:space="preserve"> אשר </w:t>
      </w:r>
      <w:r>
        <w:rPr>
          <w:rFonts w:ascii="FrankRuehl" w:hAnsi="FrankRuehl" w:cs="FrankRuehl"/>
          <w:sz w:val="28"/>
          <w:szCs w:val="28"/>
          <w:rtl/>
        </w:rPr>
        <w:t>מגביר את המסוכנות שבמעשיו, אשר נשקפת לשלום הציבור. הנאשם צורך סמים מסוגים שונים ואינו מעוניין להפסיק את השימוש. המאשימה גורסת שיש לקבוע מתחם נפרד לכל אישום, שינוע בין חודשיים ועד שמונה חודשי מאסר, לצד ענישה נלווית. נוכח עברו הפלילי של הנאשם, יש להחמיר בענישתו, ולכן עותרת המאשימה להשית עליו, חמישה חודשי מאסר בפועל, מאסר מותנה, קנס והתחייבות בשיעורים משמעותיים. בנוסף, היא עותרת להשמדת הסמים שנתפסו והרכוש ששימש להכנתם.</w:t>
      </w:r>
    </w:p>
    <w:p w14:paraId="2BEF129D" w14:textId="77777777" w:rsidR="005B79D2" w:rsidRPr="003D75B3" w:rsidRDefault="005B79D2" w:rsidP="005B79D2">
      <w:pPr>
        <w:pStyle w:val="a9"/>
        <w:spacing w:after="0" w:line="360" w:lineRule="auto"/>
        <w:jc w:val="both"/>
        <w:rPr>
          <w:rFonts w:ascii="FrankRuehl" w:hAnsi="FrankRuehl" w:cs="FrankRuehl"/>
          <w:sz w:val="20"/>
          <w:szCs w:val="20"/>
        </w:rPr>
      </w:pPr>
    </w:p>
    <w:p w14:paraId="0DA9D18D"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הנאשם – באמצעות באת-כוחו </w:t>
      </w:r>
      <w:r>
        <w:rPr>
          <w:rFonts w:ascii="Miriam" w:hAnsi="Miriam" w:cs="Miriam"/>
          <w:sz w:val="24"/>
          <w:szCs w:val="24"/>
          <w:rtl/>
        </w:rPr>
        <w:t>עו"ד ח' רייזמן-אבודרהם</w:t>
      </w:r>
      <w:r>
        <w:rPr>
          <w:rFonts w:ascii="FrankRuehl" w:hAnsi="FrankRuehl" w:cs="FrankRuehl"/>
          <w:sz w:val="28"/>
          <w:szCs w:val="28"/>
          <w:rtl/>
        </w:rPr>
        <w:t xml:space="preserve"> – טוען מנגד, בעיקר, כי הוא נטל אחריות על מעשיו בשני האישומים והסביר שהסמים נועדו לצריכה אישית. באישום השני, כמות הסם הייתה שולית מאוד. לפיכך, לא נשקפת מסוכנות לשלום הציבור. הנאשם נמצא בעשור הרביעי לחייו, גרוש ומנהל משק בית משותף עם גרושתו, להם ילדים קטינים. אמנם יש לו עבר פלילי, אך אינו משמעותי ולא רלבנטי לתחום הסמים. הנאשם עוסק כקבלן. הוא בעל יכולות תפקוד נורמטיבי, והוא המפרנס היחיד למשפחתו. הוא הודה בצריכת הסמים בתדירות של פעם בשבוע, וזה מה ש"</w:t>
      </w:r>
      <w:r>
        <w:rPr>
          <w:rFonts w:ascii="Miriam" w:hAnsi="Miriam" w:cs="Miriam"/>
          <w:sz w:val="24"/>
          <w:szCs w:val="24"/>
          <w:rtl/>
        </w:rPr>
        <w:t>מחזיק</w:t>
      </w:r>
      <w:r>
        <w:rPr>
          <w:rFonts w:ascii="FrankRuehl" w:hAnsi="FrankRuehl" w:cs="FrankRuehl"/>
          <w:sz w:val="28"/>
          <w:szCs w:val="28"/>
          <w:rtl/>
        </w:rPr>
        <w:t>" אותו ועושה לו "</w:t>
      </w:r>
      <w:r>
        <w:rPr>
          <w:rFonts w:ascii="Miriam" w:hAnsi="Miriam" w:cs="Miriam"/>
          <w:sz w:val="24"/>
          <w:szCs w:val="24"/>
          <w:rtl/>
        </w:rPr>
        <w:t>טוב</w:t>
      </w:r>
      <w:r>
        <w:rPr>
          <w:rFonts w:ascii="FrankRuehl" w:hAnsi="FrankRuehl" w:cs="FrankRuehl"/>
          <w:sz w:val="28"/>
          <w:szCs w:val="28"/>
          <w:rtl/>
        </w:rPr>
        <w:t xml:space="preserve">". הוא מאמין, כי אין פסול בצריכה עצמית. ההגנה עותרת לאמץ את המלצת שירות המבחן ולהטיל עונש בדמות מאסר מותנה </w:t>
      </w:r>
      <w:r>
        <w:rPr>
          <w:rFonts w:ascii="Miriam" w:hAnsi="Miriam" w:cs="Miriam"/>
          <w:sz w:val="24"/>
          <w:szCs w:val="24"/>
          <w:rtl/>
        </w:rPr>
        <w:t>שלא</w:t>
      </w:r>
      <w:r>
        <w:rPr>
          <w:rFonts w:ascii="FrankRuehl" w:hAnsi="FrankRuehl" w:cs="FrankRuehl"/>
          <w:sz w:val="28"/>
          <w:szCs w:val="28"/>
          <w:rtl/>
        </w:rPr>
        <w:t xml:space="preserve"> על צריכה עצמית וקנס כספי. </w:t>
      </w:r>
    </w:p>
    <w:p w14:paraId="46D8D0C2" w14:textId="77777777" w:rsidR="005B79D2" w:rsidRPr="003D75B3" w:rsidRDefault="005B79D2" w:rsidP="005B79D2">
      <w:pPr>
        <w:pStyle w:val="a9"/>
        <w:spacing w:after="0" w:line="360" w:lineRule="auto"/>
        <w:rPr>
          <w:rFonts w:ascii="FrankRuehl" w:hAnsi="FrankRuehl" w:cs="FrankRuehl"/>
          <w:sz w:val="20"/>
          <w:szCs w:val="20"/>
        </w:rPr>
      </w:pPr>
    </w:p>
    <w:p w14:paraId="06CD87B5"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גם הנאשם דיבר לפניי בדיון. לדבריו, הוא אב משפחה ובתו הקטנה בת שנתיים. הוא קבלן ומעסיק עובדים. הוא נטל אחריות על מעשיו, ולדבריו, שימושו בסמים נעשה בתדירות של פעם בשבוע בצורה שלא פוגעת באף אחד. מבחינתו</w:t>
      </w:r>
      <w:r>
        <w:rPr>
          <w:rFonts w:ascii="FrankRuehl" w:hAnsi="FrankRuehl" w:cs="FrankRuehl" w:hint="cs"/>
          <w:sz w:val="28"/>
          <w:szCs w:val="28"/>
          <w:rtl/>
        </w:rPr>
        <w:t>, זה</w:t>
      </w:r>
      <w:r>
        <w:rPr>
          <w:rFonts w:ascii="FrankRuehl" w:hAnsi="FrankRuehl" w:cs="FrankRuehl"/>
          <w:sz w:val="28"/>
          <w:szCs w:val="28"/>
          <w:rtl/>
        </w:rPr>
        <w:t xml:space="preserve"> מהווה "</w:t>
      </w:r>
      <w:r>
        <w:rPr>
          <w:rFonts w:ascii="Miriam" w:hAnsi="Miriam" w:cs="Miriam"/>
          <w:sz w:val="24"/>
          <w:szCs w:val="24"/>
          <w:rtl/>
        </w:rPr>
        <w:t>בריחה</w:t>
      </w:r>
      <w:r>
        <w:rPr>
          <w:rFonts w:ascii="FrankRuehl" w:hAnsi="FrankRuehl" w:cs="FrankRuehl"/>
          <w:sz w:val="28"/>
          <w:szCs w:val="28"/>
          <w:rtl/>
        </w:rPr>
        <w:t>" על מנת לאגור כוחות. על כן, להשקפתו, הוא אינו זקוק לשיקום ומשתמש בסמים רק בעת הצורך. ביחס לאישום השני, לדבריו, השתילים נועדו לשימוש עצמי וכדי להימנע ממגע עם גורמים מפוקפקים, וגם כדי "</w:t>
      </w:r>
      <w:r>
        <w:rPr>
          <w:rFonts w:ascii="Miriam" w:hAnsi="Miriam" w:cs="Miriam"/>
          <w:sz w:val="24"/>
          <w:szCs w:val="24"/>
          <w:rtl/>
        </w:rPr>
        <w:t>לא להמשיך לממן כמה שאני יכול את עולם הפשע</w:t>
      </w:r>
      <w:r>
        <w:rPr>
          <w:rFonts w:ascii="FrankRuehl" w:hAnsi="FrankRuehl" w:cs="FrankRuehl"/>
          <w:sz w:val="28"/>
          <w:szCs w:val="28"/>
          <w:rtl/>
        </w:rPr>
        <w:t>". הנאשם ביקש מבית המשפט לנקוט במידת הרחמים בגזירת הדין, מאחר והוא לא פוגע באף אחד חוץ מאשר בעצמו, וזה נובע מבחירה אישית שלו.</w:t>
      </w:r>
    </w:p>
    <w:p w14:paraId="15DBED71" w14:textId="77777777" w:rsidR="005B79D2" w:rsidRPr="003D75B3" w:rsidRDefault="005B79D2" w:rsidP="005B79D2">
      <w:pPr>
        <w:spacing w:line="360" w:lineRule="auto"/>
        <w:jc w:val="both"/>
        <w:rPr>
          <w:rFonts w:ascii="FrankRuehl" w:hAnsi="FrankRuehl" w:cs="FrankRuehl"/>
          <w:sz w:val="20"/>
          <w:szCs w:val="20"/>
          <w:rtl/>
        </w:rPr>
      </w:pPr>
    </w:p>
    <w:p w14:paraId="3130D4DA" w14:textId="77777777" w:rsidR="005B79D2" w:rsidRDefault="005B79D2" w:rsidP="005B79D2">
      <w:pPr>
        <w:spacing w:line="360" w:lineRule="auto"/>
        <w:jc w:val="both"/>
        <w:rPr>
          <w:rFonts w:ascii="Miriam" w:hAnsi="Miriam" w:cs="Miriam"/>
          <w:u w:val="single"/>
        </w:rPr>
      </w:pPr>
      <w:r>
        <w:rPr>
          <w:rFonts w:ascii="Miriam" w:hAnsi="Miriam" w:cs="Miriam"/>
          <w:u w:val="single"/>
          <w:rtl/>
        </w:rPr>
        <w:t>דיון והכרעה</w:t>
      </w:r>
    </w:p>
    <w:p w14:paraId="39629001" w14:textId="77777777" w:rsidR="005B79D2" w:rsidRPr="003D75B3" w:rsidRDefault="005B79D2" w:rsidP="005B79D2">
      <w:pPr>
        <w:spacing w:line="360" w:lineRule="auto"/>
        <w:jc w:val="both"/>
        <w:rPr>
          <w:rFonts w:ascii="FrankRuehl" w:hAnsi="FrankRuehl" w:cs="FrankRuehl"/>
          <w:sz w:val="20"/>
          <w:szCs w:val="20"/>
        </w:rPr>
      </w:pPr>
    </w:p>
    <w:p w14:paraId="153B43EB" w14:textId="77777777" w:rsidR="005B79D2" w:rsidRDefault="005B79D2" w:rsidP="005B79D2">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לפי </w:t>
      </w:r>
      <w:hyperlink r:id="rId22" w:history="1">
        <w:r w:rsidR="00C83E18" w:rsidRPr="00C83E18">
          <w:rPr>
            <w:rStyle w:val="Hyperlink"/>
            <w:rFonts w:ascii="FrankRuehl" w:hAnsi="FrankRuehl" w:cs="FrankRuehl"/>
            <w:color w:val="0000FF"/>
            <w:sz w:val="28"/>
            <w:szCs w:val="28"/>
            <w:rtl/>
          </w:rPr>
          <w:t>סעיף 40ב</w:t>
        </w:r>
      </w:hyperlink>
      <w:r>
        <w:rPr>
          <w:rFonts w:ascii="FrankRuehl" w:hAnsi="FrankRuehl" w:cs="FrankRuehl"/>
          <w:sz w:val="28"/>
          <w:szCs w:val="28"/>
          <w:rtl/>
        </w:rPr>
        <w:t xml:space="preserve"> </w:t>
      </w:r>
      <w:r>
        <w:rPr>
          <w:rFonts w:ascii="Miriam" w:hAnsi="Miriam" w:cs="Miriam"/>
          <w:sz w:val="24"/>
          <w:szCs w:val="24"/>
          <w:rtl/>
        </w:rPr>
        <w:t>ב</w:t>
      </w:r>
      <w:hyperlink r:id="rId23" w:history="1">
        <w:r w:rsidR="00AA248A" w:rsidRPr="00AA248A">
          <w:rPr>
            <w:rFonts w:ascii="Miriam" w:hAnsi="Miriam" w:cs="Miriam"/>
            <w:color w:val="0000FF"/>
            <w:sz w:val="24"/>
            <w:szCs w:val="24"/>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24" w:history="1">
        <w:r w:rsidR="00C83E18" w:rsidRPr="00C83E18">
          <w:rPr>
            <w:rStyle w:val="Hyperlink"/>
            <w:rFonts w:ascii="FrankRuehl" w:hAnsi="FrankRuehl" w:cs="FrankRuehl"/>
            <w:color w:val="0000FF"/>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sz w:val="24"/>
          <w:szCs w:val="24"/>
          <w:rtl/>
        </w:rPr>
        <w:t xml:space="preserve">יתחשב בערך החברתי שנפגע מביצוע העבירה, במידת הפגיעה בו, במדיניות הענישה הנהוגה ובנסיבות הקשורות בביצוע העבירה כאמור </w:t>
      </w:r>
      <w:hyperlink r:id="rId25" w:history="1">
        <w:r w:rsidR="00C83E18" w:rsidRPr="00C83E18">
          <w:rPr>
            <w:rStyle w:val="Hyperlink"/>
            <w:rFonts w:ascii="FrankRuehl" w:hAnsi="FrankRuehl" w:cs="FrankRuehl"/>
            <w:color w:val="0000FF"/>
            <w:sz w:val="28"/>
            <w:szCs w:val="28"/>
            <w:rtl/>
          </w:rPr>
          <w:t>בסעיף 40ט"</w:t>
        </w:r>
      </w:hyperlink>
      <w:r>
        <w:rPr>
          <w:rFonts w:ascii="FrankRuehl" w:hAnsi="FrankRuehl" w:cs="FrankRuehl"/>
          <w:sz w:val="28"/>
          <w:szCs w:val="28"/>
          <w:rtl/>
        </w:rPr>
        <w:t xml:space="preserve">, ולפי </w:t>
      </w:r>
      <w:hyperlink r:id="rId26" w:history="1">
        <w:r w:rsidR="00C83E18" w:rsidRPr="00C83E18">
          <w:rPr>
            <w:rStyle w:val="Hyperlink"/>
            <w:rFonts w:ascii="FrankRuehl" w:hAnsi="FrankRuehl" w:cs="FrankRuehl"/>
            <w:color w:val="0000FF"/>
            <w:sz w:val="28"/>
            <w:szCs w:val="28"/>
            <w:rtl/>
          </w:rPr>
          <w:t>סעיף 40ג(ב)</w:t>
        </w:r>
      </w:hyperlink>
      <w:r>
        <w:rPr>
          <w:rFonts w:ascii="FrankRuehl" w:hAnsi="FrankRuehl" w:cs="FrankRuehl"/>
          <w:sz w:val="28"/>
          <w:szCs w:val="28"/>
          <w:rtl/>
        </w:rPr>
        <w:t xml:space="preserve"> "</w:t>
      </w:r>
      <w:r>
        <w:rPr>
          <w:rFonts w:ascii="Miriam" w:hAnsi="Miriam" w:cs="Miriam"/>
          <w:sz w:val="24"/>
          <w:szCs w:val="24"/>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1DA941C6" w14:textId="77777777" w:rsidR="005B79D2" w:rsidRPr="005B79D2" w:rsidRDefault="005B79D2" w:rsidP="005B79D2">
      <w:pPr>
        <w:spacing w:line="360" w:lineRule="auto"/>
        <w:ind w:left="651"/>
        <w:contextualSpacing/>
        <w:jc w:val="both"/>
        <w:rPr>
          <w:rFonts w:ascii="FrankRuehl" w:eastAsia="Calibri" w:hAnsi="FrankRuehl" w:cs="FrankRuehl"/>
          <w:sz w:val="28"/>
          <w:szCs w:val="28"/>
          <w:rtl/>
        </w:rPr>
      </w:pPr>
    </w:p>
    <w:p w14:paraId="014D13A3" w14:textId="77777777" w:rsidR="005B79D2" w:rsidRPr="005B79D2" w:rsidRDefault="005B79D2" w:rsidP="005B79D2">
      <w:pPr>
        <w:numPr>
          <w:ilvl w:val="0"/>
          <w:numId w:val="1"/>
        </w:numPr>
        <w:spacing w:line="360" w:lineRule="auto"/>
        <w:ind w:left="651" w:hanging="566"/>
        <w:contextualSpacing/>
        <w:jc w:val="both"/>
        <w:rPr>
          <w:rFonts w:ascii="FrankRuehl" w:eastAsia="Calibri" w:hAnsi="FrankRuehl" w:cs="FrankRuehl"/>
          <w:rtl/>
        </w:rPr>
      </w:pPr>
      <w:r w:rsidRPr="005B79D2">
        <w:rPr>
          <w:rFonts w:ascii="Miriam" w:eastAsia="Calibri" w:hAnsi="Miriam" w:cs="Miriam"/>
          <w:rtl/>
        </w:rPr>
        <w:t>הערכים המוגנים</w:t>
      </w:r>
      <w:r w:rsidRPr="005B79D2">
        <w:rPr>
          <w:rFonts w:ascii="FrankRuehl" w:eastAsia="Calibri" w:hAnsi="FrankRuehl" w:cs="FrankRuehl"/>
          <w:sz w:val="28"/>
          <w:szCs w:val="28"/>
          <w:rtl/>
        </w:rPr>
        <w:t>: עבירות בתחום הסמים באות להתמודד עם הסיכונים והנזקים הרבים והעמוקים הנשקפים מהחזקת סמים, סחר בהם ולבטח השימוש בהם, בריאותית, חברתית וכלכלית. העיסוק בסמים שלא כדין, כשלעצמו, מחולל מעשי עבריינות ופשיעה גם בתחומים פליליים נוספים, הן לצורך גידול או ייצור הסמים, הן לצורך ייבואם או רכישתם והן לצורך הסחר בהם. נכון, יש לנקוט בגישה שמאבחנת בין סוגי הסמים השונים, בהתאם למידת חומרתו של כל סם (</w:t>
      </w:r>
      <w:hyperlink r:id="rId27" w:history="1">
        <w:r w:rsidR="00AA248A" w:rsidRPr="00AA248A">
          <w:rPr>
            <w:rFonts w:ascii="FrankRuehl" w:eastAsia="Calibri" w:hAnsi="FrankRuehl" w:cs="FrankRuehl"/>
            <w:color w:val="0000FF"/>
            <w:sz w:val="28"/>
            <w:szCs w:val="28"/>
            <w:u w:val="single"/>
            <w:rtl/>
          </w:rPr>
          <w:t>בש"פ 8640/20</w:t>
        </w:r>
      </w:hyperlink>
      <w:r w:rsidRPr="005B79D2">
        <w:rPr>
          <w:rFonts w:ascii="FrankRuehl" w:eastAsia="Calibri" w:hAnsi="FrankRuehl" w:cs="FrankRuehl"/>
          <w:sz w:val="28"/>
          <w:szCs w:val="28"/>
          <w:rtl/>
        </w:rPr>
        <w:t xml:space="preserve"> </w:t>
      </w:r>
      <w:r w:rsidRPr="005B79D2">
        <w:rPr>
          <w:rFonts w:ascii="Miriam" w:eastAsia="Calibri" w:hAnsi="Miriam" w:cs="Miriam"/>
          <w:rtl/>
        </w:rPr>
        <w:t>אבו קרינאת נ' מדינת ישראל</w:t>
      </w:r>
      <w:r w:rsidRPr="005B79D2">
        <w:rPr>
          <w:rFonts w:ascii="FrankRuehl" w:eastAsia="Calibri" w:hAnsi="FrankRuehl" w:cs="FrankRuehl"/>
          <w:sz w:val="28"/>
          <w:szCs w:val="28"/>
          <w:rtl/>
        </w:rPr>
        <w:t xml:space="preserve"> (23.12.2020)). ב</w:t>
      </w:r>
      <w:hyperlink r:id="rId28" w:history="1">
        <w:r w:rsidR="00AA248A" w:rsidRPr="00AA248A">
          <w:rPr>
            <w:rFonts w:ascii="FrankRuehl" w:eastAsia="Calibri" w:hAnsi="FrankRuehl" w:cs="FrankRuehl"/>
            <w:color w:val="0000FF"/>
            <w:sz w:val="28"/>
            <w:szCs w:val="28"/>
            <w:u w:val="single"/>
            <w:rtl/>
          </w:rPr>
          <w:t>ע"פ 972/11</w:t>
        </w:r>
      </w:hyperlink>
      <w:r w:rsidRPr="005B79D2">
        <w:rPr>
          <w:rFonts w:ascii="FrankRuehl" w:eastAsia="Calibri" w:hAnsi="FrankRuehl" w:cs="FrankRuehl"/>
          <w:sz w:val="28"/>
          <w:szCs w:val="28"/>
          <w:rtl/>
        </w:rPr>
        <w:t xml:space="preserve"> </w:t>
      </w:r>
      <w:r w:rsidRPr="005B79D2">
        <w:rPr>
          <w:rFonts w:ascii="Miriam" w:eastAsia="Calibri" w:hAnsi="Miriam" w:cs="Miriam"/>
          <w:rtl/>
        </w:rPr>
        <w:t>מדינת ישראל נ' אמארה</w:t>
      </w:r>
      <w:r w:rsidRPr="005B79D2">
        <w:rPr>
          <w:rFonts w:ascii="FrankRuehl" w:eastAsia="Calibri" w:hAnsi="FrankRuehl" w:cs="FrankRuehl"/>
          <w:sz w:val="28"/>
          <w:szCs w:val="28"/>
          <w:rtl/>
        </w:rPr>
        <w:t xml:space="preserve"> (4.7.2012), עמד בית המשפט על חומרת נגע הסמים: </w:t>
      </w:r>
    </w:p>
    <w:p w14:paraId="04F70B5E" w14:textId="77777777" w:rsidR="005B79D2" w:rsidRPr="005B79D2" w:rsidRDefault="005B79D2" w:rsidP="005B79D2">
      <w:pPr>
        <w:spacing w:line="360" w:lineRule="auto"/>
        <w:ind w:left="1440" w:right="567"/>
        <w:contextualSpacing/>
        <w:jc w:val="both"/>
        <w:rPr>
          <w:rFonts w:ascii="FrankRuehl" w:eastAsia="Calibri" w:hAnsi="FrankRuehl" w:cs="FrankRuehl"/>
          <w:sz w:val="28"/>
          <w:szCs w:val="28"/>
        </w:rPr>
      </w:pPr>
    </w:p>
    <w:p w14:paraId="147BBCA4" w14:textId="77777777" w:rsidR="005B79D2" w:rsidRPr="005B79D2" w:rsidRDefault="005B79D2" w:rsidP="005B79D2">
      <w:pPr>
        <w:ind w:left="1440" w:right="567"/>
        <w:contextualSpacing/>
        <w:jc w:val="both"/>
        <w:rPr>
          <w:rFonts w:ascii="FrankRuehl" w:eastAsia="Calibri" w:hAnsi="FrankRuehl" w:cs="FrankRuehl"/>
          <w:sz w:val="28"/>
          <w:szCs w:val="28"/>
          <w:rtl/>
        </w:rPr>
      </w:pPr>
      <w:r w:rsidRPr="005B79D2">
        <w:rPr>
          <w:rFonts w:ascii="FrankRuehl" w:eastAsia="Calibri" w:hAnsi="FrankRuehl" w:cs="FrankRuehl"/>
          <w:sz w:val="28"/>
          <w:szCs w:val="28"/>
          <w:rtl/>
        </w:rPr>
        <w:t xml:space="preserve">"את נגע הסמים יש </w:t>
      </w:r>
      <w:r w:rsidRPr="005B79D2">
        <w:rPr>
          <w:rFonts w:ascii="Miriam" w:eastAsia="Calibri" w:hAnsi="Miriam" w:cs="Miriam"/>
          <w:rtl/>
        </w:rPr>
        <w:t>לעקור מן השורש</w:t>
      </w:r>
      <w:r w:rsidRPr="005B79D2">
        <w:rPr>
          <w:rFonts w:ascii="FrankRuehl" w:eastAsia="Calibri" w:hAnsi="FrankRuehl" w:cs="FrankRuehl"/>
          <w:sz w:val="28"/>
          <w:szCs w:val="28"/>
          <w:rtl/>
        </w:rPr>
        <w:t xml:space="preserve">. ייצור, הפצה, סחר וכמובן גם שימוש בסמים – כל אלו מסבים </w:t>
      </w:r>
      <w:r w:rsidRPr="005B79D2">
        <w:rPr>
          <w:rFonts w:ascii="Miriam" w:eastAsia="Calibri" w:hAnsi="Miriam" w:cs="Miriam"/>
          <w:rtl/>
        </w:rPr>
        <w:t>נזק עצום</w:t>
      </w:r>
      <w:r w:rsidRPr="005B79D2">
        <w:rPr>
          <w:rFonts w:ascii="FrankRuehl" w:eastAsia="Calibri" w:hAnsi="FrankRuehl" w:cs="FrankRuehl"/>
          <w:sz w:val="28"/>
          <w:szCs w:val="28"/>
          <w:rtl/>
        </w:rPr>
        <w:t>. הנזק נגרם לא רק למעגל הסגור של המעורבים הישירים בביצוע העבירות, אלא גם לחברה בכללותה. ייתכן ועבירות הסמים הקשים הן כה נפוצות עד שהתרגלנו אליהן, ואולי אף אבדה לנו הרגישות למחיר שלא רק החברה משלמת אלא גם המשתמש עצמו.</w:t>
      </w:r>
    </w:p>
    <w:p w14:paraId="6A0093FC" w14:textId="77777777" w:rsidR="005B79D2" w:rsidRPr="005B79D2" w:rsidRDefault="005B79D2" w:rsidP="005B79D2">
      <w:pPr>
        <w:ind w:left="1440" w:right="567"/>
        <w:contextualSpacing/>
        <w:rPr>
          <w:rFonts w:ascii="FrankRuehl" w:eastAsia="Calibri" w:hAnsi="FrankRuehl" w:cs="FrankRuehl"/>
          <w:sz w:val="28"/>
          <w:szCs w:val="28"/>
        </w:rPr>
      </w:pPr>
      <w:r w:rsidRPr="005B79D2">
        <w:rPr>
          <w:rFonts w:ascii="FrankRuehl" w:eastAsia="Calibri" w:hAnsi="FrankRuehl" w:cs="FrankRuehl"/>
          <w:sz w:val="28"/>
          <w:szCs w:val="28"/>
          <w:rtl/>
        </w:rPr>
        <w:t>...</w:t>
      </w:r>
    </w:p>
    <w:p w14:paraId="333A1228" w14:textId="77777777" w:rsidR="005B79D2" w:rsidRPr="005B79D2" w:rsidRDefault="005B79D2" w:rsidP="005B79D2">
      <w:pPr>
        <w:ind w:left="1440" w:right="567"/>
        <w:contextualSpacing/>
        <w:jc w:val="both"/>
        <w:rPr>
          <w:rFonts w:ascii="FrankRuehl" w:eastAsia="Calibri" w:hAnsi="FrankRuehl" w:cs="FrankRuehl"/>
          <w:sz w:val="28"/>
          <w:szCs w:val="28"/>
        </w:rPr>
      </w:pPr>
      <w:r w:rsidRPr="005B79D2">
        <w:rPr>
          <w:rFonts w:ascii="FrankRuehl" w:eastAsia="Calibri" w:hAnsi="FrankRuehl" w:cs="FrankRuehl"/>
          <w:sz w:val="28"/>
          <w:szCs w:val="28"/>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9" w:history="1">
        <w:r w:rsidR="00AA248A" w:rsidRPr="00AA248A">
          <w:rPr>
            <w:rFonts w:ascii="FrankRuehl" w:eastAsia="Calibri" w:hAnsi="FrankRuehl" w:cs="FrankRuehl"/>
            <w:color w:val="0000FF"/>
            <w:sz w:val="28"/>
            <w:szCs w:val="28"/>
            <w:u w:val="single"/>
            <w:rtl/>
          </w:rPr>
          <w:t>ע"פ 8031/10</w:t>
        </w:r>
      </w:hyperlink>
      <w:r w:rsidRPr="005B79D2">
        <w:rPr>
          <w:rFonts w:ascii="FrankRuehl" w:eastAsia="Calibri" w:hAnsi="FrankRuehl" w:cs="FrankRuehl"/>
          <w:sz w:val="28"/>
          <w:szCs w:val="28"/>
          <w:rtl/>
        </w:rPr>
        <w:t xml:space="preserve"> </w:t>
      </w:r>
      <w:r w:rsidRPr="005B79D2">
        <w:rPr>
          <w:rFonts w:ascii="Miriam" w:eastAsia="Calibri" w:hAnsi="Miriam" w:cs="Miriam"/>
          <w:rtl/>
        </w:rPr>
        <w:t>אורוסקו-צ'אבז נ' מדינת ישראל</w:t>
      </w:r>
      <w:r w:rsidRPr="005B79D2">
        <w:rPr>
          <w:rFonts w:ascii="FrankRuehl" w:eastAsia="Calibri" w:hAnsi="FrankRuehl" w:cs="FrankRuehl"/>
          <w:rtl/>
        </w:rPr>
        <w:t xml:space="preserve"> </w:t>
      </w:r>
      <w:r w:rsidRPr="005B79D2">
        <w:rPr>
          <w:rFonts w:ascii="FrankRuehl" w:eastAsia="Calibri" w:hAnsi="FrankRuehl" w:cs="FrankRuehl"/>
          <w:sz w:val="28"/>
          <w:szCs w:val="28"/>
          <w:rtl/>
        </w:rPr>
        <w:t>(1.3.2012))"</w:t>
      </w:r>
    </w:p>
    <w:p w14:paraId="55D74BE4" w14:textId="77777777" w:rsidR="005B79D2" w:rsidRDefault="005B79D2" w:rsidP="005B79D2">
      <w:pPr>
        <w:spacing w:line="360" w:lineRule="auto"/>
        <w:jc w:val="both"/>
        <w:rPr>
          <w:rFonts w:ascii="FrankRuehl" w:hAnsi="FrankRuehl" w:cs="FrankRuehl"/>
          <w:sz w:val="20"/>
          <w:szCs w:val="20"/>
        </w:rPr>
      </w:pPr>
    </w:p>
    <w:p w14:paraId="3F874EFB" w14:textId="77777777" w:rsidR="005B79D2" w:rsidRPr="005B79D2" w:rsidRDefault="005B79D2" w:rsidP="005B79D2">
      <w:pPr>
        <w:numPr>
          <w:ilvl w:val="0"/>
          <w:numId w:val="1"/>
        </w:numPr>
        <w:spacing w:line="360" w:lineRule="auto"/>
        <w:ind w:hanging="636"/>
        <w:contextualSpacing/>
        <w:jc w:val="both"/>
        <w:rPr>
          <w:rFonts w:ascii="FrankRuehl" w:eastAsia="Calibri" w:hAnsi="FrankRuehl" w:cs="FrankRuehl"/>
          <w:sz w:val="28"/>
          <w:szCs w:val="28"/>
        </w:rPr>
      </w:pPr>
      <w:r w:rsidRPr="005B79D2">
        <w:rPr>
          <w:rFonts w:ascii="Miriam" w:eastAsia="Calibri" w:hAnsi="Miriam" w:cs="Miriam"/>
          <w:rtl/>
        </w:rPr>
        <w:t>נסיבות ביצוע העבירות</w:t>
      </w:r>
      <w:r w:rsidRPr="005B79D2">
        <w:rPr>
          <w:rFonts w:ascii="FrankRuehl" w:eastAsia="Calibri" w:hAnsi="FrankRuehl" w:cs="FrankRuehl"/>
          <w:sz w:val="28"/>
          <w:szCs w:val="28"/>
          <w:rtl/>
        </w:rPr>
        <w:t xml:space="preserve">: בשני האישומים, החזיק הנאשם סמים מסוכנים מסוגים שונים בנכסיו. באישום השני, הוא החזיק גם כלים שמשמשים לגידול הסם. הכמויות שנתפסו, כל אחת לחוד, אמנם הן אינן משמעותיות אך המצבור שלהן אינו שולי </w:t>
      </w:r>
      <w:r w:rsidRPr="005B79D2">
        <w:rPr>
          <w:rFonts w:ascii="FrankRuehl" w:eastAsia="Calibri" w:hAnsi="FrankRuehl" w:cs="FrankRuehl" w:hint="cs"/>
          <w:sz w:val="28"/>
          <w:szCs w:val="28"/>
          <w:rtl/>
        </w:rPr>
        <w:t>כלל</w:t>
      </w:r>
      <w:r w:rsidRPr="005B79D2">
        <w:rPr>
          <w:rFonts w:ascii="FrankRuehl" w:eastAsia="Calibri" w:hAnsi="FrankRuehl" w:cs="FrankRuehl"/>
          <w:sz w:val="28"/>
          <w:szCs w:val="28"/>
          <w:rtl/>
        </w:rPr>
        <w:t>, הן בכמות הן בטיב. לעניין אחרון זה, באישום הראשון, הודה הנאשם בהחזקת סמים שהם תרכובת כּימית מסוכנת. לעניין הקנבוס, חומר זה אמנם אינו מצוי באותה רמת מסוכנות בריאותית וחברתית כמו סמים אחרים, אך עודנו מוגדר כסם מסוכן (</w:t>
      </w:r>
      <w:hyperlink r:id="rId30" w:history="1">
        <w:r w:rsidR="00AA248A" w:rsidRPr="00AA248A">
          <w:rPr>
            <w:rFonts w:ascii="FrankRuehl" w:eastAsia="Calibri" w:hAnsi="FrankRuehl" w:cs="FrankRuehl"/>
            <w:color w:val="0000FF"/>
            <w:sz w:val="28"/>
            <w:szCs w:val="28"/>
            <w:u w:val="single"/>
            <w:rtl/>
          </w:rPr>
          <w:t>רע"פ 174/21</w:t>
        </w:r>
      </w:hyperlink>
      <w:r w:rsidRPr="005B79D2">
        <w:rPr>
          <w:rFonts w:ascii="FrankRuehl" w:eastAsia="Calibri" w:hAnsi="FrankRuehl" w:cs="FrankRuehl"/>
          <w:sz w:val="28"/>
          <w:szCs w:val="28"/>
          <w:rtl/>
        </w:rPr>
        <w:t xml:space="preserve"> </w:t>
      </w:r>
      <w:r w:rsidRPr="005B79D2">
        <w:rPr>
          <w:rFonts w:ascii="Miriam" w:eastAsia="Calibri" w:hAnsi="Miriam" w:cs="Miriam"/>
          <w:rtl/>
        </w:rPr>
        <w:t>סויסה נ' מדינת ישראל</w:t>
      </w:r>
      <w:r w:rsidRPr="005B79D2">
        <w:rPr>
          <w:rFonts w:ascii="FrankRuehl" w:eastAsia="Calibri" w:hAnsi="FrankRuehl" w:cs="FrankRuehl"/>
          <w:sz w:val="28"/>
          <w:szCs w:val="28"/>
          <w:rtl/>
        </w:rPr>
        <w:t xml:space="preserve">, פסקה 11 (25.2.2021); </w:t>
      </w:r>
      <w:hyperlink r:id="rId31" w:history="1">
        <w:r w:rsidR="00AA248A" w:rsidRPr="00AA248A">
          <w:rPr>
            <w:rFonts w:ascii="FrankRuehl" w:eastAsia="Calibri" w:hAnsi="FrankRuehl" w:cs="FrankRuehl"/>
            <w:color w:val="0000FF"/>
            <w:sz w:val="28"/>
            <w:szCs w:val="28"/>
            <w:u w:val="single"/>
            <w:rtl/>
          </w:rPr>
          <w:t>רע"פ 3059/21</w:t>
        </w:r>
      </w:hyperlink>
      <w:r w:rsidRPr="005B79D2">
        <w:rPr>
          <w:rFonts w:ascii="FrankRuehl" w:eastAsia="Calibri" w:hAnsi="FrankRuehl" w:cs="FrankRuehl"/>
          <w:sz w:val="28"/>
          <w:szCs w:val="28"/>
          <w:rtl/>
        </w:rPr>
        <w:t xml:space="preserve"> </w:t>
      </w:r>
      <w:r w:rsidRPr="005B79D2">
        <w:rPr>
          <w:rFonts w:ascii="Miriam" w:eastAsia="Calibri" w:hAnsi="Miriam" w:cs="Miriam"/>
          <w:rtl/>
        </w:rPr>
        <w:t>ימין נ' מדינת ישראל</w:t>
      </w:r>
      <w:r w:rsidRPr="005B79D2">
        <w:rPr>
          <w:rFonts w:ascii="FrankRuehl" w:eastAsia="Calibri" w:hAnsi="FrankRuehl" w:cs="FrankRuehl"/>
          <w:sz w:val="28"/>
          <w:szCs w:val="28"/>
          <w:rtl/>
        </w:rPr>
        <w:t xml:space="preserve">, פסקה 13 (5.5.2021); </w:t>
      </w:r>
      <w:hyperlink r:id="rId32" w:history="1">
        <w:r w:rsidR="00AA248A" w:rsidRPr="00AA248A">
          <w:rPr>
            <w:rFonts w:ascii="FrankRuehl" w:eastAsia="Calibri" w:hAnsi="FrankRuehl" w:cs="FrankRuehl"/>
            <w:color w:val="0000FF"/>
            <w:sz w:val="28"/>
            <w:szCs w:val="28"/>
            <w:u w:val="single"/>
            <w:rtl/>
          </w:rPr>
          <w:t>ע"פ 6299/20</w:t>
        </w:r>
      </w:hyperlink>
      <w:r w:rsidRPr="005B79D2">
        <w:rPr>
          <w:rFonts w:ascii="FrankRuehl" w:eastAsia="Calibri" w:hAnsi="FrankRuehl" w:cs="FrankRuehl"/>
          <w:sz w:val="28"/>
          <w:szCs w:val="28"/>
          <w:rtl/>
        </w:rPr>
        <w:t xml:space="preserve"> </w:t>
      </w:r>
      <w:r w:rsidRPr="005B79D2">
        <w:rPr>
          <w:rFonts w:ascii="Miriam" w:eastAsia="Calibri" w:hAnsi="Miriam" w:cs="Miriam"/>
          <w:rtl/>
        </w:rPr>
        <w:t>חן נ' מדינת ישראל</w:t>
      </w:r>
      <w:r w:rsidRPr="005B79D2">
        <w:rPr>
          <w:rFonts w:ascii="FrankRuehl" w:eastAsia="Calibri" w:hAnsi="FrankRuehl" w:cs="FrankRuehl"/>
          <w:sz w:val="28"/>
          <w:szCs w:val="28"/>
          <w:rtl/>
        </w:rPr>
        <w:t xml:space="preserve"> (4.2.2021)). </w:t>
      </w:r>
    </w:p>
    <w:p w14:paraId="44EDD544" w14:textId="77777777" w:rsidR="005B79D2" w:rsidRPr="005B79D2" w:rsidRDefault="005B79D2" w:rsidP="005B79D2">
      <w:pPr>
        <w:spacing w:line="360" w:lineRule="auto"/>
        <w:ind w:left="720"/>
        <w:contextualSpacing/>
        <w:jc w:val="both"/>
        <w:rPr>
          <w:rFonts w:ascii="FrankRuehl" w:eastAsia="Calibri" w:hAnsi="FrankRuehl" w:cs="FrankRuehl"/>
          <w:sz w:val="28"/>
          <w:szCs w:val="28"/>
        </w:rPr>
      </w:pPr>
    </w:p>
    <w:p w14:paraId="731B629F" w14:textId="77777777" w:rsidR="005B79D2" w:rsidRPr="005B79D2" w:rsidRDefault="005B79D2" w:rsidP="005B79D2">
      <w:pPr>
        <w:numPr>
          <w:ilvl w:val="0"/>
          <w:numId w:val="1"/>
        </w:numPr>
        <w:spacing w:line="360" w:lineRule="auto"/>
        <w:ind w:hanging="636"/>
        <w:contextualSpacing/>
        <w:jc w:val="both"/>
        <w:rPr>
          <w:rFonts w:ascii="FrankRuehl" w:eastAsia="Calibri" w:hAnsi="FrankRuehl" w:cs="FrankRuehl"/>
          <w:sz w:val="28"/>
          <w:szCs w:val="28"/>
        </w:rPr>
      </w:pPr>
      <w:r w:rsidRPr="005B79D2">
        <w:rPr>
          <w:rFonts w:ascii="FrankRuehl" w:eastAsia="Calibri" w:hAnsi="FrankRuehl" w:cs="FrankRuehl"/>
          <w:sz w:val="28"/>
          <w:szCs w:val="28"/>
          <w:rtl/>
        </w:rPr>
        <w:t>בכל אופן, אין להכביר במילים ביחס למסוכנות והחומרה הטמונות במעשי הנאשם, תחילה עליו, על משפחתו ועל החברה בכלל, בשים לב לכמות שנתפסה, לזמינות שלו לסוגי הסם השונים ובעיקר, להתמכּרות שלו לשימוש בסמים והפגיעה בבריאותו. התמכּרות זו, גם אם היא נותרת בגדר השימוש העצמי, אך היא כשלעצמה – כלומר פעולת הצריכה שכרוכה מטבע הדברים בחיפוש אחר הסם ורכישתו מהספקים – בעלת פוטנציאל ממשי לחולל ולהזין פשיעה של ייצור, סחר והפצה של סמים. מן העבר האחר, הנאשם הוא מבצע יחיד, מעשיו אינם ברמת תחכום מיוחדת, השימוש הוא לצרכיו האישיים, וממילא הוא לא הורשע בייצור או סחר בסמים. מכאן, חומרת מעשיו מצויה ברף הנמוך יחסית.</w:t>
      </w:r>
    </w:p>
    <w:p w14:paraId="7CA3748E" w14:textId="77777777" w:rsidR="005B79D2" w:rsidRDefault="005B79D2" w:rsidP="005B79D2">
      <w:pPr>
        <w:pStyle w:val="a9"/>
        <w:spacing w:after="0" w:line="360" w:lineRule="auto"/>
        <w:rPr>
          <w:rFonts w:ascii="Miriam" w:hAnsi="Miriam" w:cs="Miriam"/>
        </w:rPr>
      </w:pPr>
    </w:p>
    <w:p w14:paraId="25BB6319" w14:textId="77777777" w:rsidR="005B79D2" w:rsidRPr="005B79D2" w:rsidRDefault="005B79D2" w:rsidP="005B79D2">
      <w:pPr>
        <w:numPr>
          <w:ilvl w:val="0"/>
          <w:numId w:val="1"/>
        </w:numPr>
        <w:spacing w:line="360" w:lineRule="auto"/>
        <w:ind w:hanging="636"/>
        <w:contextualSpacing/>
        <w:jc w:val="both"/>
        <w:rPr>
          <w:rFonts w:ascii="FrankRuehl" w:eastAsia="Calibri" w:hAnsi="FrankRuehl" w:cs="FrankRuehl"/>
          <w:sz w:val="28"/>
          <w:szCs w:val="28"/>
          <w:rtl/>
        </w:rPr>
      </w:pPr>
      <w:r w:rsidRPr="005B79D2">
        <w:rPr>
          <w:rFonts w:ascii="Miriam" w:eastAsia="Calibri" w:hAnsi="Miriam" w:cs="Miriam"/>
          <w:rtl/>
        </w:rPr>
        <w:t>מדיניות הענישה הנהוגה</w:t>
      </w:r>
      <w:r w:rsidRPr="005B79D2">
        <w:rPr>
          <w:rFonts w:ascii="FrankRuehl" w:eastAsia="Calibri" w:hAnsi="FrankRuehl" w:cs="FrankRuehl"/>
          <w:sz w:val="28"/>
          <w:szCs w:val="28"/>
          <w:rtl/>
        </w:rPr>
        <w:t xml:space="preserve">: תחילה אעיר, כי המאשימה עתרה לקביעת מתחם נפרד לכל אישום. לא הייתה עתירה נוגדת מטעם ההגנה. בהינתן מרחק הזמן בין העבירות מושא שני האישומים, מובנת היא עמדת המאשימה, אם כי לטעמי, לא היה נראה בלתי סביר לקבוע מתחם אחד בנסיבות העניין, נוכח הדמיון בין המעשים והעבירות. מכל מקום, לאחר בחינת פסיקה נוהגת, נמצא שהמתחם דומה בשני האישומים (עם החמרה במעט בהינתן העבירה של החזקת הכלים לגידול סמים), ובכל מקרה, ייקבע עונש כולל אחד. </w:t>
      </w:r>
    </w:p>
    <w:p w14:paraId="20D58522" w14:textId="77777777" w:rsidR="005B79D2" w:rsidRDefault="005B79D2" w:rsidP="005B79D2">
      <w:pPr>
        <w:pStyle w:val="a9"/>
        <w:spacing w:after="0" w:line="360" w:lineRule="auto"/>
        <w:rPr>
          <w:rFonts w:ascii="FrankRuehl" w:hAnsi="FrankRuehl" w:cs="FrankRuehl"/>
          <w:sz w:val="28"/>
          <w:szCs w:val="28"/>
        </w:rPr>
      </w:pPr>
    </w:p>
    <w:p w14:paraId="3A613508" w14:textId="77777777" w:rsidR="005B79D2" w:rsidRPr="005B79D2" w:rsidRDefault="005B79D2" w:rsidP="005B79D2">
      <w:pPr>
        <w:numPr>
          <w:ilvl w:val="0"/>
          <w:numId w:val="1"/>
        </w:numPr>
        <w:spacing w:line="360" w:lineRule="auto"/>
        <w:ind w:hanging="636"/>
        <w:contextualSpacing/>
        <w:jc w:val="both"/>
        <w:rPr>
          <w:rFonts w:ascii="FrankRuehl" w:eastAsia="Calibri" w:hAnsi="FrankRuehl" w:cs="FrankRuehl"/>
          <w:sz w:val="28"/>
          <w:szCs w:val="28"/>
          <w:rtl/>
        </w:rPr>
      </w:pPr>
      <w:r w:rsidRPr="005B79D2">
        <w:rPr>
          <w:rFonts w:ascii="FrankRuehl" w:eastAsia="Calibri" w:hAnsi="FrankRuehl" w:cs="FrankRuehl"/>
          <w:sz w:val="28"/>
          <w:szCs w:val="28"/>
          <w:rtl/>
        </w:rPr>
        <w:t xml:space="preserve">לאחר בחינת הפסיקה, לעתים חלקה התייחס לעבירות בנסיבות חמורות או מקלות יותר (כמות הסם, ביצוען של עבירות נוספות, וכו'), וכן בהתחשב גם בנסיבות ביצוע העבירות לפנינו, לדעתי מתחם הענישה ביחס לכל אישום, </w:t>
      </w:r>
      <w:r w:rsidRPr="005B79D2">
        <w:rPr>
          <w:rFonts w:ascii="Miriam" w:eastAsia="Calibri" w:hAnsi="Miriam" w:cs="Miriam"/>
          <w:rtl/>
        </w:rPr>
        <w:t xml:space="preserve">נע בין ענישה </w:t>
      </w:r>
      <w:r w:rsidRPr="005B79D2">
        <w:rPr>
          <w:rFonts w:ascii="Miriam" w:eastAsia="Calibri" w:hAnsi="Miriam" w:cs="Miriam" w:hint="cs"/>
          <w:rtl/>
        </w:rPr>
        <w:t>מותנית</w:t>
      </w:r>
      <w:r w:rsidRPr="005B79D2">
        <w:rPr>
          <w:rFonts w:ascii="Miriam" w:eastAsia="Calibri" w:hAnsi="Miriam" w:cs="Miriam"/>
          <w:rtl/>
        </w:rPr>
        <w:t xml:space="preserve"> וצופת פני עתיד, ועד מספר חודשי מאסר, זאת לצד ענישה נלווית</w:t>
      </w:r>
      <w:r w:rsidRPr="005B79D2">
        <w:rPr>
          <w:rFonts w:ascii="FrankRuehl" w:eastAsia="Calibri" w:hAnsi="FrankRuehl" w:cs="FrankRuehl"/>
          <w:sz w:val="28"/>
          <w:szCs w:val="28"/>
          <w:rtl/>
        </w:rPr>
        <w:t xml:space="preserve">. ראו והשוו עם הפסיקה הבאה בשינויים </w:t>
      </w:r>
      <w:r w:rsidRPr="005B79D2">
        <w:rPr>
          <w:rFonts w:ascii="FrankRuehl" w:eastAsia="Calibri" w:hAnsi="FrankRuehl" w:cs="FrankRuehl"/>
          <w:sz w:val="28"/>
          <w:szCs w:val="28"/>
          <w:u w:val="single"/>
          <w:rtl/>
        </w:rPr>
        <w:t>המתחייבים</w:t>
      </w:r>
      <w:r w:rsidRPr="005B79D2">
        <w:rPr>
          <w:rFonts w:ascii="FrankRuehl" w:eastAsia="Calibri" w:hAnsi="FrankRuehl" w:cs="FrankRuehl"/>
          <w:sz w:val="28"/>
          <w:szCs w:val="28"/>
          <w:rtl/>
        </w:rPr>
        <w:t>:</w:t>
      </w:r>
      <w:r>
        <w:rPr>
          <w:rFonts w:ascii="FrankRuehl" w:hAnsi="FrankRuehl" w:cs="FrankRuehl"/>
          <w:sz w:val="28"/>
          <w:szCs w:val="28"/>
          <w:rtl/>
        </w:rPr>
        <w:t xml:space="preserve"> </w:t>
      </w:r>
      <w:hyperlink r:id="rId33" w:history="1">
        <w:r w:rsidR="00AA248A" w:rsidRPr="00AA248A">
          <w:rPr>
            <w:rFonts w:ascii="FrankRuehl" w:hAnsi="FrankRuehl" w:cs="FrankRuehl"/>
            <w:color w:val="0000FF"/>
            <w:sz w:val="28"/>
            <w:szCs w:val="28"/>
            <w:u w:val="single"/>
            <w:rtl/>
          </w:rPr>
          <w:t>רע"פ 1353/17</w:t>
        </w:r>
      </w:hyperlink>
      <w:r>
        <w:rPr>
          <w:rFonts w:ascii="FrankRuehl" w:hAnsi="FrankRuehl" w:cs="FrankRuehl"/>
          <w:sz w:val="28"/>
          <w:szCs w:val="28"/>
          <w:rtl/>
        </w:rPr>
        <w:t xml:space="preserve"> </w:t>
      </w:r>
      <w:r>
        <w:rPr>
          <w:rFonts w:ascii="Miriam" w:hAnsi="Miriam" w:cs="Miriam"/>
          <w:rtl/>
        </w:rPr>
        <w:t>אסולין נ' מדינת ישראל</w:t>
      </w:r>
      <w:r>
        <w:rPr>
          <w:rFonts w:ascii="FrankRuehl" w:hAnsi="FrankRuehl" w:cs="FrankRuehl"/>
          <w:sz w:val="28"/>
          <w:szCs w:val="28"/>
          <w:rtl/>
        </w:rPr>
        <w:t xml:space="preserve"> (12.4.2018); </w:t>
      </w:r>
      <w:hyperlink r:id="rId34" w:history="1">
        <w:r w:rsidR="00AA248A" w:rsidRPr="00AA248A">
          <w:rPr>
            <w:rFonts w:ascii="FrankRuehl" w:hAnsi="FrankRuehl" w:cs="FrankRuehl"/>
            <w:color w:val="0000FF"/>
            <w:sz w:val="28"/>
            <w:szCs w:val="28"/>
            <w:u w:val="single"/>
            <w:rtl/>
          </w:rPr>
          <w:t>רע"פ 7996/12</w:t>
        </w:r>
      </w:hyperlink>
      <w:r>
        <w:rPr>
          <w:rFonts w:ascii="FrankRuehl" w:hAnsi="FrankRuehl" w:cs="FrankRuehl"/>
          <w:sz w:val="28"/>
          <w:szCs w:val="28"/>
          <w:rtl/>
        </w:rPr>
        <w:t xml:space="preserve"> </w:t>
      </w:r>
      <w:r>
        <w:rPr>
          <w:rFonts w:ascii="Miriam" w:hAnsi="Miriam" w:cs="Miriam"/>
          <w:rtl/>
        </w:rPr>
        <w:t>יוסף נ' מדינת ישראל</w:t>
      </w:r>
      <w:r>
        <w:rPr>
          <w:rFonts w:ascii="FrankRuehl" w:hAnsi="FrankRuehl" w:cs="FrankRuehl"/>
          <w:sz w:val="28"/>
          <w:szCs w:val="28"/>
          <w:rtl/>
        </w:rPr>
        <w:t xml:space="preserve"> (23.1.2013); </w:t>
      </w:r>
      <w:hyperlink r:id="rId35" w:history="1">
        <w:r w:rsidR="00AA248A" w:rsidRPr="00AA248A">
          <w:rPr>
            <w:rFonts w:ascii="FrankRuehl" w:hAnsi="FrankRuehl" w:cs="FrankRuehl"/>
            <w:color w:val="0000FF"/>
            <w:sz w:val="28"/>
            <w:szCs w:val="28"/>
            <w:u w:val="single"/>
            <w:rtl/>
          </w:rPr>
          <w:t>ת"פ (שלום ב"ש) 15475-10-21</w:t>
        </w:r>
      </w:hyperlink>
      <w:r>
        <w:rPr>
          <w:rFonts w:ascii="FrankRuehl" w:hAnsi="FrankRuehl" w:cs="FrankRuehl"/>
          <w:sz w:val="28"/>
          <w:szCs w:val="28"/>
          <w:rtl/>
        </w:rPr>
        <w:t xml:space="preserve"> </w:t>
      </w:r>
      <w:r>
        <w:rPr>
          <w:rFonts w:ascii="Miriam" w:hAnsi="Miriam" w:cs="Miriam"/>
          <w:rtl/>
        </w:rPr>
        <w:t>מדינת ישראל נ' קוסייב</w:t>
      </w:r>
      <w:r>
        <w:rPr>
          <w:rFonts w:ascii="FrankRuehl" w:hAnsi="FrankRuehl" w:cs="FrankRuehl"/>
          <w:sz w:val="28"/>
          <w:szCs w:val="28"/>
          <w:rtl/>
        </w:rPr>
        <w:t xml:space="preserve"> (7.7.2024); </w:t>
      </w:r>
      <w:hyperlink r:id="rId36" w:history="1">
        <w:r w:rsidR="00AA248A" w:rsidRPr="00AA248A">
          <w:rPr>
            <w:rFonts w:ascii="FrankRuehl" w:hAnsi="FrankRuehl" w:cs="FrankRuehl"/>
            <w:color w:val="0000FF"/>
            <w:sz w:val="28"/>
            <w:szCs w:val="28"/>
            <w:u w:val="single"/>
            <w:rtl/>
          </w:rPr>
          <w:t>ת"פ (שלום י-ם) 21547-12-21</w:t>
        </w:r>
      </w:hyperlink>
      <w:r>
        <w:rPr>
          <w:rFonts w:ascii="FrankRuehl" w:hAnsi="FrankRuehl" w:cs="FrankRuehl"/>
          <w:sz w:val="28"/>
          <w:szCs w:val="28"/>
          <w:rtl/>
        </w:rPr>
        <w:t xml:space="preserve"> </w:t>
      </w:r>
      <w:r>
        <w:rPr>
          <w:rFonts w:ascii="Miriam" w:hAnsi="Miriam" w:cs="Miriam"/>
          <w:rtl/>
        </w:rPr>
        <w:t>מדינת ישראל נ' יושיע</w:t>
      </w:r>
      <w:r>
        <w:rPr>
          <w:rFonts w:ascii="FrankRuehl" w:hAnsi="FrankRuehl" w:cs="FrankRuehl"/>
          <w:sz w:val="28"/>
          <w:szCs w:val="28"/>
          <w:rtl/>
        </w:rPr>
        <w:t xml:space="preserve"> (21.5.2024);</w:t>
      </w:r>
      <w:r>
        <w:rPr>
          <w:rtl/>
        </w:rPr>
        <w:t xml:space="preserve"> </w:t>
      </w:r>
      <w:hyperlink r:id="rId37" w:history="1">
        <w:r w:rsidR="00AA248A" w:rsidRPr="00AA248A">
          <w:rPr>
            <w:color w:val="0000FF"/>
            <w:u w:val="single"/>
            <w:rtl/>
          </w:rPr>
          <w:t>ת"פ (שלום י-ם) 59554-08-20</w:t>
        </w:r>
      </w:hyperlink>
      <w:r>
        <w:rPr>
          <w:rFonts w:ascii="FrankRuehl" w:hAnsi="FrankRuehl" w:cs="FrankRuehl"/>
          <w:sz w:val="28"/>
          <w:szCs w:val="28"/>
          <w:rtl/>
        </w:rPr>
        <w:t xml:space="preserve"> </w:t>
      </w:r>
      <w:r>
        <w:rPr>
          <w:rFonts w:ascii="Miriam" w:hAnsi="Miriam" w:cs="Miriam"/>
          <w:rtl/>
        </w:rPr>
        <w:t>מדינת ישראל נ' כהן</w:t>
      </w:r>
      <w:r>
        <w:rPr>
          <w:rFonts w:ascii="FrankRuehl" w:hAnsi="FrankRuehl" w:cs="FrankRuehl"/>
          <w:sz w:val="28"/>
          <w:szCs w:val="28"/>
          <w:rtl/>
        </w:rPr>
        <w:t xml:space="preserve"> (7.6.2023); </w:t>
      </w:r>
      <w:hyperlink r:id="rId38" w:history="1">
        <w:r w:rsidR="00AA248A" w:rsidRPr="00AA248A">
          <w:rPr>
            <w:rFonts w:ascii="FrankRuehl" w:hAnsi="FrankRuehl" w:cs="FrankRuehl"/>
            <w:color w:val="0000FF"/>
            <w:sz w:val="28"/>
            <w:szCs w:val="28"/>
            <w:u w:val="single"/>
            <w:rtl/>
          </w:rPr>
          <w:t>ת"פ (שלום ב"ש) 68386-11-20</w:t>
        </w:r>
      </w:hyperlink>
      <w:r>
        <w:rPr>
          <w:rFonts w:ascii="FrankRuehl" w:hAnsi="FrankRuehl" w:cs="FrankRuehl"/>
          <w:sz w:val="28"/>
          <w:szCs w:val="28"/>
          <w:rtl/>
        </w:rPr>
        <w:t xml:space="preserve"> </w:t>
      </w:r>
      <w:r>
        <w:rPr>
          <w:rFonts w:ascii="Miriam" w:hAnsi="Miriam" w:cs="Miriam"/>
          <w:rtl/>
        </w:rPr>
        <w:t>מדינת ישראל נ' אוואסקר</w:t>
      </w:r>
      <w:r>
        <w:rPr>
          <w:rFonts w:ascii="FrankRuehl" w:hAnsi="FrankRuehl" w:cs="FrankRuehl"/>
          <w:sz w:val="28"/>
          <w:szCs w:val="28"/>
          <w:rtl/>
        </w:rPr>
        <w:t xml:space="preserve"> (19.9.2022); </w:t>
      </w:r>
      <w:hyperlink r:id="rId39" w:history="1">
        <w:r w:rsidR="00AA248A" w:rsidRPr="00AA248A">
          <w:rPr>
            <w:rFonts w:ascii="FrankRuehl" w:hAnsi="FrankRuehl" w:cs="FrankRuehl"/>
            <w:color w:val="0000FF"/>
            <w:sz w:val="28"/>
            <w:szCs w:val="28"/>
            <w:u w:val="single"/>
            <w:rtl/>
          </w:rPr>
          <w:t>ת"פ (שלום ת"א) 36577-03-20</w:t>
        </w:r>
      </w:hyperlink>
      <w:r>
        <w:rPr>
          <w:rFonts w:ascii="FrankRuehl" w:hAnsi="FrankRuehl" w:cs="FrankRuehl"/>
          <w:sz w:val="28"/>
          <w:szCs w:val="28"/>
          <w:rtl/>
        </w:rPr>
        <w:t xml:space="preserve"> </w:t>
      </w:r>
      <w:r>
        <w:rPr>
          <w:rFonts w:ascii="Miriam" w:hAnsi="Miriam" w:cs="Miriam"/>
          <w:rtl/>
        </w:rPr>
        <w:t>מדינת ישראל נ' דפרנגי</w:t>
      </w:r>
      <w:r>
        <w:rPr>
          <w:rFonts w:ascii="FrankRuehl" w:hAnsi="FrankRuehl" w:cs="FrankRuehl"/>
          <w:sz w:val="28"/>
          <w:szCs w:val="28"/>
          <w:rtl/>
        </w:rPr>
        <w:t xml:space="preserve"> (16.3.2021); </w:t>
      </w:r>
      <w:hyperlink r:id="rId40" w:history="1">
        <w:r w:rsidR="00AA248A" w:rsidRPr="00AA248A">
          <w:rPr>
            <w:rFonts w:ascii="FrankRuehl" w:hAnsi="FrankRuehl" w:cs="FrankRuehl"/>
            <w:color w:val="0000FF"/>
            <w:sz w:val="28"/>
            <w:szCs w:val="28"/>
            <w:u w:val="single"/>
            <w:rtl/>
          </w:rPr>
          <w:t>ת"פ (שלום נצרת) 20403-02-20</w:t>
        </w:r>
      </w:hyperlink>
      <w:r>
        <w:rPr>
          <w:rFonts w:ascii="FrankRuehl" w:hAnsi="FrankRuehl" w:cs="FrankRuehl"/>
          <w:sz w:val="28"/>
          <w:szCs w:val="28"/>
          <w:rtl/>
        </w:rPr>
        <w:t xml:space="preserve"> </w:t>
      </w:r>
      <w:r>
        <w:rPr>
          <w:rFonts w:ascii="Miriam" w:hAnsi="Miriam" w:cs="Miriam"/>
          <w:rtl/>
        </w:rPr>
        <w:t>מדינת ישראל נ' פרח</w:t>
      </w:r>
      <w:r>
        <w:rPr>
          <w:rFonts w:ascii="FrankRuehl" w:hAnsi="FrankRuehl" w:cs="FrankRuehl"/>
          <w:sz w:val="28"/>
          <w:szCs w:val="28"/>
          <w:rtl/>
        </w:rPr>
        <w:t xml:space="preserve"> (23.9.2020); </w:t>
      </w:r>
      <w:hyperlink r:id="rId41" w:history="1">
        <w:r w:rsidR="00AA248A" w:rsidRPr="00AA248A">
          <w:rPr>
            <w:rFonts w:ascii="FrankRuehl" w:hAnsi="FrankRuehl" w:cs="FrankRuehl"/>
            <w:color w:val="0000FF"/>
            <w:sz w:val="28"/>
            <w:szCs w:val="28"/>
            <w:u w:val="single"/>
            <w:rtl/>
          </w:rPr>
          <w:t>ת"פ (י-ם) 11334-06-19</w:t>
        </w:r>
      </w:hyperlink>
      <w:r>
        <w:rPr>
          <w:rFonts w:ascii="FrankRuehl" w:hAnsi="FrankRuehl" w:cs="FrankRuehl"/>
          <w:sz w:val="28"/>
          <w:szCs w:val="28"/>
          <w:rtl/>
        </w:rPr>
        <w:t xml:space="preserve">‏ </w:t>
      </w:r>
      <w:r>
        <w:rPr>
          <w:rFonts w:ascii="Miriam" w:hAnsi="Miriam" w:cs="Miriam"/>
          <w:rtl/>
        </w:rPr>
        <w:t>מדינת ישראל נ' פרדני</w:t>
      </w:r>
      <w:r>
        <w:rPr>
          <w:rFonts w:ascii="FrankRuehl" w:hAnsi="FrankRuehl" w:cs="FrankRuehl"/>
          <w:sz w:val="28"/>
          <w:szCs w:val="28"/>
          <w:rtl/>
        </w:rPr>
        <w:t xml:space="preserve"> (7.5.2020); </w:t>
      </w:r>
      <w:hyperlink r:id="rId42" w:history="1">
        <w:r w:rsidR="00AA248A" w:rsidRPr="00AA248A">
          <w:rPr>
            <w:rFonts w:ascii="FrankRuehl" w:hAnsi="FrankRuehl" w:cs="FrankRuehl"/>
            <w:color w:val="0000FF"/>
            <w:sz w:val="28"/>
            <w:szCs w:val="28"/>
            <w:u w:val="single"/>
            <w:rtl/>
          </w:rPr>
          <w:t>ת"פ (שלום י-ם) 8483-03-16</w:t>
        </w:r>
      </w:hyperlink>
      <w:r>
        <w:rPr>
          <w:rFonts w:ascii="FrankRuehl" w:hAnsi="FrankRuehl" w:cs="FrankRuehl"/>
          <w:sz w:val="28"/>
          <w:szCs w:val="28"/>
          <w:rtl/>
        </w:rPr>
        <w:t xml:space="preserve"> </w:t>
      </w:r>
      <w:r>
        <w:rPr>
          <w:rFonts w:ascii="Miriam" w:hAnsi="Miriam" w:cs="Miriam"/>
          <w:rtl/>
        </w:rPr>
        <w:t>מדינת ישראל נ' אפרתי</w:t>
      </w:r>
      <w:r>
        <w:rPr>
          <w:rFonts w:ascii="FrankRuehl" w:hAnsi="FrankRuehl" w:cs="FrankRuehl"/>
          <w:sz w:val="28"/>
          <w:szCs w:val="28"/>
          <w:rtl/>
        </w:rPr>
        <w:t xml:space="preserve"> (1.12.2016)).</w:t>
      </w:r>
    </w:p>
    <w:p w14:paraId="3E3C38EA" w14:textId="77777777" w:rsidR="005B79D2" w:rsidRDefault="005B79D2" w:rsidP="005B79D2">
      <w:pPr>
        <w:spacing w:line="360" w:lineRule="auto"/>
        <w:jc w:val="both"/>
        <w:rPr>
          <w:rFonts w:ascii="FrankRuehl" w:hAnsi="FrankRuehl" w:cs="FrankRuehl"/>
          <w:sz w:val="20"/>
          <w:szCs w:val="20"/>
        </w:rPr>
      </w:pPr>
    </w:p>
    <w:p w14:paraId="27604E03" w14:textId="77777777" w:rsidR="005B79D2" w:rsidRPr="005B79D2" w:rsidRDefault="005B79D2" w:rsidP="005B79D2">
      <w:pPr>
        <w:numPr>
          <w:ilvl w:val="0"/>
          <w:numId w:val="1"/>
        </w:numPr>
        <w:spacing w:line="360" w:lineRule="auto"/>
        <w:ind w:left="651" w:hanging="567"/>
        <w:contextualSpacing/>
        <w:jc w:val="both"/>
        <w:rPr>
          <w:rFonts w:ascii="FrankRuehl" w:eastAsia="Calibri" w:hAnsi="FrankRuehl" w:cs="FrankRuehl"/>
          <w:sz w:val="28"/>
          <w:szCs w:val="28"/>
        </w:rPr>
      </w:pPr>
      <w:r w:rsidRPr="005B79D2">
        <w:rPr>
          <w:rFonts w:ascii="Miriam" w:eastAsia="Calibri" w:hAnsi="Miriam" w:cs="Miriam"/>
          <w:rtl/>
        </w:rPr>
        <w:t>נסיבות שאינן קשורות בביצוע העבירות</w:t>
      </w:r>
      <w:r w:rsidRPr="005B79D2">
        <w:rPr>
          <w:rFonts w:ascii="FrankRuehl" w:eastAsia="Calibri" w:hAnsi="FrankRuehl" w:cs="FrankRuehl"/>
          <w:sz w:val="28"/>
          <w:szCs w:val="28"/>
          <w:rtl/>
        </w:rPr>
        <w:t xml:space="preserve">: הנאשם בשנות ה-40 לחייו. הוא אב לקטינים ומפרנס יחיד למשפחתו. לקולת העונש נזקף חלוף התקופה ממועדי ביצוע העבירות ועד היום. עוד ניתנת הדעת לנטילת האחריות. ביחס לאישום הראשון, הושג הסדר דיוני שחסך שמיעת עדויות של עדי התביעה, ונשמעה פרשת ההגנה. כתב </w:t>
      </w:r>
      <w:r w:rsidRPr="005B79D2">
        <w:rPr>
          <w:rFonts w:ascii="FrankRuehl" w:eastAsia="Calibri" w:hAnsi="FrankRuehl" w:cs="FrankRuehl" w:hint="cs"/>
          <w:sz w:val="28"/>
          <w:szCs w:val="28"/>
          <w:rtl/>
        </w:rPr>
        <w:t>ה</w:t>
      </w:r>
      <w:r w:rsidRPr="005B79D2">
        <w:rPr>
          <w:rFonts w:ascii="FrankRuehl" w:eastAsia="Calibri" w:hAnsi="FrankRuehl" w:cs="FrankRuehl"/>
          <w:sz w:val="28"/>
          <w:szCs w:val="28"/>
          <w:rtl/>
        </w:rPr>
        <w:t xml:space="preserve">אישום תוקן לאחר שמיעת עדות הנאשם. הנאשם הודה בו, זאת לפני שסוכמו טענות הצדדים והוכרע דינו. ביחס לאישום השני, הוא הודה במיוחס </w:t>
      </w:r>
      <w:r w:rsidRPr="005B79D2">
        <w:rPr>
          <w:rFonts w:ascii="FrankRuehl" w:eastAsia="Calibri" w:hAnsi="FrankRuehl" w:cs="FrankRuehl" w:hint="cs"/>
          <w:sz w:val="28"/>
          <w:szCs w:val="28"/>
          <w:rtl/>
        </w:rPr>
        <w:t xml:space="preserve">לו </w:t>
      </w:r>
      <w:r w:rsidRPr="005B79D2">
        <w:rPr>
          <w:rFonts w:ascii="FrankRuehl" w:eastAsia="Calibri" w:hAnsi="FrankRuehl" w:cs="FrankRuehl"/>
          <w:sz w:val="28"/>
          <w:szCs w:val="28"/>
          <w:rtl/>
        </w:rPr>
        <w:t>ללא הצורך בשמיעת עדים. הודאות הנאשם היה בהן חיסכון בזמנם של הצדדים ובזמן השיפוטי. עוד ניתנת הדעת בהקשר זה, לחלקים החיוביים בתסקיר, אודות כוחותיו של הנאשם לנהל אורח חיים נורמטיבי, זולת התמכרותו לסמים.</w:t>
      </w:r>
    </w:p>
    <w:p w14:paraId="349D9D3C" w14:textId="77777777" w:rsidR="005B79D2" w:rsidRDefault="005B79D2" w:rsidP="005B79D2">
      <w:pPr>
        <w:pStyle w:val="a9"/>
        <w:spacing w:after="0" w:line="360" w:lineRule="auto"/>
        <w:rPr>
          <w:rFonts w:ascii="FrankRuehl" w:hAnsi="FrankRuehl" w:cs="FrankRuehl"/>
          <w:sz w:val="28"/>
          <w:szCs w:val="28"/>
        </w:rPr>
      </w:pPr>
    </w:p>
    <w:p w14:paraId="1DA5DFF7" w14:textId="77777777" w:rsidR="005B79D2" w:rsidRPr="005B79D2" w:rsidRDefault="005B79D2" w:rsidP="005B79D2">
      <w:pPr>
        <w:numPr>
          <w:ilvl w:val="0"/>
          <w:numId w:val="1"/>
        </w:numPr>
        <w:spacing w:line="360" w:lineRule="auto"/>
        <w:ind w:left="651" w:hanging="567"/>
        <w:contextualSpacing/>
        <w:jc w:val="both"/>
        <w:rPr>
          <w:rFonts w:ascii="FrankRuehl" w:eastAsia="Calibri" w:hAnsi="FrankRuehl" w:cs="FrankRuehl"/>
          <w:sz w:val="28"/>
          <w:szCs w:val="28"/>
          <w:rtl/>
        </w:rPr>
      </w:pPr>
      <w:r w:rsidRPr="005B79D2">
        <w:rPr>
          <w:rFonts w:ascii="FrankRuehl" w:eastAsia="Calibri" w:hAnsi="FrankRuehl" w:cs="FrankRuehl"/>
          <w:sz w:val="28"/>
          <w:szCs w:val="28"/>
          <w:rtl/>
        </w:rPr>
        <w:t>מן העבר האחר, לחומרת העונש, לא ניתן לומר כי הנאשם נטל אחריות במובן זה שהוא מודע לפְּסול שבמעשיו. לשיטתו, כל עוד אינו פוגע בזולת, רשאי הוא להשתמש בסמים לצריכתו העצמית כראות עיניו. אין בידי לקבל זאת. מעבר לכך שהאיסורים בדין בתחום הסמים הם ברורים, אלא שגם</w:t>
      </w:r>
      <w:r w:rsidRPr="005B79D2">
        <w:rPr>
          <w:rFonts w:ascii="FrankRuehl" w:eastAsia="Calibri" w:hAnsi="FrankRuehl" w:cs="FrankRuehl" w:hint="cs"/>
          <w:sz w:val="28"/>
          <w:szCs w:val="28"/>
          <w:rtl/>
        </w:rPr>
        <w:t>,</w:t>
      </w:r>
      <w:r w:rsidRPr="005B79D2">
        <w:rPr>
          <w:rFonts w:ascii="FrankRuehl" w:eastAsia="Calibri" w:hAnsi="FrankRuehl" w:cs="FrankRuehl"/>
          <w:sz w:val="28"/>
          <w:szCs w:val="28"/>
          <w:rtl/>
        </w:rPr>
        <w:t xml:space="preserve"> כפי שהצביע על כך התסקיר, הנאשם סובל מהתמכרות לסמים ומסרב מדעת להליך טיפולי. גם אם בעיניו מצב דברים זה הוא מצב תקין כביכול, המצב אינו כך. </w:t>
      </w:r>
    </w:p>
    <w:p w14:paraId="7F8DC00C" w14:textId="77777777" w:rsidR="005B79D2" w:rsidRDefault="005B79D2" w:rsidP="005B79D2">
      <w:pPr>
        <w:pStyle w:val="a9"/>
        <w:rPr>
          <w:rFonts w:ascii="FrankRuehl" w:hAnsi="FrankRuehl" w:cs="FrankRuehl"/>
          <w:sz w:val="28"/>
          <w:szCs w:val="28"/>
        </w:rPr>
      </w:pPr>
    </w:p>
    <w:p w14:paraId="7C0D8AD6" w14:textId="77777777" w:rsidR="005B79D2" w:rsidRPr="005B79D2" w:rsidRDefault="005B79D2" w:rsidP="005B79D2">
      <w:pPr>
        <w:numPr>
          <w:ilvl w:val="0"/>
          <w:numId w:val="1"/>
        </w:numPr>
        <w:spacing w:line="360" w:lineRule="auto"/>
        <w:ind w:left="651" w:hanging="567"/>
        <w:contextualSpacing/>
        <w:jc w:val="both"/>
        <w:rPr>
          <w:rFonts w:ascii="FrankRuehl" w:eastAsia="Calibri" w:hAnsi="FrankRuehl" w:cs="FrankRuehl"/>
          <w:sz w:val="28"/>
          <w:szCs w:val="28"/>
          <w:rtl/>
        </w:rPr>
      </w:pPr>
      <w:r w:rsidRPr="005B79D2">
        <w:rPr>
          <w:rFonts w:ascii="FrankRuehl" w:eastAsia="Calibri" w:hAnsi="FrankRuehl" w:cs="FrankRuehl"/>
          <w:sz w:val="28"/>
          <w:szCs w:val="28"/>
          <w:rtl/>
        </w:rPr>
        <w:t>יש לומר את הדברים בצורה צלולה. להתמכּרות לסמים שלא לצרכים טיפוליים או רפואיים</w:t>
      </w:r>
      <w:r w:rsidRPr="005B79D2">
        <w:rPr>
          <w:rFonts w:ascii="FrankRuehl" w:eastAsia="Calibri" w:hAnsi="FrankRuehl" w:cs="FrankRuehl" w:hint="cs"/>
          <w:sz w:val="28"/>
          <w:szCs w:val="28"/>
          <w:rtl/>
        </w:rPr>
        <w:t xml:space="preserve"> ולפי היתר בדין</w:t>
      </w:r>
      <w:r w:rsidRPr="005B79D2">
        <w:rPr>
          <w:rFonts w:ascii="FrankRuehl" w:eastAsia="Calibri" w:hAnsi="FrankRuehl" w:cs="FrankRuehl"/>
          <w:sz w:val="28"/>
          <w:szCs w:val="28"/>
          <w:rtl/>
        </w:rPr>
        <w:t xml:space="preserve">, עלולות להיות בסבירות גבוהה, השלכות </w:t>
      </w:r>
      <w:r w:rsidRPr="005B79D2">
        <w:rPr>
          <w:rFonts w:ascii="FrankRuehl" w:eastAsia="Calibri" w:hAnsi="FrankRuehl" w:cs="FrankRuehl" w:hint="cs"/>
          <w:sz w:val="28"/>
          <w:szCs w:val="28"/>
          <w:rtl/>
        </w:rPr>
        <w:t xml:space="preserve">קשות מאוד ואף </w:t>
      </w:r>
      <w:r w:rsidRPr="005B79D2">
        <w:rPr>
          <w:rFonts w:ascii="FrankRuehl" w:eastAsia="Calibri" w:hAnsi="FrankRuehl" w:cs="FrankRuehl"/>
          <w:sz w:val="28"/>
          <w:szCs w:val="28"/>
          <w:rtl/>
        </w:rPr>
        <w:t>הרסניות בתחומי החיים השונים, הבריאותיים, האישיים, המשפחתיים, החברתיים, הכלכליים ועוד, הן בטווח הקרוב הן בטווח הרחוק, הן לנאשם הן לסביבתו – וטוב טיפול מאוחר מלעולם לא.</w:t>
      </w:r>
    </w:p>
    <w:p w14:paraId="2E9424F6" w14:textId="77777777" w:rsidR="005B79D2" w:rsidRDefault="005B79D2" w:rsidP="005B79D2">
      <w:pPr>
        <w:pStyle w:val="a9"/>
        <w:spacing w:after="0" w:line="360" w:lineRule="auto"/>
        <w:rPr>
          <w:rFonts w:ascii="FrankRuehl" w:hAnsi="FrankRuehl" w:cs="FrankRuehl"/>
          <w:sz w:val="28"/>
          <w:szCs w:val="28"/>
        </w:rPr>
      </w:pPr>
    </w:p>
    <w:p w14:paraId="045AB688" w14:textId="77777777" w:rsidR="005B79D2" w:rsidRPr="005B79D2" w:rsidRDefault="005B79D2" w:rsidP="005B79D2">
      <w:pPr>
        <w:numPr>
          <w:ilvl w:val="0"/>
          <w:numId w:val="1"/>
        </w:numPr>
        <w:spacing w:line="360" w:lineRule="auto"/>
        <w:ind w:left="651" w:hanging="567"/>
        <w:contextualSpacing/>
        <w:jc w:val="both"/>
        <w:rPr>
          <w:rFonts w:ascii="Miriam" w:eastAsia="Calibri" w:hAnsi="Miriam" w:cs="Miriam"/>
          <w:sz w:val="20"/>
          <w:szCs w:val="20"/>
          <w:u w:val="single"/>
          <w:rtl/>
        </w:rPr>
      </w:pPr>
      <w:r w:rsidRPr="005B79D2">
        <w:rPr>
          <w:rFonts w:ascii="FrankRuehl" w:eastAsia="Calibri" w:hAnsi="FrankRuehl" w:cs="FrankRuehl"/>
          <w:sz w:val="28"/>
          <w:szCs w:val="28"/>
          <w:rtl/>
        </w:rPr>
        <w:t>עוד לחומרת העונש, יש ליתן את הדעת לעברו הפלילי של הנאשם. כפי שעולה ממוצג ת/1, הוא הורשע רק לפני כשנה וחצי (בחודש 05/2023) בביצוע עבירת איומים, בגינה הושתו עליו מאסר מותנה וקנס. בשנת 2012 הוא הורשע בעבירת גניבה. נכון, הרשעות אלו אינן אמנם בתחום הסמים, מצויות ברף חומרה נמוך, ואחת מהן אף התיישנה, אך אין להתעלם מכך שההתמכרות לסמים עלולה להוות כור פורה למעשים עברייניים דומים לאלה, או אחרים שהם חמורים יותר</w:t>
      </w:r>
      <w:r w:rsidRPr="005B79D2">
        <w:rPr>
          <w:rFonts w:ascii="FrankRuehl" w:eastAsia="Calibri" w:hAnsi="FrankRuehl" w:cs="FrankRuehl" w:hint="cs"/>
          <w:sz w:val="28"/>
          <w:szCs w:val="28"/>
          <w:rtl/>
        </w:rPr>
        <w:t>, בעתיד</w:t>
      </w:r>
      <w:r w:rsidRPr="005B79D2">
        <w:rPr>
          <w:rFonts w:ascii="FrankRuehl" w:eastAsia="Calibri" w:hAnsi="FrankRuehl" w:cs="FrankRuehl"/>
          <w:sz w:val="28"/>
          <w:szCs w:val="28"/>
          <w:rtl/>
        </w:rPr>
        <w:t xml:space="preserve">. מכאן, מתחייבת גם ענישה שמציבה גבולות ומרתיעה, ולכן לא ניתן להסתפק רק במאסר מותנה </w:t>
      </w:r>
      <w:r w:rsidRPr="005B79D2">
        <w:rPr>
          <w:rFonts w:ascii="FrankRuehl" w:eastAsia="Calibri" w:hAnsi="FrankRuehl" w:cs="FrankRuehl" w:hint="cs"/>
          <w:sz w:val="28"/>
          <w:szCs w:val="28"/>
          <w:rtl/>
        </w:rPr>
        <w:t>בנסיבות העניין</w:t>
      </w:r>
      <w:r w:rsidRPr="005B79D2">
        <w:rPr>
          <w:rFonts w:ascii="FrankRuehl" w:eastAsia="Calibri" w:hAnsi="FrankRuehl" w:cs="FrankRuehl"/>
          <w:sz w:val="28"/>
          <w:szCs w:val="28"/>
          <w:rtl/>
        </w:rPr>
        <w:t>. מיקום עונשו של הנאשם, יוצב בתוך השלישי התחתון של המתחם.</w:t>
      </w:r>
    </w:p>
    <w:p w14:paraId="2719259F" w14:textId="77777777" w:rsidR="005B79D2" w:rsidRDefault="005B79D2" w:rsidP="005B79D2">
      <w:pPr>
        <w:spacing w:line="360" w:lineRule="auto"/>
        <w:jc w:val="both"/>
        <w:rPr>
          <w:rFonts w:ascii="Miriam" w:hAnsi="Miriam" w:cs="Miriam"/>
          <w:sz w:val="20"/>
          <w:szCs w:val="20"/>
          <w:u w:val="single"/>
        </w:rPr>
      </w:pPr>
    </w:p>
    <w:p w14:paraId="0AC510AB" w14:textId="77777777" w:rsidR="005B79D2" w:rsidRDefault="005B79D2" w:rsidP="005B79D2">
      <w:pPr>
        <w:spacing w:line="360" w:lineRule="auto"/>
        <w:jc w:val="both"/>
        <w:rPr>
          <w:rFonts w:ascii="FrankRuehl" w:hAnsi="FrankRuehl" w:cs="FrankRuehl"/>
          <w:sz w:val="28"/>
          <w:szCs w:val="28"/>
        </w:rPr>
      </w:pPr>
      <w:r>
        <w:rPr>
          <w:rFonts w:ascii="Miriam" w:hAnsi="Miriam" w:cs="Miriam"/>
          <w:u w:val="single"/>
          <w:rtl/>
        </w:rPr>
        <w:t>סיכום</w:t>
      </w:r>
    </w:p>
    <w:p w14:paraId="451D23AC" w14:textId="77777777" w:rsidR="005B79D2" w:rsidRDefault="005B79D2" w:rsidP="005B79D2">
      <w:pPr>
        <w:spacing w:line="360" w:lineRule="auto"/>
        <w:jc w:val="both"/>
        <w:rPr>
          <w:rFonts w:ascii="FrankRuehl" w:hAnsi="FrankRuehl" w:cs="FrankRuehl"/>
          <w:sz w:val="20"/>
          <w:szCs w:val="20"/>
        </w:rPr>
      </w:pPr>
    </w:p>
    <w:p w14:paraId="09EE5621" w14:textId="77777777" w:rsidR="005B79D2" w:rsidRPr="005B79D2" w:rsidRDefault="005B79D2" w:rsidP="005B79D2">
      <w:pPr>
        <w:numPr>
          <w:ilvl w:val="0"/>
          <w:numId w:val="1"/>
        </w:numPr>
        <w:spacing w:line="360" w:lineRule="auto"/>
        <w:ind w:hanging="636"/>
        <w:contextualSpacing/>
        <w:jc w:val="both"/>
        <w:rPr>
          <w:rFonts w:ascii="FrankRuehl" w:eastAsia="Calibri" w:hAnsi="FrankRuehl" w:cs="FrankRuehl"/>
          <w:sz w:val="28"/>
          <w:szCs w:val="28"/>
        </w:rPr>
      </w:pPr>
      <w:r w:rsidRPr="005B79D2">
        <w:rPr>
          <w:rFonts w:ascii="FrankRuehl" w:eastAsia="Calibri" w:hAnsi="FrankRuehl" w:cs="FrankRuehl"/>
          <w:sz w:val="28"/>
          <w:szCs w:val="28"/>
          <w:rtl/>
        </w:rPr>
        <w:t>לאור האמור, משית על הנאשם את העונשים הבאים:</w:t>
      </w:r>
    </w:p>
    <w:p w14:paraId="176ADEE5" w14:textId="77777777" w:rsidR="005B79D2" w:rsidRPr="005B79D2" w:rsidRDefault="005B79D2" w:rsidP="005B79D2">
      <w:pPr>
        <w:spacing w:line="360" w:lineRule="auto"/>
        <w:ind w:left="720"/>
        <w:contextualSpacing/>
        <w:jc w:val="both"/>
        <w:rPr>
          <w:rFonts w:ascii="FrankRuehl" w:eastAsia="Calibri" w:hAnsi="FrankRuehl" w:cs="FrankRuehl"/>
          <w:sz w:val="20"/>
          <w:szCs w:val="20"/>
          <w:rtl/>
        </w:rPr>
      </w:pPr>
    </w:p>
    <w:p w14:paraId="79F5C5CA" w14:textId="77777777" w:rsidR="005B79D2" w:rsidRDefault="005B79D2" w:rsidP="005B79D2">
      <w:pPr>
        <w:pStyle w:val="a9"/>
        <w:numPr>
          <w:ilvl w:val="0"/>
          <w:numId w:val="2"/>
        </w:numPr>
        <w:spacing w:after="0" w:line="360" w:lineRule="auto"/>
        <w:ind w:left="1360" w:hanging="567"/>
        <w:jc w:val="both"/>
        <w:rPr>
          <w:rFonts w:ascii="FrankRuehl" w:hAnsi="FrankRuehl" w:cs="FrankRuehl"/>
          <w:sz w:val="28"/>
          <w:szCs w:val="28"/>
          <w:rtl/>
        </w:rPr>
      </w:pPr>
      <w:r>
        <w:rPr>
          <w:rFonts w:ascii="FrankRuehl" w:hAnsi="FrankRuehl" w:cs="FrankRuehl" w:hint="cs"/>
          <w:sz w:val="28"/>
          <w:szCs w:val="28"/>
          <w:rtl/>
        </w:rPr>
        <w:t xml:space="preserve">עשרים (20) יום מאסר שירוצו </w:t>
      </w:r>
      <w:r>
        <w:rPr>
          <w:rFonts w:ascii="FrankRuehl" w:hAnsi="FrankRuehl" w:cs="FrankRuehl"/>
          <w:sz w:val="28"/>
          <w:szCs w:val="28"/>
          <w:rtl/>
        </w:rPr>
        <w:t xml:space="preserve">בעבודות שירות. ריצוי העונש יחל </w:t>
      </w:r>
      <w:r>
        <w:rPr>
          <w:rFonts w:ascii="FrankRuehl" w:hAnsi="FrankRuehl" w:cs="FrankRuehl"/>
          <w:sz w:val="28"/>
          <w:szCs w:val="28"/>
          <w:u w:val="single"/>
          <w:rtl/>
        </w:rPr>
        <w:t xml:space="preserve">ביום </w:t>
      </w:r>
      <w:r>
        <w:rPr>
          <w:rFonts w:ascii="FrankRuehl" w:hAnsi="FrankRuehl" w:cs="FrankRuehl" w:hint="cs"/>
          <w:sz w:val="28"/>
          <w:szCs w:val="28"/>
          <w:u w:val="single"/>
          <w:rtl/>
        </w:rPr>
        <w:t>28.1</w:t>
      </w:r>
      <w:r>
        <w:rPr>
          <w:rFonts w:ascii="FrankRuehl" w:hAnsi="FrankRuehl" w:cs="FrankRuehl"/>
          <w:sz w:val="28"/>
          <w:szCs w:val="28"/>
          <w:u w:val="single"/>
          <w:rtl/>
        </w:rPr>
        <w:t>.2025</w:t>
      </w:r>
      <w:r>
        <w:rPr>
          <w:rFonts w:ascii="FrankRuehl" w:hAnsi="FrankRuehl" w:cs="FrankRuehl"/>
          <w:sz w:val="28"/>
          <w:szCs w:val="28"/>
          <w:rtl/>
        </w:rPr>
        <w:t xml:space="preserve">, </w:t>
      </w:r>
      <w:r>
        <w:rPr>
          <w:rFonts w:ascii="FrankRuehl" w:hAnsi="FrankRuehl" w:cs="FrankRuehl" w:hint="cs"/>
          <w:sz w:val="28"/>
          <w:szCs w:val="28"/>
          <w:rtl/>
        </w:rPr>
        <w:t>או כל מועד אחר שיקבע הממונה (מוקדם או מאוחר יותר) ו</w:t>
      </w:r>
      <w:r>
        <w:rPr>
          <w:rFonts w:ascii="FrankRuehl" w:hAnsi="FrankRuehl" w:cs="FrankRuehl"/>
          <w:sz w:val="28"/>
          <w:szCs w:val="28"/>
          <w:rtl/>
        </w:rPr>
        <w:t>לפי חוות דעתו. מוזהר הנאשם בכך, כי אם לא יעמוד בהוראות הממונה כלשונן וכמשמען, הוא ירצה את יתרת עונשו מאחורי סורג ובריח.</w:t>
      </w:r>
    </w:p>
    <w:p w14:paraId="64B1C4FA" w14:textId="77777777" w:rsidR="005B79D2" w:rsidRDefault="005B79D2" w:rsidP="005B79D2">
      <w:pPr>
        <w:pStyle w:val="a9"/>
        <w:spacing w:after="0" w:line="360" w:lineRule="auto"/>
        <w:ind w:left="1360"/>
        <w:jc w:val="both"/>
        <w:rPr>
          <w:rFonts w:ascii="FrankRuehl" w:hAnsi="FrankRuehl" w:cs="FrankRuehl"/>
          <w:sz w:val="28"/>
          <w:szCs w:val="28"/>
        </w:rPr>
      </w:pPr>
    </w:p>
    <w:p w14:paraId="12DE888F" w14:textId="77777777" w:rsidR="005B79D2" w:rsidRDefault="005B79D2" w:rsidP="005B79D2">
      <w:pPr>
        <w:pStyle w:val="a9"/>
        <w:numPr>
          <w:ilvl w:val="0"/>
          <w:numId w:val="2"/>
        </w:numPr>
        <w:spacing w:after="0" w:line="360" w:lineRule="auto"/>
        <w:ind w:left="1360" w:hanging="567"/>
        <w:jc w:val="both"/>
        <w:rPr>
          <w:rFonts w:ascii="FrankRuehl" w:hAnsi="FrankRuehl" w:cs="FrankRuehl"/>
          <w:sz w:val="28"/>
          <w:szCs w:val="28"/>
        </w:rPr>
      </w:pPr>
      <w:r>
        <w:rPr>
          <w:rFonts w:ascii="FrankRuehl" w:hAnsi="FrankRuehl" w:cs="FrankRuehl"/>
          <w:sz w:val="28"/>
          <w:szCs w:val="28"/>
          <w:rtl/>
        </w:rPr>
        <w:t xml:space="preserve">חודש מאסר שלא ירוצה, אלא אם יעבור הנאשם עבירת עוון לפי </w:t>
      </w:r>
      <w:r>
        <w:rPr>
          <w:rFonts w:ascii="Miriam" w:hAnsi="Miriam" w:cs="Miriam"/>
          <w:sz w:val="24"/>
          <w:szCs w:val="24"/>
          <w:rtl/>
        </w:rPr>
        <w:t>פקודת הסמים</w:t>
      </w:r>
      <w:r>
        <w:rPr>
          <w:rFonts w:ascii="FrankRuehl" w:hAnsi="FrankRuehl" w:cs="FrankRuehl"/>
          <w:sz w:val="28"/>
          <w:szCs w:val="28"/>
          <w:rtl/>
        </w:rPr>
        <w:t>, תוך שלוש שנים מהיום.</w:t>
      </w:r>
    </w:p>
    <w:p w14:paraId="7E299257" w14:textId="77777777" w:rsidR="005B79D2" w:rsidRDefault="005B79D2" w:rsidP="005B79D2">
      <w:pPr>
        <w:pStyle w:val="a9"/>
        <w:spacing w:after="0" w:line="360" w:lineRule="auto"/>
        <w:rPr>
          <w:rFonts w:ascii="FrankRuehl" w:hAnsi="FrankRuehl" w:cs="FrankRuehl"/>
          <w:sz w:val="28"/>
          <w:szCs w:val="28"/>
        </w:rPr>
      </w:pPr>
    </w:p>
    <w:p w14:paraId="1BDFFCE2" w14:textId="77777777" w:rsidR="005B79D2" w:rsidRDefault="005B79D2" w:rsidP="005B79D2">
      <w:pPr>
        <w:pStyle w:val="a9"/>
        <w:numPr>
          <w:ilvl w:val="0"/>
          <w:numId w:val="2"/>
        </w:numPr>
        <w:spacing w:after="0" w:line="360" w:lineRule="auto"/>
        <w:ind w:left="1360" w:hanging="567"/>
        <w:jc w:val="both"/>
        <w:rPr>
          <w:rFonts w:ascii="FrankRuehl" w:hAnsi="FrankRuehl" w:cs="FrankRuehl"/>
          <w:sz w:val="28"/>
          <w:szCs w:val="28"/>
          <w:rtl/>
        </w:rPr>
      </w:pPr>
      <w:r>
        <w:rPr>
          <w:rFonts w:ascii="FrankRuehl" w:hAnsi="FrankRuehl" w:cs="FrankRuehl" w:hint="cs"/>
          <w:sz w:val="28"/>
          <w:szCs w:val="28"/>
          <w:rtl/>
        </w:rPr>
        <w:t>חודשיים</w:t>
      </w:r>
      <w:r>
        <w:rPr>
          <w:rFonts w:ascii="FrankRuehl" w:hAnsi="FrankRuehl" w:cs="FrankRuehl"/>
          <w:sz w:val="28"/>
          <w:szCs w:val="28"/>
          <w:rtl/>
        </w:rPr>
        <w:t xml:space="preserve"> מאסר שלא ירוצו, אלא אם יעבור הנאשם עבירת פשע לפי </w:t>
      </w:r>
      <w:r>
        <w:rPr>
          <w:rFonts w:ascii="Miriam" w:hAnsi="Miriam" w:cs="Miriam"/>
          <w:sz w:val="24"/>
          <w:szCs w:val="24"/>
          <w:rtl/>
        </w:rPr>
        <w:t>פקודת הסמים</w:t>
      </w:r>
      <w:r>
        <w:rPr>
          <w:rFonts w:ascii="FrankRuehl" w:hAnsi="FrankRuehl" w:cs="FrankRuehl"/>
          <w:sz w:val="28"/>
          <w:szCs w:val="28"/>
          <w:rtl/>
        </w:rPr>
        <w:t>, תוך שלוש שנים מהיום.</w:t>
      </w:r>
    </w:p>
    <w:p w14:paraId="7AF52584" w14:textId="77777777" w:rsidR="005B79D2" w:rsidRDefault="005B79D2" w:rsidP="005B79D2">
      <w:pPr>
        <w:spacing w:line="360" w:lineRule="auto"/>
        <w:rPr>
          <w:rFonts w:ascii="FrankRuehl" w:hAnsi="FrankRuehl" w:cs="FrankRuehl"/>
          <w:sz w:val="20"/>
          <w:szCs w:val="20"/>
          <w:rtl/>
        </w:rPr>
      </w:pPr>
    </w:p>
    <w:p w14:paraId="29AD3ABB" w14:textId="77777777" w:rsidR="005B79D2" w:rsidRDefault="005B79D2" w:rsidP="005B79D2">
      <w:pPr>
        <w:pStyle w:val="a9"/>
        <w:numPr>
          <w:ilvl w:val="0"/>
          <w:numId w:val="2"/>
        </w:numPr>
        <w:spacing w:after="0" w:line="360" w:lineRule="auto"/>
        <w:ind w:left="1360" w:hanging="567"/>
        <w:jc w:val="both"/>
        <w:rPr>
          <w:rFonts w:ascii="FrankRuehl" w:hAnsi="FrankRuehl" w:cs="FrankRuehl"/>
          <w:sz w:val="28"/>
          <w:szCs w:val="28"/>
        </w:rPr>
      </w:pPr>
      <w:r>
        <w:rPr>
          <w:rFonts w:ascii="FrankRuehl" w:hAnsi="FrankRuehl" w:cs="FrankRuehl"/>
          <w:sz w:val="28"/>
          <w:szCs w:val="28"/>
          <w:rtl/>
        </w:rPr>
        <w:t xml:space="preserve">משית על הנאשם קנס בסך 2,000 ₪ או 10 ימי מאסר תמורתו. הקנס ישולם ב-5 תשלומים חודשיים שווים ועוקבים, </w:t>
      </w:r>
      <w:r>
        <w:rPr>
          <w:rFonts w:ascii="FrankRuehl" w:hAnsi="FrankRuehl" w:cs="FrankRuehl"/>
          <w:sz w:val="28"/>
          <w:szCs w:val="28"/>
          <w:u w:val="single"/>
          <w:rtl/>
        </w:rPr>
        <w:t>החל מיום 1.2.2025</w:t>
      </w:r>
      <w:r>
        <w:rPr>
          <w:rFonts w:ascii="FrankRuehl" w:hAnsi="FrankRuehl" w:cs="FrankRuehl"/>
          <w:sz w:val="28"/>
          <w:szCs w:val="28"/>
          <w:rtl/>
        </w:rPr>
        <w:t>, ובכל יום הראשון של החודש העוקב. הקנס ישולם באמצעות רשות האכיפה והגבייה, בטלפון, באינטרנט או במזומן (בדואר). באחריות הנאשם ליצור קשר עם הרשות בטלפונים (35592* או  073-2055000).</w:t>
      </w:r>
    </w:p>
    <w:p w14:paraId="75B2E27C" w14:textId="77777777" w:rsidR="005B79D2" w:rsidRDefault="005B79D2" w:rsidP="005B79D2">
      <w:pPr>
        <w:pStyle w:val="a9"/>
        <w:spacing w:after="0" w:line="360" w:lineRule="auto"/>
        <w:rPr>
          <w:rFonts w:ascii="FrankRuehl" w:hAnsi="FrankRuehl" w:cs="FrankRuehl"/>
          <w:sz w:val="20"/>
          <w:szCs w:val="20"/>
        </w:rPr>
      </w:pPr>
    </w:p>
    <w:p w14:paraId="6AA7A4FB" w14:textId="77777777" w:rsidR="005B79D2" w:rsidRDefault="005B79D2" w:rsidP="005B79D2">
      <w:pPr>
        <w:pStyle w:val="a9"/>
        <w:numPr>
          <w:ilvl w:val="0"/>
          <w:numId w:val="2"/>
        </w:numPr>
        <w:spacing w:after="0" w:line="360" w:lineRule="auto"/>
        <w:ind w:left="1360" w:hanging="567"/>
        <w:jc w:val="both"/>
        <w:rPr>
          <w:rFonts w:ascii="FrankRuehl" w:hAnsi="FrankRuehl" w:cs="FrankRuehl"/>
          <w:sz w:val="28"/>
          <w:szCs w:val="28"/>
          <w:rtl/>
        </w:rPr>
      </w:pPr>
      <w:r>
        <w:rPr>
          <w:rFonts w:ascii="FrankRuehl" w:hAnsi="FrankRuehl" w:cs="FrankRuehl"/>
          <w:sz w:val="28"/>
          <w:szCs w:val="28"/>
          <w:rtl/>
        </w:rPr>
        <w:t xml:space="preserve">הנאשם יתחייב לשלם סך </w:t>
      </w:r>
      <w:r>
        <w:rPr>
          <w:rFonts w:ascii="FrankRuehl" w:hAnsi="FrankRuehl" w:cs="FrankRuehl" w:hint="cs"/>
          <w:sz w:val="28"/>
          <w:szCs w:val="28"/>
          <w:rtl/>
        </w:rPr>
        <w:t>5</w:t>
      </w:r>
      <w:r>
        <w:rPr>
          <w:rFonts w:ascii="FrankRuehl" w:hAnsi="FrankRuehl" w:cs="FrankRuehl"/>
          <w:sz w:val="28"/>
          <w:szCs w:val="28"/>
          <w:rtl/>
        </w:rPr>
        <w:t>,</w:t>
      </w:r>
      <w:r>
        <w:rPr>
          <w:rFonts w:ascii="FrankRuehl" w:hAnsi="FrankRuehl" w:cs="FrankRuehl" w:hint="cs"/>
          <w:sz w:val="28"/>
          <w:szCs w:val="28"/>
          <w:rtl/>
        </w:rPr>
        <w:t>0</w:t>
      </w:r>
      <w:r>
        <w:rPr>
          <w:rFonts w:ascii="FrankRuehl" w:hAnsi="FrankRuehl" w:cs="FrankRuehl"/>
          <w:sz w:val="28"/>
          <w:szCs w:val="28"/>
          <w:rtl/>
        </w:rPr>
        <w:t xml:space="preserve">00 ₪ זאת ככל שיעבור עבירת סמים תוך </w:t>
      </w:r>
      <w:r>
        <w:rPr>
          <w:rFonts w:ascii="FrankRuehl" w:hAnsi="FrankRuehl" w:cs="FrankRuehl" w:hint="cs"/>
          <w:sz w:val="28"/>
          <w:szCs w:val="28"/>
          <w:rtl/>
        </w:rPr>
        <w:t>שנה</w:t>
      </w:r>
      <w:r>
        <w:rPr>
          <w:rFonts w:ascii="FrankRuehl" w:hAnsi="FrankRuehl" w:cs="FrankRuehl"/>
          <w:sz w:val="28"/>
          <w:szCs w:val="28"/>
          <w:rtl/>
        </w:rPr>
        <w:t xml:space="preserve"> מהיום.</w:t>
      </w:r>
    </w:p>
    <w:p w14:paraId="3C712DCA" w14:textId="77777777" w:rsidR="005B79D2" w:rsidRDefault="005B79D2" w:rsidP="005B79D2">
      <w:pPr>
        <w:spacing w:line="360" w:lineRule="auto"/>
        <w:rPr>
          <w:rFonts w:ascii="FrankRuehl" w:hAnsi="FrankRuehl" w:cs="FrankRuehl"/>
          <w:sz w:val="20"/>
          <w:szCs w:val="20"/>
        </w:rPr>
      </w:pPr>
    </w:p>
    <w:p w14:paraId="5CF67AD8" w14:textId="77777777" w:rsidR="005B79D2" w:rsidRPr="005B79D2" w:rsidRDefault="005B79D2" w:rsidP="005B79D2">
      <w:pPr>
        <w:numPr>
          <w:ilvl w:val="0"/>
          <w:numId w:val="1"/>
        </w:numPr>
        <w:spacing w:line="360" w:lineRule="auto"/>
        <w:ind w:hanging="636"/>
        <w:contextualSpacing/>
        <w:jc w:val="both"/>
        <w:rPr>
          <w:rFonts w:ascii="FrankRuehl" w:eastAsia="Calibri" w:hAnsi="FrankRuehl" w:cs="FrankRuehl"/>
          <w:sz w:val="28"/>
          <w:szCs w:val="28"/>
          <w:rtl/>
        </w:rPr>
      </w:pPr>
      <w:r w:rsidRPr="005B79D2">
        <w:rPr>
          <w:rFonts w:ascii="FrankRuehl" w:eastAsia="Calibri" w:hAnsi="FrankRuehl" w:cs="FrankRuehl"/>
          <w:sz w:val="28"/>
          <w:szCs w:val="28"/>
          <w:rtl/>
        </w:rPr>
        <w:t xml:space="preserve">הנאשם יתאם את תחילת ריצוי עונשו עם יחידת ברקאי (עבודות שירות), שלוחת דרום, סמוך לכלא באר שבע, טלפון: 074-7831218, פקס: 08-9193006, דוא"ל: </w:t>
      </w:r>
      <w:r w:rsidRPr="005B79D2">
        <w:rPr>
          <w:rFonts w:ascii="FrankRuehl" w:eastAsia="Calibri" w:hAnsi="FrankRuehl" w:cs="FrankRuehl"/>
          <w:sz w:val="20"/>
          <w:szCs w:val="20"/>
        </w:rPr>
        <w:t>avshdarom@ips.gov.il</w:t>
      </w:r>
      <w:r w:rsidRPr="005B79D2">
        <w:rPr>
          <w:rFonts w:ascii="FrankRuehl" w:eastAsia="Calibri" w:hAnsi="FrankRuehl" w:cs="FrankRuehl"/>
          <w:sz w:val="28"/>
          <w:szCs w:val="28"/>
          <w:rtl/>
        </w:rPr>
        <w:t xml:space="preserve">. ככל שלא יקבל הנחיה אחרת, יתייצב הנאשם </w:t>
      </w:r>
      <w:r w:rsidRPr="005B79D2">
        <w:rPr>
          <w:rFonts w:ascii="FrankRuehl" w:eastAsia="Calibri" w:hAnsi="FrankRuehl" w:cs="FrankRuehl"/>
          <w:sz w:val="28"/>
          <w:szCs w:val="28"/>
          <w:u w:val="single"/>
          <w:rtl/>
        </w:rPr>
        <w:t xml:space="preserve">ביום </w:t>
      </w:r>
      <w:r w:rsidRPr="005B79D2">
        <w:rPr>
          <w:rFonts w:ascii="FrankRuehl" w:eastAsia="Calibri" w:hAnsi="FrankRuehl" w:cs="FrankRuehl" w:hint="cs"/>
          <w:sz w:val="28"/>
          <w:szCs w:val="28"/>
          <w:u w:val="single"/>
          <w:rtl/>
        </w:rPr>
        <w:t>28.1</w:t>
      </w:r>
      <w:r w:rsidRPr="005B79D2">
        <w:rPr>
          <w:rFonts w:ascii="FrankRuehl" w:eastAsia="Calibri" w:hAnsi="FrankRuehl" w:cs="FrankRuehl"/>
          <w:sz w:val="28"/>
          <w:szCs w:val="28"/>
          <w:u w:val="single"/>
          <w:rtl/>
        </w:rPr>
        <w:t>.2025</w:t>
      </w:r>
      <w:r w:rsidRPr="005B79D2">
        <w:rPr>
          <w:rFonts w:ascii="FrankRuehl" w:eastAsia="Calibri" w:hAnsi="FrankRuehl" w:cs="FrankRuehl"/>
          <w:sz w:val="28"/>
          <w:szCs w:val="28"/>
          <w:rtl/>
        </w:rPr>
        <w:t xml:space="preserve"> בשעה 08:00 בכתובת היחידה האמור כשהוא מצויד בגזר הדין.</w:t>
      </w:r>
    </w:p>
    <w:p w14:paraId="76D38FD9" w14:textId="77777777" w:rsidR="005B79D2" w:rsidRPr="005B79D2" w:rsidRDefault="005B79D2" w:rsidP="005B79D2">
      <w:pPr>
        <w:spacing w:line="360" w:lineRule="auto"/>
        <w:ind w:left="720"/>
        <w:contextualSpacing/>
        <w:rPr>
          <w:rFonts w:ascii="FrankRuehl" w:eastAsia="Calibri" w:hAnsi="FrankRuehl" w:cs="FrankRuehl"/>
          <w:sz w:val="28"/>
          <w:szCs w:val="28"/>
        </w:rPr>
      </w:pPr>
    </w:p>
    <w:p w14:paraId="2D4280CD" w14:textId="77777777" w:rsidR="005B79D2" w:rsidRPr="005B79D2" w:rsidRDefault="005B79D2" w:rsidP="005B79D2">
      <w:pPr>
        <w:numPr>
          <w:ilvl w:val="0"/>
          <w:numId w:val="1"/>
        </w:numPr>
        <w:spacing w:line="360" w:lineRule="auto"/>
        <w:ind w:hanging="636"/>
        <w:contextualSpacing/>
        <w:jc w:val="both"/>
        <w:rPr>
          <w:rFonts w:ascii="FrankRuehl" w:eastAsia="Calibri" w:hAnsi="FrankRuehl" w:cs="FrankRuehl"/>
          <w:sz w:val="28"/>
          <w:szCs w:val="28"/>
          <w:rtl/>
        </w:rPr>
      </w:pPr>
      <w:r w:rsidRPr="005B79D2">
        <w:rPr>
          <w:rFonts w:ascii="FrankRuehl" w:eastAsia="Calibri" w:hAnsi="FrankRuehl" w:cs="FrankRuehl"/>
          <w:sz w:val="28"/>
          <w:szCs w:val="28"/>
          <w:rtl/>
        </w:rPr>
        <w:t>ניתן בזאת צו כללי להשמדת הסמים והכלים שנתפסו בחקירה, הכל לפי שיקול דעת קצין.</w:t>
      </w:r>
    </w:p>
    <w:p w14:paraId="6B5413CF" w14:textId="77777777" w:rsidR="005B79D2" w:rsidRDefault="005B79D2" w:rsidP="005B79D2">
      <w:pPr>
        <w:spacing w:line="360" w:lineRule="auto"/>
        <w:jc w:val="both"/>
        <w:rPr>
          <w:rFonts w:ascii="FrankRuehl" w:hAnsi="FrankRuehl" w:cs="FrankRuehl"/>
          <w:sz w:val="20"/>
          <w:szCs w:val="20"/>
        </w:rPr>
      </w:pPr>
    </w:p>
    <w:p w14:paraId="1388D627" w14:textId="77777777" w:rsidR="005B79D2" w:rsidRDefault="005B79D2" w:rsidP="005B79D2">
      <w:pPr>
        <w:spacing w:line="360" w:lineRule="auto"/>
        <w:jc w:val="both"/>
        <w:rPr>
          <w:rFonts w:ascii="FrankRuehl" w:hAnsi="FrankRuehl" w:cs="FrankRuehl"/>
          <w:sz w:val="28"/>
          <w:szCs w:val="28"/>
          <w:rtl/>
        </w:rPr>
      </w:pPr>
      <w:r>
        <w:rPr>
          <w:rFonts w:ascii="FrankRuehl" w:hAnsi="FrankRuehl" w:cs="FrankRuehl"/>
          <w:sz w:val="28"/>
          <w:szCs w:val="28"/>
          <w:rtl/>
        </w:rPr>
        <w:t>זכות ערעור לבית המשפט המחוזי בירושלים תוך 45 יום.</w:t>
      </w:r>
    </w:p>
    <w:p w14:paraId="038C43A7" w14:textId="77777777" w:rsidR="005B79D2" w:rsidRDefault="005B79D2" w:rsidP="005B79D2">
      <w:pPr>
        <w:spacing w:line="360" w:lineRule="auto"/>
        <w:jc w:val="both"/>
        <w:rPr>
          <w:rFonts w:ascii="FrankRuehl" w:hAnsi="FrankRuehl" w:cs="FrankRuehl"/>
          <w:sz w:val="20"/>
          <w:szCs w:val="20"/>
        </w:rPr>
      </w:pPr>
    </w:p>
    <w:p w14:paraId="370C1AF6" w14:textId="77777777" w:rsidR="005B79D2" w:rsidRPr="000F2247" w:rsidRDefault="00AA248A" w:rsidP="005B79D2">
      <w:pPr>
        <w:rPr>
          <w:rFonts w:ascii="Arial" w:hAnsi="Arial"/>
          <w:b/>
          <w:bCs/>
          <w:sz w:val="26"/>
          <w:szCs w:val="26"/>
          <w:rtl/>
        </w:rPr>
      </w:pPr>
      <w:r w:rsidRPr="00AA248A">
        <w:rPr>
          <w:rFonts w:ascii="FrankRuehl" w:hAnsi="FrankRuehl" w:cs="FrankRuehl"/>
          <w:color w:val="FFFFFF"/>
          <w:sz w:val="2"/>
          <w:szCs w:val="2"/>
          <w:u w:val="single"/>
          <w:rtl/>
        </w:rPr>
        <w:t>5129371</w:t>
      </w:r>
      <w:r w:rsidR="005B79D2">
        <w:rPr>
          <w:rFonts w:ascii="FrankRuehl" w:hAnsi="FrankRuehl" w:cs="FrankRuehl"/>
          <w:sz w:val="28"/>
          <w:szCs w:val="28"/>
          <w:u w:val="single"/>
          <w:rtl/>
        </w:rPr>
        <w:t>המזכירות – להודיע לממונה ולשירות המבחן בהתאם.</w:t>
      </w:r>
    </w:p>
    <w:p w14:paraId="6673192B" w14:textId="77777777" w:rsidR="005B79D2" w:rsidRPr="00AA248A" w:rsidRDefault="00AA248A" w:rsidP="005B79D2">
      <w:pPr>
        <w:rPr>
          <w:rFonts w:ascii="Arial" w:hAnsi="Arial"/>
          <w:b/>
          <w:bCs/>
          <w:color w:val="FFFFFF"/>
          <w:sz w:val="2"/>
          <w:szCs w:val="2"/>
          <w:rtl/>
        </w:rPr>
      </w:pPr>
      <w:r w:rsidRPr="00AA248A">
        <w:rPr>
          <w:rFonts w:ascii="Arial" w:hAnsi="Arial"/>
          <w:b/>
          <w:bCs/>
          <w:color w:val="FFFFFF"/>
          <w:sz w:val="2"/>
          <w:szCs w:val="2"/>
          <w:rtl/>
        </w:rPr>
        <w:t>54678313</w:t>
      </w:r>
    </w:p>
    <w:p w14:paraId="68998399" w14:textId="77777777" w:rsidR="005B79D2" w:rsidRPr="000F2247" w:rsidRDefault="005B79D2" w:rsidP="005B79D2">
      <w:pPr>
        <w:rPr>
          <w:rFonts w:ascii="Arial" w:hAnsi="Arial"/>
          <w:b/>
          <w:bCs/>
          <w:sz w:val="26"/>
          <w:szCs w:val="26"/>
          <w:rtl/>
        </w:rPr>
      </w:pPr>
    </w:p>
    <w:p w14:paraId="645A83E2" w14:textId="77777777" w:rsidR="005B79D2" w:rsidRPr="000F2247" w:rsidRDefault="00AA248A" w:rsidP="005B79D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טבת תשפ"ה, 08 ינואר 2025. </w:t>
      </w:r>
      <w:bookmarkEnd w:id="8"/>
      <w:r w:rsidR="005B79D2">
        <w:rPr>
          <w:rFonts w:ascii="Arial" w:hAnsi="Arial"/>
          <w:b/>
          <w:bCs/>
          <w:sz w:val="26"/>
          <w:szCs w:val="26"/>
          <w:rtl/>
        </w:rPr>
        <w:tab/>
      </w:r>
      <w:r w:rsidR="005B79D2">
        <w:rPr>
          <w:rFonts w:ascii="Arial" w:hAnsi="Arial"/>
          <w:b/>
          <w:bCs/>
          <w:sz w:val="26"/>
          <w:szCs w:val="26"/>
          <w:rtl/>
        </w:rPr>
        <w:tab/>
      </w:r>
      <w:r w:rsidR="005B79D2">
        <w:rPr>
          <w:rFonts w:ascii="Arial" w:hAnsi="Arial"/>
          <w:b/>
          <w:bCs/>
          <w:sz w:val="26"/>
          <w:szCs w:val="26"/>
          <w:rtl/>
        </w:rPr>
        <w:tab/>
      </w:r>
      <w:r w:rsidR="005B79D2">
        <w:rPr>
          <w:rFonts w:ascii="Arial" w:hAnsi="Arial"/>
          <w:b/>
          <w:bCs/>
          <w:sz w:val="26"/>
          <w:szCs w:val="26"/>
          <w:rtl/>
        </w:rPr>
        <w:tab/>
      </w:r>
      <w:r w:rsidR="005B79D2">
        <w:rPr>
          <w:rFonts w:ascii="Arial" w:hAnsi="Arial"/>
          <w:b/>
          <w:bCs/>
          <w:sz w:val="26"/>
          <w:szCs w:val="26"/>
          <w:rtl/>
        </w:rPr>
        <w:tab/>
      </w:r>
      <w:r w:rsidR="005B79D2">
        <w:rPr>
          <w:rFonts w:ascii="Arial" w:hAnsi="Arial"/>
          <w:b/>
          <w:bCs/>
          <w:sz w:val="26"/>
          <w:szCs w:val="26"/>
          <w:rtl/>
        </w:rPr>
        <w:tab/>
      </w:r>
      <w:r w:rsidR="005B79D2">
        <w:rPr>
          <w:rFonts w:ascii="Arial" w:hAnsi="Arial"/>
          <w:b/>
          <w:bCs/>
          <w:sz w:val="26"/>
          <w:szCs w:val="26"/>
          <w:rtl/>
        </w:rPr>
        <w:tab/>
      </w:r>
      <w:r w:rsidR="005B79D2">
        <w:rPr>
          <w:rFonts w:ascii="Arial" w:hAnsi="Arial" w:hint="cs"/>
          <w:b/>
          <w:bCs/>
          <w:sz w:val="26"/>
          <w:szCs w:val="26"/>
          <w:rtl/>
        </w:rPr>
        <w:t xml:space="preserve">         </w:t>
      </w:r>
    </w:p>
    <w:p w14:paraId="7F82663D" w14:textId="77777777" w:rsidR="00AA248A" w:rsidRDefault="00AA248A" w:rsidP="00AA248A">
      <w:pPr>
        <w:rPr>
          <w:rtl/>
        </w:rPr>
      </w:pPr>
    </w:p>
    <w:p w14:paraId="48993D01" w14:textId="77777777" w:rsidR="00AA248A" w:rsidRDefault="00AA248A" w:rsidP="00AA248A">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39C6192B" w14:textId="77777777" w:rsidR="00C83E18" w:rsidRPr="00C83E18" w:rsidRDefault="00C83E18" w:rsidP="00C83E18">
      <w:pPr>
        <w:keepNext/>
        <w:rPr>
          <w:rFonts w:ascii="David" w:hAnsi="David"/>
          <w:color w:val="000000"/>
          <w:sz w:val="22"/>
          <w:szCs w:val="22"/>
          <w:rtl/>
        </w:rPr>
      </w:pPr>
    </w:p>
    <w:p w14:paraId="7FC05D3C" w14:textId="77777777" w:rsidR="00C83E18" w:rsidRPr="00C83E18" w:rsidRDefault="00C83E18" w:rsidP="00C83E18">
      <w:pPr>
        <w:keepNext/>
        <w:rPr>
          <w:rFonts w:ascii="David" w:hAnsi="David"/>
          <w:color w:val="000000"/>
          <w:sz w:val="22"/>
          <w:szCs w:val="22"/>
          <w:rtl/>
        </w:rPr>
      </w:pPr>
      <w:r w:rsidRPr="00C83E18">
        <w:rPr>
          <w:rFonts w:ascii="David" w:hAnsi="David"/>
          <w:color w:val="000000"/>
          <w:sz w:val="22"/>
          <w:szCs w:val="22"/>
          <w:rtl/>
        </w:rPr>
        <w:t>מוחמד חאג' יחיא 54678313-/</w:t>
      </w:r>
    </w:p>
    <w:p w14:paraId="11C5C61A" w14:textId="77777777" w:rsidR="00AA248A" w:rsidRPr="00AA248A" w:rsidRDefault="00C83E18" w:rsidP="00C83E18">
      <w:pPr>
        <w:rPr>
          <w:color w:val="0000FF"/>
          <w:u w:val="single"/>
        </w:rPr>
      </w:pPr>
      <w:r w:rsidRPr="00C83E18">
        <w:rPr>
          <w:color w:val="000000"/>
          <w:u w:val="single"/>
          <w:rtl/>
        </w:rPr>
        <w:t>נוסח מסמך זה כפוף לשינויי ניסוח ועריכה</w:t>
      </w:r>
    </w:p>
    <w:sectPr w:rsidR="00AA248A" w:rsidRPr="00AA248A" w:rsidSect="00C83E18">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F1873" w14:textId="77777777" w:rsidR="005503D7" w:rsidRDefault="005503D7" w:rsidP="00C56C58">
      <w:r>
        <w:separator/>
      </w:r>
    </w:p>
  </w:endnote>
  <w:endnote w:type="continuationSeparator" w:id="0">
    <w:p w14:paraId="686EF8FD" w14:textId="77777777" w:rsidR="005503D7" w:rsidRDefault="005503D7" w:rsidP="00C5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B1FDD" w14:textId="77777777" w:rsidR="00C83E18" w:rsidRDefault="00C83E18" w:rsidP="00C83E1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A721690" w14:textId="77777777" w:rsidR="007A3E2A" w:rsidRPr="00C83E18" w:rsidRDefault="00C83E18" w:rsidP="00C83E18">
    <w:pPr>
      <w:pStyle w:val="a5"/>
      <w:pBdr>
        <w:top w:val="single" w:sz="4" w:space="1" w:color="auto"/>
        <w:between w:val="single" w:sz="4" w:space="0" w:color="auto"/>
      </w:pBdr>
      <w:spacing w:after="60"/>
      <w:jc w:val="center"/>
      <w:rPr>
        <w:rFonts w:ascii="FrankRuehl" w:hAnsi="FrankRuehl" w:cs="FrankRuehl"/>
        <w:color w:val="000000"/>
      </w:rPr>
    </w:pPr>
    <w:r w:rsidRPr="00C83E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1BE5A" w14:textId="77777777" w:rsidR="00C83E18" w:rsidRDefault="00C83E18" w:rsidP="00C83E1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1A4A">
      <w:rPr>
        <w:rFonts w:ascii="FrankRuehl" w:hAnsi="FrankRuehl" w:cs="FrankRuehl"/>
        <w:noProof/>
        <w:rtl/>
      </w:rPr>
      <w:t>1</w:t>
    </w:r>
    <w:r>
      <w:rPr>
        <w:rFonts w:ascii="FrankRuehl" w:hAnsi="FrankRuehl" w:cs="FrankRuehl"/>
        <w:rtl/>
      </w:rPr>
      <w:fldChar w:fldCharType="end"/>
    </w:r>
  </w:p>
  <w:p w14:paraId="0A808047" w14:textId="77777777" w:rsidR="007A3E2A" w:rsidRPr="00C83E18" w:rsidRDefault="00C83E18" w:rsidP="00C83E18">
    <w:pPr>
      <w:pStyle w:val="a5"/>
      <w:pBdr>
        <w:top w:val="single" w:sz="4" w:space="1" w:color="auto"/>
        <w:between w:val="single" w:sz="4" w:space="0" w:color="auto"/>
      </w:pBdr>
      <w:spacing w:after="60"/>
      <w:jc w:val="center"/>
      <w:rPr>
        <w:rFonts w:ascii="FrankRuehl" w:hAnsi="FrankRuehl" w:cs="FrankRuehl"/>
        <w:color w:val="000000"/>
      </w:rPr>
    </w:pPr>
    <w:r w:rsidRPr="00C83E18">
      <w:rPr>
        <w:rFonts w:ascii="FrankRuehl" w:hAnsi="FrankRuehl" w:cs="FrankRuehl"/>
        <w:color w:val="000000"/>
      </w:rPr>
      <w:pict w14:anchorId="29168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EB50F" w14:textId="77777777" w:rsidR="005503D7" w:rsidRDefault="005503D7" w:rsidP="00C56C58">
      <w:r>
        <w:separator/>
      </w:r>
    </w:p>
  </w:footnote>
  <w:footnote w:type="continuationSeparator" w:id="0">
    <w:p w14:paraId="49A4BD37" w14:textId="77777777" w:rsidR="005503D7" w:rsidRDefault="005503D7" w:rsidP="00C56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669E5" w14:textId="77777777" w:rsidR="00AA248A" w:rsidRPr="00C83E18" w:rsidRDefault="00C83E18" w:rsidP="00C83E1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33615-05-22</w:t>
    </w:r>
    <w:r>
      <w:rPr>
        <w:rFonts w:ascii="David" w:hAnsi="David"/>
        <w:color w:val="000000"/>
        <w:sz w:val="22"/>
        <w:szCs w:val="22"/>
        <w:rtl/>
      </w:rPr>
      <w:tab/>
      <w:t xml:space="preserve"> מדינת ישראל נ' אייל לחיאני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C2552" w14:textId="77777777" w:rsidR="00AA248A" w:rsidRPr="00C83E18" w:rsidRDefault="00C83E18" w:rsidP="00C83E1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33615-05-22</w:t>
    </w:r>
    <w:r>
      <w:rPr>
        <w:rFonts w:ascii="David" w:hAnsi="David"/>
        <w:color w:val="000000"/>
        <w:sz w:val="22"/>
        <w:szCs w:val="22"/>
        <w:rtl/>
      </w:rPr>
      <w:tab/>
      <w:t xml:space="preserve"> מדינת ישראל נ' אייל לחיאני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644B"/>
    <w:multiLevelType w:val="hybridMultilevel"/>
    <w:tmpl w:val="5602097E"/>
    <w:lvl w:ilvl="0" w:tplc="53986A7A">
      <w:start w:val="1"/>
      <w:numFmt w:val="hebrew1"/>
      <w:lvlText w:val="%1)"/>
      <w:lvlJc w:val="left"/>
      <w:pPr>
        <w:ind w:left="1590" w:hanging="360"/>
      </w:pPr>
      <w:rPr>
        <w:rFonts w:eastAsia="Times New Roman"/>
      </w:rPr>
    </w:lvl>
    <w:lvl w:ilvl="1" w:tplc="523E6444">
      <w:start w:val="1"/>
      <w:numFmt w:val="lowerLetter"/>
      <w:lvlText w:val="%2."/>
      <w:lvlJc w:val="left"/>
      <w:pPr>
        <w:ind w:left="2310" w:hanging="360"/>
      </w:pPr>
    </w:lvl>
    <w:lvl w:ilvl="2" w:tplc="1F764544">
      <w:start w:val="1"/>
      <w:numFmt w:val="lowerRoman"/>
      <w:lvlText w:val="%3."/>
      <w:lvlJc w:val="right"/>
      <w:pPr>
        <w:ind w:left="3030" w:hanging="180"/>
      </w:pPr>
    </w:lvl>
    <w:lvl w:ilvl="3" w:tplc="A6386222">
      <w:start w:val="1"/>
      <w:numFmt w:val="decimal"/>
      <w:lvlText w:val="%4."/>
      <w:lvlJc w:val="left"/>
      <w:pPr>
        <w:ind w:left="3750" w:hanging="360"/>
      </w:pPr>
    </w:lvl>
    <w:lvl w:ilvl="4" w:tplc="2A9AA0E4">
      <w:start w:val="1"/>
      <w:numFmt w:val="lowerLetter"/>
      <w:lvlText w:val="%5."/>
      <w:lvlJc w:val="left"/>
      <w:pPr>
        <w:ind w:left="4470" w:hanging="360"/>
      </w:pPr>
    </w:lvl>
    <w:lvl w:ilvl="5" w:tplc="CEEA6262">
      <w:start w:val="1"/>
      <w:numFmt w:val="lowerRoman"/>
      <w:lvlText w:val="%6."/>
      <w:lvlJc w:val="right"/>
      <w:pPr>
        <w:ind w:left="5190" w:hanging="180"/>
      </w:pPr>
    </w:lvl>
    <w:lvl w:ilvl="6" w:tplc="BCA0F656">
      <w:start w:val="1"/>
      <w:numFmt w:val="decimal"/>
      <w:lvlText w:val="%7."/>
      <w:lvlJc w:val="left"/>
      <w:pPr>
        <w:ind w:left="5910" w:hanging="360"/>
      </w:pPr>
    </w:lvl>
    <w:lvl w:ilvl="7" w:tplc="0B5C2312">
      <w:start w:val="1"/>
      <w:numFmt w:val="lowerLetter"/>
      <w:lvlText w:val="%8."/>
      <w:lvlJc w:val="left"/>
      <w:pPr>
        <w:ind w:left="6630" w:hanging="360"/>
      </w:pPr>
    </w:lvl>
    <w:lvl w:ilvl="8" w:tplc="AFACDFD4">
      <w:start w:val="1"/>
      <w:numFmt w:val="lowerRoman"/>
      <w:lvlText w:val="%9."/>
      <w:lvlJc w:val="right"/>
      <w:pPr>
        <w:ind w:left="7350" w:hanging="180"/>
      </w:pPr>
    </w:lvl>
  </w:abstractNum>
  <w:abstractNum w:abstractNumId="1" w15:restartNumberingAfterBreak="0">
    <w:nsid w:val="0C1F21BF"/>
    <w:multiLevelType w:val="hybridMultilevel"/>
    <w:tmpl w:val="FCAAC240"/>
    <w:lvl w:ilvl="0" w:tplc="791CC2A6">
      <w:start w:val="1"/>
      <w:numFmt w:val="decimal"/>
      <w:lvlText w:val="%1)"/>
      <w:lvlJc w:val="left"/>
      <w:pPr>
        <w:ind w:left="720" w:hanging="360"/>
      </w:pPr>
      <w:rPr>
        <w:rFonts w:ascii="FrankRuehl" w:hAnsi="FrankRuehl" w:cs="FrankRuehl" w:hint="default"/>
        <w:sz w:val="28"/>
        <w:szCs w:val="28"/>
        <w:lang w:val="en-US"/>
      </w:rPr>
    </w:lvl>
    <w:lvl w:ilvl="1" w:tplc="D9CC0C30">
      <w:start w:val="1"/>
      <w:numFmt w:val="lowerLetter"/>
      <w:lvlText w:val="%2."/>
      <w:lvlJc w:val="left"/>
      <w:pPr>
        <w:ind w:left="1440" w:hanging="360"/>
      </w:pPr>
    </w:lvl>
    <w:lvl w:ilvl="2" w:tplc="FC68BD2C">
      <w:start w:val="1"/>
      <w:numFmt w:val="lowerRoman"/>
      <w:lvlText w:val="%3."/>
      <w:lvlJc w:val="right"/>
      <w:pPr>
        <w:ind w:left="2160" w:hanging="180"/>
      </w:pPr>
    </w:lvl>
    <w:lvl w:ilvl="3" w:tplc="C8BC6074">
      <w:start w:val="1"/>
      <w:numFmt w:val="decimal"/>
      <w:lvlText w:val="%4."/>
      <w:lvlJc w:val="left"/>
      <w:pPr>
        <w:ind w:left="2880" w:hanging="360"/>
      </w:pPr>
    </w:lvl>
    <w:lvl w:ilvl="4" w:tplc="DBF6FB28">
      <w:start w:val="1"/>
      <w:numFmt w:val="lowerLetter"/>
      <w:lvlText w:val="%5."/>
      <w:lvlJc w:val="left"/>
      <w:pPr>
        <w:ind w:left="3600" w:hanging="360"/>
      </w:pPr>
    </w:lvl>
    <w:lvl w:ilvl="5" w:tplc="EAEAB804">
      <w:start w:val="1"/>
      <w:numFmt w:val="lowerRoman"/>
      <w:lvlText w:val="%6."/>
      <w:lvlJc w:val="right"/>
      <w:pPr>
        <w:ind w:left="4320" w:hanging="180"/>
      </w:pPr>
    </w:lvl>
    <w:lvl w:ilvl="6" w:tplc="0A0231C8">
      <w:start w:val="1"/>
      <w:numFmt w:val="decimal"/>
      <w:lvlText w:val="%7."/>
      <w:lvlJc w:val="left"/>
      <w:pPr>
        <w:ind w:left="5040" w:hanging="360"/>
      </w:pPr>
    </w:lvl>
    <w:lvl w:ilvl="7" w:tplc="3B50D0CC">
      <w:start w:val="1"/>
      <w:numFmt w:val="lowerLetter"/>
      <w:lvlText w:val="%8."/>
      <w:lvlJc w:val="left"/>
      <w:pPr>
        <w:ind w:left="5760" w:hanging="360"/>
      </w:pPr>
    </w:lvl>
    <w:lvl w:ilvl="8" w:tplc="98CA2BDA">
      <w:start w:val="1"/>
      <w:numFmt w:val="lowerRoman"/>
      <w:lvlText w:val="%9."/>
      <w:lvlJc w:val="right"/>
      <w:pPr>
        <w:ind w:left="6480" w:hanging="180"/>
      </w:pPr>
    </w:lvl>
  </w:abstractNum>
  <w:num w:numId="1" w16cid:durableId="623116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1862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79D2"/>
    <w:rsid w:val="00121A4A"/>
    <w:rsid w:val="005503D7"/>
    <w:rsid w:val="005B79D2"/>
    <w:rsid w:val="00782C52"/>
    <w:rsid w:val="007A3E2A"/>
    <w:rsid w:val="00AA248A"/>
    <w:rsid w:val="00B90BD0"/>
    <w:rsid w:val="00B92735"/>
    <w:rsid w:val="00C56C58"/>
    <w:rsid w:val="00C83E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5BB9FD"/>
  <w15:chartTrackingRefBased/>
  <w15:docId w15:val="{4B9F3AB6-DF23-4A4D-8F66-71AB0362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79D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79D2"/>
    <w:pPr>
      <w:tabs>
        <w:tab w:val="center" w:pos="4153"/>
        <w:tab w:val="right" w:pos="8306"/>
      </w:tabs>
    </w:pPr>
  </w:style>
  <w:style w:type="character" w:customStyle="1" w:styleId="a4">
    <w:name w:val="כותרת עליונה תו"/>
    <w:link w:val="a3"/>
    <w:rsid w:val="005B79D2"/>
    <w:rPr>
      <w:rFonts w:ascii="Times New Roman" w:eastAsia="Times New Roman" w:hAnsi="Times New Roman" w:cs="David"/>
      <w:sz w:val="24"/>
      <w:szCs w:val="24"/>
    </w:rPr>
  </w:style>
  <w:style w:type="paragraph" w:styleId="a5">
    <w:name w:val="footer"/>
    <w:basedOn w:val="a"/>
    <w:link w:val="a6"/>
    <w:rsid w:val="005B79D2"/>
    <w:pPr>
      <w:tabs>
        <w:tab w:val="center" w:pos="4153"/>
        <w:tab w:val="right" w:pos="8306"/>
      </w:tabs>
    </w:pPr>
  </w:style>
  <w:style w:type="character" w:customStyle="1" w:styleId="a6">
    <w:name w:val="כותרת תחתונה תו"/>
    <w:link w:val="a5"/>
    <w:rsid w:val="005B79D2"/>
    <w:rPr>
      <w:rFonts w:ascii="Times New Roman" w:eastAsia="Times New Roman" w:hAnsi="Times New Roman" w:cs="David"/>
      <w:sz w:val="24"/>
      <w:szCs w:val="24"/>
    </w:rPr>
  </w:style>
  <w:style w:type="table" w:styleId="a7">
    <w:name w:val="Table Grid"/>
    <w:basedOn w:val="a1"/>
    <w:rsid w:val="005B79D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79D2"/>
  </w:style>
  <w:style w:type="paragraph" w:styleId="a9">
    <w:name w:val="List Paragraph"/>
    <w:basedOn w:val="a"/>
    <w:qFormat/>
    <w:rsid w:val="005B79D2"/>
    <w:pPr>
      <w:spacing w:after="160" w:line="252" w:lineRule="auto"/>
      <w:ind w:left="720"/>
      <w:contextualSpacing/>
    </w:pPr>
    <w:rPr>
      <w:rFonts w:ascii="Calibri" w:eastAsia="Calibri" w:hAnsi="Calibri" w:cs="Arial"/>
      <w:sz w:val="22"/>
      <w:szCs w:val="22"/>
    </w:rPr>
  </w:style>
  <w:style w:type="character" w:styleId="Hyperlink">
    <w:name w:val="Hyperlink"/>
    <w:rsid w:val="00AA248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c.b" TargetMode="External"/><Relationship Id="rId39" Type="http://schemas.openxmlformats.org/officeDocument/2006/relationships/hyperlink" Target="http://www.nevo.co.il/case/26546982"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5605484" TargetMode="External"/><Relationship Id="rId42" Type="http://schemas.openxmlformats.org/officeDocument/2006/relationships/hyperlink" Target="http://www.nevo.co.il/case/22116728"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609033" TargetMode="External"/><Relationship Id="rId29" Type="http://schemas.openxmlformats.org/officeDocument/2006/relationships/hyperlink" Target="http://www.nevo.co.il/case/611901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26991436" TargetMode="External"/><Relationship Id="rId37" Type="http://schemas.openxmlformats.org/officeDocument/2006/relationships/hyperlink" Target="http://www.nevo.co.il/case/26960363" TargetMode="External"/><Relationship Id="rId40" Type="http://schemas.openxmlformats.org/officeDocument/2006/relationships/hyperlink" Target="http://www.nevo.co.il/case/26438807"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38608" TargetMode="External"/><Relationship Id="rId36" Type="http://schemas.openxmlformats.org/officeDocument/2006/relationships/hyperlink" Target="http://www.nevo.co.il/case/28164320" TargetMode="External"/><Relationship Id="rId49" Type="http://schemas.openxmlformats.org/officeDocument/2006/relationships/theme" Target="theme/theme1.xml"/><Relationship Id="rId10" Type="http://schemas.openxmlformats.org/officeDocument/2006/relationships/hyperlink" Target="http://www.nevo.co.il/law/4216/10"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759253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b"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27229615" TargetMode="External"/><Relationship Id="rId30" Type="http://schemas.openxmlformats.org/officeDocument/2006/relationships/hyperlink" Target="http://www.nevo.co.il/case/27313460" TargetMode="External"/><Relationship Id="rId35" Type="http://schemas.openxmlformats.org/officeDocument/2006/relationships/hyperlink" Target="http://www.nevo.co.il/case/27947637"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2235580" TargetMode="External"/><Relationship Id="rId38" Type="http://schemas.openxmlformats.org/officeDocument/2006/relationships/hyperlink" Target="http://www.nevo.co.il/case/27195223" TargetMode="External"/><Relationship Id="rId46" Type="http://schemas.openxmlformats.org/officeDocument/2006/relationships/footer" Target="footer1.xml"/><Relationship Id="rId20" Type="http://schemas.openxmlformats.org/officeDocument/2006/relationships/hyperlink" Target="http://www.nevo.co.il/case/29692869" TargetMode="External"/><Relationship Id="rId41" Type="http://schemas.openxmlformats.org/officeDocument/2006/relationships/hyperlink" Target="http://www.nevo.co.il/case/2575754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2369</Words>
  <Characters>11850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14191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3604592</vt:i4>
      </vt:variant>
      <vt:variant>
        <vt:i4>105</vt:i4>
      </vt:variant>
      <vt:variant>
        <vt:i4>0</vt:i4>
      </vt:variant>
      <vt:variant>
        <vt:i4>5</vt:i4>
      </vt:variant>
      <vt:variant>
        <vt:lpwstr>http://www.nevo.co.il/case/22116728</vt:lpwstr>
      </vt:variant>
      <vt:variant>
        <vt:lpwstr/>
      </vt:variant>
      <vt:variant>
        <vt:i4>3539057</vt:i4>
      </vt:variant>
      <vt:variant>
        <vt:i4>102</vt:i4>
      </vt:variant>
      <vt:variant>
        <vt:i4>0</vt:i4>
      </vt:variant>
      <vt:variant>
        <vt:i4>5</vt:i4>
      </vt:variant>
      <vt:variant>
        <vt:lpwstr>http://www.nevo.co.il/case/25757543</vt:lpwstr>
      </vt:variant>
      <vt:variant>
        <vt:lpwstr/>
      </vt:variant>
      <vt:variant>
        <vt:i4>4063353</vt:i4>
      </vt:variant>
      <vt:variant>
        <vt:i4>99</vt:i4>
      </vt:variant>
      <vt:variant>
        <vt:i4>0</vt:i4>
      </vt:variant>
      <vt:variant>
        <vt:i4>5</vt:i4>
      </vt:variant>
      <vt:variant>
        <vt:lpwstr>http://www.nevo.co.il/case/26438807</vt:lpwstr>
      </vt:variant>
      <vt:variant>
        <vt:lpwstr/>
      </vt:variant>
      <vt:variant>
        <vt:i4>3735679</vt:i4>
      </vt:variant>
      <vt:variant>
        <vt:i4>96</vt:i4>
      </vt:variant>
      <vt:variant>
        <vt:i4>0</vt:i4>
      </vt:variant>
      <vt:variant>
        <vt:i4>5</vt:i4>
      </vt:variant>
      <vt:variant>
        <vt:lpwstr>http://www.nevo.co.il/case/26546982</vt:lpwstr>
      </vt:variant>
      <vt:variant>
        <vt:lpwstr/>
      </vt:variant>
      <vt:variant>
        <vt:i4>3407992</vt:i4>
      </vt:variant>
      <vt:variant>
        <vt:i4>93</vt:i4>
      </vt:variant>
      <vt:variant>
        <vt:i4>0</vt:i4>
      </vt:variant>
      <vt:variant>
        <vt:i4>5</vt:i4>
      </vt:variant>
      <vt:variant>
        <vt:lpwstr>http://www.nevo.co.il/case/27195223</vt:lpwstr>
      </vt:variant>
      <vt:variant>
        <vt:lpwstr/>
      </vt:variant>
      <vt:variant>
        <vt:i4>3997815</vt:i4>
      </vt:variant>
      <vt:variant>
        <vt:i4>90</vt:i4>
      </vt:variant>
      <vt:variant>
        <vt:i4>0</vt:i4>
      </vt:variant>
      <vt:variant>
        <vt:i4>5</vt:i4>
      </vt:variant>
      <vt:variant>
        <vt:lpwstr>http://www.nevo.co.il/case/26960363</vt:lpwstr>
      </vt:variant>
      <vt:variant>
        <vt:lpwstr/>
      </vt:variant>
      <vt:variant>
        <vt:i4>3473529</vt:i4>
      </vt:variant>
      <vt:variant>
        <vt:i4>87</vt:i4>
      </vt:variant>
      <vt:variant>
        <vt:i4>0</vt:i4>
      </vt:variant>
      <vt:variant>
        <vt:i4>5</vt:i4>
      </vt:variant>
      <vt:variant>
        <vt:lpwstr>http://www.nevo.co.il/case/28164320</vt:lpwstr>
      </vt:variant>
      <vt:variant>
        <vt:lpwstr/>
      </vt:variant>
      <vt:variant>
        <vt:i4>4128881</vt:i4>
      </vt:variant>
      <vt:variant>
        <vt:i4>84</vt:i4>
      </vt:variant>
      <vt:variant>
        <vt:i4>0</vt:i4>
      </vt:variant>
      <vt:variant>
        <vt:i4>5</vt:i4>
      </vt:variant>
      <vt:variant>
        <vt:lpwstr>http://www.nevo.co.il/case/27947637</vt:lpwstr>
      </vt:variant>
      <vt:variant>
        <vt:lpwstr/>
      </vt:variant>
      <vt:variant>
        <vt:i4>3473535</vt:i4>
      </vt:variant>
      <vt:variant>
        <vt:i4>81</vt:i4>
      </vt:variant>
      <vt:variant>
        <vt:i4>0</vt:i4>
      </vt:variant>
      <vt:variant>
        <vt:i4>5</vt:i4>
      </vt:variant>
      <vt:variant>
        <vt:lpwstr>http://www.nevo.co.il/case/5605484</vt:lpwstr>
      </vt:variant>
      <vt:variant>
        <vt:lpwstr/>
      </vt:variant>
      <vt:variant>
        <vt:i4>3997808</vt:i4>
      </vt:variant>
      <vt:variant>
        <vt:i4>78</vt:i4>
      </vt:variant>
      <vt:variant>
        <vt:i4>0</vt:i4>
      </vt:variant>
      <vt:variant>
        <vt:i4>5</vt:i4>
      </vt:variant>
      <vt:variant>
        <vt:lpwstr>http://www.nevo.co.il/case/22235580</vt:lpwstr>
      </vt:variant>
      <vt:variant>
        <vt:lpwstr/>
      </vt:variant>
      <vt:variant>
        <vt:i4>3735679</vt:i4>
      </vt:variant>
      <vt:variant>
        <vt:i4>75</vt:i4>
      </vt:variant>
      <vt:variant>
        <vt:i4>0</vt:i4>
      </vt:variant>
      <vt:variant>
        <vt:i4>5</vt:i4>
      </vt:variant>
      <vt:variant>
        <vt:lpwstr>http://www.nevo.co.il/case/26991436</vt:lpwstr>
      </vt:variant>
      <vt:variant>
        <vt:lpwstr/>
      </vt:variant>
      <vt:variant>
        <vt:i4>3539071</vt:i4>
      </vt:variant>
      <vt:variant>
        <vt:i4>72</vt:i4>
      </vt:variant>
      <vt:variant>
        <vt:i4>0</vt:i4>
      </vt:variant>
      <vt:variant>
        <vt:i4>5</vt:i4>
      </vt:variant>
      <vt:variant>
        <vt:lpwstr>http://www.nevo.co.il/case/27592536</vt:lpwstr>
      </vt:variant>
      <vt:variant>
        <vt:lpwstr/>
      </vt:variant>
      <vt:variant>
        <vt:i4>3407990</vt:i4>
      </vt:variant>
      <vt:variant>
        <vt:i4>69</vt:i4>
      </vt:variant>
      <vt:variant>
        <vt:i4>0</vt:i4>
      </vt:variant>
      <vt:variant>
        <vt:i4>5</vt:i4>
      </vt:variant>
      <vt:variant>
        <vt:lpwstr>http://www.nevo.co.il/case/27313460</vt:lpwstr>
      </vt:variant>
      <vt:variant>
        <vt:lpwstr/>
      </vt:variant>
      <vt:variant>
        <vt:i4>3276925</vt:i4>
      </vt:variant>
      <vt:variant>
        <vt:i4>66</vt:i4>
      </vt:variant>
      <vt:variant>
        <vt:i4>0</vt:i4>
      </vt:variant>
      <vt:variant>
        <vt:i4>5</vt:i4>
      </vt:variant>
      <vt:variant>
        <vt:lpwstr>http://www.nevo.co.il/case/6119015</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3670135</vt:i4>
      </vt:variant>
      <vt:variant>
        <vt:i4>60</vt:i4>
      </vt:variant>
      <vt:variant>
        <vt:i4>0</vt:i4>
      </vt:variant>
      <vt:variant>
        <vt:i4>5</vt:i4>
      </vt:variant>
      <vt:variant>
        <vt:lpwstr>http://www.nevo.co.il/case/27229615</vt:lpwstr>
      </vt:variant>
      <vt:variant>
        <vt:lpwstr/>
      </vt:variant>
      <vt:variant>
        <vt:i4>4915202</vt:i4>
      </vt:variant>
      <vt:variant>
        <vt:i4>57</vt:i4>
      </vt:variant>
      <vt:variant>
        <vt:i4>0</vt:i4>
      </vt:variant>
      <vt:variant>
        <vt:i4>5</vt:i4>
      </vt:variant>
      <vt:variant>
        <vt:lpwstr>http://www.nevo.co.il/law/70301/40c.b</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5177418</vt:i4>
      </vt:variant>
      <vt:variant>
        <vt:i4>42</vt:i4>
      </vt:variant>
      <vt:variant>
        <vt:i4>0</vt:i4>
      </vt:variant>
      <vt:variant>
        <vt:i4>5</vt:i4>
      </vt:variant>
      <vt:variant>
        <vt:lpwstr>http://www.nevo.co.il/law/4216/10</vt:lpwstr>
      </vt:variant>
      <vt:variant>
        <vt:lpwstr/>
      </vt:variant>
      <vt:variant>
        <vt:i4>3145852</vt:i4>
      </vt:variant>
      <vt:variant>
        <vt:i4>39</vt:i4>
      </vt:variant>
      <vt:variant>
        <vt:i4>0</vt:i4>
      </vt:variant>
      <vt:variant>
        <vt:i4>5</vt:i4>
      </vt:variant>
      <vt:variant>
        <vt:lpwstr>http://www.nevo.co.il/case/29692869</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4063356</vt:i4>
      </vt:variant>
      <vt:variant>
        <vt:i4>27</vt:i4>
      </vt:variant>
      <vt:variant>
        <vt:i4>0</vt:i4>
      </vt:variant>
      <vt:variant>
        <vt:i4>5</vt:i4>
      </vt:variant>
      <vt:variant>
        <vt:lpwstr>http://www.nevo.co.il/case/28609033</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33615;64293</vt:lpwstr>
  </property>
  <property fmtid="{D5CDD505-2E9C-101B-9397-08002B2CF9AE}" pid="6" name="NEWPARTB">
    <vt:lpwstr>05;05</vt:lpwstr>
  </property>
  <property fmtid="{D5CDD505-2E9C-101B-9397-08002B2CF9AE}" pid="7" name="NEWPARTC">
    <vt:lpwstr>22;23</vt:lpwstr>
  </property>
  <property fmtid="{D5CDD505-2E9C-101B-9397-08002B2CF9AE}" pid="8" name="APPELLANT">
    <vt:lpwstr>מדינת ישראל</vt:lpwstr>
  </property>
  <property fmtid="{D5CDD505-2E9C-101B-9397-08002B2CF9AE}" pid="9" name="APPELLEE">
    <vt:lpwstr>אייל לחיאני</vt:lpwstr>
  </property>
  <property fmtid="{D5CDD505-2E9C-101B-9397-08002B2CF9AE}" pid="10" name="LAWYER">
    <vt:lpwstr>חגית רייזמן אבודרהם</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20250108</vt:lpwstr>
  </property>
  <property fmtid="{D5CDD505-2E9C-101B-9397-08002B2CF9AE}" pid="14" name="TYPE_N_DATE">
    <vt:lpwstr>38020250108</vt:lpwstr>
  </property>
  <property fmtid="{D5CDD505-2E9C-101B-9397-08002B2CF9AE}" pid="15" name="CASESLISTTMP1">
    <vt:lpwstr>28609033;29692869;27229615;5738608;6119015;27313460;27592536;26991436;22235580;5605484;27947637;28164320;26960363;27195223;26546982;26438807;25757543;22116728</vt:lpwstr>
  </property>
  <property fmtid="{D5CDD505-2E9C-101B-9397-08002B2CF9AE}" pid="16" name="WORDNUMPAGES">
    <vt:lpwstr>8</vt:lpwstr>
  </property>
  <property fmtid="{D5CDD505-2E9C-101B-9397-08002B2CF9AE}" pid="17" name="TYPE_ABS_DATE">
    <vt:lpwstr>380020250108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4216/007.a;007.c;010</vt:lpwstr>
  </property>
  <property fmtid="{D5CDD505-2E9C-101B-9397-08002B2CF9AE}" pid="36" name="LAWLISTTMP2">
    <vt:lpwstr>70301/040b;040c.a;040i;040c.b</vt:lpwstr>
  </property>
  <property fmtid="{D5CDD505-2E9C-101B-9397-08002B2CF9AE}" pid="37" name="ISABSTRACT">
    <vt:lpwstr>Y</vt:lpwstr>
  </property>
</Properties>
</file>