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DC1412" w:rsidRPr="00B15077" w14:paraId="7AA831F4" w14:textId="77777777" w:rsidTr="00B239E6">
        <w:trPr>
          <w:trHeight w:hRule="exact" w:val="418"/>
          <w:jc w:val="center"/>
        </w:trPr>
        <w:tc>
          <w:tcPr>
            <w:tcW w:w="8721" w:type="dxa"/>
            <w:gridSpan w:val="2"/>
          </w:tcPr>
          <w:p w14:paraId="26D5FF19" w14:textId="77777777" w:rsidR="00DC1412" w:rsidRPr="00B15077" w:rsidRDefault="00DC1412" w:rsidP="00AF0A5E">
            <w:pPr>
              <w:pStyle w:val="a3"/>
              <w:jc w:val="center"/>
              <w:rPr>
                <w:rFonts w:ascii="Tahoma" w:hAnsi="Tahoma" w:cs="Tahoma"/>
                <w:color w:val="000080"/>
                <w:rtl/>
              </w:rPr>
            </w:pPr>
            <w:bookmarkStart w:id="0" w:name="LastJudge"/>
            <w:r w:rsidRPr="00B15077">
              <w:rPr>
                <w:rFonts w:ascii="Tahoma" w:hAnsi="Tahoma" w:cs="Tahoma"/>
                <w:b/>
                <w:bCs/>
                <w:color w:val="000080"/>
                <w:rtl/>
              </w:rPr>
              <w:t>בית משפט השלום בבית שמש</w:t>
            </w:r>
          </w:p>
        </w:tc>
      </w:tr>
      <w:tr w:rsidR="00DC1412" w:rsidRPr="00B15077" w14:paraId="03FFB430" w14:textId="77777777" w:rsidTr="00B239E6">
        <w:trPr>
          <w:trHeight w:val="337"/>
          <w:jc w:val="center"/>
        </w:trPr>
        <w:tc>
          <w:tcPr>
            <w:tcW w:w="5056" w:type="dxa"/>
          </w:tcPr>
          <w:p w14:paraId="21914F9C" w14:textId="77777777" w:rsidR="00DC1412" w:rsidRPr="00B15077" w:rsidRDefault="00DC1412" w:rsidP="00AF0A5E">
            <w:pPr>
              <w:rPr>
                <w:rFonts w:cs="FrankRuehl"/>
                <w:sz w:val="28"/>
                <w:szCs w:val="28"/>
                <w:rtl/>
              </w:rPr>
            </w:pPr>
            <w:r w:rsidRPr="00B15077">
              <w:rPr>
                <w:rFonts w:cs="FrankRuehl"/>
                <w:sz w:val="28"/>
                <w:szCs w:val="28"/>
                <w:rtl/>
              </w:rPr>
              <w:t>ת"פ</w:t>
            </w:r>
            <w:r w:rsidRPr="00B15077">
              <w:rPr>
                <w:rFonts w:cs="FrankRuehl" w:hint="cs"/>
                <w:sz w:val="28"/>
                <w:szCs w:val="28"/>
                <w:rtl/>
              </w:rPr>
              <w:t xml:space="preserve"> </w:t>
            </w:r>
            <w:r w:rsidRPr="00B15077">
              <w:rPr>
                <w:rFonts w:cs="FrankRuehl"/>
                <w:sz w:val="28"/>
                <w:szCs w:val="28"/>
                <w:rtl/>
              </w:rPr>
              <w:t>35581-05-22</w:t>
            </w:r>
            <w:r w:rsidRPr="00B15077">
              <w:rPr>
                <w:rFonts w:cs="FrankRuehl" w:hint="cs"/>
                <w:sz w:val="28"/>
                <w:szCs w:val="28"/>
                <w:rtl/>
              </w:rPr>
              <w:t xml:space="preserve"> </w:t>
            </w:r>
            <w:r w:rsidRPr="00B15077">
              <w:rPr>
                <w:rFonts w:cs="FrankRuehl"/>
                <w:sz w:val="28"/>
                <w:szCs w:val="28"/>
                <w:rtl/>
              </w:rPr>
              <w:t>מדינת ישראל נ' ויסלבלום</w:t>
            </w:r>
          </w:p>
          <w:p w14:paraId="5EA7D1C9" w14:textId="77777777" w:rsidR="00DC1412" w:rsidRPr="00B15077" w:rsidRDefault="00DC1412" w:rsidP="00AF0A5E">
            <w:pPr>
              <w:pStyle w:val="a3"/>
              <w:rPr>
                <w:rFonts w:cs="FrankRuehl"/>
                <w:sz w:val="28"/>
                <w:szCs w:val="28"/>
                <w:rtl/>
              </w:rPr>
            </w:pPr>
          </w:p>
        </w:tc>
        <w:tc>
          <w:tcPr>
            <w:tcW w:w="3665" w:type="dxa"/>
          </w:tcPr>
          <w:p w14:paraId="6727FC1C" w14:textId="77777777" w:rsidR="00DC1412" w:rsidRPr="00B15077" w:rsidRDefault="00DC1412" w:rsidP="00AF0A5E">
            <w:pPr>
              <w:pStyle w:val="a3"/>
              <w:jc w:val="right"/>
              <w:rPr>
                <w:rFonts w:cs="FrankRuehl"/>
                <w:sz w:val="28"/>
                <w:szCs w:val="28"/>
                <w:rtl/>
              </w:rPr>
            </w:pPr>
          </w:p>
        </w:tc>
      </w:tr>
    </w:tbl>
    <w:p w14:paraId="03B04C24" w14:textId="77777777" w:rsidR="00DC1412" w:rsidRPr="00B15077" w:rsidRDefault="00DC1412" w:rsidP="00DC1412">
      <w:pPr>
        <w:pStyle w:val="a3"/>
        <w:rPr>
          <w:rtl/>
        </w:rPr>
      </w:pPr>
      <w:r w:rsidRPr="00B15077">
        <w:rPr>
          <w:rFonts w:hint="cs"/>
          <w:rtl/>
        </w:rPr>
        <w:t xml:space="preserve"> </w:t>
      </w:r>
    </w:p>
    <w:p w14:paraId="1D65A51F" w14:textId="77777777" w:rsidR="00DC1412" w:rsidRPr="00B15077" w:rsidRDefault="00DC1412" w:rsidP="00DC1412">
      <w:pPr>
        <w:rPr>
          <w:rtl/>
        </w:rPr>
      </w:pPr>
    </w:p>
    <w:p w14:paraId="5F7C57E6" w14:textId="77777777" w:rsidR="00DC1412" w:rsidRPr="00B15077" w:rsidRDefault="00DC1412" w:rsidP="00DC141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DC1412" w:rsidRPr="00B15077" w14:paraId="18886A4C" w14:textId="77777777" w:rsidTr="00DC1412">
        <w:trPr>
          <w:trHeight w:val="295"/>
          <w:jc w:val="center"/>
        </w:trPr>
        <w:tc>
          <w:tcPr>
            <w:tcW w:w="923" w:type="dxa"/>
            <w:tcBorders>
              <w:top w:val="nil"/>
              <w:left w:val="nil"/>
              <w:bottom w:val="nil"/>
              <w:right w:val="nil"/>
            </w:tcBorders>
            <w:shd w:val="clear" w:color="auto" w:fill="auto"/>
          </w:tcPr>
          <w:p w14:paraId="4044F0E4" w14:textId="77777777" w:rsidR="00DC1412" w:rsidRPr="00B15077" w:rsidRDefault="00DC1412" w:rsidP="00DC1412">
            <w:pPr>
              <w:jc w:val="both"/>
              <w:rPr>
                <w:rFonts w:ascii="David" w:hAnsi="David"/>
                <w:sz w:val="26"/>
                <w:szCs w:val="26"/>
              </w:rPr>
            </w:pPr>
            <w:r w:rsidRPr="00B15077">
              <w:rPr>
                <w:rFonts w:ascii="David" w:hAnsi="David" w:hint="cs"/>
                <w:sz w:val="26"/>
                <w:szCs w:val="26"/>
                <w:rtl/>
              </w:rPr>
              <w:t>ל</w:t>
            </w:r>
            <w:r w:rsidRPr="00B15077">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2FDA289B" w14:textId="77777777" w:rsidR="00DC1412" w:rsidRPr="00B15077" w:rsidRDefault="00DC1412" w:rsidP="00AF0A5E">
            <w:pPr>
              <w:rPr>
                <w:rFonts w:ascii="David" w:hAnsi="David"/>
                <w:b/>
                <w:bCs/>
                <w:sz w:val="26"/>
                <w:szCs w:val="26"/>
                <w:rtl/>
              </w:rPr>
            </w:pPr>
            <w:r w:rsidRPr="00B15077">
              <w:rPr>
                <w:rFonts w:ascii="David" w:hAnsi="David"/>
                <w:b/>
                <w:bCs/>
                <w:sz w:val="26"/>
                <w:szCs w:val="26"/>
                <w:rtl/>
              </w:rPr>
              <w:t>כבוד השופט  ביאלין אלעזר</w:t>
            </w:r>
          </w:p>
          <w:p w14:paraId="5F548A9D" w14:textId="77777777" w:rsidR="00DC1412" w:rsidRPr="00B15077" w:rsidRDefault="00DC1412" w:rsidP="00AF0A5E">
            <w:pPr>
              <w:rPr>
                <w:rFonts w:ascii="David" w:hAnsi="David"/>
                <w:sz w:val="26"/>
                <w:szCs w:val="26"/>
                <w:rtl/>
              </w:rPr>
            </w:pPr>
          </w:p>
          <w:p w14:paraId="49568DBD" w14:textId="77777777" w:rsidR="00DC1412" w:rsidRPr="00B15077" w:rsidRDefault="00DC1412" w:rsidP="00DC1412">
            <w:pPr>
              <w:jc w:val="both"/>
              <w:rPr>
                <w:rFonts w:ascii="David" w:hAnsi="David"/>
                <w:sz w:val="26"/>
                <w:szCs w:val="26"/>
              </w:rPr>
            </w:pPr>
          </w:p>
        </w:tc>
      </w:tr>
      <w:tr w:rsidR="00DC1412" w:rsidRPr="00B15077" w14:paraId="785E3BFB" w14:textId="77777777" w:rsidTr="00DC1412">
        <w:trPr>
          <w:trHeight w:val="355"/>
          <w:jc w:val="center"/>
        </w:trPr>
        <w:tc>
          <w:tcPr>
            <w:tcW w:w="923" w:type="dxa"/>
            <w:tcBorders>
              <w:top w:val="nil"/>
              <w:left w:val="nil"/>
              <w:bottom w:val="nil"/>
              <w:right w:val="nil"/>
            </w:tcBorders>
            <w:shd w:val="clear" w:color="auto" w:fill="auto"/>
          </w:tcPr>
          <w:p w14:paraId="4462A8E5" w14:textId="77777777" w:rsidR="00DC1412" w:rsidRPr="00B15077" w:rsidRDefault="00DC1412" w:rsidP="00DC1412">
            <w:pPr>
              <w:jc w:val="both"/>
              <w:rPr>
                <w:rFonts w:ascii="David" w:hAnsi="David"/>
                <w:sz w:val="26"/>
                <w:szCs w:val="26"/>
              </w:rPr>
            </w:pPr>
            <w:bookmarkStart w:id="1" w:name="FirstAppellant"/>
            <w:r w:rsidRPr="00B15077">
              <w:rPr>
                <w:rFonts w:ascii="David" w:hAnsi="David"/>
                <w:sz w:val="26"/>
                <w:szCs w:val="26"/>
                <w:rtl/>
              </w:rPr>
              <w:t>בעניין:</w:t>
            </w:r>
          </w:p>
        </w:tc>
        <w:tc>
          <w:tcPr>
            <w:tcW w:w="3219" w:type="dxa"/>
            <w:tcBorders>
              <w:top w:val="nil"/>
              <w:left w:val="nil"/>
              <w:bottom w:val="nil"/>
              <w:right w:val="nil"/>
            </w:tcBorders>
            <w:shd w:val="clear" w:color="auto" w:fill="auto"/>
          </w:tcPr>
          <w:p w14:paraId="17F63761" w14:textId="77777777" w:rsidR="00DC1412" w:rsidRPr="00B15077" w:rsidRDefault="00DC1412" w:rsidP="00DC1412">
            <w:pPr>
              <w:suppressLineNumbers/>
            </w:pPr>
            <w:r w:rsidRPr="00B15077">
              <w:rPr>
                <w:rFonts w:ascii="Arial" w:hAnsi="Arial" w:hint="cs"/>
                <w:b/>
                <w:bCs/>
                <w:sz w:val="26"/>
                <w:szCs w:val="26"/>
                <w:rtl/>
              </w:rPr>
              <w:t>ה</w:t>
            </w:r>
            <w:r w:rsidRPr="00B15077">
              <w:rPr>
                <w:rFonts w:ascii="Arial" w:hAnsi="Arial"/>
                <w:b/>
                <w:bCs/>
                <w:sz w:val="26"/>
                <w:szCs w:val="26"/>
                <w:rtl/>
              </w:rPr>
              <w:t>מאשימה</w:t>
            </w:r>
          </w:p>
          <w:p w14:paraId="5BB74413" w14:textId="77777777" w:rsidR="00DC1412" w:rsidRPr="00B15077" w:rsidRDefault="00DC1412" w:rsidP="00AF0A5E">
            <w:pPr>
              <w:rPr>
                <w:rFonts w:ascii="David" w:hAnsi="David"/>
                <w:sz w:val="26"/>
                <w:szCs w:val="26"/>
              </w:rPr>
            </w:pPr>
          </w:p>
        </w:tc>
        <w:tc>
          <w:tcPr>
            <w:tcW w:w="4678" w:type="dxa"/>
            <w:tcBorders>
              <w:top w:val="nil"/>
              <w:left w:val="nil"/>
              <w:bottom w:val="nil"/>
              <w:right w:val="nil"/>
            </w:tcBorders>
            <w:shd w:val="clear" w:color="auto" w:fill="auto"/>
            <w:vAlign w:val="center"/>
          </w:tcPr>
          <w:p w14:paraId="20BB83D1" w14:textId="77777777" w:rsidR="00DC1412" w:rsidRPr="00B15077" w:rsidRDefault="00DC1412" w:rsidP="00DC1412">
            <w:pPr>
              <w:suppressLineNumbers/>
              <w:rPr>
                <w:rFonts w:ascii="Arial" w:hAnsi="Arial"/>
                <w:b/>
                <w:bCs/>
                <w:sz w:val="26"/>
                <w:szCs w:val="26"/>
                <w:rtl/>
              </w:rPr>
            </w:pPr>
            <w:r w:rsidRPr="00B15077">
              <w:rPr>
                <w:rFonts w:ascii="Arial" w:hAnsi="Arial"/>
                <w:b/>
                <w:bCs/>
                <w:sz w:val="26"/>
                <w:szCs w:val="26"/>
                <w:rtl/>
              </w:rPr>
              <w:t>מדינת ישראל</w:t>
            </w:r>
            <w:r w:rsidRPr="00B15077">
              <w:rPr>
                <w:rFonts w:ascii="Arial" w:hAnsi="Arial" w:hint="cs"/>
                <w:b/>
                <w:bCs/>
                <w:sz w:val="26"/>
                <w:szCs w:val="26"/>
                <w:rtl/>
              </w:rPr>
              <w:t xml:space="preserve"> </w:t>
            </w:r>
          </w:p>
          <w:p w14:paraId="54BCA684" w14:textId="77777777" w:rsidR="00DC1412" w:rsidRPr="00B15077" w:rsidRDefault="00DC1412" w:rsidP="00DC1412">
            <w:pPr>
              <w:suppressLineNumbers/>
              <w:rPr>
                <w:rFonts w:ascii="Arial" w:hAnsi="Arial"/>
                <w:rtl/>
              </w:rPr>
            </w:pPr>
            <w:r w:rsidRPr="00B15077">
              <w:rPr>
                <w:rFonts w:ascii="Arial" w:hAnsi="Arial"/>
                <w:rtl/>
              </w:rPr>
              <w:t xml:space="preserve">ע"י </w:t>
            </w:r>
            <w:r w:rsidRPr="00B15077">
              <w:rPr>
                <w:rFonts w:ascii="Arial" w:hAnsi="Arial" w:hint="cs"/>
                <w:rtl/>
              </w:rPr>
              <w:t>עו"ד מוטי בניטה והמתמחים מר אורי קנר ואלון חבר מתביעות מחוז ירושלים</w:t>
            </w:r>
          </w:p>
          <w:p w14:paraId="644CFBA1" w14:textId="77777777" w:rsidR="00DC1412" w:rsidRPr="00B15077" w:rsidRDefault="00DC1412" w:rsidP="00DC1412">
            <w:pPr>
              <w:suppressLineNumbers/>
              <w:rPr>
                <w:rFonts w:ascii="David" w:hAnsi="David"/>
                <w:sz w:val="26"/>
                <w:szCs w:val="26"/>
              </w:rPr>
            </w:pPr>
          </w:p>
        </w:tc>
      </w:tr>
      <w:bookmarkEnd w:id="1"/>
      <w:tr w:rsidR="00DC1412" w:rsidRPr="00B15077" w14:paraId="4CBD4BC0" w14:textId="77777777" w:rsidTr="00DC1412">
        <w:trPr>
          <w:trHeight w:val="355"/>
          <w:jc w:val="center"/>
        </w:trPr>
        <w:tc>
          <w:tcPr>
            <w:tcW w:w="923" w:type="dxa"/>
            <w:tcBorders>
              <w:top w:val="nil"/>
              <w:left w:val="nil"/>
              <w:bottom w:val="nil"/>
              <w:right w:val="nil"/>
            </w:tcBorders>
            <w:shd w:val="clear" w:color="auto" w:fill="auto"/>
          </w:tcPr>
          <w:p w14:paraId="52300CFC" w14:textId="77777777" w:rsidR="00DC1412" w:rsidRPr="00B15077" w:rsidRDefault="00DC1412" w:rsidP="00DC1412">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186F02AE" w14:textId="77777777" w:rsidR="00DC1412" w:rsidRPr="00B15077" w:rsidRDefault="00DC1412" w:rsidP="00DC1412">
            <w:pPr>
              <w:jc w:val="center"/>
              <w:rPr>
                <w:rFonts w:ascii="David" w:hAnsi="David"/>
                <w:b/>
                <w:bCs/>
                <w:sz w:val="26"/>
                <w:szCs w:val="26"/>
                <w:rtl/>
              </w:rPr>
            </w:pPr>
          </w:p>
          <w:p w14:paraId="75C68C99" w14:textId="77777777" w:rsidR="00DC1412" w:rsidRPr="00B15077" w:rsidRDefault="00DC1412" w:rsidP="00DC1412">
            <w:pPr>
              <w:jc w:val="center"/>
              <w:rPr>
                <w:rFonts w:ascii="David" w:hAnsi="David"/>
                <w:b/>
                <w:bCs/>
                <w:sz w:val="26"/>
                <w:szCs w:val="26"/>
                <w:rtl/>
              </w:rPr>
            </w:pPr>
            <w:r w:rsidRPr="00B15077">
              <w:rPr>
                <w:rFonts w:ascii="David" w:hAnsi="David"/>
                <w:b/>
                <w:bCs/>
                <w:sz w:val="26"/>
                <w:szCs w:val="26"/>
                <w:rtl/>
              </w:rPr>
              <w:t>נגד</w:t>
            </w:r>
          </w:p>
          <w:p w14:paraId="5D0CBD0C" w14:textId="77777777" w:rsidR="00DC1412" w:rsidRPr="00B15077" w:rsidRDefault="00DC1412" w:rsidP="00DC1412">
            <w:pPr>
              <w:jc w:val="both"/>
              <w:rPr>
                <w:rFonts w:ascii="David" w:hAnsi="David"/>
                <w:sz w:val="26"/>
                <w:szCs w:val="26"/>
              </w:rPr>
            </w:pPr>
          </w:p>
        </w:tc>
      </w:tr>
      <w:tr w:rsidR="00DC1412" w:rsidRPr="00B15077" w14:paraId="266DAD1F" w14:textId="77777777" w:rsidTr="00DC1412">
        <w:trPr>
          <w:trHeight w:val="355"/>
          <w:jc w:val="center"/>
        </w:trPr>
        <w:tc>
          <w:tcPr>
            <w:tcW w:w="923" w:type="dxa"/>
            <w:tcBorders>
              <w:top w:val="nil"/>
              <w:left w:val="nil"/>
              <w:bottom w:val="nil"/>
              <w:right w:val="nil"/>
            </w:tcBorders>
            <w:shd w:val="clear" w:color="auto" w:fill="auto"/>
          </w:tcPr>
          <w:p w14:paraId="150FEF27" w14:textId="77777777" w:rsidR="00DC1412" w:rsidRPr="00B15077" w:rsidRDefault="00DC1412" w:rsidP="00AF0A5E">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1F565BF3" w14:textId="77777777" w:rsidR="00DC1412" w:rsidRPr="00B15077" w:rsidRDefault="00DC1412" w:rsidP="00AF0A5E">
            <w:pPr>
              <w:rPr>
                <w:rFonts w:ascii="Arial" w:hAnsi="Arial"/>
                <w:b/>
                <w:bCs/>
                <w:sz w:val="26"/>
                <w:szCs w:val="26"/>
                <w:rtl/>
              </w:rPr>
            </w:pPr>
            <w:r w:rsidRPr="00B15077">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4F123645" w14:textId="77777777" w:rsidR="00DC1412" w:rsidRPr="00B15077" w:rsidRDefault="00DC1412" w:rsidP="00DC1412">
            <w:pPr>
              <w:suppressLineNumbers/>
              <w:rPr>
                <w:rFonts w:ascii="Arial" w:hAnsi="Arial"/>
                <w:b/>
                <w:bCs/>
                <w:sz w:val="26"/>
                <w:szCs w:val="26"/>
                <w:rtl/>
              </w:rPr>
            </w:pPr>
            <w:r w:rsidRPr="00B15077">
              <w:rPr>
                <w:rFonts w:ascii="Arial" w:hAnsi="Arial"/>
                <w:b/>
                <w:bCs/>
                <w:sz w:val="26"/>
                <w:szCs w:val="26"/>
                <w:rtl/>
              </w:rPr>
              <w:t>אור יהודה ויסלבלום</w:t>
            </w:r>
            <w:r w:rsidRPr="00B15077">
              <w:rPr>
                <w:rFonts w:ascii="Arial" w:hAnsi="Arial" w:hint="cs"/>
                <w:b/>
                <w:bCs/>
                <w:sz w:val="26"/>
                <w:szCs w:val="26"/>
                <w:rtl/>
              </w:rPr>
              <w:t xml:space="preserve"> </w:t>
            </w:r>
          </w:p>
          <w:p w14:paraId="08B8C95D" w14:textId="77777777" w:rsidR="00DC1412" w:rsidRPr="00B15077" w:rsidRDefault="00DC1412" w:rsidP="00DC1412">
            <w:pPr>
              <w:suppressLineNumbers/>
            </w:pPr>
            <w:r w:rsidRPr="00B15077">
              <w:rPr>
                <w:rFonts w:ascii="Arial" w:hAnsi="Arial"/>
                <w:sz w:val="26"/>
                <w:szCs w:val="26"/>
                <w:rtl/>
              </w:rPr>
              <w:t>ע"י ב"כ עו</w:t>
            </w:r>
            <w:r w:rsidRPr="00B15077">
              <w:rPr>
                <w:rFonts w:ascii="Arial" w:hAnsi="Arial" w:hint="cs"/>
                <w:sz w:val="26"/>
                <w:szCs w:val="26"/>
                <w:rtl/>
              </w:rPr>
              <w:t>"</w:t>
            </w:r>
            <w:r w:rsidRPr="00B15077">
              <w:rPr>
                <w:rFonts w:ascii="Arial" w:hAnsi="Arial"/>
                <w:sz w:val="26"/>
                <w:szCs w:val="26"/>
                <w:rtl/>
              </w:rPr>
              <w:t>ד</w:t>
            </w:r>
            <w:r w:rsidRPr="00B15077">
              <w:rPr>
                <w:rFonts w:hint="cs"/>
                <w:rtl/>
              </w:rPr>
              <w:t xml:space="preserve"> יגאל דותן </w:t>
            </w:r>
          </w:p>
          <w:p w14:paraId="3411B586" w14:textId="77777777" w:rsidR="00DC1412" w:rsidRPr="00B15077" w:rsidRDefault="00DC1412" w:rsidP="00AF0A5E">
            <w:pPr>
              <w:rPr>
                <w:rFonts w:ascii="David" w:hAnsi="David"/>
                <w:sz w:val="26"/>
                <w:szCs w:val="26"/>
              </w:rPr>
            </w:pPr>
          </w:p>
        </w:tc>
      </w:tr>
      <w:bookmarkEnd w:id="2"/>
      <w:tr w:rsidR="00DC1412" w:rsidRPr="00B15077" w14:paraId="78843178" w14:textId="77777777" w:rsidTr="00DC1412">
        <w:trPr>
          <w:trHeight w:val="355"/>
          <w:jc w:val="center"/>
        </w:trPr>
        <w:tc>
          <w:tcPr>
            <w:tcW w:w="923" w:type="dxa"/>
            <w:tcBorders>
              <w:top w:val="nil"/>
              <w:left w:val="nil"/>
              <w:bottom w:val="nil"/>
              <w:right w:val="nil"/>
            </w:tcBorders>
            <w:shd w:val="clear" w:color="auto" w:fill="auto"/>
          </w:tcPr>
          <w:p w14:paraId="58975720" w14:textId="77777777" w:rsidR="00DC1412" w:rsidRPr="00B15077" w:rsidRDefault="00DC1412" w:rsidP="00DC1412">
            <w:pPr>
              <w:jc w:val="both"/>
              <w:rPr>
                <w:rFonts w:ascii="David" w:hAnsi="David"/>
                <w:sz w:val="26"/>
                <w:szCs w:val="26"/>
                <w:rtl/>
              </w:rPr>
            </w:pPr>
          </w:p>
        </w:tc>
        <w:tc>
          <w:tcPr>
            <w:tcW w:w="3219" w:type="dxa"/>
            <w:tcBorders>
              <w:top w:val="nil"/>
              <w:left w:val="nil"/>
              <w:bottom w:val="nil"/>
              <w:right w:val="nil"/>
            </w:tcBorders>
            <w:shd w:val="clear" w:color="auto" w:fill="auto"/>
          </w:tcPr>
          <w:p w14:paraId="40F650CC" w14:textId="77777777" w:rsidR="00DC1412" w:rsidRPr="00B15077" w:rsidRDefault="00DC1412" w:rsidP="00DC1412">
            <w:pPr>
              <w:jc w:val="both"/>
              <w:rPr>
                <w:rFonts w:ascii="David" w:hAnsi="David"/>
                <w:sz w:val="26"/>
                <w:szCs w:val="26"/>
                <w:rtl/>
              </w:rPr>
            </w:pPr>
          </w:p>
        </w:tc>
        <w:tc>
          <w:tcPr>
            <w:tcW w:w="4678" w:type="dxa"/>
            <w:tcBorders>
              <w:top w:val="nil"/>
              <w:left w:val="nil"/>
              <w:bottom w:val="nil"/>
              <w:right w:val="nil"/>
            </w:tcBorders>
            <w:shd w:val="clear" w:color="auto" w:fill="auto"/>
          </w:tcPr>
          <w:p w14:paraId="44868AB6" w14:textId="77777777" w:rsidR="00DC1412" w:rsidRPr="00B15077" w:rsidRDefault="00DC1412" w:rsidP="00DC1412">
            <w:pPr>
              <w:jc w:val="right"/>
              <w:rPr>
                <w:rFonts w:ascii="David" w:hAnsi="David"/>
                <w:sz w:val="26"/>
                <w:szCs w:val="26"/>
              </w:rPr>
            </w:pPr>
          </w:p>
        </w:tc>
      </w:tr>
    </w:tbl>
    <w:p w14:paraId="026AC222" w14:textId="77777777" w:rsidR="00B15077" w:rsidRPr="00B15077" w:rsidRDefault="00B15077" w:rsidP="00DC1412">
      <w:pPr>
        <w:rPr>
          <w:sz w:val="26"/>
          <w:szCs w:val="26"/>
          <w:rtl/>
        </w:rPr>
      </w:pPr>
    </w:p>
    <w:p w14:paraId="54A63771" w14:textId="77777777" w:rsidR="00FA1C60" w:rsidRPr="00FA1C60" w:rsidRDefault="00FA1C60" w:rsidP="00B239E6">
      <w:pPr>
        <w:rPr>
          <w:sz w:val="26"/>
          <w:szCs w:val="26"/>
          <w:rtl/>
        </w:rPr>
      </w:pPr>
    </w:p>
    <w:p w14:paraId="07A9C086" w14:textId="77777777" w:rsidR="00751BE5" w:rsidRPr="00751BE5" w:rsidRDefault="00751BE5" w:rsidP="00FA1C60">
      <w:pPr>
        <w:rPr>
          <w:sz w:val="26"/>
          <w:szCs w:val="26"/>
          <w:rtl/>
        </w:rPr>
      </w:pPr>
    </w:p>
    <w:p w14:paraId="164B9053" w14:textId="77777777" w:rsidR="00751BE5" w:rsidRPr="00751BE5" w:rsidRDefault="00751BE5" w:rsidP="00751BE5">
      <w:pPr>
        <w:spacing w:after="120" w:line="240" w:lineRule="exact"/>
        <w:ind w:left="283" w:hanging="283"/>
        <w:jc w:val="both"/>
        <w:rPr>
          <w:rFonts w:ascii="FrankRuehl" w:hAnsi="FrankRuehl" w:cs="FrankRuehl"/>
        </w:rPr>
      </w:pPr>
      <w:bookmarkStart w:id="3" w:name="Links_Start"/>
      <w:bookmarkEnd w:id="3"/>
      <w:r w:rsidRPr="00751BE5">
        <w:rPr>
          <w:rFonts w:ascii="FrankRuehl" w:hAnsi="FrankRuehl" w:cs="FrankRuehl"/>
          <w:rtl/>
        </w:rPr>
        <w:t>ספרות:</w:t>
      </w:r>
    </w:p>
    <w:p w14:paraId="6BEC8A1B" w14:textId="77777777" w:rsidR="00751BE5" w:rsidRPr="00751BE5" w:rsidRDefault="00751BE5" w:rsidP="00751BE5">
      <w:pPr>
        <w:spacing w:after="120" w:line="240" w:lineRule="exact"/>
        <w:ind w:left="283" w:hanging="283"/>
        <w:jc w:val="both"/>
        <w:rPr>
          <w:rFonts w:ascii="FrankRuehl" w:hAnsi="FrankRuehl" w:cs="FrankRuehl"/>
          <w:color w:val="000000"/>
          <w:rtl/>
        </w:rPr>
      </w:pPr>
      <w:r w:rsidRPr="00751BE5">
        <w:rPr>
          <w:rFonts w:ascii="FrankRuehl" w:hAnsi="FrankRuehl" w:cs="FrankRuehl"/>
          <w:color w:val="000000"/>
          <w:rtl/>
        </w:rPr>
        <w:t xml:space="preserve">מיכאל בר זוהר  </w:t>
      </w:r>
      <w:r w:rsidRPr="00751BE5">
        <w:rPr>
          <w:rFonts w:ascii="FrankRuehl" w:hAnsi="FrankRuehl" w:cs="FrankRuehl"/>
          <w:color w:val="000000"/>
        </w:rPr>
        <w:t xml:space="preserve"> </w:t>
      </w:r>
      <w:r w:rsidRPr="00751BE5">
        <w:rPr>
          <w:rFonts w:ascii="FrankRuehl" w:hAnsi="FrankRuehl" w:cs="FrankRuehl"/>
          <w:b/>
          <w:bCs/>
          <w:color w:val="000000"/>
          <w:rtl/>
        </w:rPr>
        <w:t xml:space="preserve">בן גוריון </w:t>
      </w:r>
    </w:p>
    <w:p w14:paraId="6C7B125C" w14:textId="77777777" w:rsidR="00751BE5" w:rsidRPr="00751BE5" w:rsidRDefault="00751BE5" w:rsidP="00FA1C60">
      <w:pPr>
        <w:rPr>
          <w:color w:val="000000"/>
          <w:sz w:val="26"/>
          <w:szCs w:val="26"/>
          <w:rtl/>
        </w:rPr>
      </w:pPr>
      <w:bookmarkStart w:id="4" w:name="Links_End"/>
      <w:bookmarkEnd w:id="4"/>
    </w:p>
    <w:p w14:paraId="487C4AA2" w14:textId="77777777" w:rsidR="00751BE5" w:rsidRDefault="00751BE5" w:rsidP="00751BE5">
      <w:pPr>
        <w:rPr>
          <w:sz w:val="26"/>
          <w:szCs w:val="26"/>
          <w:rtl/>
        </w:rPr>
      </w:pPr>
      <w:bookmarkStart w:id="5" w:name="LawTable"/>
      <w:bookmarkEnd w:id="5"/>
    </w:p>
    <w:p w14:paraId="63480264" w14:textId="77777777" w:rsidR="00751BE5" w:rsidRPr="00751BE5" w:rsidRDefault="00751BE5" w:rsidP="00751BE5">
      <w:pPr>
        <w:spacing w:before="120" w:after="120" w:line="240" w:lineRule="exact"/>
        <w:ind w:left="283" w:hanging="283"/>
        <w:jc w:val="both"/>
        <w:rPr>
          <w:rFonts w:ascii="FrankRuehl" w:hAnsi="FrankRuehl" w:cs="FrankRuehl"/>
          <w:rtl/>
        </w:rPr>
      </w:pPr>
    </w:p>
    <w:p w14:paraId="5C90927D" w14:textId="77777777" w:rsidR="00751BE5" w:rsidRPr="00751BE5" w:rsidRDefault="00751BE5" w:rsidP="00751BE5">
      <w:pPr>
        <w:spacing w:before="120" w:after="120" w:line="240" w:lineRule="exact"/>
        <w:ind w:left="283" w:hanging="283"/>
        <w:jc w:val="both"/>
        <w:rPr>
          <w:rFonts w:ascii="FrankRuehl" w:hAnsi="FrankRuehl" w:cs="FrankRuehl"/>
          <w:rtl/>
        </w:rPr>
      </w:pPr>
    </w:p>
    <w:p w14:paraId="3150AF49" w14:textId="77777777" w:rsidR="00751BE5" w:rsidRPr="00751BE5" w:rsidRDefault="00751BE5" w:rsidP="00751BE5">
      <w:pPr>
        <w:spacing w:before="120" w:after="120" w:line="240" w:lineRule="exact"/>
        <w:ind w:left="283" w:hanging="283"/>
        <w:jc w:val="both"/>
        <w:rPr>
          <w:rFonts w:ascii="FrankRuehl" w:hAnsi="FrankRuehl" w:cs="FrankRuehl"/>
          <w:rtl/>
        </w:rPr>
      </w:pPr>
      <w:r w:rsidRPr="00751BE5">
        <w:rPr>
          <w:rFonts w:ascii="FrankRuehl" w:hAnsi="FrankRuehl" w:cs="FrankRuehl"/>
          <w:rtl/>
        </w:rPr>
        <w:t xml:space="preserve">חקיקה שאוזכרה: </w:t>
      </w:r>
    </w:p>
    <w:p w14:paraId="7F61503E" w14:textId="77777777" w:rsidR="00751BE5" w:rsidRPr="00751BE5" w:rsidRDefault="00751BE5" w:rsidP="00751BE5">
      <w:pPr>
        <w:spacing w:before="120" w:after="120" w:line="240" w:lineRule="exact"/>
        <w:ind w:left="283" w:hanging="283"/>
        <w:jc w:val="both"/>
        <w:rPr>
          <w:rFonts w:ascii="FrankRuehl" w:hAnsi="FrankRuehl" w:cs="FrankRuehl"/>
          <w:rtl/>
        </w:rPr>
      </w:pPr>
      <w:hyperlink r:id="rId7" w:history="1">
        <w:r w:rsidRPr="00751BE5">
          <w:rPr>
            <w:rFonts w:ascii="FrankRuehl" w:hAnsi="FrankRuehl" w:cs="FrankRuehl"/>
            <w:color w:val="0000FF"/>
            <w:rtl/>
          </w:rPr>
          <w:t>פקודת הסמים המסוכנים [נוסח חדש], תשל"ג-1973</w:t>
        </w:r>
      </w:hyperlink>
      <w:r w:rsidRPr="00751BE5">
        <w:rPr>
          <w:rFonts w:ascii="FrankRuehl" w:hAnsi="FrankRuehl" w:cs="FrankRuehl"/>
          <w:rtl/>
        </w:rPr>
        <w:t xml:space="preserve">: סע'  </w:t>
      </w:r>
      <w:hyperlink r:id="rId8" w:history="1">
        <w:r w:rsidRPr="00751BE5">
          <w:rPr>
            <w:rFonts w:ascii="FrankRuehl" w:hAnsi="FrankRuehl" w:cs="FrankRuehl"/>
            <w:color w:val="0000FF"/>
            <w:rtl/>
          </w:rPr>
          <w:t>7</w:t>
        </w:r>
      </w:hyperlink>
      <w:r w:rsidRPr="00751BE5">
        <w:rPr>
          <w:rFonts w:ascii="FrankRuehl" w:hAnsi="FrankRuehl" w:cs="FrankRuehl"/>
          <w:rtl/>
        </w:rPr>
        <w:t xml:space="preserve">, </w:t>
      </w:r>
      <w:hyperlink r:id="rId9" w:history="1">
        <w:r w:rsidRPr="00751BE5">
          <w:rPr>
            <w:rFonts w:ascii="FrankRuehl" w:hAnsi="FrankRuehl" w:cs="FrankRuehl"/>
            <w:color w:val="0000FF"/>
            <w:rtl/>
          </w:rPr>
          <w:t>7(א)</w:t>
        </w:r>
      </w:hyperlink>
      <w:r w:rsidRPr="00751BE5">
        <w:rPr>
          <w:rFonts w:ascii="FrankRuehl" w:hAnsi="FrankRuehl" w:cs="FrankRuehl"/>
          <w:rtl/>
        </w:rPr>
        <w:t xml:space="preserve">, </w:t>
      </w:r>
      <w:hyperlink r:id="rId10" w:history="1">
        <w:r w:rsidRPr="00751BE5">
          <w:rPr>
            <w:rFonts w:ascii="FrankRuehl" w:hAnsi="FrankRuehl" w:cs="FrankRuehl"/>
            <w:color w:val="0000FF"/>
            <w:rtl/>
          </w:rPr>
          <w:t>7(ג)</w:t>
        </w:r>
      </w:hyperlink>
    </w:p>
    <w:p w14:paraId="53505ABA" w14:textId="77777777" w:rsidR="00751BE5" w:rsidRPr="00751BE5" w:rsidRDefault="00751BE5" w:rsidP="00751BE5">
      <w:pPr>
        <w:spacing w:before="120" w:after="120" w:line="240" w:lineRule="exact"/>
        <w:ind w:left="283" w:hanging="283"/>
        <w:jc w:val="both"/>
        <w:rPr>
          <w:rFonts w:ascii="FrankRuehl" w:hAnsi="FrankRuehl" w:cs="FrankRuehl"/>
          <w:rtl/>
        </w:rPr>
      </w:pPr>
      <w:hyperlink r:id="rId11" w:history="1">
        <w:r w:rsidRPr="00751BE5">
          <w:rPr>
            <w:rFonts w:ascii="FrankRuehl" w:hAnsi="FrankRuehl" w:cs="FrankRuehl"/>
            <w:color w:val="0000FF"/>
            <w:rtl/>
          </w:rPr>
          <w:t>חוק העונשין, תשל"ז-1977</w:t>
        </w:r>
      </w:hyperlink>
      <w:r w:rsidRPr="00751BE5">
        <w:rPr>
          <w:rFonts w:ascii="FrankRuehl" w:hAnsi="FrankRuehl" w:cs="FrankRuehl"/>
          <w:rtl/>
        </w:rPr>
        <w:t xml:space="preserve">: סע'  </w:t>
      </w:r>
      <w:hyperlink r:id="rId12" w:history="1">
        <w:r w:rsidRPr="00751BE5">
          <w:rPr>
            <w:rFonts w:ascii="FrankRuehl" w:hAnsi="FrankRuehl" w:cs="FrankRuehl"/>
            <w:color w:val="0000FF"/>
            <w:rtl/>
          </w:rPr>
          <w:t>40ד(א)</w:t>
        </w:r>
      </w:hyperlink>
      <w:r w:rsidRPr="00751BE5">
        <w:rPr>
          <w:rFonts w:ascii="FrankRuehl" w:hAnsi="FrankRuehl" w:cs="FrankRuehl"/>
          <w:rtl/>
        </w:rPr>
        <w:t xml:space="preserve">, </w:t>
      </w:r>
      <w:hyperlink r:id="rId13" w:history="1">
        <w:r w:rsidRPr="00751BE5">
          <w:rPr>
            <w:rFonts w:ascii="FrankRuehl" w:hAnsi="FrankRuehl" w:cs="FrankRuehl"/>
            <w:color w:val="0000FF"/>
            <w:rtl/>
          </w:rPr>
          <w:t>61(א)(4)</w:t>
        </w:r>
      </w:hyperlink>
    </w:p>
    <w:p w14:paraId="4CB56351" w14:textId="77777777" w:rsidR="00751BE5" w:rsidRPr="00751BE5" w:rsidRDefault="00751BE5" w:rsidP="00751BE5">
      <w:pPr>
        <w:spacing w:before="120" w:after="120" w:line="240" w:lineRule="exact"/>
        <w:ind w:left="283" w:hanging="283"/>
        <w:jc w:val="both"/>
        <w:rPr>
          <w:rFonts w:ascii="FrankRuehl" w:hAnsi="FrankRuehl" w:cs="FrankRuehl"/>
          <w:rtl/>
        </w:rPr>
      </w:pPr>
      <w:hyperlink r:id="rId14" w:history="1">
        <w:r w:rsidRPr="00751BE5">
          <w:rPr>
            <w:rFonts w:ascii="FrankRuehl" w:hAnsi="FrankRuehl" w:cs="FrankRuehl"/>
            <w:color w:val="0000FF"/>
            <w:rtl/>
          </w:rPr>
          <w:t>פקודת המבחן [נוסח חדש], תשכ"ט-1969</w:t>
        </w:r>
      </w:hyperlink>
    </w:p>
    <w:p w14:paraId="65AFFAC8" w14:textId="77777777" w:rsidR="00751BE5" w:rsidRPr="00751BE5" w:rsidRDefault="00751BE5" w:rsidP="00751BE5">
      <w:pPr>
        <w:rPr>
          <w:sz w:val="26"/>
          <w:szCs w:val="26"/>
          <w:rtl/>
        </w:rPr>
      </w:pPr>
      <w:bookmarkStart w:id="6" w:name="LawTable_End"/>
      <w:bookmarkEnd w:id="6"/>
    </w:p>
    <w:p w14:paraId="2B34BB20" w14:textId="77777777" w:rsidR="00DC1412" w:rsidRPr="00751BE5" w:rsidRDefault="00DC1412" w:rsidP="00FA1C60">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C1412" w14:paraId="3B6B4751" w14:textId="77777777" w:rsidTr="00DC1412">
        <w:trPr>
          <w:trHeight w:val="355"/>
          <w:jc w:val="center"/>
        </w:trPr>
        <w:tc>
          <w:tcPr>
            <w:tcW w:w="8820" w:type="dxa"/>
            <w:tcBorders>
              <w:top w:val="nil"/>
              <w:left w:val="nil"/>
              <w:bottom w:val="nil"/>
              <w:right w:val="nil"/>
            </w:tcBorders>
            <w:shd w:val="clear" w:color="auto" w:fill="auto"/>
          </w:tcPr>
          <w:p w14:paraId="20FB86C1" w14:textId="77777777" w:rsidR="00B15077" w:rsidRPr="00B15077" w:rsidRDefault="00B15077" w:rsidP="00B15077">
            <w:pPr>
              <w:jc w:val="center"/>
              <w:rPr>
                <w:rFonts w:ascii="David" w:hAnsi="David"/>
                <w:b/>
                <w:bCs/>
                <w:sz w:val="32"/>
                <w:szCs w:val="32"/>
                <w:u w:val="single"/>
                <w:rtl/>
              </w:rPr>
            </w:pPr>
            <w:bookmarkStart w:id="7" w:name="PsakDin" w:colFirst="0" w:colLast="0"/>
            <w:bookmarkEnd w:id="0"/>
            <w:r w:rsidRPr="00B15077">
              <w:rPr>
                <w:rFonts w:ascii="David" w:hAnsi="David"/>
                <w:b/>
                <w:bCs/>
                <w:sz w:val="32"/>
                <w:szCs w:val="32"/>
                <w:u w:val="single"/>
                <w:rtl/>
              </w:rPr>
              <w:t>גזר דין</w:t>
            </w:r>
          </w:p>
          <w:p w14:paraId="6C6D6291" w14:textId="77777777" w:rsidR="00DC1412" w:rsidRPr="00B15077" w:rsidRDefault="00DC1412" w:rsidP="00B15077">
            <w:pPr>
              <w:jc w:val="center"/>
              <w:rPr>
                <w:rFonts w:ascii="David" w:hAnsi="David"/>
                <w:bCs/>
                <w:sz w:val="32"/>
                <w:szCs w:val="32"/>
                <w:u w:val="single"/>
                <w:rtl/>
              </w:rPr>
            </w:pPr>
          </w:p>
        </w:tc>
      </w:tr>
      <w:bookmarkEnd w:id="7"/>
    </w:tbl>
    <w:p w14:paraId="1D9BC4F8" w14:textId="77777777" w:rsidR="00DC1412" w:rsidRPr="000F2247" w:rsidRDefault="00DC1412" w:rsidP="00DC1412">
      <w:pPr>
        <w:rPr>
          <w:rFonts w:ascii="Arial" w:hAnsi="Arial"/>
          <w:b/>
          <w:bCs/>
          <w:sz w:val="26"/>
          <w:szCs w:val="26"/>
          <w:rtl/>
        </w:rPr>
      </w:pPr>
    </w:p>
    <w:p w14:paraId="7BE03010" w14:textId="77777777" w:rsidR="00DC1412" w:rsidRPr="00B219B2" w:rsidRDefault="00DC1412" w:rsidP="00DC1412">
      <w:pPr>
        <w:spacing w:line="256" w:lineRule="auto"/>
        <w:jc w:val="both"/>
        <w:rPr>
          <w:rFonts w:ascii="Arial" w:eastAsia="Calibri" w:hAnsi="Arial" w:cs="Arial"/>
          <w:b/>
          <w:bCs/>
          <w:sz w:val="22"/>
          <w:szCs w:val="22"/>
          <w:u w:val="single"/>
        </w:rPr>
      </w:pPr>
    </w:p>
    <w:p w14:paraId="62A0CB13" w14:textId="77777777" w:rsidR="00DC1412" w:rsidRPr="00B219B2" w:rsidRDefault="00DC1412" w:rsidP="00DC1412">
      <w:pPr>
        <w:spacing w:line="256" w:lineRule="auto"/>
        <w:jc w:val="both"/>
        <w:rPr>
          <w:rFonts w:ascii="Arial" w:eastAsia="Calibri" w:hAnsi="Arial"/>
          <w:b/>
          <w:bCs/>
          <w:u w:val="single"/>
          <w:rtl/>
        </w:rPr>
      </w:pPr>
      <w:r w:rsidRPr="00B219B2">
        <w:rPr>
          <w:rFonts w:ascii="Arial" w:eastAsia="Calibri" w:hAnsi="Arial"/>
          <w:b/>
          <w:bCs/>
          <w:u w:val="single"/>
          <w:rtl/>
        </w:rPr>
        <w:t>כתב האישום והסדר הטיעון</w:t>
      </w:r>
    </w:p>
    <w:p w14:paraId="4D9B7C15" w14:textId="77777777" w:rsidR="00DC1412" w:rsidRPr="00B219B2" w:rsidRDefault="00DC1412" w:rsidP="00DC1412">
      <w:pPr>
        <w:spacing w:line="256" w:lineRule="auto"/>
        <w:jc w:val="both"/>
        <w:rPr>
          <w:rFonts w:ascii="Arial" w:eastAsia="Calibri" w:hAnsi="Arial" w:cs="Arial"/>
          <w:b/>
          <w:bCs/>
          <w:sz w:val="22"/>
          <w:szCs w:val="22"/>
          <w:u w:val="single"/>
          <w:rtl/>
        </w:rPr>
      </w:pPr>
    </w:p>
    <w:p w14:paraId="60F405D9" w14:textId="77777777" w:rsidR="00DC1412" w:rsidRPr="00B219B2" w:rsidRDefault="00DC1412" w:rsidP="00DC1412">
      <w:pPr>
        <w:numPr>
          <w:ilvl w:val="0"/>
          <w:numId w:val="1"/>
        </w:numPr>
        <w:tabs>
          <w:tab w:val="left" w:pos="800"/>
          <w:tab w:val="num" w:pos="907"/>
        </w:tabs>
        <w:overflowPunct w:val="0"/>
        <w:autoSpaceDE w:val="0"/>
        <w:autoSpaceDN w:val="0"/>
        <w:adjustRightInd w:val="0"/>
        <w:spacing w:after="160" w:line="360" w:lineRule="auto"/>
        <w:ind w:left="0" w:firstLine="0"/>
        <w:jc w:val="both"/>
        <w:rPr>
          <w:rFonts w:ascii="Garamond" w:hAnsi="Garamond"/>
          <w:spacing w:val="10"/>
          <w:rtl/>
        </w:rPr>
      </w:pPr>
      <w:bookmarkStart w:id="8" w:name="ABSTRACT_START"/>
      <w:bookmarkEnd w:id="8"/>
      <w:r w:rsidRPr="00B219B2">
        <w:rPr>
          <w:rFonts w:ascii="David" w:hAnsi="David"/>
          <w:spacing w:val="10"/>
          <w:rtl/>
        </w:rPr>
        <w:lastRenderedPageBreak/>
        <w:t xml:space="preserve">ביום 5.7.2023 הורשע הנאשם על פי הודאתו בביצוע עבירה של </w:t>
      </w:r>
      <w:r w:rsidRPr="00B219B2">
        <w:rPr>
          <w:rFonts w:ascii="Garamond" w:hAnsi="Garamond"/>
          <w:b/>
          <w:bCs/>
          <w:spacing w:val="10"/>
          <w:rtl/>
        </w:rPr>
        <w:t>החזקת סמים שלא לצריכה עצמית</w:t>
      </w:r>
      <w:r w:rsidRPr="00B219B2">
        <w:rPr>
          <w:rFonts w:ascii="Garamond" w:hAnsi="Garamond"/>
          <w:spacing w:val="10"/>
          <w:rtl/>
        </w:rPr>
        <w:t xml:space="preserve"> לפי </w:t>
      </w:r>
      <w:hyperlink r:id="rId15" w:history="1">
        <w:r w:rsidR="00B239E6" w:rsidRPr="00B239E6">
          <w:rPr>
            <w:rStyle w:val="Hyperlink"/>
            <w:rFonts w:ascii="Garamond" w:hAnsi="Garamond" w:hint="eastAsia"/>
            <w:spacing w:val="10"/>
            <w:rtl/>
          </w:rPr>
          <w:t>סעיף</w:t>
        </w:r>
        <w:r w:rsidR="00B239E6" w:rsidRPr="00B239E6">
          <w:rPr>
            <w:rStyle w:val="Hyperlink"/>
            <w:rFonts w:ascii="Garamond" w:hAnsi="Garamond"/>
            <w:spacing w:val="10"/>
            <w:rtl/>
          </w:rPr>
          <w:t xml:space="preserve"> 7(</w:t>
        </w:r>
        <w:r w:rsidR="00B239E6" w:rsidRPr="00B239E6">
          <w:rPr>
            <w:rStyle w:val="Hyperlink"/>
            <w:rFonts w:ascii="Garamond" w:hAnsi="Garamond" w:hint="eastAsia"/>
            <w:spacing w:val="10"/>
            <w:rtl/>
          </w:rPr>
          <w:t>א</w:t>
        </w:r>
        <w:r w:rsidR="00B239E6" w:rsidRPr="00B239E6">
          <w:rPr>
            <w:rStyle w:val="Hyperlink"/>
            <w:rFonts w:ascii="Garamond" w:hAnsi="Garamond"/>
            <w:spacing w:val="10"/>
            <w:rtl/>
          </w:rPr>
          <w:t>)</w:t>
        </w:r>
      </w:hyperlink>
      <w:r w:rsidRPr="00B219B2">
        <w:rPr>
          <w:rFonts w:ascii="Garamond" w:hAnsi="Garamond"/>
          <w:spacing w:val="10"/>
          <w:rtl/>
        </w:rPr>
        <w:t xml:space="preserve"> בצירוף </w:t>
      </w:r>
      <w:hyperlink r:id="rId16" w:history="1">
        <w:r w:rsidR="00B239E6" w:rsidRPr="00B239E6">
          <w:rPr>
            <w:rStyle w:val="Hyperlink"/>
            <w:rFonts w:ascii="Garamond" w:hAnsi="Garamond" w:hint="eastAsia"/>
            <w:spacing w:val="10"/>
            <w:rtl/>
          </w:rPr>
          <w:t>סעיף</w:t>
        </w:r>
        <w:r w:rsidR="00B239E6" w:rsidRPr="00B239E6">
          <w:rPr>
            <w:rStyle w:val="Hyperlink"/>
            <w:rFonts w:ascii="Garamond" w:hAnsi="Garamond"/>
            <w:spacing w:val="10"/>
            <w:rtl/>
          </w:rPr>
          <w:t xml:space="preserve"> 7(</w:t>
        </w:r>
        <w:r w:rsidR="00B239E6" w:rsidRPr="00B239E6">
          <w:rPr>
            <w:rStyle w:val="Hyperlink"/>
            <w:rFonts w:ascii="Garamond" w:hAnsi="Garamond" w:hint="eastAsia"/>
            <w:spacing w:val="10"/>
            <w:rtl/>
          </w:rPr>
          <w:t>ג</w:t>
        </w:r>
        <w:r w:rsidR="00B239E6" w:rsidRPr="00B239E6">
          <w:rPr>
            <w:rStyle w:val="Hyperlink"/>
            <w:rFonts w:ascii="Garamond" w:hAnsi="Garamond"/>
            <w:spacing w:val="10"/>
            <w:rtl/>
          </w:rPr>
          <w:t>)</w:t>
        </w:r>
      </w:hyperlink>
      <w:r w:rsidRPr="00B219B2">
        <w:rPr>
          <w:rFonts w:ascii="Garamond" w:hAnsi="Garamond"/>
          <w:spacing w:val="10"/>
          <w:rtl/>
        </w:rPr>
        <w:t xml:space="preserve"> רישא ל</w:t>
      </w:r>
      <w:hyperlink r:id="rId17" w:history="1">
        <w:r w:rsidR="00B15077" w:rsidRPr="00B15077">
          <w:rPr>
            <w:rFonts w:ascii="Garamond" w:hAnsi="Garamond" w:hint="eastAsia"/>
            <w:color w:val="0000FF"/>
            <w:spacing w:val="10"/>
            <w:u w:val="single"/>
            <w:rtl/>
          </w:rPr>
          <w:t>פקודת</w:t>
        </w:r>
        <w:r w:rsidR="00B15077" w:rsidRPr="00B15077">
          <w:rPr>
            <w:rFonts w:ascii="Garamond" w:hAnsi="Garamond"/>
            <w:color w:val="0000FF"/>
            <w:spacing w:val="10"/>
            <w:u w:val="single"/>
            <w:rtl/>
          </w:rPr>
          <w:t xml:space="preserve"> </w:t>
        </w:r>
        <w:r w:rsidR="00B15077" w:rsidRPr="00B15077">
          <w:rPr>
            <w:rFonts w:ascii="Garamond" w:hAnsi="Garamond" w:hint="eastAsia"/>
            <w:color w:val="0000FF"/>
            <w:spacing w:val="10"/>
            <w:u w:val="single"/>
            <w:rtl/>
          </w:rPr>
          <w:t>הסמים</w:t>
        </w:r>
        <w:r w:rsidR="00B15077" w:rsidRPr="00B15077">
          <w:rPr>
            <w:rFonts w:ascii="Garamond" w:hAnsi="Garamond"/>
            <w:color w:val="0000FF"/>
            <w:spacing w:val="10"/>
            <w:u w:val="single"/>
            <w:rtl/>
          </w:rPr>
          <w:t xml:space="preserve"> </w:t>
        </w:r>
        <w:r w:rsidR="00B15077" w:rsidRPr="00B15077">
          <w:rPr>
            <w:rFonts w:ascii="Garamond" w:hAnsi="Garamond" w:hint="eastAsia"/>
            <w:color w:val="0000FF"/>
            <w:spacing w:val="10"/>
            <w:u w:val="single"/>
            <w:rtl/>
          </w:rPr>
          <w:t>המסוכנים</w:t>
        </w:r>
      </w:hyperlink>
      <w:r w:rsidRPr="00B219B2">
        <w:rPr>
          <w:rFonts w:ascii="Garamond" w:hAnsi="Garamond"/>
          <w:spacing w:val="10"/>
          <w:rtl/>
        </w:rPr>
        <w:t xml:space="preserve"> (נוסח חדש) תשל"ג- 1973 (להלן: "</w:t>
      </w:r>
      <w:r w:rsidRPr="00B219B2">
        <w:rPr>
          <w:rFonts w:ascii="Garamond" w:hAnsi="Garamond"/>
          <w:b/>
          <w:bCs/>
          <w:spacing w:val="10"/>
          <w:rtl/>
        </w:rPr>
        <w:t>הפקודה</w:t>
      </w:r>
      <w:r w:rsidRPr="00B219B2">
        <w:rPr>
          <w:rFonts w:ascii="Garamond" w:hAnsi="Garamond"/>
          <w:spacing w:val="10"/>
          <w:rtl/>
        </w:rPr>
        <w:t>"), במסגרת הסדר טיעון.</w:t>
      </w:r>
    </w:p>
    <w:p w14:paraId="0C9135F8" w14:textId="77777777" w:rsidR="00DC1412" w:rsidRPr="00B219B2" w:rsidRDefault="00DC1412" w:rsidP="00DC1412">
      <w:pPr>
        <w:numPr>
          <w:ilvl w:val="0"/>
          <w:numId w:val="1"/>
        </w:numPr>
        <w:tabs>
          <w:tab w:val="left" w:pos="800"/>
          <w:tab w:val="num" w:pos="907"/>
        </w:tabs>
        <w:overflowPunct w:val="0"/>
        <w:autoSpaceDE w:val="0"/>
        <w:autoSpaceDN w:val="0"/>
        <w:adjustRightInd w:val="0"/>
        <w:spacing w:after="160" w:line="360" w:lineRule="auto"/>
        <w:ind w:left="0" w:firstLine="0"/>
        <w:jc w:val="both"/>
        <w:rPr>
          <w:rFonts w:ascii="Garamond" w:hAnsi="Garamond"/>
          <w:spacing w:val="10"/>
          <w:rtl/>
        </w:rPr>
      </w:pPr>
      <w:bookmarkStart w:id="9" w:name="ABSTRACT_END"/>
      <w:bookmarkEnd w:id="9"/>
      <w:r w:rsidRPr="00B219B2">
        <w:rPr>
          <w:rFonts w:ascii="Garamond" w:hAnsi="Garamond"/>
          <w:spacing w:val="10"/>
          <w:rtl/>
        </w:rPr>
        <w:t xml:space="preserve">על פי עובדות כתב האישום בו הורשע הנאשם, ביום 22.1.2021, בשעה 15:17, בסמוך למושב אדרת, החזיק הנאשם ברכבו מסוג ב.מ.ו ל.ז. 4677655, סם מסוכן מסוג קוקאין במשקל </w:t>
      </w:r>
      <w:r w:rsidRPr="00B219B2">
        <w:rPr>
          <w:rFonts w:ascii="Garamond" w:hAnsi="Garamond"/>
          <w:b/>
          <w:bCs/>
          <w:spacing w:val="10"/>
          <w:rtl/>
        </w:rPr>
        <w:t xml:space="preserve">0.8443 </w:t>
      </w:r>
      <w:r w:rsidRPr="00B219B2">
        <w:rPr>
          <w:rFonts w:ascii="Garamond" w:hAnsi="Garamond"/>
          <w:spacing w:val="10"/>
          <w:rtl/>
        </w:rPr>
        <w:t xml:space="preserve">גרם נטו וסם מסוכן מסוג קנבוס במשקל </w:t>
      </w:r>
      <w:r w:rsidRPr="00B219B2">
        <w:rPr>
          <w:rFonts w:ascii="Garamond" w:hAnsi="Garamond"/>
          <w:b/>
          <w:bCs/>
          <w:spacing w:val="10"/>
          <w:rtl/>
        </w:rPr>
        <w:t xml:space="preserve">10.86 </w:t>
      </w:r>
      <w:r w:rsidRPr="00B219B2">
        <w:rPr>
          <w:rFonts w:ascii="Garamond" w:hAnsi="Garamond"/>
          <w:spacing w:val="10"/>
          <w:rtl/>
        </w:rPr>
        <w:t>גרם נטו שהינם ס</w:t>
      </w:r>
      <w:r>
        <w:rPr>
          <w:rFonts w:ascii="Garamond" w:hAnsi="Garamond" w:hint="cs"/>
          <w:spacing w:val="10"/>
          <w:rtl/>
        </w:rPr>
        <w:t>מי</w:t>
      </w:r>
      <w:r w:rsidRPr="00B219B2">
        <w:rPr>
          <w:rFonts w:ascii="Garamond" w:hAnsi="Garamond"/>
          <w:spacing w:val="10"/>
          <w:rtl/>
        </w:rPr>
        <w:t>ם מסוכ</w:t>
      </w:r>
      <w:r>
        <w:rPr>
          <w:rFonts w:ascii="Garamond" w:hAnsi="Garamond" w:hint="cs"/>
          <w:spacing w:val="10"/>
          <w:rtl/>
        </w:rPr>
        <w:t>נים</w:t>
      </w:r>
      <w:r w:rsidRPr="00B219B2">
        <w:rPr>
          <w:rFonts w:ascii="Garamond" w:hAnsi="Garamond"/>
          <w:spacing w:val="10"/>
          <w:rtl/>
        </w:rPr>
        <w:t xml:space="preserve"> לפי הפקודה</w:t>
      </w:r>
      <w:r>
        <w:rPr>
          <w:rFonts w:ascii="Garamond" w:hAnsi="Garamond" w:hint="cs"/>
          <w:spacing w:val="10"/>
          <w:rtl/>
        </w:rPr>
        <w:t>,</w:t>
      </w:r>
      <w:r w:rsidRPr="00B219B2">
        <w:rPr>
          <w:rFonts w:ascii="Garamond" w:hAnsi="Garamond"/>
          <w:spacing w:val="10"/>
          <w:rtl/>
        </w:rPr>
        <w:t xml:space="preserve"> זאת בלי היתר </w:t>
      </w:r>
      <w:r>
        <w:rPr>
          <w:rFonts w:ascii="Garamond" w:hAnsi="Garamond" w:hint="cs"/>
          <w:spacing w:val="10"/>
          <w:rtl/>
        </w:rPr>
        <w:t xml:space="preserve">כדין, </w:t>
      </w:r>
      <w:r w:rsidRPr="00B219B2">
        <w:rPr>
          <w:rFonts w:ascii="Garamond" w:hAnsi="Garamond"/>
          <w:spacing w:val="10"/>
          <w:rtl/>
        </w:rPr>
        <w:t xml:space="preserve">ושלא לצריכתו העצמית. </w:t>
      </w:r>
    </w:p>
    <w:p w14:paraId="39D0204B" w14:textId="77777777" w:rsidR="00DC1412" w:rsidRPr="00B219B2" w:rsidRDefault="00DC1412" w:rsidP="00DC1412">
      <w:pPr>
        <w:numPr>
          <w:ilvl w:val="0"/>
          <w:numId w:val="1"/>
        </w:numPr>
        <w:tabs>
          <w:tab w:val="left" w:pos="800"/>
          <w:tab w:val="num" w:pos="907"/>
        </w:tabs>
        <w:overflowPunct w:val="0"/>
        <w:autoSpaceDE w:val="0"/>
        <w:autoSpaceDN w:val="0"/>
        <w:adjustRightInd w:val="0"/>
        <w:spacing w:after="160" w:line="360" w:lineRule="auto"/>
        <w:ind w:left="0" w:firstLine="0"/>
        <w:jc w:val="both"/>
        <w:rPr>
          <w:rFonts w:ascii="Garamond" w:hAnsi="Garamond"/>
          <w:spacing w:val="10"/>
        </w:rPr>
      </w:pPr>
      <w:r w:rsidRPr="00B219B2">
        <w:rPr>
          <w:rFonts w:ascii="Garamond" w:hAnsi="Garamond"/>
          <w:spacing w:val="10"/>
          <w:rtl/>
        </w:rPr>
        <w:t xml:space="preserve">במסגרת הסדר הטיעון שאליו הגיעו הצדדים הוסכם שהנאשם יודה ויורשע בכתב האישום, יופנה לקבלת תסקיר שירות מבחן אשר יבחן, בין היתר, את ביטול הרשעת הנאשם בדין. אשר לעונש, הסכימה המאשימה שתגביל עצמה לעונש מאסר בפועל בן 4 חודשים שיכול וירוצה בעבודות שירות ואילו ההגנה תטען באופן חופשי. </w:t>
      </w:r>
    </w:p>
    <w:p w14:paraId="0073B5BE" w14:textId="77777777" w:rsidR="00DC1412" w:rsidRPr="00B219B2" w:rsidRDefault="00DC1412" w:rsidP="00DC1412">
      <w:pPr>
        <w:spacing w:after="160" w:line="256" w:lineRule="auto"/>
        <w:rPr>
          <w:rFonts w:ascii="Calibri" w:eastAsia="Calibri" w:hAnsi="Calibri"/>
          <w:b/>
          <w:bCs/>
          <w:u w:val="single"/>
          <w:rtl/>
        </w:rPr>
      </w:pPr>
      <w:r w:rsidRPr="00B219B2">
        <w:rPr>
          <w:rFonts w:ascii="Calibri" w:eastAsia="Calibri" w:hAnsi="Calibri"/>
          <w:b/>
          <w:bCs/>
          <w:u w:val="single"/>
          <w:rtl/>
        </w:rPr>
        <w:t>תסקיר שירות מבחן</w:t>
      </w:r>
    </w:p>
    <w:p w14:paraId="720FDAFD" w14:textId="77777777" w:rsidR="00DC1412" w:rsidRPr="00B219B2" w:rsidRDefault="00DC1412" w:rsidP="00DC1412">
      <w:pPr>
        <w:numPr>
          <w:ilvl w:val="0"/>
          <w:numId w:val="1"/>
        </w:numPr>
        <w:tabs>
          <w:tab w:val="left" w:pos="800"/>
          <w:tab w:val="num" w:pos="907"/>
        </w:tabs>
        <w:overflowPunct w:val="0"/>
        <w:autoSpaceDE w:val="0"/>
        <w:autoSpaceDN w:val="0"/>
        <w:adjustRightInd w:val="0"/>
        <w:spacing w:after="160" w:line="360" w:lineRule="auto"/>
        <w:ind w:left="0" w:firstLine="0"/>
        <w:jc w:val="both"/>
        <w:rPr>
          <w:rFonts w:ascii="Garamond" w:hAnsi="Garamond"/>
          <w:spacing w:val="10"/>
          <w:rtl/>
        </w:rPr>
      </w:pPr>
      <w:r w:rsidRPr="00B219B2">
        <w:rPr>
          <w:rFonts w:ascii="Garamond" w:hAnsi="Garamond"/>
          <w:spacing w:val="10"/>
          <w:rtl/>
        </w:rPr>
        <w:t>מתסקיר שירות המבחן עולה כי הנאשם, בן 40, גרוש ואב לשני ילדים קטינים. מזה 15 שנים עובד כעצמאי. על פי האמור בתסקיר, לנאשם עבר רפואי מורכב</w:t>
      </w:r>
      <w:r>
        <w:rPr>
          <w:rFonts w:ascii="Garamond" w:hAnsi="Garamond" w:hint="cs"/>
          <w:spacing w:val="10"/>
          <w:rtl/>
        </w:rPr>
        <w:t>.</w:t>
      </w:r>
      <w:r w:rsidRPr="00B219B2">
        <w:rPr>
          <w:rFonts w:ascii="Garamond" w:hAnsi="Garamond"/>
          <w:spacing w:val="10"/>
          <w:rtl/>
        </w:rPr>
        <w:t xml:space="preserve"> </w:t>
      </w:r>
    </w:p>
    <w:p w14:paraId="6551191D" w14:textId="77777777" w:rsidR="00DC1412" w:rsidRPr="003035A8" w:rsidRDefault="00DC1412" w:rsidP="00DC1412">
      <w:pPr>
        <w:numPr>
          <w:ilvl w:val="0"/>
          <w:numId w:val="1"/>
        </w:numPr>
        <w:tabs>
          <w:tab w:val="left" w:pos="800"/>
          <w:tab w:val="num" w:pos="907"/>
        </w:tabs>
        <w:overflowPunct w:val="0"/>
        <w:autoSpaceDE w:val="0"/>
        <w:autoSpaceDN w:val="0"/>
        <w:adjustRightInd w:val="0"/>
        <w:spacing w:after="160" w:line="360" w:lineRule="auto"/>
        <w:ind w:left="0" w:firstLine="0"/>
        <w:jc w:val="both"/>
        <w:rPr>
          <w:rFonts w:ascii="Garamond" w:hAnsi="Garamond"/>
          <w:spacing w:val="10"/>
          <w:rtl/>
        </w:rPr>
      </w:pPr>
      <w:r w:rsidRPr="00B219B2">
        <w:rPr>
          <w:rFonts w:ascii="Garamond" w:hAnsi="Garamond"/>
          <w:spacing w:val="10"/>
          <w:rtl/>
        </w:rPr>
        <w:t xml:space="preserve">מתסקיר שירות המבחן עולה כי הנאשם החל לצרוך קנביס בתדירות גבוהה ויומיומית מגיל 26 כאשר ברקע לכך התמודדות עם כאבים פיזיים בשל מצבו הבריאותי. הנאשם מסר כי בעקבות  העבירה נשוא הליך זה, פעל להסדרת השימוש בקנביס באופן חוקי וכיום מחזיק באישור לשימוש בקנביס רפואי. </w:t>
      </w:r>
    </w:p>
    <w:p w14:paraId="733D66FE" w14:textId="77777777" w:rsidR="00DC1412" w:rsidRPr="003035A8" w:rsidRDefault="00DC1412" w:rsidP="00DC1412">
      <w:pPr>
        <w:numPr>
          <w:ilvl w:val="0"/>
          <w:numId w:val="1"/>
        </w:numPr>
        <w:tabs>
          <w:tab w:val="left" w:pos="800"/>
          <w:tab w:val="num" w:pos="907"/>
        </w:tabs>
        <w:overflowPunct w:val="0"/>
        <w:autoSpaceDE w:val="0"/>
        <w:autoSpaceDN w:val="0"/>
        <w:adjustRightInd w:val="0"/>
        <w:spacing w:after="160" w:line="360" w:lineRule="auto"/>
        <w:ind w:left="0" w:firstLine="0"/>
        <w:jc w:val="both"/>
        <w:rPr>
          <w:rFonts w:ascii="Garamond" w:hAnsi="Garamond"/>
          <w:spacing w:val="10"/>
          <w:rtl/>
        </w:rPr>
      </w:pPr>
      <w:r w:rsidRPr="00B219B2">
        <w:rPr>
          <w:rFonts w:ascii="Garamond" w:hAnsi="Garamond"/>
          <w:b/>
          <w:bCs/>
          <w:spacing w:val="10"/>
          <w:rtl/>
        </w:rPr>
        <w:t>בהתייחסותו להחזקת הסמים המיוחסים לו,</w:t>
      </w:r>
      <w:r w:rsidRPr="00B219B2">
        <w:rPr>
          <w:rFonts w:ascii="Garamond" w:hAnsi="Garamond"/>
          <w:spacing w:val="10"/>
          <w:rtl/>
        </w:rPr>
        <w:t xml:space="preserve"> אמנם הנאשם לקח אחריות על ביצוע העבירה, אך שלל כי היה מודע להחזקת </w:t>
      </w:r>
      <w:r>
        <w:rPr>
          <w:rFonts w:ascii="Garamond" w:hAnsi="Garamond" w:hint="cs"/>
          <w:spacing w:val="10"/>
          <w:rtl/>
        </w:rPr>
        <w:t xml:space="preserve">הסם מסוג </w:t>
      </w:r>
      <w:r w:rsidRPr="00B219B2">
        <w:rPr>
          <w:rFonts w:ascii="Garamond" w:hAnsi="Garamond"/>
          <w:spacing w:val="10"/>
          <w:rtl/>
        </w:rPr>
        <w:t>קוקאין שנתפסו ברכבו. בפני שירות המבחן העלה הנאשם סברה כי הסם שייך</w:t>
      </w:r>
      <w:r>
        <w:rPr>
          <w:rFonts w:ascii="Garamond" w:hAnsi="Garamond" w:hint="cs"/>
          <w:spacing w:val="10"/>
          <w:rtl/>
        </w:rPr>
        <w:t xml:space="preserve"> כנראה</w:t>
      </w:r>
      <w:r w:rsidRPr="00B219B2">
        <w:rPr>
          <w:rFonts w:ascii="Garamond" w:hAnsi="Garamond"/>
          <w:spacing w:val="10"/>
          <w:rtl/>
        </w:rPr>
        <w:t xml:space="preserve"> לאדם אחר אשר נסע ברכבו. עם זאת, הנאשם הצהיר בפני שירות המבחן כי מבין שמציאת הסם ברכבו הינה תחת אחריותו ועל כן הודה גם בהחזקת הקוקאין. על בסיס גרסה זו, התרשם שירות המבחן כי על אף שהנאשם מבטא לקיחת אחריות על ביצוע העבירה, הנאשם מרחיק את מעורבותו ונוטה </w:t>
      </w:r>
      <w:r>
        <w:rPr>
          <w:rFonts w:ascii="Garamond" w:hAnsi="Garamond" w:hint="cs"/>
          <w:spacing w:val="10"/>
          <w:rtl/>
        </w:rPr>
        <w:t>לטשטש ו</w:t>
      </w:r>
      <w:r w:rsidRPr="00B219B2">
        <w:rPr>
          <w:rFonts w:ascii="Garamond" w:hAnsi="Garamond"/>
          <w:spacing w:val="10"/>
          <w:rtl/>
        </w:rPr>
        <w:t xml:space="preserve">להקטין אותה. כמו כן, צוין כי הנאשם שולל נזקקות טיפולית בתחום השימוש בסמים או בכל תחום אחר. </w:t>
      </w:r>
    </w:p>
    <w:p w14:paraId="15A508F9" w14:textId="77777777" w:rsidR="00DC1412" w:rsidRPr="001419B4" w:rsidRDefault="00DC1412" w:rsidP="00DC1412">
      <w:pPr>
        <w:numPr>
          <w:ilvl w:val="0"/>
          <w:numId w:val="1"/>
        </w:numPr>
        <w:tabs>
          <w:tab w:val="left" w:pos="800"/>
          <w:tab w:val="num" w:pos="907"/>
        </w:tabs>
        <w:overflowPunct w:val="0"/>
        <w:autoSpaceDE w:val="0"/>
        <w:autoSpaceDN w:val="0"/>
        <w:adjustRightInd w:val="0"/>
        <w:spacing w:after="160" w:line="360" w:lineRule="auto"/>
        <w:ind w:left="0" w:firstLine="0"/>
        <w:jc w:val="both"/>
        <w:rPr>
          <w:rFonts w:ascii="Garamond" w:hAnsi="Garamond"/>
          <w:spacing w:val="10"/>
          <w:rtl/>
        </w:rPr>
      </w:pPr>
      <w:r w:rsidRPr="00B219B2">
        <w:rPr>
          <w:rFonts w:ascii="Garamond" w:hAnsi="Garamond"/>
          <w:spacing w:val="10"/>
          <w:rtl/>
        </w:rPr>
        <w:t>בתסקירו עמד שירות המבחן על גורמי הסיכוי לשיקום ו</w:t>
      </w:r>
      <w:r>
        <w:rPr>
          <w:rFonts w:ascii="Garamond" w:hAnsi="Garamond" w:hint="cs"/>
          <w:spacing w:val="10"/>
          <w:rtl/>
        </w:rPr>
        <w:t xml:space="preserve">גורמי </w:t>
      </w:r>
      <w:r w:rsidRPr="00B219B2">
        <w:rPr>
          <w:rFonts w:ascii="Garamond" w:hAnsi="Garamond"/>
          <w:spacing w:val="10"/>
          <w:rtl/>
        </w:rPr>
        <w:t xml:space="preserve">הסיכון הטמונים אצל הנאשם. </w:t>
      </w:r>
      <w:r w:rsidRPr="00B219B2">
        <w:rPr>
          <w:rFonts w:ascii="Garamond" w:hAnsi="Garamond"/>
          <w:b/>
          <w:bCs/>
          <w:spacing w:val="10"/>
          <w:rtl/>
        </w:rPr>
        <w:t>אשר  לסיכוי שיקום</w:t>
      </w:r>
      <w:r w:rsidRPr="00B219B2">
        <w:rPr>
          <w:rFonts w:ascii="Garamond" w:hAnsi="Garamond"/>
          <w:spacing w:val="10"/>
          <w:rtl/>
        </w:rPr>
        <w:t xml:space="preserve"> ציין שירות כי זוהי הסתבכותו הראשונה והיחידה של הנאשם עם החוק וכן את יכולותיו הקוגניטיביות הגבוהות. שירות המבחן התרשם כי לאחר </w:t>
      </w:r>
      <w:r>
        <w:rPr>
          <w:rFonts w:ascii="Garamond" w:hAnsi="Garamond" w:hint="cs"/>
          <w:spacing w:val="10"/>
          <w:rtl/>
        </w:rPr>
        <w:t xml:space="preserve">ביצוע </w:t>
      </w:r>
      <w:r w:rsidRPr="00B219B2">
        <w:rPr>
          <w:rFonts w:ascii="Garamond" w:hAnsi="Garamond"/>
          <w:spacing w:val="10"/>
          <w:rtl/>
        </w:rPr>
        <w:t>העבירה, הנאשם פעל להסדרת אישור</w:t>
      </w:r>
      <w:r>
        <w:rPr>
          <w:rFonts w:ascii="Garamond" w:hAnsi="Garamond"/>
          <w:spacing w:val="10"/>
          <w:rtl/>
        </w:rPr>
        <w:t xml:space="preserve"> לצריכת קנביס</w:t>
      </w:r>
      <w:r>
        <w:rPr>
          <w:rFonts w:ascii="Garamond" w:hAnsi="Garamond" w:hint="cs"/>
          <w:spacing w:val="10"/>
          <w:rtl/>
        </w:rPr>
        <w:t xml:space="preserve">, דבר המלמד על ניסיון </w:t>
      </w:r>
      <w:r>
        <w:rPr>
          <w:rFonts w:ascii="Garamond" w:hAnsi="Garamond"/>
          <w:spacing w:val="10"/>
          <w:rtl/>
        </w:rPr>
        <w:t>לפעול בתוך גבולות החוק</w:t>
      </w:r>
      <w:r w:rsidRPr="00B219B2">
        <w:rPr>
          <w:rFonts w:ascii="Garamond" w:hAnsi="Garamond"/>
          <w:spacing w:val="10"/>
          <w:rtl/>
        </w:rPr>
        <w:t xml:space="preserve">. </w:t>
      </w:r>
      <w:r w:rsidRPr="00B219B2">
        <w:rPr>
          <w:rFonts w:ascii="Garamond" w:hAnsi="Garamond"/>
          <w:b/>
          <w:bCs/>
          <w:spacing w:val="10"/>
          <w:rtl/>
        </w:rPr>
        <w:t>אשר לגורמי סיכון</w:t>
      </w:r>
      <w:r w:rsidRPr="00B219B2">
        <w:rPr>
          <w:rFonts w:ascii="Garamond" w:hAnsi="Garamond"/>
          <w:spacing w:val="10"/>
          <w:rtl/>
        </w:rPr>
        <w:t xml:space="preserve">: שירות המבחן ציין את התנהלותו הלא מבוקרת של הנאשם בתקופה הרלוונטית לכתב האישום. שירות המבחן התרשם כי הנאשם </w:t>
      </w:r>
      <w:r w:rsidRPr="00B219B2">
        <w:rPr>
          <w:rFonts w:ascii="Garamond" w:hAnsi="Garamond"/>
          <w:spacing w:val="10"/>
          <w:rtl/>
        </w:rPr>
        <w:lastRenderedPageBreak/>
        <w:t xml:space="preserve">מחזיק בעמדות מקלות ראש ביחס לסמים ובחירתו לצרוך סמים כמענה לקשיים רגשיים ופיסיים עמם התמודד. שירות המבחן ציין את הנגישות הקיימת לנאשם לסמים ולקיומם של קשרים חברתיים בעייתיים. </w:t>
      </w:r>
    </w:p>
    <w:p w14:paraId="7756051B" w14:textId="77777777" w:rsidR="00DC1412" w:rsidRPr="001419B4" w:rsidRDefault="00DC1412" w:rsidP="00DC1412">
      <w:pPr>
        <w:numPr>
          <w:ilvl w:val="0"/>
          <w:numId w:val="1"/>
        </w:numPr>
        <w:tabs>
          <w:tab w:val="left" w:pos="800"/>
          <w:tab w:val="num" w:pos="907"/>
        </w:tabs>
        <w:overflowPunct w:val="0"/>
        <w:autoSpaceDE w:val="0"/>
        <w:autoSpaceDN w:val="0"/>
        <w:adjustRightInd w:val="0"/>
        <w:spacing w:after="160" w:line="360" w:lineRule="auto"/>
        <w:ind w:left="0" w:firstLine="0"/>
        <w:jc w:val="both"/>
        <w:rPr>
          <w:rFonts w:ascii="Garamond" w:hAnsi="Garamond"/>
          <w:spacing w:val="10"/>
        </w:rPr>
      </w:pPr>
      <w:r w:rsidRPr="00B219B2">
        <w:rPr>
          <w:rFonts w:ascii="Garamond" w:hAnsi="Garamond"/>
          <w:spacing w:val="10"/>
          <w:rtl/>
        </w:rPr>
        <w:t xml:space="preserve">שירות המבחן העריך כי קיים סיכון להתנהגות עוברת חוק, אך ניכר כי ההליך המשפטי המתנהל כנגד הנאשם מהווה עבורו גורם מרתיע ומייצב התנהגות. </w:t>
      </w:r>
    </w:p>
    <w:p w14:paraId="3A0ED60B" w14:textId="77777777" w:rsidR="00DC1412" w:rsidRDefault="00DC1412" w:rsidP="00DC1412">
      <w:pPr>
        <w:numPr>
          <w:ilvl w:val="0"/>
          <w:numId w:val="1"/>
        </w:numPr>
        <w:tabs>
          <w:tab w:val="left" w:pos="800"/>
          <w:tab w:val="num" w:pos="907"/>
        </w:tabs>
        <w:overflowPunct w:val="0"/>
        <w:autoSpaceDE w:val="0"/>
        <w:autoSpaceDN w:val="0"/>
        <w:adjustRightInd w:val="0"/>
        <w:spacing w:after="160" w:line="360" w:lineRule="auto"/>
        <w:ind w:left="0" w:firstLine="0"/>
        <w:jc w:val="both"/>
        <w:rPr>
          <w:rFonts w:ascii="Garamond" w:hAnsi="Garamond"/>
          <w:spacing w:val="10"/>
        </w:rPr>
      </w:pPr>
      <w:r w:rsidRPr="00B219B2">
        <w:rPr>
          <w:rFonts w:ascii="Garamond" w:hAnsi="Garamond"/>
          <w:spacing w:val="10"/>
          <w:rtl/>
        </w:rPr>
        <w:t xml:space="preserve">לבסוף, מאחר שהנאשם שלל צורך בסיוע טיפולי ועל אף התרשמותו של שירות המבחן כי קיימת חשיבות בשילובו של הנאשם בטיפול רגשי, שירות המבחן לא בא בהמלצה טיפולית בעניינו של הנאשם. </w:t>
      </w:r>
    </w:p>
    <w:p w14:paraId="663639F0" w14:textId="77777777" w:rsidR="00DC1412" w:rsidRPr="00B219B2" w:rsidRDefault="00DC1412" w:rsidP="00DC1412">
      <w:pPr>
        <w:numPr>
          <w:ilvl w:val="0"/>
          <w:numId w:val="1"/>
        </w:numPr>
        <w:tabs>
          <w:tab w:val="left" w:pos="800"/>
          <w:tab w:val="num" w:pos="907"/>
        </w:tabs>
        <w:overflowPunct w:val="0"/>
        <w:autoSpaceDE w:val="0"/>
        <w:autoSpaceDN w:val="0"/>
        <w:adjustRightInd w:val="0"/>
        <w:spacing w:after="160" w:line="360" w:lineRule="auto"/>
        <w:ind w:left="0" w:firstLine="0"/>
        <w:jc w:val="both"/>
        <w:rPr>
          <w:rFonts w:ascii="Garamond" w:hAnsi="Garamond"/>
          <w:spacing w:val="10"/>
          <w:rtl/>
        </w:rPr>
      </w:pPr>
      <w:r w:rsidRPr="00B219B2">
        <w:rPr>
          <w:rFonts w:ascii="Garamond" w:hAnsi="Garamond"/>
          <w:spacing w:val="10"/>
          <w:rtl/>
        </w:rPr>
        <w:t xml:space="preserve">אשר לביטול הרשעתו של הנאשם בדין, שירות המבחן התרשם כי הנאשם לקח אחריות על מעשיו ברמה הצהרתית בלבד ולא הציג מסמך רשמי המעיד על פגיעה אפשרית בתעסוקתו ובעתידו. נוכח כך, שירות המבחן לא המליץ על ביטול הרשעת הנאשם בדין. </w:t>
      </w:r>
    </w:p>
    <w:p w14:paraId="49599324" w14:textId="77777777" w:rsidR="00DC1412" w:rsidRPr="00B219B2" w:rsidRDefault="00DC1412" w:rsidP="00DC1412">
      <w:pPr>
        <w:spacing w:after="160" w:line="256" w:lineRule="auto"/>
        <w:rPr>
          <w:rFonts w:ascii="Calibri" w:eastAsia="Calibri" w:hAnsi="Calibri"/>
          <w:b/>
          <w:bCs/>
          <w:u w:val="single"/>
          <w:rtl/>
        </w:rPr>
      </w:pPr>
      <w:r w:rsidRPr="00B219B2">
        <w:rPr>
          <w:rFonts w:ascii="Calibri" w:eastAsia="Calibri" w:hAnsi="Calibri"/>
          <w:b/>
          <w:bCs/>
          <w:u w:val="single"/>
          <w:rtl/>
        </w:rPr>
        <w:t xml:space="preserve">תסקיר משלים </w:t>
      </w:r>
    </w:p>
    <w:p w14:paraId="0C6E9596" w14:textId="77777777" w:rsidR="00DC1412" w:rsidRPr="00B219B2" w:rsidRDefault="00DC1412" w:rsidP="00DC1412">
      <w:pPr>
        <w:numPr>
          <w:ilvl w:val="0"/>
          <w:numId w:val="1"/>
        </w:numPr>
        <w:tabs>
          <w:tab w:val="left" w:pos="800"/>
          <w:tab w:val="num" w:pos="907"/>
        </w:tabs>
        <w:overflowPunct w:val="0"/>
        <w:autoSpaceDE w:val="0"/>
        <w:autoSpaceDN w:val="0"/>
        <w:adjustRightInd w:val="0"/>
        <w:spacing w:after="160" w:line="360" w:lineRule="auto"/>
        <w:ind w:left="0" w:firstLine="0"/>
        <w:jc w:val="both"/>
        <w:rPr>
          <w:rFonts w:ascii="David" w:hAnsi="David"/>
          <w:spacing w:val="10"/>
          <w:sz w:val="22"/>
          <w:rtl/>
        </w:rPr>
      </w:pPr>
      <w:r>
        <w:rPr>
          <w:rFonts w:ascii="David" w:hAnsi="David" w:hint="cs"/>
          <w:spacing w:val="10"/>
          <w:sz w:val="22"/>
          <w:rtl/>
        </w:rPr>
        <w:t>ב</w:t>
      </w:r>
      <w:r w:rsidRPr="00B219B2">
        <w:rPr>
          <w:rFonts w:ascii="David" w:hAnsi="David"/>
          <w:spacing w:val="10"/>
          <w:sz w:val="22"/>
          <w:rtl/>
        </w:rPr>
        <w:t xml:space="preserve">תסקיר שהוגש ביום 26.3.2024 תיאר שירות המבחן את הקשיים עימם נתקל בקיום מפגש עם הנאשם ועריכת התסקיר המשלים. שירות המבחן תיאר את העליות והמורדות שאפיינו את המפגש הנוכחי </w:t>
      </w:r>
      <w:r>
        <w:rPr>
          <w:rFonts w:ascii="David" w:hAnsi="David" w:hint="cs"/>
          <w:spacing w:val="10"/>
          <w:sz w:val="22"/>
          <w:rtl/>
        </w:rPr>
        <w:t xml:space="preserve">עם </w:t>
      </w:r>
      <w:r w:rsidRPr="00B219B2">
        <w:rPr>
          <w:rFonts w:ascii="David" w:hAnsi="David"/>
          <w:spacing w:val="10"/>
          <w:sz w:val="22"/>
          <w:rtl/>
        </w:rPr>
        <w:t xml:space="preserve">הנאשם. שירות המבחן ציין כי בסופו של יום הנאשם הגיע לפגישה ובמהלכה הציג </w:t>
      </w:r>
      <w:r w:rsidRPr="00B219B2">
        <w:rPr>
          <w:rFonts w:ascii="David" w:hAnsi="David"/>
          <w:spacing w:val="10"/>
          <w:sz w:val="22"/>
          <w:u w:val="single"/>
          <w:rtl/>
        </w:rPr>
        <w:t>מסמך רשמי ממעסיקו המעיד על פגיעה אפשרית בתעסוקתו במידה ויורשע. שירות המבחן ציין כי הנאשם הציג מסמכים רפואיים על ההליך הטיפולי שעבר ברגלו, היתר עדכני לשימוש בסם מסוג קנבוס ואישור לימודים.</w:t>
      </w:r>
      <w:r w:rsidRPr="00B219B2">
        <w:rPr>
          <w:rFonts w:ascii="David" w:hAnsi="David"/>
          <w:spacing w:val="10"/>
          <w:sz w:val="22"/>
          <w:rtl/>
        </w:rPr>
        <w:t xml:space="preserve"> </w:t>
      </w:r>
    </w:p>
    <w:p w14:paraId="096D563D" w14:textId="77777777" w:rsidR="00DC1412" w:rsidRPr="00B219B2" w:rsidRDefault="00DC1412" w:rsidP="00DC1412">
      <w:pPr>
        <w:tabs>
          <w:tab w:val="left" w:pos="800"/>
        </w:tabs>
        <w:overflowPunct w:val="0"/>
        <w:autoSpaceDE w:val="0"/>
        <w:autoSpaceDN w:val="0"/>
        <w:adjustRightInd w:val="0"/>
        <w:spacing w:line="360" w:lineRule="auto"/>
        <w:jc w:val="both"/>
        <w:rPr>
          <w:rFonts w:ascii="David" w:hAnsi="David"/>
          <w:spacing w:val="10"/>
          <w:sz w:val="22"/>
        </w:rPr>
      </w:pPr>
    </w:p>
    <w:p w14:paraId="42922539" w14:textId="77777777" w:rsidR="00DC1412" w:rsidRPr="00B219B2" w:rsidRDefault="00DC1412" w:rsidP="00DC1412">
      <w:pPr>
        <w:numPr>
          <w:ilvl w:val="0"/>
          <w:numId w:val="1"/>
        </w:numPr>
        <w:tabs>
          <w:tab w:val="left" w:pos="800"/>
          <w:tab w:val="num" w:pos="907"/>
        </w:tabs>
        <w:overflowPunct w:val="0"/>
        <w:autoSpaceDE w:val="0"/>
        <w:autoSpaceDN w:val="0"/>
        <w:adjustRightInd w:val="0"/>
        <w:spacing w:after="160" w:line="360" w:lineRule="auto"/>
        <w:ind w:left="0" w:firstLine="0"/>
        <w:jc w:val="both"/>
        <w:rPr>
          <w:rFonts w:ascii="David" w:hAnsi="David"/>
          <w:spacing w:val="10"/>
          <w:sz w:val="22"/>
        </w:rPr>
      </w:pPr>
      <w:r w:rsidRPr="00B219B2">
        <w:rPr>
          <w:rFonts w:ascii="David" w:hAnsi="David"/>
          <w:spacing w:val="10"/>
          <w:sz w:val="22"/>
          <w:rtl/>
        </w:rPr>
        <w:t xml:space="preserve">בתסקיר המשלים הודגש כי </w:t>
      </w:r>
      <w:r w:rsidRPr="00B219B2">
        <w:rPr>
          <w:rFonts w:ascii="David" w:hAnsi="David"/>
          <w:spacing w:val="10"/>
          <w:rtl/>
        </w:rPr>
        <w:t>במהלך פגישה זו הובהר לנאשם שקיימות סוגיות רגשיות אישיות לא מעובדות המשפיעות על דרך בחירתו.</w:t>
      </w:r>
      <w:r w:rsidRPr="00B219B2">
        <w:rPr>
          <w:rFonts w:ascii="David" w:hAnsi="David"/>
          <w:spacing w:val="10"/>
          <w:sz w:val="22"/>
          <w:rtl/>
        </w:rPr>
        <w:t xml:space="preserve"> גם לאחר שיחה זו התרשמות שירות המבחן היא כי לקיחת האחריות על מעשיו היא ברמה ההצהרתית בלבד. שירות המבחן ציין כי להתרשמותו, דרוש לעבד סוגיה זו. לאחר שיחה זו, הסכים הנאשם כי אכן קיימים גורמי סיכון אישיותיים שלא טופלו ולא עובדו וכי הוא מסכים להשתלב בהליך טיפולי. עם זאת, הנאשם התנה את השתלבותו בהליך טיפולי במסגרת פרטית וזאת מאחר שהמענה הטיפולי הניתן בקבוצות טיפוליות הממוקדות בדפוסים עבריינים אינו עונה על צרכיו ומאפייניו.</w:t>
      </w:r>
    </w:p>
    <w:p w14:paraId="7BAAC4FC" w14:textId="77777777" w:rsidR="00DC1412" w:rsidRPr="00B219B2" w:rsidRDefault="00DC1412" w:rsidP="00DC1412">
      <w:pPr>
        <w:numPr>
          <w:ilvl w:val="0"/>
          <w:numId w:val="1"/>
        </w:numPr>
        <w:tabs>
          <w:tab w:val="left" w:pos="800"/>
          <w:tab w:val="num" w:pos="907"/>
        </w:tabs>
        <w:overflowPunct w:val="0"/>
        <w:autoSpaceDE w:val="0"/>
        <w:autoSpaceDN w:val="0"/>
        <w:adjustRightInd w:val="0"/>
        <w:spacing w:after="160" w:line="360" w:lineRule="auto"/>
        <w:ind w:left="0" w:firstLine="0"/>
        <w:jc w:val="both"/>
        <w:rPr>
          <w:rFonts w:ascii="David" w:hAnsi="David"/>
          <w:spacing w:val="10"/>
        </w:rPr>
      </w:pPr>
      <w:r w:rsidRPr="00B219B2">
        <w:rPr>
          <w:rFonts w:ascii="David" w:hAnsi="David"/>
          <w:spacing w:val="10"/>
          <w:rtl/>
        </w:rPr>
        <w:t xml:space="preserve">שירות המבחן העריך כי יש ביכולותיו של הנאשם לעבור הליך טיפולי של התבוננות מעמיקה על דפוסי התנהלותו ולסגל לעצמו דרכי התמודדות אדפטיביים יותר מאלו בהם נהג בעבר. על כן, המליץ שירות המבחן כי בעיתוי הנוכחי, ענישה מוחשית עלולה לעכב את הניסיון שעורך הנאשם לחזור לתפקוד תקין ומלא ולפגוע בהליך הטיפולי בו מעוניין הנאשם להשתלב. </w:t>
      </w:r>
    </w:p>
    <w:p w14:paraId="6153EA1C" w14:textId="77777777" w:rsidR="00DC1412" w:rsidRPr="00B219B2" w:rsidRDefault="00DC1412" w:rsidP="00DC1412">
      <w:pPr>
        <w:numPr>
          <w:ilvl w:val="0"/>
          <w:numId w:val="1"/>
        </w:numPr>
        <w:tabs>
          <w:tab w:val="left" w:pos="800"/>
          <w:tab w:val="num" w:pos="907"/>
        </w:tabs>
        <w:overflowPunct w:val="0"/>
        <w:autoSpaceDE w:val="0"/>
        <w:autoSpaceDN w:val="0"/>
        <w:adjustRightInd w:val="0"/>
        <w:spacing w:after="160" w:line="360" w:lineRule="auto"/>
        <w:ind w:left="0" w:firstLine="0"/>
        <w:jc w:val="both"/>
        <w:rPr>
          <w:rFonts w:ascii="David" w:hAnsi="David"/>
          <w:spacing w:val="10"/>
        </w:rPr>
      </w:pPr>
      <w:r w:rsidRPr="00B219B2">
        <w:rPr>
          <w:rFonts w:ascii="David" w:hAnsi="David"/>
          <w:spacing w:val="10"/>
          <w:rtl/>
        </w:rPr>
        <w:t xml:space="preserve">נוכח כל אלו, שירות המבחן המליץ על העמדת הנאשם בצו מבחן למשך 12 חודשים. כמו כן, שירות המבחן המליץ על ביטול הרשעת הנאשם בדין. זאת, נוכח הפגיעה האפשרית בתעסוקתו וכן הנכונות שמבטא הנאשם להשתלב בהליך טיפולי.  </w:t>
      </w:r>
    </w:p>
    <w:p w14:paraId="6B492A08" w14:textId="77777777" w:rsidR="00DC1412" w:rsidRPr="00B219B2" w:rsidRDefault="00DC1412" w:rsidP="00DC1412">
      <w:pPr>
        <w:spacing w:after="160" w:line="256" w:lineRule="auto"/>
        <w:rPr>
          <w:rFonts w:ascii="Calibri" w:eastAsia="Calibri" w:hAnsi="Calibri"/>
          <w:b/>
          <w:bCs/>
          <w:u w:val="single"/>
          <w:rtl/>
        </w:rPr>
      </w:pPr>
      <w:r w:rsidRPr="00B219B2">
        <w:rPr>
          <w:rFonts w:ascii="Calibri" w:eastAsia="Calibri" w:hAnsi="Calibri"/>
          <w:b/>
          <w:bCs/>
          <w:u w:val="single"/>
          <w:rtl/>
        </w:rPr>
        <w:t>ראיות לעונש</w:t>
      </w:r>
    </w:p>
    <w:p w14:paraId="70DE6A64" w14:textId="77777777" w:rsidR="00DC1412" w:rsidRPr="00B219B2" w:rsidRDefault="00DC1412" w:rsidP="00DC1412">
      <w:pPr>
        <w:numPr>
          <w:ilvl w:val="0"/>
          <w:numId w:val="1"/>
        </w:numPr>
        <w:tabs>
          <w:tab w:val="left" w:pos="800"/>
          <w:tab w:val="num" w:pos="907"/>
        </w:tabs>
        <w:overflowPunct w:val="0"/>
        <w:autoSpaceDE w:val="0"/>
        <w:autoSpaceDN w:val="0"/>
        <w:adjustRightInd w:val="0"/>
        <w:spacing w:after="160" w:line="360" w:lineRule="auto"/>
        <w:ind w:left="0" w:firstLine="0"/>
        <w:jc w:val="both"/>
        <w:rPr>
          <w:rFonts w:ascii="Garamond" w:hAnsi="Garamond"/>
          <w:spacing w:val="10"/>
          <w:rtl/>
        </w:rPr>
      </w:pPr>
      <w:r w:rsidRPr="00B219B2">
        <w:rPr>
          <w:rFonts w:ascii="Garamond" w:hAnsi="Garamond"/>
          <w:spacing w:val="10"/>
          <w:rtl/>
        </w:rPr>
        <w:t xml:space="preserve">מטעם המאשימה לא הוגשו ראיות לעונש. </w:t>
      </w:r>
    </w:p>
    <w:p w14:paraId="1FA47757" w14:textId="77777777" w:rsidR="00DC1412" w:rsidRPr="00B219B2" w:rsidRDefault="00DC1412" w:rsidP="00DC1412">
      <w:pPr>
        <w:numPr>
          <w:ilvl w:val="0"/>
          <w:numId w:val="1"/>
        </w:numPr>
        <w:tabs>
          <w:tab w:val="left" w:pos="800"/>
          <w:tab w:val="num" w:pos="907"/>
        </w:tabs>
        <w:overflowPunct w:val="0"/>
        <w:autoSpaceDE w:val="0"/>
        <w:autoSpaceDN w:val="0"/>
        <w:adjustRightInd w:val="0"/>
        <w:spacing w:after="160" w:line="360" w:lineRule="auto"/>
        <w:ind w:left="0" w:firstLine="0"/>
        <w:jc w:val="both"/>
        <w:rPr>
          <w:rFonts w:ascii="Garamond" w:hAnsi="Garamond"/>
          <w:spacing w:val="10"/>
        </w:rPr>
      </w:pPr>
      <w:r w:rsidRPr="00B219B2">
        <w:rPr>
          <w:rFonts w:ascii="Garamond" w:hAnsi="Garamond"/>
          <w:spacing w:val="10"/>
          <w:rtl/>
        </w:rPr>
        <w:t xml:space="preserve">מטעם ההגנה הוגשו </w:t>
      </w:r>
      <w:r>
        <w:rPr>
          <w:rFonts w:ascii="Garamond" w:hAnsi="Garamond"/>
          <w:spacing w:val="10"/>
          <w:rtl/>
        </w:rPr>
        <w:t xml:space="preserve">המסמכים הבאים: תעודת תואר </w:t>
      </w:r>
      <w:r>
        <w:rPr>
          <w:rFonts w:ascii="Garamond" w:hAnsi="Garamond" w:hint="cs"/>
          <w:spacing w:val="10"/>
          <w:rtl/>
        </w:rPr>
        <w:t>"</w:t>
      </w:r>
      <w:r>
        <w:rPr>
          <w:rFonts w:ascii="Garamond" w:hAnsi="Garamond"/>
          <w:spacing w:val="10"/>
          <w:rtl/>
        </w:rPr>
        <w:t xml:space="preserve">בוגר </w:t>
      </w:r>
      <w:r>
        <w:rPr>
          <w:rFonts w:ascii="Garamond" w:hAnsi="Garamond" w:hint="cs"/>
          <w:spacing w:val="10"/>
          <w:rtl/>
        </w:rPr>
        <w:t>ל</w:t>
      </w:r>
      <w:r w:rsidRPr="00B219B2">
        <w:rPr>
          <w:rFonts w:ascii="Garamond" w:hAnsi="Garamond"/>
          <w:spacing w:val="10"/>
          <w:rtl/>
        </w:rPr>
        <w:t>מדעים בכימיה" מאוני</w:t>
      </w:r>
      <w:hyperlink r:id="rId18" w:history="1">
        <w:r w:rsidR="00B15077" w:rsidRPr="00B15077">
          <w:rPr>
            <w:rFonts w:ascii="Garamond" w:hAnsi="Garamond" w:hint="eastAsia"/>
            <w:color w:val="000000"/>
            <w:spacing w:val="10"/>
            <w:rtl/>
          </w:rPr>
          <w:t>ברסיטת</w:t>
        </w:r>
        <w:r w:rsidR="00B15077" w:rsidRPr="00B15077">
          <w:rPr>
            <w:rFonts w:ascii="Garamond" w:hAnsi="Garamond"/>
            <w:color w:val="000000"/>
            <w:spacing w:val="10"/>
            <w:rtl/>
          </w:rPr>
          <w:t xml:space="preserve"> </w:t>
        </w:r>
        <w:r w:rsidR="00B15077" w:rsidRPr="00B15077">
          <w:rPr>
            <w:rFonts w:ascii="Garamond" w:hAnsi="Garamond" w:hint="eastAsia"/>
            <w:color w:val="000000"/>
            <w:spacing w:val="10"/>
            <w:rtl/>
          </w:rPr>
          <w:t>בן</w:t>
        </w:r>
        <w:r w:rsidR="00B15077" w:rsidRPr="00B15077">
          <w:rPr>
            <w:rFonts w:ascii="Garamond" w:hAnsi="Garamond"/>
            <w:color w:val="000000"/>
            <w:spacing w:val="10"/>
            <w:rtl/>
          </w:rPr>
          <w:t>-</w:t>
        </w:r>
        <w:r w:rsidR="00B15077" w:rsidRPr="00B15077">
          <w:rPr>
            <w:rFonts w:ascii="Garamond" w:hAnsi="Garamond" w:hint="eastAsia"/>
            <w:color w:val="000000"/>
            <w:spacing w:val="10"/>
            <w:rtl/>
          </w:rPr>
          <w:t>גוריון</w:t>
        </w:r>
      </w:hyperlink>
      <w:r w:rsidRPr="00B219B2">
        <w:rPr>
          <w:rFonts w:ascii="Garamond" w:hAnsi="Garamond"/>
          <w:spacing w:val="10"/>
          <w:rtl/>
        </w:rPr>
        <w:t xml:space="preserve"> בנגב (</w:t>
      </w:r>
      <w:r w:rsidRPr="00B219B2">
        <w:rPr>
          <w:rFonts w:ascii="Garamond" w:hAnsi="Garamond"/>
          <w:b/>
          <w:bCs/>
          <w:spacing w:val="10"/>
          <w:rtl/>
        </w:rPr>
        <w:t>נע/1</w:t>
      </w:r>
      <w:r w:rsidRPr="00B219B2">
        <w:rPr>
          <w:rFonts w:ascii="Garamond" w:hAnsi="Garamond"/>
          <w:spacing w:val="10"/>
          <w:rtl/>
        </w:rPr>
        <w:t>); חוות דעת רפואית</w:t>
      </w:r>
      <w:r>
        <w:rPr>
          <w:rFonts w:ascii="Garamond" w:hAnsi="Garamond" w:hint="cs"/>
          <w:spacing w:val="10"/>
          <w:rtl/>
        </w:rPr>
        <w:t>,</w:t>
      </w:r>
      <w:r w:rsidRPr="00B219B2">
        <w:rPr>
          <w:rFonts w:ascii="Garamond" w:hAnsi="Garamond"/>
          <w:spacing w:val="10"/>
          <w:rtl/>
        </w:rPr>
        <w:t xml:space="preserve"> מאת ד"ר עודד סתו (</w:t>
      </w:r>
      <w:r w:rsidRPr="00B219B2">
        <w:rPr>
          <w:rFonts w:ascii="Garamond" w:hAnsi="Garamond"/>
          <w:b/>
          <w:bCs/>
          <w:spacing w:val="10"/>
          <w:rtl/>
        </w:rPr>
        <w:t>נע/2)</w:t>
      </w:r>
      <w:r>
        <w:rPr>
          <w:rFonts w:ascii="Garamond" w:hAnsi="Garamond" w:hint="cs"/>
          <w:spacing w:val="10"/>
          <w:rtl/>
        </w:rPr>
        <w:t>, ממנה</w:t>
      </w:r>
      <w:r w:rsidRPr="00B219B2">
        <w:rPr>
          <w:rFonts w:ascii="Garamond" w:hAnsi="Garamond"/>
          <w:spacing w:val="10"/>
          <w:rtl/>
        </w:rPr>
        <w:t xml:space="preserve"> עולה כי הנאשם עבר פעמיים הליך של כריתה של פוליפים פרה-סרטניים מהמעי הגס; אישור שיתוף פעולה עסקי עם חברת סהר, ציוד מעבדה וכימיקלים בע"מ (</w:t>
      </w:r>
      <w:r w:rsidRPr="00B219B2">
        <w:rPr>
          <w:rFonts w:ascii="Garamond" w:hAnsi="Garamond"/>
          <w:b/>
          <w:bCs/>
          <w:spacing w:val="10"/>
          <w:rtl/>
        </w:rPr>
        <w:t>נע/3</w:t>
      </w:r>
      <w:r w:rsidRPr="00B219B2">
        <w:rPr>
          <w:rFonts w:ascii="Garamond" w:hAnsi="Garamond"/>
          <w:spacing w:val="10"/>
          <w:rtl/>
        </w:rPr>
        <w:t xml:space="preserve">). מ-נע/3 עולה כי הנאשם מספק לחברה שירותי יעוץ כימיים </w:t>
      </w:r>
      <w:r>
        <w:rPr>
          <w:rFonts w:ascii="Garamond" w:hAnsi="Garamond" w:hint="cs"/>
          <w:spacing w:val="10"/>
          <w:rtl/>
        </w:rPr>
        <w:t>מ</w:t>
      </w:r>
      <w:r w:rsidRPr="00B219B2">
        <w:rPr>
          <w:rFonts w:ascii="Garamond" w:hAnsi="Garamond"/>
          <w:spacing w:val="10"/>
          <w:rtl/>
        </w:rPr>
        <w:t xml:space="preserve">זה מספר שנים. במכתב צוין, כי במידה ולנאשם תהיה הרשעה פלילית, לא יהיה ניתן להמשיך הפעילות העסקית עמו; רישיון להחזקה ושימוש של סם מסוכן לפי </w:t>
      </w:r>
      <w:hyperlink r:id="rId19" w:history="1">
        <w:r w:rsidR="00B239E6" w:rsidRPr="00B239E6">
          <w:rPr>
            <w:rStyle w:val="Hyperlink"/>
            <w:rFonts w:ascii="Garamond" w:hAnsi="Garamond" w:hint="eastAsia"/>
            <w:spacing w:val="10"/>
            <w:rtl/>
          </w:rPr>
          <w:t>סעיף</w:t>
        </w:r>
        <w:r w:rsidR="00B239E6" w:rsidRPr="00B239E6">
          <w:rPr>
            <w:rStyle w:val="Hyperlink"/>
            <w:rFonts w:ascii="Garamond" w:hAnsi="Garamond"/>
            <w:spacing w:val="10"/>
            <w:rtl/>
          </w:rPr>
          <w:t xml:space="preserve"> 7</w:t>
        </w:r>
      </w:hyperlink>
      <w:r w:rsidRPr="00B219B2">
        <w:rPr>
          <w:rFonts w:ascii="Garamond" w:hAnsi="Garamond"/>
          <w:spacing w:val="10"/>
          <w:rtl/>
        </w:rPr>
        <w:t xml:space="preserve"> ל</w:t>
      </w:r>
      <w:hyperlink r:id="rId20" w:history="1">
        <w:r w:rsidR="00B15077" w:rsidRPr="00B15077">
          <w:rPr>
            <w:rFonts w:ascii="Garamond" w:hAnsi="Garamond" w:hint="eastAsia"/>
            <w:color w:val="0000FF"/>
            <w:spacing w:val="10"/>
            <w:u w:val="single"/>
            <w:rtl/>
          </w:rPr>
          <w:t>פקודת</w:t>
        </w:r>
        <w:r w:rsidR="00B15077" w:rsidRPr="00B15077">
          <w:rPr>
            <w:rFonts w:ascii="Garamond" w:hAnsi="Garamond"/>
            <w:color w:val="0000FF"/>
            <w:spacing w:val="10"/>
            <w:u w:val="single"/>
            <w:rtl/>
          </w:rPr>
          <w:t xml:space="preserve"> </w:t>
        </w:r>
        <w:r w:rsidR="00B15077" w:rsidRPr="00B15077">
          <w:rPr>
            <w:rFonts w:ascii="Garamond" w:hAnsi="Garamond" w:hint="eastAsia"/>
            <w:color w:val="0000FF"/>
            <w:spacing w:val="10"/>
            <w:u w:val="single"/>
            <w:rtl/>
          </w:rPr>
          <w:t>הסמים</w:t>
        </w:r>
        <w:r w:rsidR="00B15077" w:rsidRPr="00B15077">
          <w:rPr>
            <w:rFonts w:ascii="Garamond" w:hAnsi="Garamond"/>
            <w:color w:val="0000FF"/>
            <w:spacing w:val="10"/>
            <w:u w:val="single"/>
            <w:rtl/>
          </w:rPr>
          <w:t xml:space="preserve"> </w:t>
        </w:r>
        <w:r w:rsidR="00B15077" w:rsidRPr="00B15077">
          <w:rPr>
            <w:rFonts w:ascii="Garamond" w:hAnsi="Garamond" w:hint="eastAsia"/>
            <w:color w:val="0000FF"/>
            <w:spacing w:val="10"/>
            <w:u w:val="single"/>
            <w:rtl/>
          </w:rPr>
          <w:t>המסוכנים</w:t>
        </w:r>
      </w:hyperlink>
      <w:r w:rsidRPr="00B219B2">
        <w:rPr>
          <w:rFonts w:ascii="Garamond" w:hAnsi="Garamond"/>
          <w:spacing w:val="10"/>
          <w:rtl/>
        </w:rPr>
        <w:t xml:space="preserve"> (</w:t>
      </w:r>
      <w:r w:rsidRPr="00B219B2">
        <w:rPr>
          <w:rFonts w:ascii="Garamond" w:hAnsi="Garamond"/>
          <w:b/>
          <w:bCs/>
          <w:spacing w:val="10"/>
          <w:rtl/>
        </w:rPr>
        <w:t>נע/4</w:t>
      </w:r>
      <w:r w:rsidRPr="00B219B2">
        <w:rPr>
          <w:rFonts w:ascii="Garamond" w:hAnsi="Garamond"/>
          <w:spacing w:val="10"/>
          <w:rtl/>
        </w:rPr>
        <w:t xml:space="preserve">). </w:t>
      </w:r>
    </w:p>
    <w:p w14:paraId="03830593" w14:textId="77777777" w:rsidR="00DC1412" w:rsidRPr="00B219B2" w:rsidRDefault="00DC1412" w:rsidP="00DC1412">
      <w:pPr>
        <w:spacing w:line="360" w:lineRule="auto"/>
        <w:rPr>
          <w:rFonts w:ascii="Arial" w:eastAsia="Calibri" w:hAnsi="Arial"/>
          <w:b/>
          <w:bCs/>
          <w:u w:val="single"/>
          <w:rtl/>
        </w:rPr>
      </w:pPr>
      <w:r w:rsidRPr="00B219B2">
        <w:rPr>
          <w:rFonts w:ascii="Arial" w:eastAsia="Calibri" w:hAnsi="Arial"/>
          <w:b/>
          <w:bCs/>
          <w:u w:val="single"/>
          <w:rtl/>
        </w:rPr>
        <w:t xml:space="preserve">עיקרי טיעוני הצדדים </w:t>
      </w:r>
    </w:p>
    <w:p w14:paraId="54797805" w14:textId="77777777" w:rsidR="00DC1412" w:rsidRPr="00B219B2" w:rsidRDefault="00DC1412" w:rsidP="00DC1412">
      <w:pPr>
        <w:numPr>
          <w:ilvl w:val="0"/>
          <w:numId w:val="1"/>
        </w:numPr>
        <w:tabs>
          <w:tab w:val="left" w:pos="800"/>
          <w:tab w:val="num" w:pos="907"/>
        </w:tabs>
        <w:overflowPunct w:val="0"/>
        <w:autoSpaceDE w:val="0"/>
        <w:autoSpaceDN w:val="0"/>
        <w:adjustRightInd w:val="0"/>
        <w:spacing w:after="160" w:line="360" w:lineRule="auto"/>
        <w:ind w:left="0" w:firstLine="0"/>
        <w:jc w:val="both"/>
        <w:rPr>
          <w:rFonts w:ascii="Garamond" w:hAnsi="Garamond"/>
          <w:spacing w:val="10"/>
        </w:rPr>
      </w:pPr>
      <w:r w:rsidRPr="00942E11">
        <w:rPr>
          <w:rFonts w:ascii="Garamond" w:hAnsi="Garamond"/>
          <w:b/>
          <w:bCs/>
          <w:spacing w:val="10"/>
          <w:rtl/>
        </w:rPr>
        <w:t>ב"כ המאשימה</w:t>
      </w:r>
      <w:r w:rsidRPr="00B219B2">
        <w:rPr>
          <w:rFonts w:ascii="Garamond" w:hAnsi="Garamond"/>
          <w:spacing w:val="10"/>
          <w:rtl/>
        </w:rPr>
        <w:t xml:space="preserve"> עמד בטיעוניו על עובדות כתב האישום שבהן הורשע הנאשם, על הערך המוגן בעבירה ונסיבות ביצוע העבירה. המאשימה עתרה לקבוע מתחם ענישה שנע בין 8-18 חודשי מאסר בפועל. אשר לעונש המתאים, בנסיבותיו של נאשם זה, ובכלל זה, העדר עבר פלילי, נסיבות חיים ונסיבות רפואיות מורכבות, עתרה המאשימה להשית עליו עונש מאסר בפועל למשך 4 חודשים שיכול וירוצה בדרך של עבודות שירות לצד מאסר מותנה, קנס והתחייבות. </w:t>
      </w:r>
    </w:p>
    <w:p w14:paraId="52FE4AAE" w14:textId="77777777" w:rsidR="00DC1412" w:rsidRPr="00B219B2" w:rsidRDefault="00DC1412" w:rsidP="00DC1412">
      <w:pPr>
        <w:numPr>
          <w:ilvl w:val="0"/>
          <w:numId w:val="1"/>
        </w:numPr>
        <w:tabs>
          <w:tab w:val="left" w:pos="800"/>
          <w:tab w:val="num" w:pos="907"/>
        </w:tabs>
        <w:overflowPunct w:val="0"/>
        <w:autoSpaceDE w:val="0"/>
        <w:autoSpaceDN w:val="0"/>
        <w:adjustRightInd w:val="0"/>
        <w:spacing w:after="160" w:line="360" w:lineRule="auto"/>
        <w:ind w:left="0" w:firstLine="0"/>
        <w:jc w:val="both"/>
        <w:rPr>
          <w:rFonts w:ascii="Garamond" w:hAnsi="Garamond"/>
          <w:spacing w:val="10"/>
          <w:rtl/>
        </w:rPr>
      </w:pPr>
      <w:r w:rsidRPr="00B219B2">
        <w:rPr>
          <w:rFonts w:ascii="Garamond" w:hAnsi="Garamond"/>
          <w:spacing w:val="10"/>
          <w:rtl/>
        </w:rPr>
        <w:t>ביחס לשאלת אי ההרשעה, טענה המאשימה כי אין מקום לבטל הרשעת הנאשם בדין בשל נסיבותיו וההשפעה על עתידו. בתמיכה לטענתה, הפנתה ב"כ המאשימה ל</w:t>
      </w:r>
      <w:hyperlink r:id="rId21" w:history="1">
        <w:r w:rsidR="00B15077" w:rsidRPr="00B15077">
          <w:rPr>
            <w:rFonts w:ascii="Garamond" w:hAnsi="Garamond" w:hint="eastAsia"/>
            <w:color w:val="0000FF"/>
            <w:spacing w:val="10"/>
            <w:u w:val="single"/>
            <w:rtl/>
          </w:rPr>
          <w:t>רע</w:t>
        </w:r>
        <w:r w:rsidR="00B15077" w:rsidRPr="00B15077">
          <w:rPr>
            <w:rFonts w:ascii="Garamond" w:hAnsi="Garamond"/>
            <w:color w:val="0000FF"/>
            <w:spacing w:val="10"/>
            <w:u w:val="single"/>
            <w:rtl/>
          </w:rPr>
          <w:t>"</w:t>
        </w:r>
        <w:r w:rsidR="00B15077" w:rsidRPr="00B15077">
          <w:rPr>
            <w:rFonts w:ascii="Garamond" w:hAnsi="Garamond" w:hint="eastAsia"/>
            <w:color w:val="0000FF"/>
            <w:spacing w:val="10"/>
            <w:u w:val="single"/>
            <w:rtl/>
          </w:rPr>
          <w:t>פ</w:t>
        </w:r>
        <w:r w:rsidR="00B15077" w:rsidRPr="00B15077">
          <w:rPr>
            <w:rFonts w:ascii="Garamond" w:hAnsi="Garamond"/>
            <w:color w:val="0000FF"/>
            <w:spacing w:val="10"/>
            <w:u w:val="single"/>
            <w:rtl/>
          </w:rPr>
          <w:t xml:space="preserve"> 619/18</w:t>
        </w:r>
      </w:hyperlink>
      <w:r w:rsidRPr="00B219B2">
        <w:rPr>
          <w:rFonts w:ascii="David" w:hAnsi="David"/>
          <w:spacing w:val="10"/>
          <w:rtl/>
        </w:rPr>
        <w:t xml:space="preserve"> </w:t>
      </w:r>
      <w:r w:rsidRPr="00B219B2">
        <w:rPr>
          <w:rFonts w:ascii="David" w:hAnsi="David"/>
          <w:b/>
          <w:bCs/>
          <w:spacing w:val="10"/>
          <w:rtl/>
        </w:rPr>
        <w:t>משה בזיזינסקי</w:t>
      </w:r>
      <w:r w:rsidRPr="00B219B2">
        <w:rPr>
          <w:rFonts w:ascii="David" w:hAnsi="David"/>
          <w:spacing w:val="10"/>
          <w:rtl/>
        </w:rPr>
        <w:t xml:space="preserve"> נ'</w:t>
      </w:r>
      <w:r w:rsidR="00B15077">
        <w:rPr>
          <w:rFonts w:ascii="David" w:hAnsi="David"/>
          <w:spacing w:val="10"/>
          <w:rtl/>
        </w:rPr>
        <w:t xml:space="preserve"> </w:t>
      </w:r>
      <w:r w:rsidRPr="00B219B2">
        <w:rPr>
          <w:rFonts w:ascii="David" w:hAnsi="David"/>
          <w:b/>
          <w:bCs/>
          <w:spacing w:val="10"/>
          <w:rtl/>
        </w:rPr>
        <w:t>מדינת ישראל</w:t>
      </w:r>
      <w:r w:rsidRPr="00B219B2">
        <w:rPr>
          <w:rFonts w:ascii="David" w:hAnsi="David"/>
          <w:spacing w:val="10"/>
          <w:rtl/>
        </w:rPr>
        <w:t>.</w:t>
      </w:r>
    </w:p>
    <w:p w14:paraId="0083E083" w14:textId="77777777" w:rsidR="00DC1412" w:rsidRPr="00B219B2" w:rsidRDefault="00DC1412" w:rsidP="00DC1412">
      <w:pPr>
        <w:numPr>
          <w:ilvl w:val="0"/>
          <w:numId w:val="1"/>
        </w:numPr>
        <w:tabs>
          <w:tab w:val="left" w:pos="800"/>
          <w:tab w:val="num" w:pos="907"/>
        </w:tabs>
        <w:overflowPunct w:val="0"/>
        <w:autoSpaceDE w:val="0"/>
        <w:autoSpaceDN w:val="0"/>
        <w:adjustRightInd w:val="0"/>
        <w:spacing w:after="160" w:line="360" w:lineRule="auto"/>
        <w:ind w:left="0" w:firstLine="0"/>
        <w:jc w:val="both"/>
        <w:rPr>
          <w:rFonts w:ascii="Garamond" w:hAnsi="Garamond" w:cs="Arial"/>
          <w:spacing w:val="10"/>
          <w:szCs w:val="22"/>
          <w:rtl/>
        </w:rPr>
      </w:pPr>
      <w:r w:rsidRPr="00942E11">
        <w:rPr>
          <w:rFonts w:ascii="Garamond" w:hAnsi="Garamond"/>
          <w:b/>
          <w:bCs/>
          <w:spacing w:val="10"/>
          <w:rtl/>
        </w:rPr>
        <w:t>ב"כ הנאשם</w:t>
      </w:r>
      <w:r w:rsidRPr="00B219B2">
        <w:rPr>
          <w:rFonts w:ascii="Garamond" w:hAnsi="Garamond"/>
          <w:spacing w:val="10"/>
          <w:rtl/>
        </w:rPr>
        <w:t xml:space="preserve"> ביקש לאמץ את המלצת שירות המבחן ולבטל את הרשעת הנאשם בדין. </w:t>
      </w:r>
      <w:r>
        <w:rPr>
          <w:rFonts w:ascii="Garamond" w:hAnsi="Garamond" w:hint="cs"/>
          <w:spacing w:val="10"/>
          <w:rtl/>
        </w:rPr>
        <w:t>נטען כי</w:t>
      </w:r>
      <w:r w:rsidRPr="00B219B2">
        <w:rPr>
          <w:rFonts w:ascii="Garamond" w:hAnsi="Garamond"/>
          <w:spacing w:val="10"/>
          <w:rtl/>
        </w:rPr>
        <w:t xml:space="preserve"> הנאשם חשף עצמו למעסיקיו לבקשת שירות המבחן והציג מכתב מאת מנכ"ל החברה עימה הוא עובד. נטען כי האמור במכתב</w:t>
      </w:r>
      <w:r>
        <w:rPr>
          <w:rFonts w:ascii="Garamond" w:hAnsi="Garamond" w:hint="cs"/>
          <w:spacing w:val="10"/>
          <w:rtl/>
        </w:rPr>
        <w:t xml:space="preserve"> נע/3</w:t>
      </w:r>
      <w:r w:rsidRPr="00B219B2">
        <w:rPr>
          <w:rFonts w:ascii="Garamond" w:hAnsi="Garamond"/>
          <w:spacing w:val="10"/>
          <w:rtl/>
        </w:rPr>
        <w:t xml:space="preserve"> מוכיח נזק קונקרטי שייגרם לנאשם. </w:t>
      </w:r>
    </w:p>
    <w:p w14:paraId="5E48B943" w14:textId="77777777" w:rsidR="00DC1412" w:rsidRPr="00B219B2" w:rsidRDefault="00DC1412" w:rsidP="00DC1412">
      <w:pPr>
        <w:numPr>
          <w:ilvl w:val="0"/>
          <w:numId w:val="1"/>
        </w:numPr>
        <w:tabs>
          <w:tab w:val="left" w:pos="800"/>
          <w:tab w:val="num" w:pos="907"/>
        </w:tabs>
        <w:overflowPunct w:val="0"/>
        <w:autoSpaceDE w:val="0"/>
        <w:autoSpaceDN w:val="0"/>
        <w:adjustRightInd w:val="0"/>
        <w:spacing w:after="160" w:line="360" w:lineRule="auto"/>
        <w:ind w:left="0" w:firstLine="0"/>
        <w:jc w:val="both"/>
        <w:rPr>
          <w:rFonts w:ascii="Garamond" w:hAnsi="Garamond" w:cs="Arial"/>
          <w:spacing w:val="10"/>
          <w:szCs w:val="22"/>
        </w:rPr>
      </w:pPr>
      <w:r w:rsidRPr="00942E11">
        <w:rPr>
          <w:rFonts w:ascii="David" w:hAnsi="David"/>
          <w:spacing w:val="10"/>
          <w:rtl/>
        </w:rPr>
        <w:t>ב"כ הנאשם טען כי ההלכה המשפטית שגובשה ב</w:t>
      </w:r>
      <w:hyperlink r:id="rId22" w:history="1">
        <w:r w:rsidR="00B15077" w:rsidRPr="00B15077">
          <w:rPr>
            <w:rFonts w:ascii="David" w:hAnsi="David"/>
            <w:color w:val="0000FF"/>
            <w:spacing w:val="10"/>
            <w:u w:val="single"/>
            <w:rtl/>
          </w:rPr>
          <w:t>ע"פ 2083/96</w:t>
        </w:r>
      </w:hyperlink>
      <w:r w:rsidRPr="00B15077">
        <w:rPr>
          <w:rFonts w:ascii="David" w:hAnsi="David"/>
          <w:b/>
          <w:bCs/>
          <w:color w:val="000000"/>
          <w:spacing w:val="10"/>
          <w:rtl/>
        </w:rPr>
        <w:t xml:space="preserve"> כתב נ' מדינת ישראל</w:t>
      </w:r>
      <w:r w:rsidRPr="00B15077">
        <w:rPr>
          <w:rFonts w:ascii="David" w:hAnsi="David"/>
          <w:color w:val="000000"/>
          <w:spacing w:val="10"/>
          <w:rtl/>
        </w:rPr>
        <w:t>, פ"ד נב</w:t>
      </w:r>
      <w:r w:rsidRPr="00942E11">
        <w:rPr>
          <w:rFonts w:ascii="David" w:hAnsi="David"/>
          <w:spacing w:val="10"/>
          <w:rtl/>
        </w:rPr>
        <w:t>(3) 337 (1997) (להלן: "</w:t>
      </w:r>
      <w:r w:rsidRPr="00942E11">
        <w:rPr>
          <w:rFonts w:ascii="David" w:hAnsi="David"/>
          <w:b/>
          <w:bCs/>
          <w:spacing w:val="10"/>
          <w:rtl/>
        </w:rPr>
        <w:t>כתב</w:t>
      </w:r>
      <w:r w:rsidRPr="00942E11">
        <w:rPr>
          <w:rFonts w:ascii="David" w:hAnsi="David"/>
          <w:spacing w:val="10"/>
          <w:rtl/>
        </w:rPr>
        <w:t>")</w:t>
      </w:r>
      <w:r w:rsidRPr="00B219B2">
        <w:rPr>
          <w:rFonts w:ascii="Garamond" w:hAnsi="Garamond"/>
          <w:spacing w:val="10"/>
          <w:rtl/>
        </w:rPr>
        <w:t xml:space="preserve"> לביטול הרשעה נאשמים בדין, רוככה ודי במכתב שהוצג תוך חשיפת ההליך הפלילי למעסיקו כדי להביא לביטול ההרשעה בדין. ב"כ הנאשם טען באריכות כי הנאשם חשף את ההליך המתנהל נגדו למעסיקו על אף שלא חייב היה לעשות כן.</w:t>
      </w:r>
    </w:p>
    <w:p w14:paraId="26F8179C" w14:textId="77777777" w:rsidR="00DC1412" w:rsidRPr="00B219B2" w:rsidRDefault="00DC1412" w:rsidP="00DC1412">
      <w:pPr>
        <w:numPr>
          <w:ilvl w:val="0"/>
          <w:numId w:val="1"/>
        </w:numPr>
        <w:tabs>
          <w:tab w:val="left" w:pos="800"/>
          <w:tab w:val="num" w:pos="907"/>
        </w:tabs>
        <w:overflowPunct w:val="0"/>
        <w:autoSpaceDE w:val="0"/>
        <w:autoSpaceDN w:val="0"/>
        <w:adjustRightInd w:val="0"/>
        <w:spacing w:after="160" w:line="360" w:lineRule="auto"/>
        <w:ind w:left="0" w:firstLine="0"/>
        <w:jc w:val="both"/>
        <w:rPr>
          <w:rFonts w:ascii="Garamond" w:hAnsi="Garamond"/>
          <w:spacing w:val="10"/>
        </w:rPr>
      </w:pPr>
      <w:r w:rsidRPr="00B219B2">
        <w:rPr>
          <w:rFonts w:ascii="Garamond" w:hAnsi="Garamond"/>
          <w:spacing w:val="10"/>
          <w:rtl/>
        </w:rPr>
        <w:t>ב"כ הנאשם עמד על כך שהנאשם אדם נורמטיבי, בעל השכלה העובד למחייתו ככימאי. ב"כ הנאשם חזר והדגיש שהנאשם נעדר עבר פלילי, לקח אחריות מלאה על מעשיו, ומוכן לעבור הליך טיפולי מתוך הבנה שהוא זקוק להליך טיפולי ובשיתוף פעולה עם שירות המבחן. ב"כ הנאשם טען עוד כי הנאשם ביצע את העבירה כאשר היה שרוי בנסיבות רפואיות קשות ומורכבות.</w:t>
      </w:r>
    </w:p>
    <w:p w14:paraId="16AE7991" w14:textId="77777777" w:rsidR="00DC1412" w:rsidRPr="00B219B2" w:rsidRDefault="00DC1412" w:rsidP="00DC1412">
      <w:pPr>
        <w:numPr>
          <w:ilvl w:val="0"/>
          <w:numId w:val="1"/>
        </w:numPr>
        <w:tabs>
          <w:tab w:val="left" w:pos="800"/>
          <w:tab w:val="num" w:pos="907"/>
        </w:tabs>
        <w:overflowPunct w:val="0"/>
        <w:autoSpaceDE w:val="0"/>
        <w:autoSpaceDN w:val="0"/>
        <w:adjustRightInd w:val="0"/>
        <w:spacing w:after="160" w:line="360" w:lineRule="auto"/>
        <w:ind w:left="0" w:firstLine="0"/>
        <w:jc w:val="both"/>
        <w:rPr>
          <w:rFonts w:ascii="Garamond" w:hAnsi="Garamond" w:cs="Arial"/>
          <w:spacing w:val="10"/>
          <w:szCs w:val="22"/>
        </w:rPr>
      </w:pPr>
      <w:r w:rsidRPr="00B219B2">
        <w:rPr>
          <w:rFonts w:ascii="Garamond" w:hAnsi="Garamond"/>
          <w:spacing w:val="10"/>
          <w:rtl/>
        </w:rPr>
        <w:t>על כן, עתר ב"כ הנאשם לאמץ את המלצות שירות המבחן.</w:t>
      </w:r>
    </w:p>
    <w:p w14:paraId="3E7A6480" w14:textId="77777777" w:rsidR="00DC1412" w:rsidRPr="00B219B2" w:rsidRDefault="00DC1412" w:rsidP="00DC1412">
      <w:pPr>
        <w:numPr>
          <w:ilvl w:val="0"/>
          <w:numId w:val="1"/>
        </w:numPr>
        <w:tabs>
          <w:tab w:val="left" w:pos="800"/>
          <w:tab w:val="num" w:pos="907"/>
        </w:tabs>
        <w:overflowPunct w:val="0"/>
        <w:autoSpaceDE w:val="0"/>
        <w:autoSpaceDN w:val="0"/>
        <w:adjustRightInd w:val="0"/>
        <w:spacing w:after="160" w:line="360" w:lineRule="auto"/>
        <w:ind w:left="0" w:firstLine="0"/>
        <w:jc w:val="both"/>
        <w:rPr>
          <w:rFonts w:ascii="Garamond" w:hAnsi="Garamond"/>
          <w:spacing w:val="10"/>
        </w:rPr>
      </w:pPr>
      <w:r w:rsidRPr="00B219B2">
        <w:rPr>
          <w:rFonts w:ascii="Garamond" w:hAnsi="Garamond"/>
          <w:spacing w:val="10"/>
          <w:rtl/>
        </w:rPr>
        <w:t xml:space="preserve">במסגרת </w:t>
      </w:r>
      <w:r w:rsidRPr="00942E11">
        <w:rPr>
          <w:rFonts w:ascii="Garamond" w:hAnsi="Garamond"/>
          <w:b/>
          <w:bCs/>
          <w:spacing w:val="10"/>
          <w:rtl/>
        </w:rPr>
        <w:t>דברו האחרון הנאשם</w:t>
      </w:r>
      <w:r w:rsidRPr="00B219B2">
        <w:rPr>
          <w:rFonts w:ascii="Garamond" w:hAnsi="Garamond"/>
          <w:spacing w:val="10"/>
          <w:rtl/>
        </w:rPr>
        <w:t xml:space="preserve"> ביקש לאמץ את עתירת ב"כ. הנאשם הוסיף כי הוא מבין את מצבו וכי הוא לוקח אחריות על מעשיו. </w:t>
      </w:r>
    </w:p>
    <w:p w14:paraId="786E5E82" w14:textId="77777777" w:rsidR="00DC1412" w:rsidRPr="00B219B2" w:rsidRDefault="00DC1412" w:rsidP="00DC1412">
      <w:pPr>
        <w:spacing w:after="160" w:line="360" w:lineRule="auto"/>
        <w:jc w:val="both"/>
        <w:rPr>
          <w:rFonts w:ascii="David" w:eastAsia="Calibri" w:hAnsi="David"/>
          <w:b/>
          <w:bCs/>
          <w:u w:val="single"/>
          <w:rtl/>
        </w:rPr>
      </w:pPr>
      <w:r w:rsidRPr="00B219B2">
        <w:rPr>
          <w:rFonts w:ascii="David" w:eastAsia="Calibri" w:hAnsi="David"/>
          <w:b/>
          <w:bCs/>
          <w:u w:val="single"/>
          <w:rtl/>
        </w:rPr>
        <w:t>דיון והכרעה</w:t>
      </w:r>
      <w:r w:rsidRPr="00B219B2">
        <w:rPr>
          <w:rFonts w:ascii="David" w:eastAsia="Calibri" w:hAnsi="David"/>
          <w:color w:val="000000"/>
          <w:sz w:val="22"/>
          <w:rtl/>
        </w:rPr>
        <w:t>.</w:t>
      </w:r>
    </w:p>
    <w:p w14:paraId="3D2CA387" w14:textId="77777777" w:rsidR="00DC1412" w:rsidRPr="00B219B2" w:rsidRDefault="00DC1412" w:rsidP="00DC1412">
      <w:pPr>
        <w:spacing w:after="160" w:line="360" w:lineRule="auto"/>
        <w:jc w:val="both"/>
        <w:rPr>
          <w:rFonts w:ascii="David" w:eastAsia="Calibri" w:hAnsi="David"/>
          <w:b/>
          <w:bCs/>
          <w:u w:val="single"/>
          <w:rtl/>
        </w:rPr>
      </w:pPr>
      <w:r w:rsidRPr="00B219B2">
        <w:rPr>
          <w:rFonts w:ascii="Arial" w:eastAsia="Calibri" w:hAnsi="Arial"/>
          <w:u w:val="single"/>
          <w:rtl/>
        </w:rPr>
        <w:t>הערך המוגן, הנסיבות הקשורות בביצוע העבירה וקביעת המתחם</w:t>
      </w:r>
    </w:p>
    <w:p w14:paraId="748A4715" w14:textId="77777777" w:rsidR="00DC1412" w:rsidRPr="00B219B2" w:rsidRDefault="00DC1412" w:rsidP="00DC1412">
      <w:pPr>
        <w:numPr>
          <w:ilvl w:val="0"/>
          <w:numId w:val="1"/>
        </w:numPr>
        <w:tabs>
          <w:tab w:val="left" w:pos="800"/>
          <w:tab w:val="num" w:pos="907"/>
        </w:tabs>
        <w:overflowPunct w:val="0"/>
        <w:autoSpaceDE w:val="0"/>
        <w:autoSpaceDN w:val="0"/>
        <w:adjustRightInd w:val="0"/>
        <w:spacing w:after="160" w:line="360" w:lineRule="auto"/>
        <w:ind w:left="0" w:firstLine="0"/>
        <w:jc w:val="both"/>
        <w:rPr>
          <w:rFonts w:ascii="Garamond" w:hAnsi="Garamond"/>
          <w:spacing w:val="10"/>
          <w:rtl/>
        </w:rPr>
      </w:pPr>
      <w:r w:rsidRPr="00B219B2">
        <w:rPr>
          <w:rFonts w:ascii="Garamond" w:hAnsi="Garamond"/>
          <w:spacing w:val="10"/>
          <w:rtl/>
        </w:rPr>
        <w:t xml:space="preserve">כפי שפורט לעיל, הנאשם הורשע בעבירה של </w:t>
      </w:r>
      <w:r w:rsidRPr="00B219B2">
        <w:rPr>
          <w:rFonts w:ascii="Garamond" w:hAnsi="Garamond"/>
          <w:b/>
          <w:bCs/>
          <w:spacing w:val="10"/>
          <w:rtl/>
        </w:rPr>
        <w:t>החזקת סמים שלא לצריכה עצמית</w:t>
      </w:r>
      <w:r w:rsidRPr="00B219B2">
        <w:rPr>
          <w:rFonts w:ascii="Garamond" w:hAnsi="Garamond"/>
          <w:spacing w:val="10"/>
          <w:rtl/>
        </w:rPr>
        <w:t xml:space="preserve"> לפי </w:t>
      </w:r>
      <w:hyperlink r:id="rId23" w:history="1">
        <w:r w:rsidR="00B239E6" w:rsidRPr="00B239E6">
          <w:rPr>
            <w:rStyle w:val="Hyperlink"/>
            <w:rFonts w:ascii="Garamond" w:hAnsi="Garamond" w:hint="eastAsia"/>
            <w:spacing w:val="10"/>
            <w:rtl/>
          </w:rPr>
          <w:t>סעיף</w:t>
        </w:r>
        <w:r w:rsidR="00B239E6" w:rsidRPr="00B239E6">
          <w:rPr>
            <w:rStyle w:val="Hyperlink"/>
            <w:rFonts w:ascii="Garamond" w:hAnsi="Garamond"/>
            <w:spacing w:val="10"/>
            <w:rtl/>
          </w:rPr>
          <w:t xml:space="preserve"> 7(</w:t>
        </w:r>
        <w:r w:rsidR="00B239E6" w:rsidRPr="00B239E6">
          <w:rPr>
            <w:rStyle w:val="Hyperlink"/>
            <w:rFonts w:ascii="Garamond" w:hAnsi="Garamond" w:hint="eastAsia"/>
            <w:spacing w:val="10"/>
            <w:rtl/>
          </w:rPr>
          <w:t>א</w:t>
        </w:r>
        <w:r w:rsidR="00B239E6" w:rsidRPr="00B239E6">
          <w:rPr>
            <w:rStyle w:val="Hyperlink"/>
            <w:rFonts w:ascii="Garamond" w:hAnsi="Garamond"/>
            <w:spacing w:val="10"/>
            <w:rtl/>
          </w:rPr>
          <w:t>)+7(</w:t>
        </w:r>
        <w:r w:rsidR="00B239E6" w:rsidRPr="00B239E6">
          <w:rPr>
            <w:rStyle w:val="Hyperlink"/>
            <w:rFonts w:ascii="Garamond" w:hAnsi="Garamond" w:hint="eastAsia"/>
            <w:spacing w:val="10"/>
            <w:rtl/>
          </w:rPr>
          <w:t>ג</w:t>
        </w:r>
        <w:r w:rsidR="00B239E6" w:rsidRPr="00B239E6">
          <w:rPr>
            <w:rStyle w:val="Hyperlink"/>
            <w:rFonts w:ascii="Garamond" w:hAnsi="Garamond"/>
            <w:spacing w:val="10"/>
            <w:rtl/>
          </w:rPr>
          <w:t>)</w:t>
        </w:r>
      </w:hyperlink>
      <w:r w:rsidRPr="00B219B2">
        <w:rPr>
          <w:rFonts w:ascii="Garamond" w:hAnsi="Garamond"/>
          <w:spacing w:val="10"/>
          <w:rtl/>
        </w:rPr>
        <w:t xml:space="preserve"> רישא ל</w:t>
      </w:r>
      <w:hyperlink r:id="rId24" w:history="1">
        <w:r w:rsidR="00B15077" w:rsidRPr="00B15077">
          <w:rPr>
            <w:rFonts w:ascii="Garamond" w:hAnsi="Garamond" w:hint="eastAsia"/>
            <w:color w:val="0000FF"/>
            <w:spacing w:val="10"/>
            <w:u w:val="single"/>
            <w:rtl/>
          </w:rPr>
          <w:t>פקודת</w:t>
        </w:r>
        <w:r w:rsidR="00B15077" w:rsidRPr="00B15077">
          <w:rPr>
            <w:rFonts w:ascii="Garamond" w:hAnsi="Garamond"/>
            <w:color w:val="0000FF"/>
            <w:spacing w:val="10"/>
            <w:u w:val="single"/>
            <w:rtl/>
          </w:rPr>
          <w:t xml:space="preserve"> </w:t>
        </w:r>
        <w:r w:rsidR="00B15077" w:rsidRPr="00B15077">
          <w:rPr>
            <w:rFonts w:ascii="Garamond" w:hAnsi="Garamond" w:hint="eastAsia"/>
            <w:color w:val="0000FF"/>
            <w:spacing w:val="10"/>
            <w:u w:val="single"/>
            <w:rtl/>
          </w:rPr>
          <w:t>הסמים</w:t>
        </w:r>
        <w:r w:rsidR="00B15077" w:rsidRPr="00B15077">
          <w:rPr>
            <w:rFonts w:ascii="Garamond" w:hAnsi="Garamond"/>
            <w:color w:val="0000FF"/>
            <w:spacing w:val="10"/>
            <w:u w:val="single"/>
            <w:rtl/>
          </w:rPr>
          <w:t xml:space="preserve"> </w:t>
        </w:r>
        <w:r w:rsidR="00B15077" w:rsidRPr="00B15077">
          <w:rPr>
            <w:rFonts w:ascii="Garamond" w:hAnsi="Garamond" w:hint="eastAsia"/>
            <w:color w:val="0000FF"/>
            <w:spacing w:val="10"/>
            <w:u w:val="single"/>
            <w:rtl/>
          </w:rPr>
          <w:t>המסוכנים</w:t>
        </w:r>
      </w:hyperlink>
      <w:r w:rsidRPr="00B219B2">
        <w:rPr>
          <w:rFonts w:ascii="Garamond" w:hAnsi="Garamond"/>
          <w:spacing w:val="10"/>
          <w:rtl/>
        </w:rPr>
        <w:t xml:space="preserve"> (נוסח חדש) תשל"ג- 1973, שהעונש </w:t>
      </w:r>
      <w:r>
        <w:rPr>
          <w:rFonts w:ascii="Garamond" w:hAnsi="Garamond" w:hint="cs"/>
          <w:spacing w:val="10"/>
          <w:rtl/>
        </w:rPr>
        <w:t xml:space="preserve">המקסימלי </w:t>
      </w:r>
      <w:r w:rsidRPr="00B219B2">
        <w:rPr>
          <w:rFonts w:ascii="Garamond" w:hAnsi="Garamond"/>
          <w:spacing w:val="10"/>
          <w:rtl/>
        </w:rPr>
        <w:t xml:space="preserve">הקבוע לצידה הוא </w:t>
      </w:r>
      <w:r>
        <w:rPr>
          <w:rFonts w:ascii="Garamond" w:hAnsi="Garamond" w:hint="cs"/>
          <w:spacing w:val="10"/>
          <w:rtl/>
        </w:rPr>
        <w:t xml:space="preserve">עד </w:t>
      </w:r>
      <w:r w:rsidRPr="00B219B2">
        <w:rPr>
          <w:rFonts w:ascii="Garamond" w:hAnsi="Garamond"/>
          <w:spacing w:val="10"/>
          <w:rtl/>
        </w:rPr>
        <w:t xml:space="preserve">עשרים </w:t>
      </w:r>
      <w:r>
        <w:rPr>
          <w:rFonts w:ascii="Garamond" w:hAnsi="Garamond" w:hint="cs"/>
          <w:spacing w:val="10"/>
          <w:rtl/>
        </w:rPr>
        <w:t>שנות</w:t>
      </w:r>
      <w:r w:rsidRPr="00B219B2">
        <w:rPr>
          <w:rFonts w:ascii="Garamond" w:hAnsi="Garamond"/>
          <w:spacing w:val="10"/>
          <w:rtl/>
        </w:rPr>
        <w:t xml:space="preserve"> או קנס פי עשרים וחמישה מן הקנס האמור </w:t>
      </w:r>
      <w:hyperlink r:id="rId25" w:history="1">
        <w:r w:rsidR="00B239E6" w:rsidRPr="00B239E6">
          <w:rPr>
            <w:rStyle w:val="Hyperlink"/>
            <w:rFonts w:ascii="Garamond" w:hAnsi="Garamond" w:hint="eastAsia"/>
            <w:spacing w:val="10"/>
            <w:rtl/>
          </w:rPr>
          <w:t>בסעיף</w:t>
        </w:r>
        <w:r w:rsidR="00B239E6" w:rsidRPr="00B239E6">
          <w:rPr>
            <w:rStyle w:val="Hyperlink"/>
            <w:rFonts w:ascii="Garamond" w:hAnsi="Garamond"/>
            <w:spacing w:val="10"/>
            <w:rtl/>
          </w:rPr>
          <w:t xml:space="preserve"> 61(</w:t>
        </w:r>
        <w:r w:rsidR="00B239E6" w:rsidRPr="00B239E6">
          <w:rPr>
            <w:rStyle w:val="Hyperlink"/>
            <w:rFonts w:ascii="Garamond" w:hAnsi="Garamond" w:hint="eastAsia"/>
            <w:spacing w:val="10"/>
            <w:rtl/>
          </w:rPr>
          <w:t>א</w:t>
        </w:r>
        <w:r w:rsidR="00B239E6" w:rsidRPr="00B239E6">
          <w:rPr>
            <w:rStyle w:val="Hyperlink"/>
            <w:rFonts w:ascii="Garamond" w:hAnsi="Garamond"/>
            <w:spacing w:val="10"/>
            <w:rtl/>
          </w:rPr>
          <w:t>)(4)</w:t>
        </w:r>
      </w:hyperlink>
      <w:r w:rsidRPr="00B219B2">
        <w:rPr>
          <w:rFonts w:ascii="Garamond" w:hAnsi="Garamond"/>
          <w:spacing w:val="10"/>
          <w:rtl/>
        </w:rPr>
        <w:t xml:space="preserve"> ל</w:t>
      </w:r>
      <w:hyperlink r:id="rId26" w:history="1">
        <w:r w:rsidR="00B15077" w:rsidRPr="00B15077">
          <w:rPr>
            <w:rFonts w:ascii="Garamond" w:hAnsi="Garamond" w:hint="eastAsia"/>
            <w:color w:val="0000FF"/>
            <w:spacing w:val="10"/>
            <w:u w:val="single"/>
            <w:rtl/>
          </w:rPr>
          <w:t>חוק</w:t>
        </w:r>
        <w:r w:rsidR="00B15077" w:rsidRPr="00B15077">
          <w:rPr>
            <w:rFonts w:ascii="Garamond" w:hAnsi="Garamond"/>
            <w:color w:val="0000FF"/>
            <w:spacing w:val="10"/>
            <w:u w:val="single"/>
            <w:rtl/>
          </w:rPr>
          <w:t xml:space="preserve"> </w:t>
        </w:r>
        <w:r w:rsidR="00B15077" w:rsidRPr="00B15077">
          <w:rPr>
            <w:rFonts w:ascii="Garamond" w:hAnsi="Garamond" w:hint="eastAsia"/>
            <w:color w:val="0000FF"/>
            <w:spacing w:val="10"/>
            <w:u w:val="single"/>
            <w:rtl/>
          </w:rPr>
          <w:t>העונשין</w:t>
        </w:r>
      </w:hyperlink>
      <w:r w:rsidRPr="00B219B2">
        <w:rPr>
          <w:rFonts w:ascii="Garamond" w:hAnsi="Garamond"/>
          <w:spacing w:val="10"/>
          <w:rtl/>
        </w:rPr>
        <w:t>, התשל"ז-1977 (להלן: "</w:t>
      </w:r>
      <w:r w:rsidRPr="00B219B2">
        <w:rPr>
          <w:rFonts w:ascii="Garamond" w:hAnsi="Garamond"/>
          <w:b/>
          <w:bCs/>
          <w:spacing w:val="10"/>
          <w:rtl/>
        </w:rPr>
        <w:t>חוק העונשין</w:t>
      </w:r>
      <w:r w:rsidRPr="00B219B2">
        <w:rPr>
          <w:rFonts w:ascii="Garamond" w:hAnsi="Garamond"/>
          <w:spacing w:val="10"/>
          <w:rtl/>
        </w:rPr>
        <w:t>").</w:t>
      </w:r>
    </w:p>
    <w:p w14:paraId="77D5F70C" w14:textId="77777777" w:rsidR="00DC1412" w:rsidRPr="00942E11" w:rsidRDefault="00DC1412" w:rsidP="00DC1412">
      <w:pPr>
        <w:numPr>
          <w:ilvl w:val="0"/>
          <w:numId w:val="1"/>
        </w:numPr>
        <w:tabs>
          <w:tab w:val="left" w:pos="800"/>
          <w:tab w:val="num" w:pos="907"/>
        </w:tabs>
        <w:overflowPunct w:val="0"/>
        <w:autoSpaceDE w:val="0"/>
        <w:autoSpaceDN w:val="0"/>
        <w:adjustRightInd w:val="0"/>
        <w:spacing w:after="160" w:line="360" w:lineRule="auto"/>
        <w:ind w:left="0" w:firstLine="0"/>
        <w:jc w:val="both"/>
        <w:rPr>
          <w:rFonts w:ascii="Garamond" w:hAnsi="Garamond"/>
          <w:spacing w:val="10"/>
          <w:rtl/>
        </w:rPr>
      </w:pPr>
      <w:r w:rsidRPr="00B219B2">
        <w:rPr>
          <w:rFonts w:ascii="Garamond" w:hAnsi="Garamond"/>
          <w:spacing w:val="10"/>
          <w:rtl/>
        </w:rPr>
        <w:t>במקרה זה, הערך החברתי המוגן שנפגע הוא ההגנה על שלום הציבור ובריאותו וכן בריאותו של הנאשם עצמו. הפסיקה חזרה והדגישה את חומרתן של עבירות הסמים וכן את הצורך בענישה מחמירה ומרתיעה וזאת בפרט לנוכח קלות ביצוע עבירות אלה.</w:t>
      </w:r>
    </w:p>
    <w:p w14:paraId="66738277" w14:textId="77777777" w:rsidR="00DC1412" w:rsidRPr="00852E8F" w:rsidRDefault="00DC1412" w:rsidP="00DC1412">
      <w:pPr>
        <w:numPr>
          <w:ilvl w:val="0"/>
          <w:numId w:val="1"/>
        </w:numPr>
        <w:tabs>
          <w:tab w:val="left" w:pos="800"/>
          <w:tab w:val="num" w:pos="907"/>
        </w:tabs>
        <w:overflowPunct w:val="0"/>
        <w:autoSpaceDE w:val="0"/>
        <w:autoSpaceDN w:val="0"/>
        <w:adjustRightInd w:val="0"/>
        <w:spacing w:after="160" w:line="360" w:lineRule="auto"/>
        <w:ind w:left="0" w:firstLine="0"/>
        <w:jc w:val="both"/>
        <w:rPr>
          <w:rFonts w:ascii="Garamond" w:hAnsi="Garamond"/>
          <w:spacing w:val="10"/>
          <w:rtl/>
        </w:rPr>
      </w:pPr>
      <w:r w:rsidRPr="00B219B2">
        <w:rPr>
          <w:rFonts w:ascii="Garamond" w:hAnsi="Garamond"/>
          <w:spacing w:val="10"/>
          <w:rtl/>
        </w:rPr>
        <w:t xml:space="preserve">לא אחת עמדה הפסיקה על חומרתה של עבירת החזקת סמים שלא לצריכה עצמית. כך פני הדברים כאשר עסקינן בהחזקת סמים מסוג קוקאין בכמות שאמנם אינה גדולה אך מהווה פי כמה מהכמות המוגדרת ככמות שנועדה לצריכה עצמית (ראו תוספת שנייה לפקודה). ראו בעניין זה </w:t>
      </w:r>
      <w:hyperlink r:id="rId27" w:history="1">
        <w:r w:rsidR="00B15077" w:rsidRPr="00B15077">
          <w:rPr>
            <w:rFonts w:ascii="Garamond" w:hAnsi="Garamond" w:hint="eastAsia"/>
            <w:color w:val="0000FF"/>
            <w:spacing w:val="10"/>
            <w:u w:val="single"/>
            <w:rtl/>
          </w:rPr>
          <w:t>ע</w:t>
        </w:r>
        <w:r w:rsidR="00B15077" w:rsidRPr="00B15077">
          <w:rPr>
            <w:rFonts w:ascii="Garamond" w:hAnsi="Garamond"/>
            <w:color w:val="0000FF"/>
            <w:spacing w:val="10"/>
            <w:u w:val="single"/>
            <w:rtl/>
          </w:rPr>
          <w:t>"</w:t>
        </w:r>
        <w:r w:rsidR="00B15077" w:rsidRPr="00B15077">
          <w:rPr>
            <w:rFonts w:ascii="Garamond" w:hAnsi="Garamond" w:hint="eastAsia"/>
            <w:color w:val="0000FF"/>
            <w:spacing w:val="10"/>
            <w:u w:val="single"/>
            <w:rtl/>
          </w:rPr>
          <w:t>פ</w:t>
        </w:r>
        <w:r w:rsidR="00B15077" w:rsidRPr="00B15077">
          <w:rPr>
            <w:rFonts w:ascii="Garamond" w:hAnsi="Garamond"/>
            <w:color w:val="0000FF"/>
            <w:spacing w:val="10"/>
            <w:u w:val="single"/>
            <w:rtl/>
          </w:rPr>
          <w:t xml:space="preserve"> 1345/08</w:t>
        </w:r>
      </w:hyperlink>
      <w:r w:rsidRPr="00B219B2">
        <w:rPr>
          <w:rFonts w:ascii="Garamond" w:hAnsi="Garamond"/>
          <w:spacing w:val="10"/>
          <w:rtl/>
        </w:rPr>
        <w:t xml:space="preserve"> </w:t>
      </w:r>
      <w:r w:rsidRPr="00B219B2">
        <w:rPr>
          <w:rFonts w:ascii="Garamond" w:hAnsi="Garamond" w:hint="cs"/>
          <w:b/>
          <w:bCs/>
          <w:spacing w:val="10"/>
          <w:rtl/>
        </w:rPr>
        <w:t>ארקדי איסטרחוב נ' מדינת ישראל</w:t>
      </w:r>
      <w:r w:rsidRPr="00B219B2">
        <w:rPr>
          <w:rFonts w:ascii="Garamond" w:hAnsi="Garamond" w:hint="cs"/>
          <w:spacing w:val="10"/>
          <w:rtl/>
        </w:rPr>
        <w:t xml:space="preserve"> (ניתן ביום 18.5.2009), שם נאמר כך:</w:t>
      </w:r>
    </w:p>
    <w:p w14:paraId="7860F9DA" w14:textId="77777777" w:rsidR="00DC1412" w:rsidRPr="00B219B2" w:rsidRDefault="00DC1412" w:rsidP="00DC1412">
      <w:pPr>
        <w:spacing w:after="160" w:line="360" w:lineRule="auto"/>
        <w:ind w:left="658" w:right="284"/>
        <w:jc w:val="both"/>
        <w:rPr>
          <w:rFonts w:ascii="Calibri" w:eastAsia="Calibri" w:hAnsi="Calibri"/>
          <w:sz w:val="22"/>
          <w:rtl/>
        </w:rPr>
      </w:pPr>
      <w:r w:rsidRPr="00B219B2">
        <w:rPr>
          <w:rFonts w:ascii="Calibri" w:eastAsia="Calibri" w:hAnsi="Calibri"/>
          <w:b/>
          <w:bCs/>
          <w:sz w:val="22"/>
          <w:rtl/>
        </w:rPr>
        <w:t>"אין מנוס מהכבדת היד על המחזיקים סמים שלא לצריכה עצמית, שכל בר דעת מבין כי נועדו לצריכת הזולת, קרי, להוספת שמן על מדורת הסמים אשר להבותיה אופפות רבים וטובים, או רבים שהיו טובים</w:t>
      </w:r>
      <w:r w:rsidRPr="00B219B2">
        <w:rPr>
          <w:rFonts w:ascii="Calibri" w:eastAsia="Calibri" w:hAnsi="Calibri"/>
          <w:sz w:val="22"/>
          <w:rtl/>
        </w:rPr>
        <w:t>".</w:t>
      </w:r>
    </w:p>
    <w:p w14:paraId="3B5E0C3E" w14:textId="77777777" w:rsidR="00DC1412" w:rsidRPr="00852E8F" w:rsidRDefault="00DC1412" w:rsidP="00DC1412">
      <w:pPr>
        <w:numPr>
          <w:ilvl w:val="0"/>
          <w:numId w:val="1"/>
        </w:numPr>
        <w:tabs>
          <w:tab w:val="left" w:pos="800"/>
          <w:tab w:val="num" w:pos="907"/>
        </w:tabs>
        <w:overflowPunct w:val="0"/>
        <w:autoSpaceDE w:val="0"/>
        <w:autoSpaceDN w:val="0"/>
        <w:adjustRightInd w:val="0"/>
        <w:spacing w:after="160" w:line="360" w:lineRule="auto"/>
        <w:ind w:left="0" w:firstLine="0"/>
        <w:jc w:val="both"/>
        <w:rPr>
          <w:rFonts w:ascii="Garamond" w:hAnsi="Garamond"/>
          <w:spacing w:val="10"/>
          <w:rtl/>
        </w:rPr>
      </w:pPr>
      <w:r>
        <w:rPr>
          <w:rFonts w:ascii="Garamond" w:hAnsi="Garamond" w:hint="cs"/>
          <w:spacing w:val="10"/>
          <w:rtl/>
        </w:rPr>
        <w:t xml:space="preserve">הנאשם החזיק </w:t>
      </w:r>
      <w:r w:rsidRPr="00B219B2">
        <w:rPr>
          <w:rFonts w:ascii="Garamond" w:hAnsi="Garamond"/>
          <w:spacing w:val="10"/>
          <w:rtl/>
        </w:rPr>
        <w:t xml:space="preserve">בסמים מסוגים שונים- קוקאין וקנביס. אין צורך להכביר במילים על הנזק הנובע מצריכת סמים לציבור המשתמשים ואף למחזיק עצמו. כך במיוחד כאשר מדובר בסם המוגדר ומוכר כסם קשה – קוקאין. </w:t>
      </w:r>
      <w:r w:rsidRPr="00B219B2">
        <w:rPr>
          <w:rFonts w:ascii="Calibri" w:eastAsia="Calibri" w:hAnsi="Calibri"/>
          <w:spacing w:val="10"/>
          <w:rtl/>
        </w:rPr>
        <w:t>יש לזכור ולהזכיר כי הפגיעה של הנאשם בעצמו באמצעות שימוש בסם, לא מסתכמת בכך בלבד. שימוש בסם מסוכן עלול לגרום לפגיעה גופנית ונפשית של הנאשם עצמו, פגיעה כזו שתצריך טיפול רפואי שעלותו נופלת על החברה</w:t>
      </w:r>
      <w:r>
        <w:rPr>
          <w:rFonts w:ascii="Calibri" w:eastAsia="Calibri" w:hAnsi="Calibri" w:hint="cs"/>
          <w:spacing w:val="10"/>
          <w:rtl/>
        </w:rPr>
        <w:t xml:space="preserve"> בכללותה</w:t>
      </w:r>
      <w:r w:rsidRPr="00B219B2">
        <w:rPr>
          <w:rFonts w:ascii="Calibri" w:eastAsia="Calibri" w:hAnsi="Calibri"/>
          <w:spacing w:val="10"/>
          <w:rtl/>
        </w:rPr>
        <w:t xml:space="preserve">. </w:t>
      </w:r>
      <w:r w:rsidRPr="00B219B2">
        <w:rPr>
          <w:rFonts w:ascii="Calibri" w:eastAsia="Calibri" w:hAnsi="Calibri"/>
          <w:spacing w:val="10"/>
          <w:rtl/>
          <w:lang w:eastAsia="he-IL"/>
        </w:rPr>
        <w:t>ב</w:t>
      </w:r>
      <w:hyperlink w:history="1">
        <w:r w:rsidRPr="00B15077">
          <w:rPr>
            <w:rFonts w:ascii="Calibri" w:eastAsia="Calibri" w:hAnsi="Calibri"/>
            <w:color w:val="000000"/>
            <w:spacing w:val="10"/>
            <w:rtl/>
            <w:lang w:eastAsia="he-IL"/>
          </w:rPr>
          <w:t>ע"פ 3117/12</w:t>
        </w:r>
      </w:hyperlink>
      <w:r w:rsidRPr="00B219B2">
        <w:rPr>
          <w:rFonts w:ascii="Calibri" w:eastAsia="Calibri" w:hAnsi="Calibri"/>
          <w:spacing w:val="10"/>
          <w:rtl/>
          <w:lang w:eastAsia="he-IL"/>
        </w:rPr>
        <w:t xml:space="preserve"> </w:t>
      </w:r>
      <w:r w:rsidRPr="00B219B2">
        <w:rPr>
          <w:rFonts w:ascii="Calibri" w:eastAsia="Calibri" w:hAnsi="Calibri" w:hint="cs"/>
          <w:b/>
          <w:bCs/>
          <w:spacing w:val="10"/>
          <w:rtl/>
          <w:lang w:eastAsia="he-IL"/>
        </w:rPr>
        <w:t xml:space="preserve">ארביב נ' מדינת ישראל </w:t>
      </w:r>
      <w:r w:rsidRPr="00B219B2">
        <w:rPr>
          <w:rFonts w:ascii="Calibri" w:eastAsia="Calibri" w:hAnsi="Calibri" w:hint="cs"/>
          <w:spacing w:val="10"/>
          <w:rtl/>
          <w:lang w:eastAsia="he-IL"/>
        </w:rPr>
        <w:t>נקבע כי:</w:t>
      </w:r>
    </w:p>
    <w:p w14:paraId="22087DAB" w14:textId="77777777" w:rsidR="00DC1412" w:rsidRDefault="00DC1412" w:rsidP="00DC1412">
      <w:pPr>
        <w:spacing w:line="360" w:lineRule="auto"/>
        <w:ind w:left="1440"/>
        <w:contextualSpacing/>
        <w:jc w:val="both"/>
        <w:rPr>
          <w:rFonts w:ascii="David" w:eastAsia="Calibri" w:hAnsi="David"/>
          <w:b/>
          <w:bCs/>
          <w:u w:val="single"/>
          <w:rtl/>
        </w:rPr>
      </w:pPr>
      <w:r w:rsidRPr="00B219B2">
        <w:rPr>
          <w:rFonts w:ascii="David" w:eastAsia="Calibri" w:hAnsi="David"/>
          <w:b/>
          <w:bCs/>
          <w:rtl/>
        </w:rPr>
        <w:t>"בית משפט זה עמד, לא אחת, על חומרתן היתירה של עבירות הסמים, ועל ההשלכות הקשות שיש לשימוש בסם על גופו ועל נפשו של המשתמש"</w:t>
      </w:r>
      <w:r>
        <w:rPr>
          <w:rFonts w:ascii="David" w:eastAsia="Calibri" w:hAnsi="David" w:hint="cs"/>
          <w:b/>
          <w:bCs/>
          <w:rtl/>
        </w:rPr>
        <w:t>.</w:t>
      </w:r>
    </w:p>
    <w:p w14:paraId="3AC9C61D" w14:textId="77777777" w:rsidR="00DC1412" w:rsidRPr="00B219B2" w:rsidRDefault="00DC1412" w:rsidP="00DC1412">
      <w:pPr>
        <w:spacing w:line="360" w:lineRule="auto"/>
        <w:ind w:left="1440"/>
        <w:contextualSpacing/>
        <w:jc w:val="both"/>
        <w:rPr>
          <w:rFonts w:ascii="David" w:eastAsia="Calibri" w:hAnsi="David"/>
          <w:b/>
          <w:bCs/>
          <w:u w:val="single"/>
        </w:rPr>
      </w:pPr>
    </w:p>
    <w:p w14:paraId="69C21AD4" w14:textId="77777777" w:rsidR="00DC1412" w:rsidRPr="00852E8F" w:rsidRDefault="00DC1412" w:rsidP="00DC1412">
      <w:pPr>
        <w:numPr>
          <w:ilvl w:val="0"/>
          <w:numId w:val="1"/>
        </w:numPr>
        <w:tabs>
          <w:tab w:val="left" w:pos="800"/>
          <w:tab w:val="num" w:pos="907"/>
        </w:tabs>
        <w:overflowPunct w:val="0"/>
        <w:autoSpaceDE w:val="0"/>
        <w:autoSpaceDN w:val="0"/>
        <w:adjustRightInd w:val="0"/>
        <w:spacing w:after="160" w:line="360" w:lineRule="auto"/>
        <w:ind w:left="0" w:firstLine="0"/>
        <w:jc w:val="both"/>
        <w:rPr>
          <w:rFonts w:ascii="Garamond" w:hAnsi="Garamond"/>
          <w:spacing w:val="10"/>
        </w:rPr>
      </w:pPr>
      <w:r w:rsidRPr="00B219B2">
        <w:rPr>
          <w:rFonts w:ascii="Garamond" w:hAnsi="Garamond"/>
          <w:spacing w:val="10"/>
          <w:rtl/>
        </w:rPr>
        <w:t>כתב האישום אינו מספר על הנסיבות שקדמו להחזקת הסמים, אולם הדעת נותנת כי עבירה של החזקת סמים לא ניתן לבצע, אלא בהתאם לתכנון מסוים שקדם לביצוע העבירה. מכל מקום, להיבט התכנוני בביצוע העבירה במקרה דנן לא יינתן משקל של ממש בקביעת המתחם. זאת, הן מהטעם שנסיבות ביצוע העבירה לא פורטו בעובדות כתב האישום כאמור והן בעיקר משום שמדובר בהחזקת סמים בכמויות קטנות שהחזקתן אינה מורכבת ו</w:t>
      </w:r>
      <w:r>
        <w:rPr>
          <w:rFonts w:ascii="Garamond" w:hAnsi="Garamond" w:hint="cs"/>
          <w:spacing w:val="10"/>
          <w:rtl/>
        </w:rPr>
        <w:t xml:space="preserve">אינה </w:t>
      </w:r>
      <w:r>
        <w:rPr>
          <w:rFonts w:ascii="Garamond" w:hAnsi="Garamond"/>
          <w:spacing w:val="10"/>
          <w:rtl/>
        </w:rPr>
        <w:t>מחייבת תכנו</w:t>
      </w:r>
      <w:r>
        <w:rPr>
          <w:rFonts w:ascii="Garamond" w:hAnsi="Garamond" w:hint="cs"/>
          <w:spacing w:val="10"/>
          <w:rtl/>
        </w:rPr>
        <w:t>ן</w:t>
      </w:r>
      <w:r>
        <w:rPr>
          <w:rFonts w:ascii="Garamond" w:hAnsi="Garamond"/>
          <w:spacing w:val="10"/>
          <w:rtl/>
        </w:rPr>
        <w:t xml:space="preserve"> יוצא</w:t>
      </w:r>
      <w:r w:rsidRPr="00B219B2">
        <w:rPr>
          <w:rFonts w:ascii="Garamond" w:hAnsi="Garamond"/>
          <w:spacing w:val="10"/>
          <w:rtl/>
        </w:rPr>
        <w:t xml:space="preserve"> דופן. </w:t>
      </w:r>
    </w:p>
    <w:p w14:paraId="568C1E1E" w14:textId="77777777" w:rsidR="00DC1412" w:rsidRPr="00B219B2" w:rsidRDefault="00DC1412" w:rsidP="00DC1412">
      <w:pPr>
        <w:numPr>
          <w:ilvl w:val="0"/>
          <w:numId w:val="1"/>
        </w:numPr>
        <w:tabs>
          <w:tab w:val="left" w:pos="800"/>
          <w:tab w:val="num" w:pos="907"/>
        </w:tabs>
        <w:overflowPunct w:val="0"/>
        <w:autoSpaceDE w:val="0"/>
        <w:autoSpaceDN w:val="0"/>
        <w:adjustRightInd w:val="0"/>
        <w:spacing w:after="160" w:line="360" w:lineRule="auto"/>
        <w:ind w:left="0" w:firstLine="0"/>
        <w:jc w:val="both"/>
        <w:rPr>
          <w:rFonts w:ascii="Garamond" w:hAnsi="Garamond"/>
          <w:spacing w:val="10"/>
        </w:rPr>
      </w:pPr>
      <w:r w:rsidRPr="00B219B2">
        <w:rPr>
          <w:rFonts w:ascii="Garamond" w:hAnsi="Garamond"/>
          <w:spacing w:val="10"/>
          <w:rtl/>
        </w:rPr>
        <w:t xml:space="preserve">לבסוף אציין כי מדובר בנאשם בגיר, כבן 40, בעל תואר ראשון בכימיה אשר ביצע את העבירה המיוחסת לו לבדו תוך מודעות והבנה מלאה לאיסור ולפסול שבמעשיו. </w:t>
      </w:r>
    </w:p>
    <w:p w14:paraId="586C3C57" w14:textId="77777777" w:rsidR="00DC1412" w:rsidRPr="00B219B2" w:rsidRDefault="00DC1412" w:rsidP="00DC1412">
      <w:pPr>
        <w:numPr>
          <w:ilvl w:val="0"/>
          <w:numId w:val="1"/>
        </w:numPr>
        <w:tabs>
          <w:tab w:val="left" w:pos="800"/>
          <w:tab w:val="num" w:pos="907"/>
        </w:tabs>
        <w:overflowPunct w:val="0"/>
        <w:autoSpaceDE w:val="0"/>
        <w:autoSpaceDN w:val="0"/>
        <w:adjustRightInd w:val="0"/>
        <w:spacing w:after="160" w:line="360" w:lineRule="auto"/>
        <w:ind w:left="0" w:firstLine="0"/>
        <w:jc w:val="both"/>
        <w:rPr>
          <w:rFonts w:ascii="Garamond" w:hAnsi="Garamond"/>
          <w:spacing w:val="10"/>
          <w:rtl/>
        </w:rPr>
      </w:pPr>
      <w:r>
        <w:rPr>
          <w:rFonts w:ascii="Garamond" w:hAnsi="Garamond" w:hint="cs"/>
          <w:spacing w:val="10"/>
          <w:rtl/>
        </w:rPr>
        <w:t xml:space="preserve">נוכח המפורט, </w:t>
      </w:r>
      <w:r w:rsidRPr="00B219B2">
        <w:rPr>
          <w:rFonts w:ascii="Garamond" w:hAnsi="Garamond"/>
          <w:spacing w:val="10"/>
          <w:rtl/>
        </w:rPr>
        <w:t xml:space="preserve">מידת הפגיעה בערך המוגן היא ברף בינוני-נמוך. רף בינוני </w:t>
      </w:r>
      <w:r>
        <w:rPr>
          <w:rFonts w:ascii="Garamond" w:hAnsi="Garamond" w:hint="cs"/>
          <w:spacing w:val="10"/>
          <w:rtl/>
        </w:rPr>
        <w:t xml:space="preserve">- </w:t>
      </w:r>
      <w:r w:rsidRPr="00B219B2">
        <w:rPr>
          <w:rFonts w:ascii="Garamond" w:hAnsi="Garamond"/>
          <w:spacing w:val="10"/>
          <w:rtl/>
        </w:rPr>
        <w:t xml:space="preserve">משום שמדובר בשני סוגי סמים ובכלל זה </w:t>
      </w:r>
      <w:r>
        <w:rPr>
          <w:rFonts w:ascii="Garamond" w:hAnsi="Garamond" w:hint="cs"/>
          <w:spacing w:val="10"/>
          <w:rtl/>
        </w:rPr>
        <w:t xml:space="preserve">סם </w:t>
      </w:r>
      <w:r w:rsidRPr="00B219B2">
        <w:rPr>
          <w:rFonts w:ascii="Garamond" w:hAnsi="Garamond"/>
          <w:spacing w:val="10"/>
          <w:rtl/>
        </w:rPr>
        <w:t>קשה מסוג קוקאין. רף נמוך</w:t>
      </w:r>
      <w:r>
        <w:rPr>
          <w:rFonts w:ascii="Garamond" w:hAnsi="Garamond" w:hint="cs"/>
          <w:spacing w:val="10"/>
          <w:rtl/>
        </w:rPr>
        <w:t xml:space="preserve"> -</w:t>
      </w:r>
      <w:r w:rsidRPr="00B219B2">
        <w:rPr>
          <w:rFonts w:ascii="Garamond" w:hAnsi="Garamond"/>
          <w:spacing w:val="10"/>
          <w:rtl/>
        </w:rPr>
        <w:t xml:space="preserve"> משום שהנאשם החזיק בכמויות קטנות.      </w:t>
      </w:r>
    </w:p>
    <w:p w14:paraId="4B53AE78" w14:textId="77777777" w:rsidR="00DC1412" w:rsidRPr="00B219B2" w:rsidRDefault="00DC1412" w:rsidP="00DC1412">
      <w:pPr>
        <w:spacing w:after="160" w:line="256" w:lineRule="auto"/>
        <w:jc w:val="both"/>
        <w:rPr>
          <w:rFonts w:ascii="Arial" w:eastAsia="Calibri" w:hAnsi="Arial"/>
          <w:u w:val="single"/>
          <w:rtl/>
        </w:rPr>
      </w:pPr>
      <w:r w:rsidRPr="00B219B2">
        <w:rPr>
          <w:rFonts w:ascii="Arial" w:eastAsia="Calibri" w:hAnsi="Arial"/>
          <w:u w:val="single"/>
          <w:rtl/>
        </w:rPr>
        <w:t>מדיניות הענישה הנוהגת</w:t>
      </w:r>
    </w:p>
    <w:p w14:paraId="64591BC4" w14:textId="77777777" w:rsidR="00DC1412" w:rsidRPr="00B219B2" w:rsidRDefault="00DC1412" w:rsidP="00DC1412">
      <w:pPr>
        <w:numPr>
          <w:ilvl w:val="0"/>
          <w:numId w:val="1"/>
        </w:numPr>
        <w:tabs>
          <w:tab w:val="left" w:pos="800"/>
          <w:tab w:val="num" w:pos="907"/>
        </w:tabs>
        <w:overflowPunct w:val="0"/>
        <w:autoSpaceDE w:val="0"/>
        <w:autoSpaceDN w:val="0"/>
        <w:adjustRightInd w:val="0"/>
        <w:spacing w:after="160" w:line="360" w:lineRule="auto"/>
        <w:ind w:left="0" w:firstLine="0"/>
        <w:jc w:val="both"/>
        <w:rPr>
          <w:rFonts w:ascii="Arial" w:hAnsi="Arial" w:cs="FrankRuehl"/>
          <w:spacing w:val="10"/>
          <w:szCs w:val="28"/>
        </w:rPr>
      </w:pPr>
      <w:r w:rsidRPr="00B219B2">
        <w:rPr>
          <w:rFonts w:ascii="Garamond" w:hAnsi="Garamond"/>
          <w:spacing w:val="10"/>
          <w:rtl/>
        </w:rPr>
        <w:t>מצאתי את גזרי הדין שלהלן כרלבנטיים לקביעת מתחם העונש ההולם אף שכמות הס</w:t>
      </w:r>
      <w:r>
        <w:rPr>
          <w:rFonts w:ascii="Garamond" w:hAnsi="Garamond"/>
          <w:spacing w:val="10"/>
          <w:rtl/>
        </w:rPr>
        <w:t>מים במקרה דנן קטנה ומשתנה מ</w:t>
      </w:r>
      <w:r>
        <w:rPr>
          <w:rFonts w:ascii="Garamond" w:hAnsi="Garamond" w:hint="cs"/>
          <w:spacing w:val="10"/>
          <w:rtl/>
        </w:rPr>
        <w:t xml:space="preserve">מקרה </w:t>
      </w:r>
      <w:r w:rsidRPr="00B219B2">
        <w:rPr>
          <w:rFonts w:ascii="Garamond" w:hAnsi="Garamond"/>
          <w:spacing w:val="10"/>
          <w:rtl/>
        </w:rPr>
        <w:t>אחד למשנהו</w:t>
      </w:r>
      <w:r w:rsidRPr="00B219B2">
        <w:rPr>
          <w:rFonts w:ascii="Arial" w:hAnsi="Arial" w:cs="FrankRuehl"/>
          <w:spacing w:val="10"/>
          <w:szCs w:val="28"/>
          <w:rtl/>
        </w:rPr>
        <w:t>:</w:t>
      </w:r>
    </w:p>
    <w:p w14:paraId="498B16CE" w14:textId="77777777" w:rsidR="00DC1412" w:rsidRPr="00B219B2" w:rsidRDefault="00B15077" w:rsidP="00DC1412">
      <w:pPr>
        <w:numPr>
          <w:ilvl w:val="0"/>
          <w:numId w:val="2"/>
        </w:numPr>
        <w:shd w:val="clear" w:color="auto" w:fill="FFFFFF"/>
        <w:spacing w:before="240" w:after="120" w:line="360" w:lineRule="atLeast"/>
        <w:jc w:val="both"/>
        <w:rPr>
          <w:rFonts w:ascii="David" w:hAnsi="David"/>
          <w:color w:val="000000"/>
          <w:sz w:val="27"/>
          <w:szCs w:val="27"/>
        </w:rPr>
      </w:pPr>
      <w:hyperlink r:id="rId28" w:history="1">
        <w:r w:rsidRPr="00B15077">
          <w:rPr>
            <w:rFonts w:ascii="David" w:hAnsi="David"/>
            <w:color w:val="0000FF"/>
            <w:u w:val="single"/>
            <w:rtl/>
          </w:rPr>
          <w:t>רע"פ 1473/18</w:t>
        </w:r>
      </w:hyperlink>
      <w:r w:rsidR="00DC1412" w:rsidRPr="00B219B2">
        <w:rPr>
          <w:rFonts w:ascii="David" w:hAnsi="David"/>
          <w:rtl/>
        </w:rPr>
        <w:t xml:space="preserve"> </w:t>
      </w:r>
      <w:r w:rsidR="00DC1412" w:rsidRPr="00B219B2">
        <w:rPr>
          <w:rFonts w:ascii="David" w:hAnsi="David"/>
          <w:b/>
          <w:bCs/>
          <w:rtl/>
        </w:rPr>
        <w:t xml:space="preserve">אוחיון נ' מדינת ישראל </w:t>
      </w:r>
      <w:r w:rsidR="00DC1412" w:rsidRPr="00B219B2">
        <w:rPr>
          <w:rFonts w:ascii="David" w:hAnsi="David"/>
          <w:rtl/>
        </w:rPr>
        <w:t>(22.4.2018) בית המשפט הרשיע את הנאשם, על פי הודאתו,</w:t>
      </w:r>
      <w:r w:rsidR="00DC1412" w:rsidRPr="00B219B2">
        <w:rPr>
          <w:rFonts w:ascii="David" w:hAnsi="David"/>
          <w:color w:val="000000"/>
          <w:rtl/>
        </w:rPr>
        <w:t xml:space="preserve"> בגין </w:t>
      </w:r>
      <w:r w:rsidR="00DC1412" w:rsidRPr="00B219B2">
        <w:rPr>
          <w:rFonts w:ascii="David" w:hAnsi="David"/>
          <w:color w:val="000000"/>
          <w:u w:val="single"/>
          <w:rtl/>
        </w:rPr>
        <w:t xml:space="preserve">החזקת סם מסוג קוקאין  שלא לצריכה עצמית, במשקל כולל של 2.09 גרם נטו. </w:t>
      </w:r>
      <w:r w:rsidR="00DC1412" w:rsidRPr="00B219B2">
        <w:rPr>
          <w:rFonts w:ascii="David" w:hAnsi="David"/>
          <w:color w:val="000000"/>
          <w:rtl/>
        </w:rPr>
        <w:t xml:space="preserve">בית משפט השלום קבע מתחם עונש הולם הנע בין מאסר מותנה ל-12 חודשי מאסר בפועל. בית משפט מחוזי קיבל את ערעור המדינה על קולת העונש וקבע מתחם עונש הולם הנע בין </w:t>
      </w:r>
      <w:r w:rsidR="00DC1412" w:rsidRPr="00B219B2">
        <w:rPr>
          <w:rFonts w:ascii="David" w:hAnsi="David"/>
          <w:rtl/>
        </w:rPr>
        <w:t xml:space="preserve">6-12 חודשי מאסר בפועל שיכול וירצון בדרך של עבודות שירות וגזר על הנאשם חודשיים מאסר בדרך של עבודות שירות, תוך חריגה לקולא משיקולי שיקום. </w:t>
      </w:r>
      <w:r w:rsidR="00DC1412" w:rsidRPr="00B219B2">
        <w:rPr>
          <w:rFonts w:ascii="David" w:hAnsi="David"/>
          <w:color w:val="000000"/>
          <w:rtl/>
        </w:rPr>
        <w:t xml:space="preserve">בית משפט העליון דחה את ערעור הנאשם על חומרת העונש. </w:t>
      </w:r>
    </w:p>
    <w:p w14:paraId="77F6A630" w14:textId="77777777" w:rsidR="00DC1412" w:rsidRPr="00B219B2" w:rsidRDefault="00B15077" w:rsidP="00DC1412">
      <w:pPr>
        <w:numPr>
          <w:ilvl w:val="0"/>
          <w:numId w:val="2"/>
        </w:numPr>
        <w:shd w:val="clear" w:color="auto" w:fill="FFFFFF"/>
        <w:spacing w:before="240" w:after="120" w:line="360" w:lineRule="atLeast"/>
        <w:jc w:val="both"/>
        <w:rPr>
          <w:rFonts w:ascii="David" w:hAnsi="David"/>
          <w:color w:val="000000"/>
          <w:sz w:val="27"/>
          <w:szCs w:val="27"/>
        </w:rPr>
      </w:pPr>
      <w:hyperlink r:id="rId29" w:history="1">
        <w:r w:rsidRPr="00B15077">
          <w:rPr>
            <w:rFonts w:ascii="David" w:hAnsi="David"/>
            <w:color w:val="0000FF"/>
            <w:u w:val="single"/>
            <w:rtl/>
          </w:rPr>
          <w:t>רע"פ 747/14</w:t>
        </w:r>
      </w:hyperlink>
      <w:r w:rsidR="00DC1412" w:rsidRPr="00B219B2">
        <w:rPr>
          <w:rFonts w:ascii="David" w:hAnsi="David"/>
          <w:rtl/>
        </w:rPr>
        <w:t xml:space="preserve"> </w:t>
      </w:r>
      <w:r w:rsidR="00DC1412" w:rsidRPr="00B219B2">
        <w:rPr>
          <w:rFonts w:ascii="David" w:hAnsi="David"/>
          <w:b/>
          <w:bCs/>
          <w:rtl/>
        </w:rPr>
        <w:t>אלי לוי נ' מדינת ישראל</w:t>
      </w:r>
      <w:r w:rsidR="00DC1412" w:rsidRPr="00B219B2">
        <w:rPr>
          <w:rFonts w:ascii="David" w:hAnsi="David"/>
          <w:rtl/>
        </w:rPr>
        <w:t xml:space="preserve"> (11.2.2014) בית משפט השלום הרשיע את הנאשם בגין החזקת סם שלא לצריכה עצמית, בשתי כתבי אישום נפרדים. </w:t>
      </w:r>
      <w:r w:rsidR="00DC1412" w:rsidRPr="00B219B2">
        <w:rPr>
          <w:rFonts w:ascii="David" w:hAnsi="David"/>
          <w:u w:val="single"/>
          <w:rtl/>
        </w:rPr>
        <w:t>הנאשם הורשע בכך שהחזיק סם מסוכן מסוג הרואין במשקל של כ-5 גרם ובהחזקת סם מסוכן מסוג קוקאין במשקל של</w:t>
      </w:r>
      <w:r w:rsidR="00DC1412">
        <w:rPr>
          <w:rFonts w:ascii="David" w:hAnsi="David" w:hint="cs"/>
          <w:u w:val="single"/>
          <w:rtl/>
        </w:rPr>
        <w:t xml:space="preserve"> 0.95</w:t>
      </w:r>
      <w:r w:rsidR="00DC1412" w:rsidRPr="00B219B2">
        <w:rPr>
          <w:rFonts w:ascii="David" w:hAnsi="David"/>
          <w:u w:val="single"/>
          <w:rtl/>
        </w:rPr>
        <w:t xml:space="preserve"> גרם</w:t>
      </w:r>
      <w:r w:rsidR="00DC1412" w:rsidRPr="00B219B2">
        <w:rPr>
          <w:rFonts w:ascii="David" w:hAnsi="David"/>
          <w:b/>
          <w:bCs/>
          <w:rtl/>
        </w:rPr>
        <w:t>.</w:t>
      </w:r>
      <w:r w:rsidR="00DC1412" w:rsidRPr="00B219B2">
        <w:rPr>
          <w:rFonts w:ascii="David" w:hAnsi="David"/>
          <w:rtl/>
        </w:rPr>
        <w:t xml:space="preserve"> בית המשפט קבע </w:t>
      </w:r>
      <w:r w:rsidR="00DC1412" w:rsidRPr="00B219B2">
        <w:rPr>
          <w:rFonts w:ascii="David" w:hAnsi="David"/>
          <w:b/>
          <w:bCs/>
          <w:rtl/>
        </w:rPr>
        <w:t>מתחם עונש הולם הנע בין 8-18 חודשי מאסר בפועל</w:t>
      </w:r>
      <w:r w:rsidR="00DC1412" w:rsidRPr="00B219B2">
        <w:rPr>
          <w:rFonts w:ascii="David" w:hAnsi="David"/>
          <w:rtl/>
        </w:rPr>
        <w:t xml:space="preserve"> וגזר על הנאשם 8 חודשי מאסר בדרך של עבודות שירות. הערעור ובקשת רשות הערעור נדחו. </w:t>
      </w:r>
    </w:p>
    <w:p w14:paraId="4C5278F9" w14:textId="77777777" w:rsidR="00DC1412" w:rsidRPr="00B219B2" w:rsidRDefault="00B15077" w:rsidP="00DC1412">
      <w:pPr>
        <w:numPr>
          <w:ilvl w:val="0"/>
          <w:numId w:val="2"/>
        </w:numPr>
        <w:shd w:val="clear" w:color="auto" w:fill="FFFFFF"/>
        <w:spacing w:before="240" w:after="120" w:line="360" w:lineRule="atLeast"/>
        <w:jc w:val="both"/>
        <w:rPr>
          <w:rFonts w:ascii="David" w:hAnsi="David"/>
          <w:color w:val="000000"/>
          <w:sz w:val="27"/>
          <w:szCs w:val="27"/>
        </w:rPr>
      </w:pPr>
      <w:r>
        <w:rPr>
          <w:rFonts w:ascii="David" w:hAnsi="David"/>
          <w:color w:val="000000"/>
          <w:rtl/>
        </w:rPr>
        <w:t xml:space="preserve"> </w:t>
      </w:r>
      <w:hyperlink r:id="rId30" w:history="1">
        <w:r w:rsidRPr="00B15077">
          <w:rPr>
            <w:rFonts w:ascii="David" w:hAnsi="David"/>
            <w:color w:val="0000FF"/>
            <w:u w:val="single"/>
            <w:rtl/>
          </w:rPr>
          <w:t>ת"פ  59017-02-21</w:t>
        </w:r>
      </w:hyperlink>
      <w:r>
        <w:rPr>
          <w:rFonts w:ascii="David" w:hAnsi="David"/>
          <w:rtl/>
        </w:rPr>
        <w:t xml:space="preserve"> </w:t>
      </w:r>
      <w:r w:rsidR="00DC1412" w:rsidRPr="00B219B2">
        <w:rPr>
          <w:rFonts w:ascii="David" w:hAnsi="David"/>
          <w:b/>
          <w:bCs/>
          <w:rtl/>
        </w:rPr>
        <w:t>מדינ</w:t>
      </w:r>
      <w:r w:rsidR="00DC1412" w:rsidRPr="00B219B2">
        <w:rPr>
          <w:rFonts w:ascii="David" w:hAnsi="David"/>
          <w:b/>
          <w:bCs/>
          <w:color w:val="000000"/>
          <w:rtl/>
        </w:rPr>
        <w:t>ת ישראל נ' אלירן מויאל</w:t>
      </w:r>
      <w:r>
        <w:rPr>
          <w:rFonts w:ascii="David" w:hAnsi="David"/>
          <w:color w:val="000000"/>
          <w:rtl/>
        </w:rPr>
        <w:t xml:space="preserve"> </w:t>
      </w:r>
      <w:r w:rsidR="00DC1412" w:rsidRPr="00B219B2">
        <w:rPr>
          <w:rFonts w:ascii="David" w:hAnsi="David"/>
          <w:color w:val="000000"/>
          <w:rtl/>
        </w:rPr>
        <w:t xml:space="preserve">(12.09.2022) בית המשפט הרשיע את הנאשם, על פי הודאתו בהחזקת </w:t>
      </w:r>
      <w:r w:rsidR="00DC1412" w:rsidRPr="00B219B2">
        <w:rPr>
          <w:rFonts w:ascii="David" w:hAnsi="David"/>
          <w:color w:val="000000"/>
          <w:u w:val="single"/>
          <w:rtl/>
        </w:rPr>
        <w:t>1.2 גרם קוקאין, שלא לצריכה עצמית</w:t>
      </w:r>
      <w:r w:rsidR="00DC1412" w:rsidRPr="00B219B2">
        <w:rPr>
          <w:rFonts w:ascii="David" w:hAnsi="David"/>
          <w:color w:val="000000"/>
          <w:rtl/>
        </w:rPr>
        <w:t>.</w:t>
      </w:r>
      <w:r>
        <w:rPr>
          <w:rFonts w:ascii="David" w:hAnsi="David"/>
          <w:color w:val="000000"/>
          <w:rtl/>
        </w:rPr>
        <w:t xml:space="preserve"> </w:t>
      </w:r>
      <w:r w:rsidR="00DC1412" w:rsidRPr="00B219B2">
        <w:rPr>
          <w:rFonts w:ascii="David" w:hAnsi="David"/>
          <w:color w:val="000000"/>
          <w:rtl/>
        </w:rPr>
        <w:t>בית המשפט קבע מתחם עונש הולם הנע</w:t>
      </w:r>
      <w:r w:rsidR="00DC1412" w:rsidRPr="00B219B2">
        <w:rPr>
          <w:rFonts w:ascii="David" w:hAnsi="David"/>
          <w:b/>
          <w:bCs/>
          <w:color w:val="000000"/>
          <w:rtl/>
        </w:rPr>
        <w:t xml:space="preserve"> נע בין 3 חודשי מאסר שניתן לרצות בעבודות שירות ועד 9 חודשי מאסר בפועל</w:t>
      </w:r>
      <w:r w:rsidR="00DC1412" w:rsidRPr="00B219B2">
        <w:rPr>
          <w:rFonts w:ascii="David" w:hAnsi="David"/>
          <w:color w:val="000000"/>
          <w:rtl/>
        </w:rPr>
        <w:t xml:space="preserve">. בית המשפט גזר על הנאשם 3 חודשי מאסר על תנאי תוך חריגה משיקולי שיקום. </w:t>
      </w:r>
    </w:p>
    <w:p w14:paraId="12F7B3EA" w14:textId="77777777" w:rsidR="00DC1412" w:rsidRPr="00B219B2" w:rsidRDefault="00B15077" w:rsidP="00DC1412">
      <w:pPr>
        <w:numPr>
          <w:ilvl w:val="0"/>
          <w:numId w:val="2"/>
        </w:numPr>
        <w:shd w:val="clear" w:color="auto" w:fill="FFFFFF"/>
        <w:spacing w:before="240" w:after="120" w:line="360" w:lineRule="atLeast"/>
        <w:jc w:val="both"/>
        <w:rPr>
          <w:rFonts w:ascii="David" w:hAnsi="David"/>
          <w:color w:val="000000"/>
          <w:sz w:val="27"/>
          <w:szCs w:val="27"/>
        </w:rPr>
      </w:pPr>
      <w:hyperlink r:id="rId31" w:history="1">
        <w:r w:rsidRPr="00B15077">
          <w:rPr>
            <w:rFonts w:ascii="David" w:hAnsi="David"/>
            <w:color w:val="0000FF"/>
            <w:u w:val="single"/>
            <w:shd w:val="clear" w:color="auto" w:fill="FFFFFF"/>
            <w:rtl/>
          </w:rPr>
          <w:t>ת"פ 27076-04-13</w:t>
        </w:r>
      </w:hyperlink>
      <w:r>
        <w:rPr>
          <w:rFonts w:ascii="David" w:hAnsi="David"/>
          <w:color w:val="000000"/>
          <w:shd w:val="clear" w:color="auto" w:fill="FFFFFF"/>
          <w:rtl/>
        </w:rPr>
        <w:t xml:space="preserve"> </w:t>
      </w:r>
      <w:r w:rsidR="00DC1412" w:rsidRPr="00B219B2">
        <w:rPr>
          <w:rFonts w:ascii="David" w:hAnsi="David"/>
          <w:b/>
          <w:bCs/>
          <w:color w:val="000000"/>
          <w:shd w:val="clear" w:color="auto" w:fill="FFFFFF"/>
          <w:rtl/>
        </w:rPr>
        <w:t>מדינת ישראל נ' לפיגל</w:t>
      </w:r>
      <w:r>
        <w:rPr>
          <w:rFonts w:ascii="David" w:hAnsi="David"/>
          <w:b/>
          <w:bCs/>
          <w:color w:val="000000"/>
          <w:shd w:val="clear" w:color="auto" w:fill="FFFFFF"/>
          <w:rtl/>
        </w:rPr>
        <w:t xml:space="preserve"> </w:t>
      </w:r>
      <w:r w:rsidR="00DC1412" w:rsidRPr="00B219B2">
        <w:rPr>
          <w:rFonts w:ascii="David" w:hAnsi="David"/>
          <w:color w:val="000000"/>
          <w:shd w:val="clear" w:color="auto" w:fill="FFFFFF"/>
          <w:rtl/>
        </w:rPr>
        <w:t xml:space="preserve"> (29.12.2013) בית המשפט הרשיע את הנאשם בגין החזקת סם שלא לצריכה עצמית, </w:t>
      </w:r>
      <w:r w:rsidR="00DC1412" w:rsidRPr="00B219B2">
        <w:rPr>
          <w:rFonts w:ascii="David" w:hAnsi="David"/>
          <w:color w:val="000000"/>
          <w:u w:val="single"/>
          <w:shd w:val="clear" w:color="auto" w:fill="FFFFFF"/>
          <w:rtl/>
        </w:rPr>
        <w:t>במשקל של  1.25 גרם קוקאין ו-0.844 גם הרואין.</w:t>
      </w:r>
      <w:r w:rsidR="00DC1412" w:rsidRPr="00B219B2">
        <w:rPr>
          <w:rFonts w:ascii="David" w:hAnsi="David"/>
          <w:color w:val="000000"/>
          <w:shd w:val="clear" w:color="auto" w:fill="FFFFFF"/>
          <w:rtl/>
        </w:rPr>
        <w:t xml:space="preserve"> בית משפט קבע </w:t>
      </w:r>
      <w:r w:rsidR="00DC1412" w:rsidRPr="00B219B2">
        <w:rPr>
          <w:rFonts w:ascii="David" w:hAnsi="David"/>
          <w:b/>
          <w:bCs/>
          <w:color w:val="000000"/>
          <w:shd w:val="clear" w:color="auto" w:fill="FFFFFF"/>
          <w:rtl/>
        </w:rPr>
        <w:t>מתחם עונש הולם הנע בין 5-15 חודשי מאסר בפועל</w:t>
      </w:r>
      <w:r w:rsidR="00DC1412" w:rsidRPr="00B219B2">
        <w:rPr>
          <w:rFonts w:ascii="David" w:hAnsi="David"/>
          <w:color w:val="000000"/>
          <w:shd w:val="clear" w:color="auto" w:fill="FFFFFF"/>
          <w:rtl/>
        </w:rPr>
        <w:t xml:space="preserve">. בית משפט גזר על הנאשם </w:t>
      </w:r>
      <w:r w:rsidR="00DC1412" w:rsidRPr="00B219B2">
        <w:rPr>
          <w:rFonts w:ascii="David" w:hAnsi="David"/>
          <w:rtl/>
        </w:rPr>
        <w:t>9 חודשי מאסר על תנאי, תוך חריגה לקולא משיקולי שיקום.</w:t>
      </w:r>
    </w:p>
    <w:p w14:paraId="43BDC81D" w14:textId="77777777" w:rsidR="00DC1412" w:rsidRDefault="00DC1412" w:rsidP="00DC1412">
      <w:pPr>
        <w:spacing w:after="160" w:line="256" w:lineRule="auto"/>
        <w:rPr>
          <w:rFonts w:ascii="Garamond" w:hAnsi="Garamond"/>
          <w:spacing w:val="10"/>
          <w:u w:val="single"/>
          <w:rtl/>
        </w:rPr>
      </w:pPr>
    </w:p>
    <w:p w14:paraId="62B2CB89" w14:textId="77777777" w:rsidR="00DC1412" w:rsidRPr="00B219B2" w:rsidRDefault="00DC1412" w:rsidP="00DC1412">
      <w:pPr>
        <w:spacing w:after="160" w:line="256" w:lineRule="auto"/>
        <w:rPr>
          <w:rFonts w:ascii="Garamond" w:hAnsi="Garamond"/>
          <w:spacing w:val="10"/>
          <w:u w:val="single"/>
          <w:rtl/>
        </w:rPr>
      </w:pPr>
      <w:r w:rsidRPr="00B219B2">
        <w:rPr>
          <w:rFonts w:ascii="Garamond" w:hAnsi="Garamond"/>
          <w:spacing w:val="10"/>
          <w:u w:val="single"/>
          <w:rtl/>
        </w:rPr>
        <w:t>מתחם הענישה</w:t>
      </w:r>
    </w:p>
    <w:p w14:paraId="00374028" w14:textId="77777777" w:rsidR="00DC1412" w:rsidRPr="00B219B2" w:rsidRDefault="00DC1412" w:rsidP="00DC1412">
      <w:pPr>
        <w:numPr>
          <w:ilvl w:val="0"/>
          <w:numId w:val="1"/>
        </w:numPr>
        <w:tabs>
          <w:tab w:val="left" w:pos="800"/>
          <w:tab w:val="num" w:pos="907"/>
        </w:tabs>
        <w:overflowPunct w:val="0"/>
        <w:autoSpaceDE w:val="0"/>
        <w:autoSpaceDN w:val="0"/>
        <w:adjustRightInd w:val="0"/>
        <w:spacing w:after="160" w:line="360" w:lineRule="auto"/>
        <w:ind w:left="0" w:firstLine="0"/>
        <w:jc w:val="both"/>
        <w:rPr>
          <w:rFonts w:ascii="Garamond" w:hAnsi="Garamond"/>
          <w:spacing w:val="10"/>
        </w:rPr>
      </w:pPr>
      <w:r w:rsidRPr="00B219B2">
        <w:rPr>
          <w:rFonts w:ascii="Garamond" w:hAnsi="Garamond"/>
          <w:spacing w:val="10"/>
          <w:rtl/>
        </w:rPr>
        <w:t xml:space="preserve">לאחר שקלול מכלול הנסיבות והשיקולים הרלוונטיים, אני סבור שמתחם העונש ההולם את המעשה נע בין מאסר קצר של </w:t>
      </w:r>
      <w:r w:rsidRPr="00B219B2">
        <w:rPr>
          <w:rFonts w:ascii="Garamond" w:hAnsi="Garamond"/>
          <w:b/>
          <w:bCs/>
          <w:spacing w:val="10"/>
          <w:rtl/>
        </w:rPr>
        <w:t>חודש ימים ועד ל-12 חודשי מאסר בפועל</w:t>
      </w:r>
      <w:r w:rsidRPr="00B219B2">
        <w:rPr>
          <w:rFonts w:ascii="Garamond" w:hAnsi="Garamond"/>
          <w:spacing w:val="10"/>
          <w:rtl/>
        </w:rPr>
        <w:t>.</w:t>
      </w:r>
    </w:p>
    <w:p w14:paraId="62A4FBE5" w14:textId="77777777" w:rsidR="00DC1412" w:rsidRPr="00B219B2" w:rsidRDefault="00DC1412" w:rsidP="00DC1412">
      <w:pPr>
        <w:spacing w:after="160" w:line="360" w:lineRule="auto"/>
        <w:jc w:val="both"/>
        <w:rPr>
          <w:rFonts w:ascii="Calibri" w:eastAsia="Calibri" w:hAnsi="Calibri"/>
          <w:u w:val="single"/>
          <w:rtl/>
        </w:rPr>
      </w:pPr>
      <w:r w:rsidRPr="00B219B2">
        <w:rPr>
          <w:rFonts w:ascii="Calibri" w:eastAsia="Calibri" w:hAnsi="Calibri"/>
          <w:u w:val="single"/>
          <w:rtl/>
        </w:rPr>
        <w:t>נסיבות שאינן קשורות בביצוע העבירה</w:t>
      </w:r>
    </w:p>
    <w:p w14:paraId="6E607754" w14:textId="77777777" w:rsidR="00DC1412" w:rsidRPr="00B219B2" w:rsidRDefault="00DC1412" w:rsidP="00DC1412">
      <w:pPr>
        <w:numPr>
          <w:ilvl w:val="0"/>
          <w:numId w:val="1"/>
        </w:numPr>
        <w:tabs>
          <w:tab w:val="left" w:pos="800"/>
          <w:tab w:val="num" w:pos="907"/>
        </w:tabs>
        <w:overflowPunct w:val="0"/>
        <w:autoSpaceDE w:val="0"/>
        <w:autoSpaceDN w:val="0"/>
        <w:adjustRightInd w:val="0"/>
        <w:spacing w:after="160" w:line="360" w:lineRule="auto"/>
        <w:ind w:left="0" w:firstLine="0"/>
        <w:jc w:val="both"/>
        <w:rPr>
          <w:rFonts w:ascii="Garamond" w:hAnsi="Garamond"/>
          <w:spacing w:val="10"/>
          <w:rtl/>
        </w:rPr>
      </w:pPr>
      <w:r w:rsidRPr="00B219B2">
        <w:rPr>
          <w:rFonts w:ascii="Garamond" w:hAnsi="Garamond"/>
          <w:spacing w:val="10"/>
          <w:rtl/>
        </w:rPr>
        <w:t>הנאשם נעדר עבר פלילי, זוהי הסתבכותו הראשונה עם החוק. הנאשם גדל במסגרת משפחתית נורמטיבית, כפי שעולה מהתסקיר. הנאשם בעל נתונים אישיים ויכולות טובות, בין היתר, מדובר בנאשם בעל תואר ראשון בכימיה</w:t>
      </w:r>
      <w:r>
        <w:rPr>
          <w:rFonts w:ascii="Garamond" w:hAnsi="Garamond" w:hint="cs"/>
          <w:spacing w:val="10"/>
          <w:rtl/>
        </w:rPr>
        <w:t xml:space="preserve"> כאמור</w:t>
      </w:r>
      <w:r w:rsidRPr="00B219B2">
        <w:rPr>
          <w:rFonts w:ascii="Garamond" w:hAnsi="Garamond"/>
          <w:spacing w:val="10"/>
          <w:rtl/>
        </w:rPr>
        <w:t>. הנאשם לקח אחריות על מעשיו</w:t>
      </w:r>
      <w:r>
        <w:rPr>
          <w:rFonts w:ascii="Garamond" w:hAnsi="Garamond" w:hint="cs"/>
          <w:spacing w:val="10"/>
          <w:rtl/>
        </w:rPr>
        <w:t xml:space="preserve"> בפניי</w:t>
      </w:r>
      <w:r w:rsidRPr="00B219B2">
        <w:rPr>
          <w:rFonts w:ascii="Garamond" w:hAnsi="Garamond"/>
          <w:spacing w:val="10"/>
          <w:rtl/>
        </w:rPr>
        <w:t xml:space="preserve"> </w:t>
      </w:r>
      <w:r>
        <w:rPr>
          <w:rFonts w:ascii="Garamond" w:hAnsi="Garamond" w:hint="cs"/>
          <w:spacing w:val="10"/>
          <w:rtl/>
        </w:rPr>
        <w:t>ו</w:t>
      </w:r>
      <w:r w:rsidRPr="00B219B2">
        <w:rPr>
          <w:rFonts w:ascii="Garamond" w:hAnsi="Garamond"/>
          <w:spacing w:val="10"/>
          <w:rtl/>
        </w:rPr>
        <w:t>הודה בעובדות כתב האישום ובעקבות כך חסך זמן שיפוטי יקר. על כך, יש להוסיף את הנסיבות הרפואיות של הנאשם</w:t>
      </w:r>
      <w:r>
        <w:rPr>
          <w:rFonts w:ascii="Garamond" w:hAnsi="Garamond" w:hint="cs"/>
          <w:spacing w:val="10"/>
          <w:rtl/>
        </w:rPr>
        <w:t xml:space="preserve"> כעולה מחוות הדעת הרפואית שהוגשה</w:t>
      </w:r>
      <w:r w:rsidRPr="00B219B2">
        <w:rPr>
          <w:rFonts w:ascii="Garamond" w:hAnsi="Garamond"/>
          <w:spacing w:val="10"/>
          <w:rtl/>
        </w:rPr>
        <w:t>. הנאשם עבר טיפולים רפואיים הן על רקע חשש למחלה במעי הגס והן בעקבות תאונה (ענ/2). נתונים אלו יש לזקוף לזכותו של הנאשם ככאלה שמובילים למסקנה שיש למקמו בתחתית המתחם.</w:t>
      </w:r>
    </w:p>
    <w:p w14:paraId="05CEB267" w14:textId="77777777" w:rsidR="00DC1412" w:rsidRPr="00B219B2" w:rsidRDefault="00DC1412" w:rsidP="00DC1412">
      <w:pPr>
        <w:numPr>
          <w:ilvl w:val="0"/>
          <w:numId w:val="1"/>
        </w:numPr>
        <w:tabs>
          <w:tab w:val="left" w:pos="800"/>
          <w:tab w:val="num" w:pos="907"/>
        </w:tabs>
        <w:overflowPunct w:val="0"/>
        <w:autoSpaceDE w:val="0"/>
        <w:autoSpaceDN w:val="0"/>
        <w:adjustRightInd w:val="0"/>
        <w:spacing w:after="160" w:line="360" w:lineRule="auto"/>
        <w:ind w:left="0" w:firstLine="0"/>
        <w:jc w:val="both"/>
        <w:rPr>
          <w:rFonts w:ascii="Garamond" w:hAnsi="Garamond"/>
          <w:spacing w:val="10"/>
        </w:rPr>
      </w:pPr>
      <w:r w:rsidRPr="00B219B2">
        <w:rPr>
          <w:rFonts w:ascii="Garamond" w:hAnsi="Garamond"/>
          <w:spacing w:val="10"/>
          <w:rtl/>
        </w:rPr>
        <w:t xml:space="preserve">בעניינו של הנאשם הוגשו שני תסקירים. התסקירים שהוגשו מספקים הסברים אפשריים לנסיבות בהם הנאשם הסתבך בפלילים. גורמי הסיכון הטמונים בנאשם נראים לעין. אולם, בשורה התחתונה </w:t>
      </w:r>
      <w:r w:rsidRPr="00FC4CCF">
        <w:rPr>
          <w:rFonts w:ascii="Garamond" w:hAnsi="Garamond"/>
          <w:spacing w:val="10"/>
          <w:u w:val="single"/>
          <w:rtl/>
        </w:rPr>
        <w:t>התסקירים בעניינו של הנאשם לא היו חיוביים באופן חד משמעי</w:t>
      </w:r>
      <w:r w:rsidRPr="00B219B2">
        <w:rPr>
          <w:rFonts w:ascii="Garamond" w:hAnsi="Garamond"/>
          <w:spacing w:val="10"/>
          <w:rtl/>
        </w:rPr>
        <w:t xml:space="preserve">, וזאת בלשון המעטה, מבחינת נכונות הנאשם לקחת אחריות מלאה על מעשיו בייחוד ביחס להחזקת הקוקאין ובעיקר הנאשם לא גילה נכונות אמתית לעבור הליך טיפולי. בתסקיר </w:t>
      </w:r>
      <w:r w:rsidRPr="00B219B2">
        <w:rPr>
          <w:rFonts w:ascii="Garamond" w:hAnsi="Garamond"/>
          <w:b/>
          <w:bCs/>
          <w:spacing w:val="10"/>
          <w:rtl/>
        </w:rPr>
        <w:t>הראשון</w:t>
      </w:r>
      <w:r w:rsidRPr="00B219B2">
        <w:rPr>
          <w:rFonts w:ascii="Garamond" w:hAnsi="Garamond"/>
          <w:spacing w:val="10"/>
          <w:rtl/>
        </w:rPr>
        <w:t xml:space="preserve"> שירות המבחן עמד על גורמי סיכון רבים המצביעים על נזקקות טיפולית, אלא שהנאשם שלל את הצורך בהליך טיפולי. בתסקיר </w:t>
      </w:r>
      <w:r w:rsidRPr="00B219B2">
        <w:rPr>
          <w:rFonts w:ascii="Garamond" w:hAnsi="Garamond"/>
          <w:b/>
          <w:bCs/>
          <w:spacing w:val="10"/>
          <w:rtl/>
        </w:rPr>
        <w:t>השני</w:t>
      </w:r>
      <w:r w:rsidRPr="00B219B2">
        <w:rPr>
          <w:rFonts w:ascii="Garamond" w:hAnsi="Garamond"/>
          <w:spacing w:val="10"/>
          <w:rtl/>
        </w:rPr>
        <w:t xml:space="preserve"> הנאשם השתכנע אמנם בצורך הטיפולי, אך שוב הנאשם לא הביע נכונות להשתלב בהליך טיפולי מתאים במסגרת שירות המבחן. הנאשם אמנם סיכם עם שירות המבחן על הליך טיפולי פרטני שיעבור במסגרת פרטית אך בפני בית המשפט לא הוצגה כל תכנית ממשית שניתן לעמוד על טיבה ומהותה נכון לעת הזו.</w:t>
      </w:r>
    </w:p>
    <w:p w14:paraId="659EC7A6" w14:textId="77777777" w:rsidR="00DC1412" w:rsidRPr="00B219B2" w:rsidRDefault="00DC1412" w:rsidP="00DC1412">
      <w:pPr>
        <w:numPr>
          <w:ilvl w:val="0"/>
          <w:numId w:val="1"/>
        </w:numPr>
        <w:tabs>
          <w:tab w:val="left" w:pos="800"/>
          <w:tab w:val="num" w:pos="907"/>
        </w:tabs>
        <w:overflowPunct w:val="0"/>
        <w:autoSpaceDE w:val="0"/>
        <w:autoSpaceDN w:val="0"/>
        <w:adjustRightInd w:val="0"/>
        <w:spacing w:after="160" w:line="360" w:lineRule="auto"/>
        <w:ind w:left="0" w:firstLine="0"/>
        <w:jc w:val="both"/>
        <w:rPr>
          <w:rFonts w:ascii="Garamond" w:hAnsi="Garamond"/>
          <w:spacing w:val="10"/>
        </w:rPr>
      </w:pPr>
      <w:r w:rsidRPr="00B219B2">
        <w:rPr>
          <w:rFonts w:ascii="Garamond" w:hAnsi="Garamond"/>
          <w:spacing w:val="10"/>
          <w:rtl/>
        </w:rPr>
        <w:t xml:space="preserve">עם זאת, אציין כי אף שהתוכנית הטיפולית המוצעת על ידי הנאשם ושירות המבחן אינה ברורה דיה, מצאתי לתת לה ביטוי ממשי בענישה ובמיקום הנאשם במתחם שנקבע. זאת על מנת לעודד את הנאשם </w:t>
      </w:r>
      <w:r>
        <w:rPr>
          <w:rFonts w:ascii="Garamond" w:hAnsi="Garamond" w:hint="cs"/>
          <w:spacing w:val="10"/>
          <w:rtl/>
        </w:rPr>
        <w:t>להשתלב בהליך טיפולי ו</w:t>
      </w:r>
      <w:r w:rsidRPr="00B219B2">
        <w:rPr>
          <w:rFonts w:ascii="Garamond" w:hAnsi="Garamond"/>
          <w:spacing w:val="10"/>
          <w:rtl/>
        </w:rPr>
        <w:t>לעבד, באמצעות הליך טיפולי מתאים, את הסוגיות הרגשיות הלא פתורות ונטייתו לפתור אותן באמצעות התנהגות מסכנת ו</w:t>
      </w:r>
      <w:r>
        <w:rPr>
          <w:rFonts w:ascii="Garamond" w:hAnsi="Garamond" w:hint="cs"/>
          <w:spacing w:val="10"/>
          <w:rtl/>
        </w:rPr>
        <w:t xml:space="preserve">כן </w:t>
      </w:r>
      <w:r w:rsidRPr="00B219B2">
        <w:rPr>
          <w:rFonts w:ascii="Garamond" w:hAnsi="Garamond"/>
          <w:spacing w:val="10"/>
          <w:rtl/>
        </w:rPr>
        <w:t xml:space="preserve">על מנת לסייע לו בשמירה על התנהלותו התקינה, כפי שהוא נוהג מאז הוגש כתב האישום. </w:t>
      </w:r>
    </w:p>
    <w:p w14:paraId="175E07EB" w14:textId="77777777" w:rsidR="00DC1412" w:rsidRPr="00B219B2" w:rsidRDefault="00DC1412" w:rsidP="00DC1412">
      <w:pPr>
        <w:numPr>
          <w:ilvl w:val="0"/>
          <w:numId w:val="1"/>
        </w:numPr>
        <w:tabs>
          <w:tab w:val="left" w:pos="800"/>
          <w:tab w:val="num" w:pos="907"/>
        </w:tabs>
        <w:overflowPunct w:val="0"/>
        <w:autoSpaceDE w:val="0"/>
        <w:autoSpaceDN w:val="0"/>
        <w:adjustRightInd w:val="0"/>
        <w:spacing w:after="160" w:line="360" w:lineRule="auto"/>
        <w:ind w:left="0" w:firstLine="0"/>
        <w:jc w:val="both"/>
        <w:rPr>
          <w:rFonts w:ascii="Garamond" w:hAnsi="Garamond"/>
          <w:spacing w:val="10"/>
        </w:rPr>
      </w:pPr>
      <w:r w:rsidRPr="00B219B2">
        <w:rPr>
          <w:rFonts w:ascii="Garamond" w:hAnsi="Garamond"/>
          <w:spacing w:val="10"/>
          <w:rtl/>
        </w:rPr>
        <w:t xml:space="preserve">בהקשר זה ראוי לציין כי בהתאם להוראת </w:t>
      </w:r>
      <w:hyperlink r:id="rId32" w:history="1">
        <w:r w:rsidR="00B239E6" w:rsidRPr="00B239E6">
          <w:rPr>
            <w:rStyle w:val="Hyperlink"/>
            <w:rFonts w:ascii="Garamond" w:hAnsi="Garamond" w:hint="eastAsia"/>
            <w:spacing w:val="10"/>
            <w:rtl/>
          </w:rPr>
          <w:t>סעיף</w:t>
        </w:r>
        <w:r w:rsidR="00B239E6" w:rsidRPr="00B239E6">
          <w:rPr>
            <w:rStyle w:val="Hyperlink"/>
            <w:rFonts w:ascii="Garamond" w:hAnsi="Garamond"/>
            <w:spacing w:val="10"/>
            <w:rtl/>
          </w:rPr>
          <w:t xml:space="preserve"> 40</w:t>
        </w:r>
        <w:r w:rsidR="00B239E6" w:rsidRPr="00B239E6">
          <w:rPr>
            <w:rStyle w:val="Hyperlink"/>
            <w:rFonts w:ascii="Garamond" w:hAnsi="Garamond" w:hint="eastAsia"/>
            <w:spacing w:val="10"/>
            <w:rtl/>
          </w:rPr>
          <w:t>ד</w:t>
        </w:r>
        <w:r w:rsidR="00B239E6" w:rsidRPr="00B239E6">
          <w:rPr>
            <w:rStyle w:val="Hyperlink"/>
            <w:rFonts w:ascii="Garamond" w:hAnsi="Garamond"/>
            <w:spacing w:val="10"/>
            <w:rtl/>
          </w:rPr>
          <w:t>(</w:t>
        </w:r>
        <w:r w:rsidR="00B239E6" w:rsidRPr="00B239E6">
          <w:rPr>
            <w:rStyle w:val="Hyperlink"/>
            <w:rFonts w:ascii="Garamond" w:hAnsi="Garamond" w:hint="eastAsia"/>
            <w:spacing w:val="10"/>
            <w:rtl/>
          </w:rPr>
          <w:t>א</w:t>
        </w:r>
        <w:r w:rsidR="00B239E6" w:rsidRPr="00B239E6">
          <w:rPr>
            <w:rStyle w:val="Hyperlink"/>
            <w:rFonts w:ascii="Garamond" w:hAnsi="Garamond"/>
            <w:spacing w:val="10"/>
            <w:rtl/>
          </w:rPr>
          <w:t>)</w:t>
        </w:r>
      </w:hyperlink>
      <w:r w:rsidRPr="00B219B2">
        <w:rPr>
          <w:rFonts w:ascii="Garamond" w:hAnsi="Garamond"/>
          <w:spacing w:val="10"/>
          <w:rtl/>
        </w:rPr>
        <w:t xml:space="preserve"> ל</w:t>
      </w:r>
      <w:hyperlink r:id="rId33" w:history="1">
        <w:r w:rsidR="00B15077" w:rsidRPr="00B15077">
          <w:rPr>
            <w:rFonts w:ascii="Garamond" w:hAnsi="Garamond" w:hint="eastAsia"/>
            <w:color w:val="0000FF"/>
            <w:spacing w:val="10"/>
            <w:u w:val="single"/>
            <w:rtl/>
          </w:rPr>
          <w:t>חוק</w:t>
        </w:r>
        <w:r w:rsidR="00B15077" w:rsidRPr="00B15077">
          <w:rPr>
            <w:rFonts w:ascii="Garamond" w:hAnsi="Garamond"/>
            <w:color w:val="0000FF"/>
            <w:spacing w:val="10"/>
            <w:u w:val="single"/>
            <w:rtl/>
          </w:rPr>
          <w:t xml:space="preserve"> </w:t>
        </w:r>
        <w:r w:rsidR="00B15077" w:rsidRPr="00B15077">
          <w:rPr>
            <w:rFonts w:ascii="Garamond" w:hAnsi="Garamond" w:hint="eastAsia"/>
            <w:color w:val="0000FF"/>
            <w:spacing w:val="10"/>
            <w:u w:val="single"/>
            <w:rtl/>
          </w:rPr>
          <w:t>העונשין</w:t>
        </w:r>
      </w:hyperlink>
      <w:r w:rsidRPr="00B219B2">
        <w:rPr>
          <w:rFonts w:ascii="Garamond" w:hAnsi="Garamond"/>
          <w:spacing w:val="10"/>
          <w:rtl/>
        </w:rPr>
        <w:t xml:space="preserve">, בית משפט רשאי לחרוג ממתחם העונש ההולם אף ביחס לנאשם שלגביו קיים סיכוי של ממש </w:t>
      </w:r>
      <w:r w:rsidRPr="00B219B2">
        <w:rPr>
          <w:rFonts w:ascii="Garamond" w:hAnsi="Garamond"/>
          <w:b/>
          <w:bCs/>
          <w:spacing w:val="10"/>
          <w:rtl/>
        </w:rPr>
        <w:t>שישתקם</w:t>
      </w:r>
      <w:r w:rsidRPr="00B219B2">
        <w:rPr>
          <w:rFonts w:ascii="Garamond" w:hAnsi="Garamond"/>
          <w:spacing w:val="10"/>
          <w:rtl/>
        </w:rPr>
        <w:t>, היינו גם כאשר השיקום הוא צופה פני עתיד</w:t>
      </w:r>
      <w:r w:rsidRPr="00B219B2">
        <w:rPr>
          <w:rFonts w:ascii="David" w:eastAsia="Calibri" w:hAnsi="David"/>
          <w:color w:val="000000"/>
          <w:sz w:val="26"/>
          <w:szCs w:val="26"/>
          <w:rtl/>
        </w:rPr>
        <w:t>,</w:t>
      </w:r>
      <w:r w:rsidRPr="00B219B2">
        <w:rPr>
          <w:rFonts w:ascii="FrankRuehl" w:eastAsia="Calibri" w:hAnsi="FrankRuehl" w:cs="FrankRuehl"/>
          <w:color w:val="000000"/>
          <w:sz w:val="26"/>
          <w:szCs w:val="26"/>
          <w:rtl/>
        </w:rPr>
        <w:t xml:space="preserve"> </w:t>
      </w:r>
      <w:r w:rsidRPr="00B219B2">
        <w:rPr>
          <w:rFonts w:ascii="Garamond" w:hAnsi="Garamond"/>
          <w:spacing w:val="10"/>
          <w:rtl/>
        </w:rPr>
        <w:t>"</w:t>
      </w:r>
      <w:r w:rsidRPr="00B219B2">
        <w:rPr>
          <w:rFonts w:ascii="Garamond" w:hAnsi="Garamond"/>
          <w:b/>
          <w:bCs/>
          <w:spacing w:val="10"/>
          <w:rtl/>
        </w:rPr>
        <w:t xml:space="preserve">ולקבוע את עונשו של הנאשם לפי שיקולי שיקומו, וכן להורות על נקיטת אמצעי שיקומי כלפי הנאשם, לרבות העמדתו במבחן לפי סעיפים 82 או 86 או לפי </w:t>
      </w:r>
      <w:hyperlink r:id="rId34" w:history="1">
        <w:r w:rsidR="00B15077" w:rsidRPr="00B15077">
          <w:rPr>
            <w:rFonts w:ascii="Garamond" w:hAnsi="Garamond" w:hint="eastAsia"/>
            <w:b/>
            <w:bCs/>
            <w:color w:val="0000FF"/>
            <w:spacing w:val="10"/>
            <w:u w:val="single"/>
            <w:rtl/>
          </w:rPr>
          <w:t>פקודת</w:t>
        </w:r>
        <w:r w:rsidR="00B15077" w:rsidRPr="00B15077">
          <w:rPr>
            <w:rFonts w:ascii="Garamond" w:hAnsi="Garamond"/>
            <w:b/>
            <w:bCs/>
            <w:color w:val="0000FF"/>
            <w:spacing w:val="10"/>
            <w:u w:val="single"/>
            <w:rtl/>
          </w:rPr>
          <w:t xml:space="preserve"> </w:t>
        </w:r>
        <w:r w:rsidR="00B15077" w:rsidRPr="00B15077">
          <w:rPr>
            <w:rFonts w:ascii="Garamond" w:hAnsi="Garamond" w:hint="eastAsia"/>
            <w:b/>
            <w:bCs/>
            <w:color w:val="0000FF"/>
            <w:spacing w:val="10"/>
            <w:u w:val="single"/>
            <w:rtl/>
          </w:rPr>
          <w:t>המבחן</w:t>
        </w:r>
      </w:hyperlink>
      <w:r w:rsidRPr="00B219B2">
        <w:rPr>
          <w:rFonts w:ascii="Garamond" w:hAnsi="Garamond"/>
          <w:b/>
          <w:bCs/>
          <w:spacing w:val="10"/>
          <w:rtl/>
        </w:rPr>
        <w:t xml:space="preserve"> [נוסח חדש], התשכ"ט-1969</w:t>
      </w:r>
      <w:r w:rsidRPr="00B219B2">
        <w:rPr>
          <w:rFonts w:ascii="Garamond" w:hAnsi="Garamond"/>
          <w:spacing w:val="10"/>
        </w:rPr>
        <w:t>."</w:t>
      </w:r>
    </w:p>
    <w:p w14:paraId="0D628955" w14:textId="77777777" w:rsidR="00DC1412" w:rsidRPr="00B219B2" w:rsidRDefault="00DC1412" w:rsidP="00DC1412">
      <w:pPr>
        <w:spacing w:after="160" w:line="256" w:lineRule="auto"/>
        <w:rPr>
          <w:rFonts w:ascii="Calibri" w:eastAsia="Calibri" w:hAnsi="Calibri" w:cs="Arial"/>
          <w:sz w:val="22"/>
          <w:szCs w:val="22"/>
          <w:rtl/>
        </w:rPr>
      </w:pPr>
    </w:p>
    <w:p w14:paraId="183B35E2" w14:textId="77777777" w:rsidR="00DC1412" w:rsidRPr="008056AF" w:rsidRDefault="00DC1412" w:rsidP="00DC1412">
      <w:pPr>
        <w:numPr>
          <w:ilvl w:val="0"/>
          <w:numId w:val="1"/>
        </w:numPr>
        <w:tabs>
          <w:tab w:val="left" w:pos="800"/>
          <w:tab w:val="num" w:pos="907"/>
        </w:tabs>
        <w:overflowPunct w:val="0"/>
        <w:autoSpaceDE w:val="0"/>
        <w:autoSpaceDN w:val="0"/>
        <w:adjustRightInd w:val="0"/>
        <w:spacing w:after="160" w:line="360" w:lineRule="auto"/>
        <w:ind w:left="0" w:firstLine="0"/>
        <w:jc w:val="both"/>
        <w:rPr>
          <w:rFonts w:ascii="Garamond" w:hAnsi="Garamond"/>
          <w:spacing w:val="10"/>
          <w:rtl/>
        </w:rPr>
      </w:pPr>
      <w:r w:rsidRPr="00B219B2">
        <w:rPr>
          <w:rFonts w:ascii="Garamond" w:hAnsi="Garamond"/>
          <w:spacing w:val="10"/>
          <w:rtl/>
        </w:rPr>
        <w:t>כלל הנסיבות שאינן קשורות לביצוע העבירה והנתונים כפי שפורטו לעיל, מובילים למסקנה שיש לחרוג לקולא ממתחם העונש שנקבע, ולו לפנים משורת הדין, וזאת על מנת לאפשר את שיקום הנאשם</w:t>
      </w:r>
      <w:r>
        <w:rPr>
          <w:rFonts w:ascii="Garamond" w:hAnsi="Garamond" w:hint="cs"/>
          <w:spacing w:val="10"/>
          <w:rtl/>
        </w:rPr>
        <w:t xml:space="preserve"> כמפורט לעיל</w:t>
      </w:r>
      <w:r w:rsidRPr="00B219B2">
        <w:rPr>
          <w:rFonts w:ascii="Garamond" w:hAnsi="Garamond"/>
          <w:spacing w:val="10"/>
          <w:rtl/>
        </w:rPr>
        <w:t xml:space="preserve">.      </w:t>
      </w:r>
    </w:p>
    <w:p w14:paraId="328ED4D4" w14:textId="77777777" w:rsidR="00DC1412" w:rsidRPr="00B219B2" w:rsidRDefault="00DC1412" w:rsidP="00DC1412">
      <w:pPr>
        <w:numPr>
          <w:ilvl w:val="0"/>
          <w:numId w:val="1"/>
        </w:numPr>
        <w:tabs>
          <w:tab w:val="left" w:pos="800"/>
          <w:tab w:val="num" w:pos="907"/>
        </w:tabs>
        <w:overflowPunct w:val="0"/>
        <w:autoSpaceDE w:val="0"/>
        <w:autoSpaceDN w:val="0"/>
        <w:adjustRightInd w:val="0"/>
        <w:spacing w:after="160" w:line="360" w:lineRule="auto"/>
        <w:ind w:left="0" w:firstLine="0"/>
        <w:jc w:val="both"/>
        <w:rPr>
          <w:rFonts w:ascii="David" w:hAnsi="David"/>
          <w:spacing w:val="10"/>
          <w:rtl/>
        </w:rPr>
      </w:pPr>
      <w:r w:rsidRPr="00B219B2">
        <w:rPr>
          <w:rFonts w:ascii="David" w:hAnsi="David"/>
          <w:spacing w:val="10"/>
          <w:rtl/>
        </w:rPr>
        <w:t>כעת אפנה לעתירת הנאשם לביטול הרשעתו בדין.</w:t>
      </w:r>
    </w:p>
    <w:p w14:paraId="2C87858F" w14:textId="77777777" w:rsidR="00DC1412" w:rsidRPr="00B219B2" w:rsidRDefault="00DC1412" w:rsidP="00DC1412">
      <w:pPr>
        <w:spacing w:after="160" w:line="256" w:lineRule="auto"/>
        <w:rPr>
          <w:rFonts w:ascii="David" w:hAnsi="David"/>
          <w:spacing w:val="10"/>
          <w:u w:val="single"/>
          <w:rtl/>
        </w:rPr>
      </w:pPr>
      <w:r w:rsidRPr="00B219B2">
        <w:rPr>
          <w:rFonts w:ascii="David" w:hAnsi="David"/>
          <w:spacing w:val="10"/>
          <w:u w:val="single"/>
          <w:rtl/>
        </w:rPr>
        <w:t>שאלת ביטול ההרשעה בדין:</w:t>
      </w:r>
    </w:p>
    <w:p w14:paraId="661B8FCB" w14:textId="77777777" w:rsidR="00DC1412" w:rsidRPr="00395146" w:rsidRDefault="00DC1412" w:rsidP="00DC1412">
      <w:pPr>
        <w:numPr>
          <w:ilvl w:val="0"/>
          <w:numId w:val="1"/>
        </w:numPr>
        <w:tabs>
          <w:tab w:val="left" w:pos="800"/>
          <w:tab w:val="num" w:pos="907"/>
        </w:tabs>
        <w:overflowPunct w:val="0"/>
        <w:autoSpaceDE w:val="0"/>
        <w:autoSpaceDN w:val="0"/>
        <w:adjustRightInd w:val="0"/>
        <w:spacing w:after="160" w:line="360" w:lineRule="auto"/>
        <w:ind w:left="0" w:firstLine="0"/>
        <w:jc w:val="both"/>
        <w:rPr>
          <w:rFonts w:ascii="David" w:hAnsi="David"/>
          <w:spacing w:val="10"/>
        </w:rPr>
      </w:pPr>
      <w:r w:rsidRPr="00B219B2">
        <w:rPr>
          <w:rFonts w:ascii="David" w:hAnsi="David"/>
          <w:spacing w:val="10"/>
          <w:rtl/>
        </w:rPr>
        <w:t xml:space="preserve">הלכה היא, כי הימנעות מהרשעה הינה בגדר החריג שבחריגים, וכי ככלל מי שביצע עבירה יש להרשיעו בדין. מהפסיקה הענפה הקיימת בסוגיה זו עולה כי על בית המשפט לבחון, </w:t>
      </w:r>
      <w:r w:rsidRPr="00B219B2">
        <w:rPr>
          <w:rFonts w:ascii="David" w:hAnsi="David"/>
          <w:b/>
          <w:bCs/>
          <w:spacing w:val="10"/>
          <w:rtl/>
        </w:rPr>
        <w:t>בראש ובראשונה</w:t>
      </w:r>
      <w:r w:rsidRPr="00B219B2">
        <w:rPr>
          <w:rFonts w:ascii="David" w:hAnsi="David"/>
          <w:spacing w:val="10"/>
          <w:rtl/>
        </w:rPr>
        <w:t xml:space="preserve">, את השאלה, אם סוג העבירה וטיבה, על רקע הנסיבות הקונקרטיות של המקרה, מאפשרים להימנע מהרשעה. </w:t>
      </w:r>
      <w:r w:rsidRPr="00B219B2">
        <w:rPr>
          <w:rFonts w:ascii="David" w:hAnsi="David"/>
          <w:b/>
          <w:bCs/>
          <w:spacing w:val="10"/>
          <w:rtl/>
        </w:rPr>
        <w:t>בשלב השני</w:t>
      </w:r>
      <w:r w:rsidRPr="00B219B2">
        <w:rPr>
          <w:rFonts w:ascii="David" w:hAnsi="David"/>
          <w:spacing w:val="10"/>
          <w:rtl/>
        </w:rPr>
        <w:t xml:space="preserve"> יש להידרש לשאלה, האם עצם ההרשעה עלול לפגוע "</w:t>
      </w:r>
      <w:r w:rsidRPr="00B219B2">
        <w:rPr>
          <w:rFonts w:ascii="David" w:hAnsi="David"/>
          <w:b/>
          <w:bCs/>
          <w:spacing w:val="10"/>
          <w:rtl/>
        </w:rPr>
        <w:t>פגיעה חמורה בשיקומו או בעתידו של הנאשם</w:t>
      </w:r>
      <w:r w:rsidRPr="00B219B2">
        <w:rPr>
          <w:rFonts w:ascii="David" w:hAnsi="David"/>
          <w:spacing w:val="10"/>
          <w:rtl/>
        </w:rPr>
        <w:t>", שאינה שקולה לאינטרס הציבורי שבהרשעה. עוד נקבע, כי בבוא ביהמ"ש לבחון את הנזק העלול להיגרם לנאשם, יש להתייחס לנזק מוחשי–קונקרטי ואין להידרש לאפשרויות תאורטיות, על פיהן עלול להיגרם לנאשם נזק כלשהו בעתיד (</w:t>
      </w:r>
      <w:hyperlink r:id="rId35" w:history="1">
        <w:r w:rsidR="00B15077" w:rsidRPr="00B15077">
          <w:rPr>
            <w:rFonts w:ascii="David" w:hAnsi="David"/>
            <w:color w:val="0000FF"/>
            <w:spacing w:val="10"/>
            <w:u w:val="single"/>
            <w:rtl/>
          </w:rPr>
          <w:t>ע"פ 2083/96</w:t>
        </w:r>
      </w:hyperlink>
      <w:r w:rsidRPr="00B219B2">
        <w:rPr>
          <w:rFonts w:ascii="David" w:hAnsi="David"/>
          <w:spacing w:val="10"/>
          <w:rtl/>
        </w:rPr>
        <w:t xml:space="preserve"> </w:t>
      </w:r>
      <w:r w:rsidRPr="00B219B2">
        <w:rPr>
          <w:rFonts w:ascii="David" w:hAnsi="David" w:hint="cs"/>
          <w:b/>
          <w:bCs/>
          <w:spacing w:val="10"/>
          <w:rtl/>
        </w:rPr>
        <w:t>תמר כתב נ' מ.י.</w:t>
      </w:r>
      <w:r w:rsidRPr="00B219B2">
        <w:rPr>
          <w:rFonts w:ascii="David" w:hAnsi="David" w:hint="cs"/>
          <w:spacing w:val="10"/>
          <w:rtl/>
        </w:rPr>
        <w:t xml:space="preserve"> [פורסם בנבו] מיום 21.08.97; </w:t>
      </w:r>
      <w:hyperlink r:id="rId36" w:history="1">
        <w:r w:rsidR="00B15077" w:rsidRPr="00B15077">
          <w:rPr>
            <w:rFonts w:ascii="David" w:hAnsi="David"/>
            <w:color w:val="0000FF"/>
            <w:spacing w:val="10"/>
            <w:u w:val="single"/>
            <w:rtl/>
          </w:rPr>
          <w:t>רע"פ 1746/18</w:t>
        </w:r>
      </w:hyperlink>
      <w:r w:rsidRPr="00B219B2">
        <w:rPr>
          <w:rFonts w:ascii="David" w:hAnsi="David"/>
          <w:spacing w:val="10"/>
          <w:rtl/>
        </w:rPr>
        <w:t xml:space="preserve"> </w:t>
      </w:r>
      <w:r w:rsidRPr="00B219B2">
        <w:rPr>
          <w:rFonts w:ascii="David" w:hAnsi="David" w:hint="cs"/>
          <w:b/>
          <w:bCs/>
          <w:spacing w:val="10"/>
          <w:rtl/>
        </w:rPr>
        <w:t>אלחנן יהודה פליימר נ' מ.י.</w:t>
      </w:r>
      <w:r w:rsidRPr="00B219B2">
        <w:rPr>
          <w:rFonts w:ascii="David" w:hAnsi="David" w:hint="cs"/>
          <w:spacing w:val="10"/>
          <w:rtl/>
        </w:rPr>
        <w:t xml:space="preserve"> [פורסם בנבו] מיום</w:t>
      </w:r>
      <w:r>
        <w:rPr>
          <w:rFonts w:ascii="David" w:hAnsi="David" w:hint="cs"/>
          <w:spacing w:val="10"/>
          <w:rtl/>
        </w:rPr>
        <w:t xml:space="preserve"> 26.04.18 והאזכורים המובאים שם)</w:t>
      </w:r>
    </w:p>
    <w:p w14:paraId="4A685E93" w14:textId="77777777" w:rsidR="00DC1412" w:rsidRPr="00B219B2" w:rsidRDefault="00DC1412" w:rsidP="00DC1412">
      <w:pPr>
        <w:numPr>
          <w:ilvl w:val="0"/>
          <w:numId w:val="1"/>
        </w:numPr>
        <w:tabs>
          <w:tab w:val="left" w:pos="800"/>
          <w:tab w:val="num" w:pos="907"/>
        </w:tabs>
        <w:overflowPunct w:val="0"/>
        <w:autoSpaceDE w:val="0"/>
        <w:autoSpaceDN w:val="0"/>
        <w:adjustRightInd w:val="0"/>
        <w:spacing w:after="160" w:line="360" w:lineRule="auto"/>
        <w:ind w:left="0" w:firstLine="0"/>
        <w:jc w:val="both"/>
        <w:rPr>
          <w:rFonts w:ascii="David" w:hAnsi="David"/>
          <w:spacing w:val="10"/>
        </w:rPr>
      </w:pPr>
      <w:r w:rsidRPr="00395146">
        <w:rPr>
          <w:rFonts w:ascii="David" w:hAnsi="David"/>
          <w:b/>
          <w:bCs/>
          <w:spacing w:val="10"/>
          <w:rtl/>
        </w:rPr>
        <w:t>סוג העבירה</w:t>
      </w:r>
      <w:r>
        <w:rPr>
          <w:rFonts w:ascii="David" w:hAnsi="David" w:hint="cs"/>
          <w:b/>
          <w:bCs/>
          <w:spacing w:val="10"/>
          <w:rtl/>
        </w:rPr>
        <w:t xml:space="preserve"> וטיבה</w:t>
      </w:r>
      <w:r w:rsidRPr="00B219B2">
        <w:rPr>
          <w:rFonts w:ascii="David" w:hAnsi="David"/>
          <w:spacing w:val="10"/>
          <w:rtl/>
        </w:rPr>
        <w:t>; יאמר כי סוג העבירה הוא אכן משקל דומיננטי בעת ששוקלים את שאלת ביטול ההרשעה. כאשר מדובר בעבירות חמורות, אין להימנע באופן גורף מביטול הרשעה בדין. לנאשם מיוחסת עבירה של החזקת סמים שלא לצריכה עצמית. כאמור מדובר בהחזקת שני סוגי סמים, כאשר אחד מהם נחשב לסם קשה. בצידה של העבירה קבוע עונש מאסר מירבי של 20 שנות מאסר. ככלל, הרשעה בעבירה של החזקת סם מסוג קוקאין, גוררת אחריה גזר דין שבצדו ענישה מוחשית של מאסר</w:t>
      </w:r>
      <w:r>
        <w:rPr>
          <w:rFonts w:ascii="David" w:hAnsi="David" w:hint="cs"/>
          <w:spacing w:val="10"/>
          <w:rtl/>
        </w:rPr>
        <w:t>,</w:t>
      </w:r>
      <w:r w:rsidRPr="00B219B2">
        <w:rPr>
          <w:rFonts w:ascii="David" w:hAnsi="David"/>
          <w:spacing w:val="10"/>
          <w:rtl/>
        </w:rPr>
        <w:t xml:space="preserve"> ולו קצר, כזה שירוצה בעבודות שירות. על כן, כאשר מדובר בביטול הרשעה בדין של עבירה מסוג זה, הרי שהדבר שמור "</w:t>
      </w:r>
      <w:r w:rsidRPr="00B219B2">
        <w:rPr>
          <w:rFonts w:ascii="David" w:hAnsi="David"/>
          <w:b/>
          <w:bCs/>
          <w:spacing w:val="10"/>
          <w:rtl/>
        </w:rPr>
        <w:t>למקרים מיוחדים בלבד, בהם שוכנע בית המשפט, כי הפגיעה הקשה שתגרם לנאשם בעטיה של הרשעה, אינה שקולה כלל ועיקר לתועלת הציבורית המעטה שזו תניב</w:t>
      </w:r>
      <w:r w:rsidRPr="00B219B2">
        <w:rPr>
          <w:rFonts w:ascii="David" w:hAnsi="David"/>
          <w:spacing w:val="10"/>
          <w:rtl/>
        </w:rPr>
        <w:t>" (</w:t>
      </w:r>
      <w:hyperlink r:id="rId37" w:history="1">
        <w:r w:rsidR="00B15077" w:rsidRPr="00B15077">
          <w:rPr>
            <w:rFonts w:ascii="David" w:hAnsi="David"/>
            <w:color w:val="0000FF"/>
            <w:spacing w:val="10"/>
            <w:u w:val="single"/>
            <w:rtl/>
          </w:rPr>
          <w:t>ע"פ 9150/08</w:t>
        </w:r>
      </w:hyperlink>
      <w:r w:rsidRPr="00B219B2">
        <w:rPr>
          <w:rFonts w:ascii="David" w:hAnsi="David"/>
          <w:b/>
          <w:bCs/>
          <w:spacing w:val="10"/>
          <w:rtl/>
        </w:rPr>
        <w:t xml:space="preserve"> מדינת ישראל נ' איתמר ביטון</w:t>
      </w:r>
      <w:r w:rsidRPr="00B219B2">
        <w:rPr>
          <w:rFonts w:ascii="David" w:hAnsi="David"/>
          <w:spacing w:val="10"/>
          <w:rtl/>
        </w:rPr>
        <w:t xml:space="preserve"> [פורסם בנבו] (מיום 23/07/09)פסקה 7 בפסק הדין). אינני סבור שמקרה זה נופל לאותם מקרים מיוחדים.</w:t>
      </w:r>
    </w:p>
    <w:p w14:paraId="21010299" w14:textId="77777777" w:rsidR="00DC1412" w:rsidRPr="00B219B2" w:rsidRDefault="00DC1412" w:rsidP="00DC1412">
      <w:pPr>
        <w:numPr>
          <w:ilvl w:val="0"/>
          <w:numId w:val="1"/>
        </w:numPr>
        <w:tabs>
          <w:tab w:val="left" w:pos="800"/>
          <w:tab w:val="num" w:pos="907"/>
        </w:tabs>
        <w:overflowPunct w:val="0"/>
        <w:autoSpaceDE w:val="0"/>
        <w:autoSpaceDN w:val="0"/>
        <w:adjustRightInd w:val="0"/>
        <w:spacing w:after="160" w:line="360" w:lineRule="auto"/>
        <w:ind w:left="0" w:firstLine="0"/>
        <w:jc w:val="both"/>
        <w:rPr>
          <w:rFonts w:ascii="David" w:hAnsi="David"/>
          <w:spacing w:val="10"/>
          <w:rtl/>
        </w:rPr>
      </w:pPr>
      <w:r w:rsidRPr="00395146">
        <w:rPr>
          <w:rFonts w:ascii="David" w:hAnsi="David"/>
          <w:b/>
          <w:bCs/>
          <w:spacing w:val="10"/>
          <w:rtl/>
        </w:rPr>
        <w:t>נזק קונקרטי</w:t>
      </w:r>
      <w:r w:rsidRPr="00B219B2">
        <w:rPr>
          <w:rFonts w:ascii="David" w:hAnsi="David"/>
          <w:spacing w:val="10"/>
          <w:rtl/>
        </w:rPr>
        <w:t xml:space="preserve">; </w:t>
      </w:r>
      <w:r w:rsidRPr="00B219B2">
        <w:rPr>
          <w:rFonts w:ascii="David" w:eastAsia="Calibri" w:hAnsi="David"/>
          <w:spacing w:val="10"/>
          <w:rtl/>
        </w:rPr>
        <w:t xml:space="preserve">באשר לנזק הקונקרטי, נקבע כי יש לבחון אותו בהתאם ל"מידת וודאות קרובה לקיומו של נזק קונקרטי" לפגיעה בלתי מידתית בעתידו ובסיכויי שיקומו של הנאשם </w:t>
      </w:r>
      <w:r w:rsidRPr="00B219B2">
        <w:rPr>
          <w:rFonts w:ascii="David" w:eastAsia="Calibri" w:hAnsi="David"/>
          <w:b/>
          <w:bCs/>
          <w:spacing w:val="10"/>
          <w:rtl/>
        </w:rPr>
        <w:t>[</w:t>
      </w:r>
      <w:hyperlink r:id="rId38" w:history="1">
        <w:r w:rsidR="00B15077" w:rsidRPr="00B15077">
          <w:rPr>
            <w:rFonts w:ascii="David" w:hAnsi="David"/>
            <w:color w:val="0000FF"/>
            <w:spacing w:val="10"/>
            <w:u w:val="single"/>
            <w:rtl/>
          </w:rPr>
          <w:t>רע"פ 7224/14</w:t>
        </w:r>
      </w:hyperlink>
      <w:r w:rsidRPr="00B219B2">
        <w:rPr>
          <w:rFonts w:ascii="David" w:hAnsi="David"/>
          <w:spacing w:val="10"/>
          <w:rtl/>
        </w:rPr>
        <w:t xml:space="preserve"> </w:t>
      </w:r>
      <w:r w:rsidRPr="00B219B2">
        <w:rPr>
          <w:rFonts w:ascii="David" w:hAnsi="David"/>
          <w:b/>
          <w:bCs/>
          <w:spacing w:val="10"/>
          <w:rtl/>
        </w:rPr>
        <w:t>משה פרנסקי נ' מדינת ישראל</w:t>
      </w:r>
      <w:r w:rsidRPr="00B219B2">
        <w:rPr>
          <w:rFonts w:ascii="David" w:hAnsi="David"/>
          <w:spacing w:val="10"/>
          <w:rtl/>
        </w:rPr>
        <w:t xml:space="preserve"> [פורסם בנבו] (10.11.2014); </w:t>
      </w:r>
      <w:hyperlink r:id="rId39" w:history="1">
        <w:r w:rsidR="00B15077" w:rsidRPr="00B15077">
          <w:rPr>
            <w:rFonts w:ascii="David" w:hAnsi="David"/>
            <w:color w:val="0000FF"/>
            <w:spacing w:val="10"/>
            <w:u w:val="single"/>
            <w:rtl/>
          </w:rPr>
          <w:t>רע"פ 3589/14</w:t>
        </w:r>
      </w:hyperlink>
      <w:r w:rsidRPr="00B219B2">
        <w:rPr>
          <w:rFonts w:ascii="David" w:hAnsi="David"/>
          <w:spacing w:val="10"/>
          <w:rtl/>
        </w:rPr>
        <w:t xml:space="preserve"> </w:t>
      </w:r>
      <w:r w:rsidRPr="00B219B2">
        <w:rPr>
          <w:rFonts w:ascii="David" w:hAnsi="David" w:hint="cs"/>
          <w:b/>
          <w:bCs/>
          <w:spacing w:val="10"/>
          <w:rtl/>
        </w:rPr>
        <w:t>לוזון נ' מדינת ישראל</w:t>
      </w:r>
      <w:r w:rsidRPr="00B219B2">
        <w:rPr>
          <w:rFonts w:ascii="David" w:hAnsi="David" w:hint="cs"/>
          <w:spacing w:val="10"/>
          <w:rtl/>
        </w:rPr>
        <w:t xml:space="preserve"> [פורסם בנבו] (10.6.2014); </w:t>
      </w:r>
      <w:hyperlink r:id="rId40" w:history="1">
        <w:r w:rsidR="00B15077" w:rsidRPr="00B15077">
          <w:rPr>
            <w:rFonts w:ascii="David" w:hAnsi="David"/>
            <w:color w:val="0000FF"/>
            <w:spacing w:val="10"/>
            <w:u w:val="single"/>
            <w:rtl/>
          </w:rPr>
          <w:t>רע"פ 2180/14</w:t>
        </w:r>
      </w:hyperlink>
      <w:r w:rsidRPr="00B219B2">
        <w:rPr>
          <w:rFonts w:ascii="David" w:hAnsi="David"/>
          <w:spacing w:val="10"/>
          <w:rtl/>
        </w:rPr>
        <w:t xml:space="preserve"> </w:t>
      </w:r>
      <w:r w:rsidRPr="00B219B2">
        <w:rPr>
          <w:rFonts w:ascii="David" w:hAnsi="David" w:hint="cs"/>
          <w:b/>
          <w:bCs/>
          <w:spacing w:val="10"/>
          <w:rtl/>
        </w:rPr>
        <w:t xml:space="preserve">שמואלי נ' מדינת ישראל </w:t>
      </w:r>
      <w:r w:rsidRPr="00B219B2">
        <w:rPr>
          <w:rFonts w:ascii="David" w:hAnsi="David" w:hint="cs"/>
          <w:spacing w:val="10"/>
          <w:rtl/>
        </w:rPr>
        <w:t xml:space="preserve">[פורסם בנבו] (26.4.2014); </w:t>
      </w:r>
      <w:hyperlink r:id="rId41" w:history="1">
        <w:r w:rsidR="00B15077" w:rsidRPr="00B15077">
          <w:rPr>
            <w:rFonts w:ascii="David" w:hAnsi="David"/>
            <w:color w:val="0000FF"/>
            <w:spacing w:val="10"/>
            <w:u w:val="single"/>
            <w:rtl/>
          </w:rPr>
          <w:t>רע"פ 1439/13</w:t>
        </w:r>
      </w:hyperlink>
      <w:r w:rsidRPr="00B219B2">
        <w:rPr>
          <w:rFonts w:ascii="David" w:hAnsi="David"/>
          <w:spacing w:val="10"/>
          <w:rtl/>
        </w:rPr>
        <w:t xml:space="preserve"> </w:t>
      </w:r>
      <w:r w:rsidRPr="00B219B2">
        <w:rPr>
          <w:rFonts w:ascii="David" w:hAnsi="David" w:hint="cs"/>
          <w:b/>
          <w:bCs/>
          <w:spacing w:val="10"/>
          <w:rtl/>
        </w:rPr>
        <w:t xml:space="preserve">קשת נ' מדינת ישראל </w:t>
      </w:r>
      <w:r w:rsidRPr="00B219B2">
        <w:rPr>
          <w:rFonts w:ascii="David" w:hAnsi="David" w:hint="cs"/>
          <w:spacing w:val="10"/>
          <w:rtl/>
        </w:rPr>
        <w:t>[פורסם בנבו] (4.3.2013)].</w:t>
      </w:r>
      <w:r w:rsidRPr="00CC617D">
        <w:rPr>
          <w:rFonts w:ascii="David" w:hAnsi="David" w:hint="cs"/>
          <w:spacing w:val="10"/>
          <w:rtl/>
        </w:rPr>
        <w:t xml:space="preserve"> </w:t>
      </w:r>
      <w:r w:rsidRPr="00CC617D">
        <w:rPr>
          <w:rFonts w:ascii="David" w:eastAsia="Calibri" w:hAnsi="David"/>
          <w:spacing w:val="10"/>
          <w:rtl/>
        </w:rPr>
        <w:t>במקרה דנן</w:t>
      </w:r>
      <w:r w:rsidRPr="00CC617D">
        <w:rPr>
          <w:rFonts w:ascii="David" w:eastAsia="Calibri" w:hAnsi="David" w:hint="cs"/>
          <w:spacing w:val="10"/>
          <w:rtl/>
        </w:rPr>
        <w:t>,</w:t>
      </w:r>
      <w:r w:rsidRPr="00CC617D">
        <w:rPr>
          <w:rFonts w:ascii="David" w:eastAsia="Calibri" w:hAnsi="David"/>
          <w:spacing w:val="10"/>
          <w:rtl/>
        </w:rPr>
        <w:t xml:space="preserve"> הנזק הקונקרטי הנטען נסוב על מכתב של מנכ"ל חברה פרטית לה מעניק הנאשם שירותי ייעוץ כעצמאי (ראו נע/3). עיינתי במכתב הקצר והלקוני שהוגש. לתפיסתי, מדובר במכתב שאין בו כדי להצביע על נזק קונקרטי, ובוודאי שאינו מצביע על נזק קונקרטי מובהק. כך במיוחד כאשר הנאשם אינו העובד של החברה אלא נותן שירותי יעוץ לחברה. </w:t>
      </w:r>
      <w:r w:rsidRPr="00CC617D">
        <w:rPr>
          <w:rFonts w:ascii="David" w:eastAsia="Calibri" w:hAnsi="David" w:hint="cs"/>
          <w:spacing w:val="10"/>
          <w:rtl/>
        </w:rPr>
        <w:t xml:space="preserve">איני סבור שבנסיבותיו של הנאשם קיים חשש אמיתי לפיטורין. החשש הנטען </w:t>
      </w:r>
      <w:r w:rsidRPr="00CC617D">
        <w:rPr>
          <w:rFonts w:ascii="David" w:eastAsia="Calibri" w:hAnsi="David"/>
          <w:spacing w:val="10"/>
          <w:rtl/>
        </w:rPr>
        <w:t xml:space="preserve">אינו נשען על חשש לפיטורין הנובע מהוראת חוק, תקנה, הנחיה או חוזה חתום בין הנאשם לחברה </w:t>
      </w:r>
      <w:r w:rsidRPr="00CC617D">
        <w:rPr>
          <w:rFonts w:ascii="David" w:eastAsia="Calibri" w:hAnsi="David" w:hint="cs"/>
          <w:spacing w:val="10"/>
          <w:rtl/>
        </w:rPr>
        <w:t xml:space="preserve">לה הנאשם מספק שירותי יעוץ כעצמאי </w:t>
      </w:r>
      <w:r w:rsidRPr="00CC617D">
        <w:rPr>
          <w:rFonts w:ascii="David" w:eastAsia="Calibri" w:hAnsi="David"/>
          <w:spacing w:val="10"/>
          <w:rtl/>
        </w:rPr>
        <w:t>ו</w:t>
      </w:r>
      <w:r w:rsidRPr="00CC617D">
        <w:rPr>
          <w:rFonts w:ascii="David" w:eastAsia="Calibri" w:hAnsi="David" w:hint="cs"/>
          <w:spacing w:val="10"/>
          <w:rtl/>
        </w:rPr>
        <w:t xml:space="preserve">אשר </w:t>
      </w:r>
      <w:r w:rsidRPr="00CC617D">
        <w:rPr>
          <w:rFonts w:ascii="David" w:eastAsia="Calibri" w:hAnsi="David"/>
          <w:spacing w:val="10"/>
          <w:rtl/>
        </w:rPr>
        <w:t>במסגרתו נקבע כי הרשעה בדין תוביל לפיטורין או תביא להפסקת ההתקשרות העסקית</w:t>
      </w:r>
      <w:r w:rsidRPr="00CC617D">
        <w:rPr>
          <w:rFonts w:ascii="David" w:eastAsia="Calibri" w:hAnsi="David" w:hint="cs"/>
          <w:spacing w:val="10"/>
          <w:rtl/>
        </w:rPr>
        <w:t xml:space="preserve"> עימו</w:t>
      </w:r>
      <w:r w:rsidRPr="00CC617D">
        <w:rPr>
          <w:rFonts w:ascii="David" w:eastAsia="Calibri" w:hAnsi="David"/>
          <w:spacing w:val="10"/>
          <w:rtl/>
        </w:rPr>
        <w:t>.</w:t>
      </w:r>
    </w:p>
    <w:p w14:paraId="3ECD6F37" w14:textId="77777777" w:rsidR="00DC1412" w:rsidRPr="00B219B2" w:rsidRDefault="00DC1412" w:rsidP="00DC1412">
      <w:pPr>
        <w:numPr>
          <w:ilvl w:val="0"/>
          <w:numId w:val="1"/>
        </w:numPr>
        <w:tabs>
          <w:tab w:val="left" w:pos="800"/>
          <w:tab w:val="num" w:pos="907"/>
        </w:tabs>
        <w:overflowPunct w:val="0"/>
        <w:autoSpaceDE w:val="0"/>
        <w:autoSpaceDN w:val="0"/>
        <w:adjustRightInd w:val="0"/>
        <w:spacing w:after="160" w:line="360" w:lineRule="auto"/>
        <w:ind w:left="0" w:firstLine="0"/>
        <w:jc w:val="both"/>
        <w:rPr>
          <w:rFonts w:ascii="David" w:hAnsi="David"/>
          <w:spacing w:val="10"/>
        </w:rPr>
      </w:pPr>
      <w:r w:rsidRPr="00B219B2">
        <w:rPr>
          <w:rFonts w:ascii="David" w:hAnsi="David"/>
          <w:spacing w:val="10"/>
          <w:rtl/>
        </w:rPr>
        <w:t xml:space="preserve">בעניין הנזק הקונקרטי שעל הנאשם להוכיח, קבע בית המשפט העליון פעמים רבות את ההלכה, כלהלן: </w:t>
      </w:r>
    </w:p>
    <w:p w14:paraId="6A305D55" w14:textId="77777777" w:rsidR="00DC1412" w:rsidRPr="00B219B2" w:rsidRDefault="00B15077" w:rsidP="00DC1412">
      <w:pPr>
        <w:spacing w:before="200" w:after="160" w:line="256" w:lineRule="auto"/>
        <w:ind w:left="864" w:right="864"/>
        <w:jc w:val="both"/>
        <w:rPr>
          <w:rFonts w:ascii="David" w:eastAsia="Calibri" w:hAnsi="David"/>
          <w:b/>
          <w:bCs/>
          <w:sz w:val="22"/>
          <w:szCs w:val="22"/>
          <w:rtl/>
        </w:rPr>
      </w:pPr>
      <w:r>
        <w:rPr>
          <w:rFonts w:ascii="David" w:eastAsia="Calibri" w:hAnsi="David"/>
          <w:b/>
          <w:bCs/>
          <w:rtl/>
        </w:rPr>
        <w:t xml:space="preserve"> </w:t>
      </w:r>
      <w:r w:rsidR="00DC1412" w:rsidRPr="00B219B2">
        <w:rPr>
          <w:rFonts w:ascii="David" w:eastAsia="Calibri" w:hAnsi="David"/>
          <w:b/>
          <w:bCs/>
          <w:rtl/>
        </w:rPr>
        <w:t>"בשורה ארוכה של פסקי דין נקבע, כי על העותר לאי-הרשעה מוטלת החובה להצביע על כך שהרשעתו תביא לפגיעה קשה וקונקרטית בסיכויי שיקומו, ולתמוך את טענותיו בתשתית ראייתית מתאימה... החובה להצביע על נזק קונקרטי, עולה בקנה אחד עם אופיו המצומצם של החריג שעניינו הימנעות מהרשעה, אשר נועד לחול אך במקרים בהם קיימים טעמים כבדי משקל הנוגעים לשיקומו של הנאשם. כפי שציינתי לאחרונה בעניין שמואלי, שם דובר בנאשם קטין, כי 'אין מקום להניח כי כל הרשעה של קטין צפויה לפגוע, מניה וביה, באופן מהותי באפשרותו להשתקם', ובוודאי שאין מקום להנחה מעין זו, אך משום שמדובר בנאשם נטול עבר פלילי. אימוץ עמדתו של המבקש תוביל לסטייה מהאיזון הבסיסי העומד ביסודו של חריג ההימנעות מהרשעה, ולהחלתו של החריג גם במקרים בהם אין כל סיבה ממשית לכך" (ע"פ 3598/14 לוזון נ' מדינת ישראל, מיום 10.06.2014)".</w:t>
      </w:r>
    </w:p>
    <w:p w14:paraId="5C79633D" w14:textId="77777777" w:rsidR="00DC1412" w:rsidRPr="00B219B2" w:rsidRDefault="00DC1412" w:rsidP="00DC1412">
      <w:pPr>
        <w:numPr>
          <w:ilvl w:val="0"/>
          <w:numId w:val="1"/>
        </w:numPr>
        <w:tabs>
          <w:tab w:val="left" w:pos="800"/>
          <w:tab w:val="num" w:pos="907"/>
        </w:tabs>
        <w:overflowPunct w:val="0"/>
        <w:autoSpaceDE w:val="0"/>
        <w:autoSpaceDN w:val="0"/>
        <w:adjustRightInd w:val="0"/>
        <w:spacing w:after="160" w:line="360" w:lineRule="auto"/>
        <w:ind w:left="0" w:firstLine="0"/>
        <w:jc w:val="both"/>
        <w:rPr>
          <w:rFonts w:ascii="David" w:hAnsi="David"/>
          <w:spacing w:val="10"/>
          <w:rtl/>
        </w:rPr>
      </w:pPr>
      <w:r w:rsidRPr="00B219B2">
        <w:rPr>
          <w:rFonts w:ascii="David" w:hAnsi="David"/>
          <w:spacing w:val="10"/>
          <w:rtl/>
        </w:rPr>
        <w:t xml:space="preserve">אני ער לטענת הנאשם וב"כ לפיה הנאשם חשף את ההליך הפלילי המתנהל נגדו למעסיקו </w:t>
      </w:r>
      <w:r>
        <w:rPr>
          <w:rFonts w:ascii="David" w:hAnsi="David" w:hint="cs"/>
          <w:spacing w:val="10"/>
          <w:rtl/>
        </w:rPr>
        <w:t xml:space="preserve">כביכול </w:t>
      </w:r>
      <w:r w:rsidRPr="00B219B2">
        <w:rPr>
          <w:rFonts w:ascii="David" w:hAnsi="David"/>
          <w:spacing w:val="10"/>
          <w:rtl/>
        </w:rPr>
        <w:t>ובכך חשף את עצם הרשעתו בדין בפ</w:t>
      </w:r>
      <w:r>
        <w:rPr>
          <w:rFonts w:ascii="David" w:hAnsi="David"/>
          <w:spacing w:val="10"/>
          <w:rtl/>
        </w:rPr>
        <w:t>ני</w:t>
      </w:r>
      <w:r>
        <w:rPr>
          <w:rFonts w:ascii="David" w:hAnsi="David" w:hint="cs"/>
          <w:spacing w:val="10"/>
          <w:rtl/>
        </w:rPr>
        <w:t>ו</w:t>
      </w:r>
      <w:r w:rsidRPr="00B219B2">
        <w:rPr>
          <w:rFonts w:ascii="David" w:hAnsi="David"/>
          <w:spacing w:val="10"/>
          <w:rtl/>
        </w:rPr>
        <w:t xml:space="preserve">. איני סבור שיש ממש בטענה זו וזאת ממספר טעמים. </w:t>
      </w:r>
      <w:r w:rsidRPr="00B219B2">
        <w:rPr>
          <w:rFonts w:ascii="David" w:hAnsi="David"/>
          <w:b/>
          <w:bCs/>
          <w:spacing w:val="10"/>
          <w:rtl/>
        </w:rPr>
        <w:t>ראשית</w:t>
      </w:r>
      <w:r w:rsidRPr="00B219B2">
        <w:rPr>
          <w:rFonts w:ascii="David" w:hAnsi="David"/>
          <w:spacing w:val="10"/>
          <w:rtl/>
        </w:rPr>
        <w:t xml:space="preserve">, אין חולק שהפנייה למעסיקו היתה בחירתו של הנאשם  ויש להניח שפעל כך מתוך בחירתו שלו ועל מנת להשיג ראיות כדי לשכנע בטענתו לביטול הרשעה בדין. ככל שהנאשם סבר כי עצם הרשעתו לא תתגלה למעסיקיו בעתיד, וממילא לא תביא לפיטוריו, חזקה עליו שלא היה פועל בכיוון זה של ביטול הרשעתו. דווקא עצם העלאת טיעון מסוג זה, מלמד שאין ממש בטענה כי הרשעה תוביל לפגיעה בנאשם, שהרי מטיעון זה משתמע שהנאשם לא חייב לחשוף בפני מעסיקים דומים או חברות אחרות להן מעניק שירותי יעוץ את הרשעתו בפלילים. </w:t>
      </w:r>
      <w:r w:rsidRPr="00B219B2">
        <w:rPr>
          <w:rFonts w:ascii="David" w:hAnsi="David"/>
          <w:b/>
          <w:bCs/>
          <w:spacing w:val="10"/>
          <w:rtl/>
        </w:rPr>
        <w:t>שנית</w:t>
      </w:r>
      <w:r w:rsidRPr="00B219B2">
        <w:rPr>
          <w:rFonts w:ascii="David" w:hAnsi="David"/>
          <w:spacing w:val="10"/>
          <w:rtl/>
        </w:rPr>
        <w:t xml:space="preserve">, על פי האמור בתסקיר שירות המבחן הנאשם </w:t>
      </w:r>
      <w:r w:rsidRPr="00B219B2">
        <w:rPr>
          <w:rFonts w:ascii="David" w:hAnsi="David"/>
          <w:spacing w:val="10"/>
          <w:u w:val="single"/>
          <w:rtl/>
        </w:rPr>
        <w:t>עובד כעצמאי</w:t>
      </w:r>
      <w:r w:rsidRPr="00B219B2">
        <w:rPr>
          <w:rFonts w:ascii="David" w:hAnsi="David"/>
          <w:spacing w:val="10"/>
          <w:rtl/>
        </w:rPr>
        <w:t xml:space="preserve"> ומייעץ </w:t>
      </w:r>
      <w:r w:rsidRPr="00B219B2">
        <w:rPr>
          <w:rFonts w:ascii="David" w:hAnsi="David"/>
          <w:b/>
          <w:bCs/>
          <w:spacing w:val="10"/>
          <w:u w:val="single"/>
          <w:rtl/>
        </w:rPr>
        <w:t>לחברות שונות</w:t>
      </w:r>
      <w:r w:rsidRPr="00B219B2">
        <w:rPr>
          <w:rFonts w:ascii="David" w:hAnsi="David"/>
          <w:spacing w:val="10"/>
          <w:rtl/>
        </w:rPr>
        <w:t>, כך שאין מדובר בנאשם שעובד כשכיר וכבול לחברה אחת אשר גורלו ופרנסתו תלויים אך בהחלטת מנכ"ל חברת סהר כימקלים.</w:t>
      </w:r>
    </w:p>
    <w:p w14:paraId="37E10170" w14:textId="77777777" w:rsidR="00DC1412" w:rsidRPr="00125C8E" w:rsidRDefault="00DC1412" w:rsidP="00DC1412">
      <w:pPr>
        <w:numPr>
          <w:ilvl w:val="0"/>
          <w:numId w:val="1"/>
        </w:numPr>
        <w:tabs>
          <w:tab w:val="left" w:pos="800"/>
          <w:tab w:val="num" w:pos="907"/>
        </w:tabs>
        <w:overflowPunct w:val="0"/>
        <w:autoSpaceDE w:val="0"/>
        <w:autoSpaceDN w:val="0"/>
        <w:adjustRightInd w:val="0"/>
        <w:spacing w:after="160" w:line="360" w:lineRule="auto"/>
        <w:ind w:left="0" w:firstLine="0"/>
        <w:jc w:val="both"/>
        <w:rPr>
          <w:rFonts w:ascii="David" w:hAnsi="David"/>
          <w:spacing w:val="10"/>
        </w:rPr>
      </w:pPr>
      <w:r w:rsidRPr="00B219B2">
        <w:rPr>
          <w:rFonts w:ascii="David" w:hAnsi="David"/>
          <w:spacing w:val="10"/>
          <w:rtl/>
        </w:rPr>
        <w:t>לעניין ביטול ההרשעה בדין יש להביא בחשבון גם את התסקירים שהוגשו בעניינו של הנאשם. כמפורט לעיל, על אף קיומם של גורמי סיכון, הנאשם טרם עבר הליך טיפולי. התסקירים בעניינו של הנאשם אמביוולנטיים למדי. ההתרשמות היא שבניגוד למצופה מהנאשם, הוא לא עשה מאמץ משמעותי ניכר להשתלב בהליך טיפול מתאים על אף שחלף זמן משמעותי מאז הופנה לשירות המבחן.</w:t>
      </w:r>
    </w:p>
    <w:p w14:paraId="4E00FD34" w14:textId="77777777" w:rsidR="00DC1412" w:rsidRPr="00B219B2" w:rsidRDefault="00DC1412" w:rsidP="00DC1412">
      <w:pPr>
        <w:numPr>
          <w:ilvl w:val="0"/>
          <w:numId w:val="1"/>
        </w:numPr>
        <w:tabs>
          <w:tab w:val="left" w:pos="800"/>
          <w:tab w:val="num" w:pos="907"/>
        </w:tabs>
        <w:overflowPunct w:val="0"/>
        <w:autoSpaceDE w:val="0"/>
        <w:autoSpaceDN w:val="0"/>
        <w:adjustRightInd w:val="0"/>
        <w:spacing w:after="160" w:line="360" w:lineRule="auto"/>
        <w:ind w:left="0" w:firstLine="0"/>
        <w:jc w:val="both"/>
        <w:rPr>
          <w:rFonts w:ascii="Arial" w:hAnsi="Arial"/>
          <w:b/>
          <w:bCs/>
          <w:spacing w:val="10"/>
          <w:u w:val="single"/>
        </w:rPr>
      </w:pPr>
      <w:r w:rsidRPr="00B219B2">
        <w:rPr>
          <w:rFonts w:ascii="David" w:hAnsi="David"/>
          <w:spacing w:val="10"/>
          <w:rtl/>
        </w:rPr>
        <w:t xml:space="preserve">נוכח אלו, איני סבור שיש מקום לביטול ההרשעה בדין. </w:t>
      </w:r>
    </w:p>
    <w:p w14:paraId="16FE93BA" w14:textId="77777777" w:rsidR="00DC1412" w:rsidRPr="00B219B2" w:rsidRDefault="00DC1412" w:rsidP="00DC1412">
      <w:pPr>
        <w:numPr>
          <w:ilvl w:val="0"/>
          <w:numId w:val="1"/>
        </w:numPr>
        <w:tabs>
          <w:tab w:val="left" w:pos="800"/>
          <w:tab w:val="num" w:pos="907"/>
        </w:tabs>
        <w:overflowPunct w:val="0"/>
        <w:autoSpaceDE w:val="0"/>
        <w:autoSpaceDN w:val="0"/>
        <w:adjustRightInd w:val="0"/>
        <w:spacing w:after="160" w:line="360" w:lineRule="auto"/>
        <w:ind w:left="0" w:firstLine="0"/>
        <w:jc w:val="both"/>
        <w:rPr>
          <w:rFonts w:ascii="Garamond" w:hAnsi="Garamond"/>
          <w:spacing w:val="10"/>
          <w:rtl/>
        </w:rPr>
      </w:pPr>
      <w:r w:rsidRPr="00B219B2">
        <w:rPr>
          <w:rFonts w:ascii="Garamond" w:hAnsi="Garamond"/>
          <w:spacing w:val="10"/>
          <w:rtl/>
        </w:rPr>
        <w:t xml:space="preserve">נוכח כל המקובץ לעיל, לאחר שנתתי דעתי לסוג העבירה, הכמויות הקטנות יחסית של הסמים שנתפסו, נתוניו האישיים של הנאשם, הנסיבות הרפואיות מהן סבל וסובל הנאשם (נע/2 וכן פורט בתסקיר), נכונותו להשתלב בהליך טיפולי כעת, ולו במסגרת פרטית בפיקוח שירות המבחן, אני מוצא לחרוג לקולא ממתחם העונש שנקבע, כך שעל הנאשם יוטל עונש מאסר מותנה כעונש עיקרי לצד רכיבי ענישה אחרים וצו מבחן. </w:t>
      </w:r>
    </w:p>
    <w:p w14:paraId="3F760642" w14:textId="77777777" w:rsidR="00DC1412" w:rsidRPr="00B219B2" w:rsidRDefault="00DC1412" w:rsidP="00DC1412">
      <w:pPr>
        <w:spacing w:after="160" w:line="360" w:lineRule="auto"/>
        <w:jc w:val="both"/>
        <w:rPr>
          <w:rFonts w:ascii="David" w:eastAsia="Calibri" w:hAnsi="David"/>
          <w:b/>
          <w:bCs/>
          <w:u w:val="single"/>
          <w:rtl/>
        </w:rPr>
      </w:pPr>
      <w:r w:rsidRPr="00B219B2">
        <w:rPr>
          <w:rFonts w:ascii="David" w:eastAsia="Calibri" w:hAnsi="David"/>
          <w:b/>
          <w:bCs/>
          <w:u w:val="single"/>
          <w:rtl/>
        </w:rPr>
        <w:t>גזירת הדין</w:t>
      </w:r>
    </w:p>
    <w:p w14:paraId="2DDAFAF4" w14:textId="77777777" w:rsidR="00DC1412" w:rsidRPr="00B219B2" w:rsidRDefault="00DC1412" w:rsidP="00DC1412">
      <w:pPr>
        <w:numPr>
          <w:ilvl w:val="0"/>
          <w:numId w:val="1"/>
        </w:numPr>
        <w:tabs>
          <w:tab w:val="left" w:pos="800"/>
          <w:tab w:val="num" w:pos="907"/>
        </w:tabs>
        <w:overflowPunct w:val="0"/>
        <w:autoSpaceDE w:val="0"/>
        <w:autoSpaceDN w:val="0"/>
        <w:adjustRightInd w:val="0"/>
        <w:spacing w:after="160" w:line="360" w:lineRule="auto"/>
        <w:ind w:left="0" w:firstLine="0"/>
        <w:jc w:val="both"/>
        <w:rPr>
          <w:rFonts w:ascii="David" w:eastAsia="Calibri" w:hAnsi="David"/>
          <w:spacing w:val="10"/>
          <w:rtl/>
        </w:rPr>
      </w:pPr>
      <w:r w:rsidRPr="00B219B2">
        <w:rPr>
          <w:rFonts w:ascii="David" w:eastAsia="Calibri" w:hAnsi="David"/>
          <w:spacing w:val="10"/>
          <w:rtl/>
        </w:rPr>
        <w:t>לפיכך, אני מחליט לגזור על הנאשם את העונשים הבאים:</w:t>
      </w:r>
    </w:p>
    <w:p w14:paraId="44DA2879" w14:textId="77777777" w:rsidR="00DC1412" w:rsidRPr="00B219B2" w:rsidRDefault="00DC1412" w:rsidP="00DC1412">
      <w:pPr>
        <w:numPr>
          <w:ilvl w:val="0"/>
          <w:numId w:val="3"/>
        </w:numPr>
        <w:spacing w:after="160" w:line="360" w:lineRule="auto"/>
        <w:contextualSpacing/>
        <w:jc w:val="both"/>
        <w:rPr>
          <w:rFonts w:ascii="David" w:eastAsia="Calibri" w:hAnsi="David"/>
          <w:rtl/>
        </w:rPr>
      </w:pPr>
      <w:r w:rsidRPr="00B219B2">
        <w:rPr>
          <w:rFonts w:ascii="David" w:eastAsia="Calibri" w:hAnsi="David"/>
          <w:rtl/>
        </w:rPr>
        <w:t xml:space="preserve">6 חודשי מאסר, שלא ירוצו אלא אם יעבור הנאשם </w:t>
      </w:r>
      <w:r w:rsidRPr="00125C8E">
        <w:rPr>
          <w:rFonts w:ascii="David" w:eastAsia="Calibri" w:hAnsi="David"/>
          <w:b/>
          <w:bCs/>
          <w:rtl/>
        </w:rPr>
        <w:t>עבירות סמים מסוג פשע</w:t>
      </w:r>
      <w:r w:rsidRPr="00B219B2">
        <w:rPr>
          <w:rFonts w:ascii="David" w:eastAsia="Calibri" w:hAnsi="David"/>
          <w:rtl/>
        </w:rPr>
        <w:t xml:space="preserve"> שלוש שנים מהיום;</w:t>
      </w:r>
    </w:p>
    <w:p w14:paraId="004F8EE4" w14:textId="77777777" w:rsidR="00DC1412" w:rsidRPr="00B219B2" w:rsidRDefault="00DC1412" w:rsidP="00DC1412">
      <w:pPr>
        <w:numPr>
          <w:ilvl w:val="0"/>
          <w:numId w:val="3"/>
        </w:numPr>
        <w:spacing w:after="160" w:line="360" w:lineRule="auto"/>
        <w:contextualSpacing/>
        <w:jc w:val="both"/>
        <w:rPr>
          <w:rFonts w:ascii="David" w:eastAsia="Calibri" w:hAnsi="David"/>
        </w:rPr>
      </w:pPr>
      <w:r w:rsidRPr="00B219B2">
        <w:rPr>
          <w:rFonts w:ascii="David" w:eastAsia="Calibri" w:hAnsi="David"/>
          <w:rtl/>
        </w:rPr>
        <w:t>קנס בסך 2,500 ₪, או  25 ימי מאסר תמורתו. הקנס ישולם עד ליום 1.10.24. לא ישולם הקנס במועד או לא ישולם כלל, יעמוד הקנס לפירעון מיידי;</w:t>
      </w:r>
    </w:p>
    <w:p w14:paraId="072967A5" w14:textId="77777777" w:rsidR="00DC1412" w:rsidRPr="00B219B2" w:rsidRDefault="00DC1412" w:rsidP="00DC1412">
      <w:pPr>
        <w:numPr>
          <w:ilvl w:val="0"/>
          <w:numId w:val="3"/>
        </w:numPr>
        <w:spacing w:after="160" w:line="360" w:lineRule="auto"/>
        <w:contextualSpacing/>
        <w:jc w:val="both"/>
        <w:rPr>
          <w:rFonts w:ascii="David" w:eastAsia="Calibri" w:hAnsi="David"/>
          <w:rtl/>
        </w:rPr>
      </w:pPr>
      <w:r w:rsidRPr="00B219B2">
        <w:rPr>
          <w:rFonts w:ascii="David" w:eastAsia="Calibri" w:hAnsi="David"/>
          <w:rtl/>
        </w:rPr>
        <w:t>צו מבחן לתקופה של שנה. במהלך תקופה זו הנאשם מחויב בשיתוף פעולה עם שירות המבחן, כאשר מובהר כי הפרת  הצו תוכל להביא לפתיחה מחודשת של המשפט וגזירת עונשו של הנאשם, לרבות עונש מאסר.</w:t>
      </w:r>
    </w:p>
    <w:p w14:paraId="5A79DBDD" w14:textId="77777777" w:rsidR="00DC1412" w:rsidRPr="00B219B2" w:rsidRDefault="00DC1412" w:rsidP="00DC1412">
      <w:pPr>
        <w:numPr>
          <w:ilvl w:val="0"/>
          <w:numId w:val="3"/>
        </w:numPr>
        <w:spacing w:after="160" w:line="360" w:lineRule="auto"/>
        <w:contextualSpacing/>
        <w:jc w:val="both"/>
        <w:rPr>
          <w:rFonts w:ascii="David" w:eastAsia="Calibri" w:hAnsi="David"/>
          <w:rtl/>
        </w:rPr>
      </w:pPr>
      <w:r w:rsidRPr="00B219B2">
        <w:rPr>
          <w:rFonts w:ascii="David" w:eastAsia="Calibri" w:hAnsi="David"/>
          <w:rtl/>
        </w:rPr>
        <w:t>התחייבות בסך 5000 ₪ שלא לעבור כל עבירה במשך שנתיים מהיום או ימי מאסר תמורתה אם לא תיחתם. הובהר לנאשם שמשמעות ההתחייבות היא, כי אם יעבור את העבירה בתוך התקופה שצוינה, בית המשפט שיגזור את הדין יהא חייב לחלט את ההתחייבות כקנס.</w:t>
      </w:r>
    </w:p>
    <w:p w14:paraId="0FF49AF9" w14:textId="77777777" w:rsidR="00DC1412" w:rsidRPr="00B219B2" w:rsidRDefault="00DC1412" w:rsidP="00DC1412">
      <w:pPr>
        <w:spacing w:after="160" w:line="360" w:lineRule="auto"/>
        <w:rPr>
          <w:rFonts w:ascii="David" w:eastAsia="Calibri" w:hAnsi="David"/>
          <w:rtl/>
        </w:rPr>
      </w:pPr>
      <w:r w:rsidRPr="00B219B2">
        <w:rPr>
          <w:rFonts w:ascii="David" w:eastAsia="Calibri" w:hAnsi="David"/>
          <w:b/>
          <w:bCs/>
          <w:u w:val="single"/>
          <w:rtl/>
        </w:rPr>
        <w:t>הוראות נלוות</w:t>
      </w:r>
      <w:r w:rsidRPr="00B219B2">
        <w:rPr>
          <w:rFonts w:ascii="David" w:eastAsia="Calibri" w:hAnsi="David"/>
          <w:rtl/>
        </w:rPr>
        <w:t>:</w:t>
      </w:r>
    </w:p>
    <w:p w14:paraId="35EA0A04" w14:textId="77777777" w:rsidR="00DC1412" w:rsidRPr="00B219B2" w:rsidRDefault="00DC1412" w:rsidP="00DC1412">
      <w:pPr>
        <w:numPr>
          <w:ilvl w:val="0"/>
          <w:numId w:val="1"/>
        </w:numPr>
        <w:tabs>
          <w:tab w:val="left" w:pos="800"/>
          <w:tab w:val="num" w:pos="907"/>
        </w:tabs>
        <w:overflowPunct w:val="0"/>
        <w:autoSpaceDE w:val="0"/>
        <w:autoSpaceDN w:val="0"/>
        <w:adjustRightInd w:val="0"/>
        <w:spacing w:after="160" w:line="360" w:lineRule="auto"/>
        <w:ind w:left="0" w:firstLine="0"/>
        <w:jc w:val="both"/>
        <w:rPr>
          <w:rFonts w:ascii="David" w:eastAsia="Calibri" w:hAnsi="David"/>
          <w:spacing w:val="10"/>
          <w:rtl/>
        </w:rPr>
      </w:pPr>
      <w:r w:rsidRPr="00B219B2">
        <w:rPr>
          <w:rFonts w:ascii="David" w:eastAsia="Calibri" w:hAnsi="David"/>
          <w:spacing w:val="10"/>
          <w:rtl/>
        </w:rPr>
        <w:t>הסמים יושמדו.</w:t>
      </w:r>
    </w:p>
    <w:p w14:paraId="6E8F00D6" w14:textId="77777777" w:rsidR="00DC1412" w:rsidRPr="00B219B2" w:rsidRDefault="00DC1412" w:rsidP="00DC1412">
      <w:pPr>
        <w:numPr>
          <w:ilvl w:val="0"/>
          <w:numId w:val="1"/>
        </w:numPr>
        <w:tabs>
          <w:tab w:val="left" w:pos="800"/>
          <w:tab w:val="num" w:pos="907"/>
        </w:tabs>
        <w:overflowPunct w:val="0"/>
        <w:autoSpaceDE w:val="0"/>
        <w:autoSpaceDN w:val="0"/>
        <w:adjustRightInd w:val="0"/>
        <w:spacing w:after="160" w:line="360" w:lineRule="auto"/>
        <w:ind w:left="0" w:firstLine="0"/>
        <w:jc w:val="both"/>
        <w:rPr>
          <w:rFonts w:ascii="David" w:eastAsia="Calibri" w:hAnsi="David"/>
          <w:spacing w:val="10"/>
          <w:rtl/>
        </w:rPr>
      </w:pPr>
      <w:r w:rsidRPr="00B219B2">
        <w:rPr>
          <w:rFonts w:ascii="David" w:eastAsia="Calibri" w:hAnsi="David"/>
          <w:spacing w:val="10"/>
          <w:rtl/>
        </w:rPr>
        <w:t>גזר הדין יישלח לשירות המבחן.</w:t>
      </w:r>
    </w:p>
    <w:p w14:paraId="7F1FF338" w14:textId="77777777" w:rsidR="00DC1412" w:rsidRPr="00B219B2" w:rsidRDefault="00B15077" w:rsidP="00DC1412">
      <w:pPr>
        <w:spacing w:after="160" w:line="256" w:lineRule="auto"/>
        <w:rPr>
          <w:rFonts w:ascii="David" w:eastAsia="Calibri" w:hAnsi="David"/>
          <w:b/>
          <w:bCs/>
        </w:rPr>
      </w:pPr>
      <w:r w:rsidRPr="00B15077">
        <w:rPr>
          <w:rFonts w:ascii="David" w:eastAsia="Calibri" w:hAnsi="David"/>
          <w:b/>
          <w:bCs/>
          <w:color w:val="FFFFFF"/>
          <w:sz w:val="2"/>
          <w:szCs w:val="2"/>
          <w:rtl/>
        </w:rPr>
        <w:t>5129371</w:t>
      </w:r>
      <w:r w:rsidR="00DC1412" w:rsidRPr="00B219B2">
        <w:rPr>
          <w:rFonts w:ascii="David" w:eastAsia="Calibri" w:hAnsi="David"/>
          <w:b/>
          <w:bCs/>
          <w:rtl/>
        </w:rPr>
        <w:t>זכות ערעור כחוק לבית המשפט המחוזי בירושלים בתוך 45 יום מהיום.</w:t>
      </w:r>
    </w:p>
    <w:p w14:paraId="07C2B7B0" w14:textId="77777777" w:rsidR="00DC1412" w:rsidRPr="00B15077" w:rsidRDefault="00B15077" w:rsidP="00DC1412">
      <w:pPr>
        <w:rPr>
          <w:rFonts w:ascii="Arial" w:hAnsi="Arial"/>
          <w:b/>
          <w:bCs/>
          <w:color w:val="FFFFFF"/>
          <w:sz w:val="2"/>
          <w:szCs w:val="2"/>
          <w:rtl/>
        </w:rPr>
      </w:pPr>
      <w:r w:rsidRPr="00B15077">
        <w:rPr>
          <w:rFonts w:ascii="Arial" w:hAnsi="Arial"/>
          <w:b/>
          <w:bCs/>
          <w:color w:val="FFFFFF"/>
          <w:sz w:val="2"/>
          <w:szCs w:val="2"/>
          <w:rtl/>
        </w:rPr>
        <w:t>54678313</w:t>
      </w:r>
    </w:p>
    <w:p w14:paraId="540D96A8" w14:textId="77777777" w:rsidR="00DC1412" w:rsidRPr="000F2247" w:rsidRDefault="00DC1412" w:rsidP="00DC1412">
      <w:pPr>
        <w:rPr>
          <w:rFonts w:ascii="Arial" w:hAnsi="Arial"/>
          <w:b/>
          <w:bCs/>
          <w:sz w:val="26"/>
          <w:szCs w:val="26"/>
          <w:rtl/>
        </w:rPr>
      </w:pPr>
    </w:p>
    <w:p w14:paraId="28597BF5" w14:textId="77777777" w:rsidR="00DC1412" w:rsidRPr="000F2247" w:rsidRDefault="00B15077" w:rsidP="00DC1412">
      <w:pPr>
        <w:spacing w:line="360" w:lineRule="auto"/>
        <w:jc w:val="both"/>
        <w:rPr>
          <w:rFonts w:ascii="Arial" w:hAnsi="Arial"/>
          <w:b/>
          <w:bCs/>
          <w:sz w:val="26"/>
          <w:szCs w:val="26"/>
          <w:rtl/>
        </w:rPr>
      </w:pPr>
      <w:bookmarkStart w:id="10" w:name="Nitan"/>
      <w:r>
        <w:rPr>
          <w:rFonts w:ascii="Arial" w:hAnsi="Arial"/>
          <w:b/>
          <w:bCs/>
          <w:sz w:val="26"/>
          <w:szCs w:val="26"/>
          <w:rtl/>
        </w:rPr>
        <w:t xml:space="preserve">ניתן היום,  ז' אייר תשפ"ד, 15 מאי 2024, במעמד הצדדים. </w:t>
      </w:r>
      <w:bookmarkEnd w:id="10"/>
      <w:r w:rsidR="00DC1412">
        <w:rPr>
          <w:rFonts w:ascii="Arial" w:hAnsi="Arial"/>
          <w:b/>
          <w:bCs/>
          <w:sz w:val="26"/>
          <w:szCs w:val="26"/>
          <w:rtl/>
        </w:rPr>
        <w:tab/>
      </w:r>
      <w:r w:rsidR="00DC1412">
        <w:rPr>
          <w:rFonts w:ascii="Arial" w:hAnsi="Arial"/>
          <w:b/>
          <w:bCs/>
          <w:sz w:val="26"/>
          <w:szCs w:val="26"/>
          <w:rtl/>
        </w:rPr>
        <w:tab/>
      </w:r>
      <w:r w:rsidR="00DC1412">
        <w:rPr>
          <w:rFonts w:ascii="Arial" w:hAnsi="Arial"/>
          <w:b/>
          <w:bCs/>
          <w:sz w:val="26"/>
          <w:szCs w:val="26"/>
          <w:rtl/>
        </w:rPr>
        <w:tab/>
      </w:r>
      <w:r w:rsidR="00DC1412">
        <w:rPr>
          <w:rFonts w:ascii="Arial" w:hAnsi="Arial"/>
          <w:b/>
          <w:bCs/>
          <w:sz w:val="26"/>
          <w:szCs w:val="26"/>
          <w:rtl/>
        </w:rPr>
        <w:tab/>
      </w:r>
      <w:r w:rsidR="00DC1412">
        <w:rPr>
          <w:rFonts w:ascii="Arial" w:hAnsi="Arial"/>
          <w:b/>
          <w:bCs/>
          <w:sz w:val="26"/>
          <w:szCs w:val="26"/>
          <w:rtl/>
        </w:rPr>
        <w:tab/>
      </w:r>
      <w:r w:rsidR="00DC1412">
        <w:rPr>
          <w:rFonts w:ascii="Arial" w:hAnsi="Arial"/>
          <w:b/>
          <w:bCs/>
          <w:sz w:val="26"/>
          <w:szCs w:val="26"/>
          <w:rtl/>
        </w:rPr>
        <w:tab/>
      </w:r>
      <w:r w:rsidR="00DC1412">
        <w:rPr>
          <w:rFonts w:ascii="Arial" w:hAnsi="Arial"/>
          <w:b/>
          <w:bCs/>
          <w:sz w:val="26"/>
          <w:szCs w:val="26"/>
          <w:rtl/>
        </w:rPr>
        <w:tab/>
      </w:r>
      <w:r w:rsidR="00DC1412">
        <w:rPr>
          <w:rFonts w:ascii="Arial" w:hAnsi="Arial" w:hint="cs"/>
          <w:b/>
          <w:bCs/>
          <w:sz w:val="26"/>
          <w:szCs w:val="26"/>
          <w:rtl/>
        </w:rPr>
        <w:t xml:space="preserve">         </w:t>
      </w:r>
    </w:p>
    <w:p w14:paraId="0BF52014" w14:textId="77777777" w:rsidR="00DC1412" w:rsidRPr="000F2247" w:rsidRDefault="00DC1412" w:rsidP="00B15077">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55DC49F9" w14:textId="77777777" w:rsidR="00DC1412" w:rsidRPr="000F2247" w:rsidRDefault="00DC1412" w:rsidP="00DC1412">
      <w:pPr>
        <w:jc w:val="center"/>
        <w:rPr>
          <w:rFonts w:ascii="Arial" w:hAnsi="Arial"/>
          <w:b/>
          <w:bCs/>
          <w:sz w:val="26"/>
          <w:szCs w:val="26"/>
          <w:rtl/>
        </w:rPr>
      </w:pPr>
    </w:p>
    <w:p w14:paraId="7F0EC3D3" w14:textId="77777777" w:rsidR="00B863A5" w:rsidRPr="00B15077" w:rsidRDefault="00B863A5" w:rsidP="00B15077">
      <w:pPr>
        <w:keepNext/>
        <w:rPr>
          <w:rFonts w:ascii="David" w:hAnsi="David"/>
          <w:color w:val="000000"/>
          <w:sz w:val="22"/>
          <w:szCs w:val="22"/>
          <w:rtl/>
        </w:rPr>
      </w:pPr>
    </w:p>
    <w:p w14:paraId="747B64D8" w14:textId="77777777" w:rsidR="00B15077" w:rsidRPr="00B15077" w:rsidRDefault="00B15077" w:rsidP="00B15077">
      <w:pPr>
        <w:keepNext/>
        <w:rPr>
          <w:rFonts w:ascii="David" w:hAnsi="David"/>
          <w:color w:val="000000"/>
          <w:sz w:val="22"/>
          <w:szCs w:val="22"/>
          <w:rtl/>
        </w:rPr>
      </w:pPr>
      <w:r w:rsidRPr="00B15077">
        <w:rPr>
          <w:rFonts w:ascii="David" w:hAnsi="David"/>
          <w:color w:val="000000"/>
          <w:sz w:val="22"/>
          <w:szCs w:val="22"/>
          <w:rtl/>
        </w:rPr>
        <w:t>ביאלין אלעזר 54678313</w:t>
      </w:r>
    </w:p>
    <w:p w14:paraId="3CD8A197" w14:textId="77777777" w:rsidR="00B15077" w:rsidRDefault="00B15077" w:rsidP="00B15077">
      <w:r w:rsidRPr="00B15077">
        <w:rPr>
          <w:color w:val="000000"/>
          <w:rtl/>
        </w:rPr>
        <w:t>נוסח מסמך זה כפוף לשינויי ניסוח ועריכה</w:t>
      </w:r>
    </w:p>
    <w:p w14:paraId="5DBBDFB7" w14:textId="77777777" w:rsidR="00B15077" w:rsidRDefault="00B15077" w:rsidP="00B15077">
      <w:pPr>
        <w:rPr>
          <w:rtl/>
        </w:rPr>
      </w:pPr>
    </w:p>
    <w:p w14:paraId="0B8262B9" w14:textId="77777777" w:rsidR="00B15077" w:rsidRDefault="00B15077" w:rsidP="00B15077">
      <w:pPr>
        <w:jc w:val="center"/>
        <w:rPr>
          <w:color w:val="0000FF"/>
          <w:u w:val="single"/>
        </w:rPr>
      </w:pPr>
      <w:hyperlink r:id="rId42" w:history="1">
        <w:r>
          <w:rPr>
            <w:color w:val="0000FF"/>
            <w:u w:val="single"/>
            <w:rtl/>
          </w:rPr>
          <w:t>בעניין עריכה ושינויים במסמכי פסיקה, חקיקה ועוד באתר נבו – הקש כאן</w:t>
        </w:r>
      </w:hyperlink>
    </w:p>
    <w:p w14:paraId="2412149F" w14:textId="77777777" w:rsidR="00B15077" w:rsidRPr="00B15077" w:rsidRDefault="00B15077" w:rsidP="00B15077">
      <w:pPr>
        <w:jc w:val="center"/>
        <w:rPr>
          <w:color w:val="0000FF"/>
          <w:u w:val="single"/>
        </w:rPr>
      </w:pPr>
    </w:p>
    <w:sectPr w:rsidR="00B15077" w:rsidRPr="00B15077" w:rsidSect="00B15077">
      <w:headerReference w:type="even" r:id="rId43"/>
      <w:headerReference w:type="default" r:id="rId44"/>
      <w:footerReference w:type="even" r:id="rId45"/>
      <w:footerReference w:type="default" r:id="rId4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8F4FD9" w14:textId="77777777" w:rsidR="00AA2647" w:rsidRDefault="00AA2647" w:rsidP="00B10CE9">
      <w:r>
        <w:separator/>
      </w:r>
    </w:p>
  </w:endnote>
  <w:endnote w:type="continuationSeparator" w:id="0">
    <w:p w14:paraId="179C459F" w14:textId="77777777" w:rsidR="00AA2647" w:rsidRDefault="00AA2647" w:rsidP="00B10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4A28D1" w14:textId="77777777" w:rsidR="00B15077" w:rsidRDefault="00B15077" w:rsidP="00B1507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30CB258" w14:textId="77777777" w:rsidR="00AF0A5E" w:rsidRPr="00B15077" w:rsidRDefault="00B15077" w:rsidP="00B1507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8789D8" w14:textId="77777777" w:rsidR="00B15077" w:rsidRDefault="00B15077" w:rsidP="00B1507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30FB9">
      <w:rPr>
        <w:rFonts w:ascii="FrankRuehl" w:hAnsi="FrankRuehl" w:cs="FrankRuehl"/>
        <w:noProof/>
        <w:rtl/>
      </w:rPr>
      <w:t>1</w:t>
    </w:r>
    <w:r>
      <w:rPr>
        <w:rFonts w:ascii="FrankRuehl" w:hAnsi="FrankRuehl" w:cs="FrankRuehl"/>
        <w:rtl/>
      </w:rPr>
      <w:fldChar w:fldCharType="end"/>
    </w:r>
  </w:p>
  <w:p w14:paraId="6DC00194" w14:textId="77777777" w:rsidR="00AF0A5E" w:rsidRPr="00B15077" w:rsidRDefault="00B15077" w:rsidP="00B1507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0F0A1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A4EEF0" w14:textId="77777777" w:rsidR="00AA2647" w:rsidRDefault="00AA2647" w:rsidP="00B10CE9">
      <w:r>
        <w:separator/>
      </w:r>
    </w:p>
  </w:footnote>
  <w:footnote w:type="continuationSeparator" w:id="0">
    <w:p w14:paraId="39F8A75A" w14:textId="77777777" w:rsidR="00AA2647" w:rsidRDefault="00AA2647" w:rsidP="00B10C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C05111" w14:textId="77777777" w:rsidR="00B15077" w:rsidRPr="00B15077" w:rsidRDefault="00B15077" w:rsidP="00B1507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(בי"ש) 35581-05-22</w:t>
    </w:r>
    <w:r>
      <w:rPr>
        <w:rFonts w:ascii="David" w:hAnsi="David"/>
        <w:color w:val="000000"/>
        <w:sz w:val="22"/>
        <w:szCs w:val="22"/>
        <w:rtl/>
      </w:rPr>
      <w:tab/>
      <w:t xml:space="preserve"> מדינת ישראל נ' אור יהודה ויסלבלום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B607B9" w14:textId="77777777" w:rsidR="00B15077" w:rsidRPr="00B15077" w:rsidRDefault="00B15077" w:rsidP="00B1507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(בי"ש) 35581-05-22</w:t>
    </w:r>
    <w:r>
      <w:rPr>
        <w:rFonts w:ascii="David" w:hAnsi="David"/>
        <w:color w:val="000000"/>
        <w:sz w:val="22"/>
        <w:szCs w:val="22"/>
        <w:rtl/>
      </w:rPr>
      <w:tab/>
      <w:t xml:space="preserve"> מדינת ישראל נ' אור יהודה ויסלבלום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A61FA3"/>
    <w:multiLevelType w:val="hybridMultilevel"/>
    <w:tmpl w:val="208E3610"/>
    <w:lvl w:ilvl="0" w:tplc="F3802B80">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82B3CBA"/>
    <w:multiLevelType w:val="hybridMultilevel"/>
    <w:tmpl w:val="5532C6E2"/>
    <w:lvl w:ilvl="0" w:tplc="4210C63E">
      <w:start w:val="1"/>
      <w:numFmt w:val="decimal"/>
      <w:lvlText w:val="%1."/>
      <w:lvlJc w:val="left"/>
      <w:pPr>
        <w:ind w:left="720" w:hanging="360"/>
      </w:pPr>
      <w:rPr>
        <w:rFonts w:ascii="David" w:hAnsi="David" w:cs="David" w:hint="default"/>
        <w:b w:val="0"/>
        <w:bCs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6E47675"/>
    <w:multiLevelType w:val="hybridMultilevel"/>
    <w:tmpl w:val="599C2AA6"/>
    <w:lvl w:ilvl="0" w:tplc="76004E8A">
      <w:start w:val="1"/>
      <w:numFmt w:val="hebrew1"/>
      <w:lvlText w:val="%1."/>
      <w:lvlJc w:val="left"/>
      <w:pPr>
        <w:ind w:left="1068" w:hanging="360"/>
      </w:pPr>
      <w:rPr>
        <w:strike w:val="0"/>
        <w:dstrike w:val="0"/>
        <w:color w:val="auto"/>
        <w:sz w:val="24"/>
        <w:u w:val="none"/>
        <w:effect w:val="none"/>
      </w:rPr>
    </w:lvl>
    <w:lvl w:ilvl="1" w:tplc="04090019">
      <w:start w:val="1"/>
      <w:numFmt w:val="lowerLetter"/>
      <w:lvlText w:val="%2."/>
      <w:lvlJc w:val="left"/>
      <w:pPr>
        <w:ind w:left="1788" w:hanging="360"/>
      </w:pPr>
    </w:lvl>
    <w:lvl w:ilvl="2" w:tplc="0409001B">
      <w:start w:val="1"/>
      <w:numFmt w:val="lowerRoman"/>
      <w:lvlText w:val="%3."/>
      <w:lvlJc w:val="right"/>
      <w:pPr>
        <w:ind w:left="2508" w:hanging="180"/>
      </w:pPr>
    </w:lvl>
    <w:lvl w:ilvl="3" w:tplc="0409000F">
      <w:start w:val="1"/>
      <w:numFmt w:val="decimal"/>
      <w:lvlText w:val="%4."/>
      <w:lvlJc w:val="left"/>
      <w:pPr>
        <w:ind w:left="3228" w:hanging="360"/>
      </w:pPr>
    </w:lvl>
    <w:lvl w:ilvl="4" w:tplc="04090019">
      <w:start w:val="1"/>
      <w:numFmt w:val="lowerLetter"/>
      <w:lvlText w:val="%5."/>
      <w:lvlJc w:val="left"/>
      <w:pPr>
        <w:ind w:left="3948" w:hanging="360"/>
      </w:pPr>
    </w:lvl>
    <w:lvl w:ilvl="5" w:tplc="0409001B">
      <w:start w:val="1"/>
      <w:numFmt w:val="lowerRoman"/>
      <w:lvlText w:val="%6."/>
      <w:lvlJc w:val="right"/>
      <w:pPr>
        <w:ind w:left="4668" w:hanging="180"/>
      </w:pPr>
    </w:lvl>
    <w:lvl w:ilvl="6" w:tplc="0409000F">
      <w:start w:val="1"/>
      <w:numFmt w:val="decimal"/>
      <w:lvlText w:val="%7."/>
      <w:lvlJc w:val="left"/>
      <w:pPr>
        <w:ind w:left="5388" w:hanging="360"/>
      </w:pPr>
    </w:lvl>
    <w:lvl w:ilvl="7" w:tplc="04090019">
      <w:start w:val="1"/>
      <w:numFmt w:val="lowerLetter"/>
      <w:lvlText w:val="%8."/>
      <w:lvlJc w:val="left"/>
      <w:pPr>
        <w:ind w:left="6108" w:hanging="360"/>
      </w:pPr>
    </w:lvl>
    <w:lvl w:ilvl="8" w:tplc="0409001B">
      <w:start w:val="1"/>
      <w:numFmt w:val="lowerRoman"/>
      <w:lvlText w:val="%9."/>
      <w:lvlJc w:val="right"/>
      <w:pPr>
        <w:ind w:left="6828" w:hanging="180"/>
      </w:pPr>
    </w:lvl>
  </w:abstractNum>
  <w:num w:numId="1" w16cid:durableId="7189516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168681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596131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C1412"/>
    <w:rsid w:val="00080F12"/>
    <w:rsid w:val="001B5A3B"/>
    <w:rsid w:val="00530FB9"/>
    <w:rsid w:val="00751BE5"/>
    <w:rsid w:val="007708CE"/>
    <w:rsid w:val="00AA2647"/>
    <w:rsid w:val="00AF0A5E"/>
    <w:rsid w:val="00B10CE9"/>
    <w:rsid w:val="00B15077"/>
    <w:rsid w:val="00B239E6"/>
    <w:rsid w:val="00B863A5"/>
    <w:rsid w:val="00CB4199"/>
    <w:rsid w:val="00CF04EF"/>
    <w:rsid w:val="00D67D28"/>
    <w:rsid w:val="00DC1412"/>
    <w:rsid w:val="00FA1C60"/>
    <w:rsid w:val="00FD1B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1291AE7"/>
  <w15:chartTrackingRefBased/>
  <w15:docId w15:val="{83E04791-9374-4B14-8A46-F1E38D685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C141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C1412"/>
    <w:pPr>
      <w:tabs>
        <w:tab w:val="center" w:pos="4153"/>
        <w:tab w:val="right" w:pos="8306"/>
      </w:tabs>
    </w:pPr>
  </w:style>
  <w:style w:type="character" w:customStyle="1" w:styleId="a4">
    <w:name w:val="כותרת עליונה תו"/>
    <w:link w:val="a3"/>
    <w:rsid w:val="00DC1412"/>
    <w:rPr>
      <w:rFonts w:ascii="Times New Roman" w:eastAsia="Times New Roman" w:hAnsi="Times New Roman" w:cs="David"/>
      <w:sz w:val="24"/>
      <w:szCs w:val="24"/>
    </w:rPr>
  </w:style>
  <w:style w:type="paragraph" w:styleId="a5">
    <w:name w:val="footer"/>
    <w:basedOn w:val="a"/>
    <w:link w:val="a6"/>
    <w:rsid w:val="00DC1412"/>
    <w:pPr>
      <w:tabs>
        <w:tab w:val="center" w:pos="4153"/>
        <w:tab w:val="right" w:pos="8306"/>
      </w:tabs>
    </w:pPr>
  </w:style>
  <w:style w:type="character" w:customStyle="1" w:styleId="a6">
    <w:name w:val="כותרת תחתונה תו"/>
    <w:link w:val="a5"/>
    <w:rsid w:val="00DC1412"/>
    <w:rPr>
      <w:rFonts w:ascii="Times New Roman" w:eastAsia="Times New Roman" w:hAnsi="Times New Roman" w:cs="David"/>
      <w:sz w:val="24"/>
      <w:szCs w:val="24"/>
    </w:rPr>
  </w:style>
  <w:style w:type="table" w:styleId="a7">
    <w:name w:val="Table Grid"/>
    <w:basedOn w:val="a1"/>
    <w:rsid w:val="00DC141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C1412"/>
  </w:style>
  <w:style w:type="character" w:styleId="Hyperlink">
    <w:name w:val="Hyperlink"/>
    <w:rsid w:val="00B150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61.a.4" TargetMode="External"/><Relationship Id="rId18" Type="http://schemas.openxmlformats.org/officeDocument/2006/relationships/hyperlink" Target="http://www.nevo.co.il/safrut/bookgroup/2870" TargetMode="External"/><Relationship Id="rId26" Type="http://schemas.openxmlformats.org/officeDocument/2006/relationships/hyperlink" Target="http://www.nevo.co.il/law/70301" TargetMode="External"/><Relationship Id="rId39" Type="http://schemas.openxmlformats.org/officeDocument/2006/relationships/hyperlink" Target="http://www.nevo.co.il/case/16941543" TargetMode="External"/><Relationship Id="rId21" Type="http://schemas.openxmlformats.org/officeDocument/2006/relationships/hyperlink" Target="http://www.nevo.co.il/case/23575417" TargetMode="External"/><Relationship Id="rId34" Type="http://schemas.openxmlformats.org/officeDocument/2006/relationships/hyperlink" Target="http://www.nevo.co.il/law/71553"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c" TargetMode="External"/><Relationship Id="rId29" Type="http://schemas.openxmlformats.org/officeDocument/2006/relationships/hyperlink" Target="http://www.nevo.co.il/case/1127920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law/4216" TargetMode="External"/><Relationship Id="rId32" Type="http://schemas.openxmlformats.org/officeDocument/2006/relationships/hyperlink" Target="http://www.nevo.co.il/law/70301/40d.a" TargetMode="External"/><Relationship Id="rId37" Type="http://schemas.openxmlformats.org/officeDocument/2006/relationships/hyperlink" Target="http://www.nevo.co.il/case/6146169" TargetMode="External"/><Relationship Id="rId40" Type="http://schemas.openxmlformats.org/officeDocument/2006/relationships/hyperlink" Target="http://www.nevo.co.il/case/16900367"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4216/7.a" TargetMode="External"/><Relationship Id="rId23" Type="http://schemas.openxmlformats.org/officeDocument/2006/relationships/hyperlink" Target="http://www.nevo.co.il/law/4216/7.a.;7.c" TargetMode="External"/><Relationship Id="rId28" Type="http://schemas.openxmlformats.org/officeDocument/2006/relationships/hyperlink" Target="http://www.nevo.co.il/case/23750765" TargetMode="External"/><Relationship Id="rId36" Type="http://schemas.openxmlformats.org/officeDocument/2006/relationships/hyperlink" Target="http://www.nevo.co.il/case/23751652" TargetMode="External"/><Relationship Id="rId10" Type="http://schemas.openxmlformats.org/officeDocument/2006/relationships/hyperlink" Target="http://www.nevo.co.il/law/4216/7.c" TargetMode="External"/><Relationship Id="rId19" Type="http://schemas.openxmlformats.org/officeDocument/2006/relationships/hyperlink" Target="http://www.nevo.co.il/law/4216/7" TargetMode="External"/><Relationship Id="rId31" Type="http://schemas.openxmlformats.org/officeDocument/2006/relationships/hyperlink" Target="http://www.nevo.co.il/case/6891399"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1553" TargetMode="External"/><Relationship Id="rId22" Type="http://schemas.openxmlformats.org/officeDocument/2006/relationships/hyperlink" Target="http://www.nevo.co.il/case/5810781" TargetMode="External"/><Relationship Id="rId27" Type="http://schemas.openxmlformats.org/officeDocument/2006/relationships/hyperlink" Target="http://www.nevo.co.il/case/5763166" TargetMode="External"/><Relationship Id="rId30" Type="http://schemas.openxmlformats.org/officeDocument/2006/relationships/hyperlink" Target="http://www.nevo.co.il/case/27435100" TargetMode="External"/><Relationship Id="rId35" Type="http://schemas.openxmlformats.org/officeDocument/2006/relationships/hyperlink" Target="http://www.nevo.co.il/case/5810781"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4216/7" TargetMode="External"/><Relationship Id="rId3" Type="http://schemas.openxmlformats.org/officeDocument/2006/relationships/settings" Target="settings.xml"/><Relationship Id="rId12" Type="http://schemas.openxmlformats.org/officeDocument/2006/relationships/hyperlink" Target="http://www.nevo.co.il/law/70301/40d.a" TargetMode="External"/><Relationship Id="rId17" Type="http://schemas.openxmlformats.org/officeDocument/2006/relationships/hyperlink" Target="http://www.nevo.co.il/law/4216" TargetMode="External"/><Relationship Id="rId25" Type="http://schemas.openxmlformats.org/officeDocument/2006/relationships/hyperlink" Target="http://www.nevo.co.il/law/70301/61.a.4"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18118854" TargetMode="External"/><Relationship Id="rId46" Type="http://schemas.openxmlformats.org/officeDocument/2006/relationships/footer" Target="footer2.xml"/><Relationship Id="rId20" Type="http://schemas.openxmlformats.org/officeDocument/2006/relationships/hyperlink" Target="http://www.nevo.co.il/law/4216" TargetMode="External"/><Relationship Id="rId41" Type="http://schemas.openxmlformats.org/officeDocument/2006/relationships/hyperlink" Target="http://www.nevo.co.il/case/655236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3539</Words>
  <Characters>17695</Characters>
  <Application>Microsoft Office Word</Application>
  <DocSecurity>0</DocSecurity>
  <Lines>147</Lines>
  <Paragraphs>42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21192</CharactersWithSpaces>
  <SharedDoc>false</SharedDoc>
  <HLinks>
    <vt:vector size="216" baseType="variant">
      <vt:variant>
        <vt:i4>393283</vt:i4>
      </vt:variant>
      <vt:variant>
        <vt:i4>108</vt:i4>
      </vt:variant>
      <vt:variant>
        <vt:i4>0</vt:i4>
      </vt:variant>
      <vt:variant>
        <vt:i4>5</vt:i4>
      </vt:variant>
      <vt:variant>
        <vt:lpwstr>http://www.nevo.co.il/advertisements/nevo-100.doc</vt:lpwstr>
      </vt:variant>
      <vt:variant>
        <vt:lpwstr/>
      </vt:variant>
      <vt:variant>
        <vt:i4>3473525</vt:i4>
      </vt:variant>
      <vt:variant>
        <vt:i4>105</vt:i4>
      </vt:variant>
      <vt:variant>
        <vt:i4>0</vt:i4>
      </vt:variant>
      <vt:variant>
        <vt:i4>5</vt:i4>
      </vt:variant>
      <vt:variant>
        <vt:lpwstr>http://www.nevo.co.il/case/6552365</vt:lpwstr>
      </vt:variant>
      <vt:variant>
        <vt:lpwstr/>
      </vt:variant>
      <vt:variant>
        <vt:i4>4063345</vt:i4>
      </vt:variant>
      <vt:variant>
        <vt:i4>102</vt:i4>
      </vt:variant>
      <vt:variant>
        <vt:i4>0</vt:i4>
      </vt:variant>
      <vt:variant>
        <vt:i4>5</vt:i4>
      </vt:variant>
      <vt:variant>
        <vt:lpwstr>http://www.nevo.co.il/case/16900367</vt:lpwstr>
      </vt:variant>
      <vt:variant>
        <vt:lpwstr/>
      </vt:variant>
      <vt:variant>
        <vt:i4>3997811</vt:i4>
      </vt:variant>
      <vt:variant>
        <vt:i4>99</vt:i4>
      </vt:variant>
      <vt:variant>
        <vt:i4>0</vt:i4>
      </vt:variant>
      <vt:variant>
        <vt:i4>5</vt:i4>
      </vt:variant>
      <vt:variant>
        <vt:lpwstr>http://www.nevo.co.il/case/16941543</vt:lpwstr>
      </vt:variant>
      <vt:variant>
        <vt:lpwstr/>
      </vt:variant>
      <vt:variant>
        <vt:i4>3997813</vt:i4>
      </vt:variant>
      <vt:variant>
        <vt:i4>96</vt:i4>
      </vt:variant>
      <vt:variant>
        <vt:i4>0</vt:i4>
      </vt:variant>
      <vt:variant>
        <vt:i4>5</vt:i4>
      </vt:variant>
      <vt:variant>
        <vt:lpwstr>http://www.nevo.co.il/case/18118854</vt:lpwstr>
      </vt:variant>
      <vt:variant>
        <vt:lpwstr/>
      </vt:variant>
      <vt:variant>
        <vt:i4>3801205</vt:i4>
      </vt:variant>
      <vt:variant>
        <vt:i4>93</vt:i4>
      </vt:variant>
      <vt:variant>
        <vt:i4>0</vt:i4>
      </vt:variant>
      <vt:variant>
        <vt:i4>5</vt:i4>
      </vt:variant>
      <vt:variant>
        <vt:lpwstr>http://www.nevo.co.il/case/6146169</vt:lpwstr>
      </vt:variant>
      <vt:variant>
        <vt:lpwstr/>
      </vt:variant>
      <vt:variant>
        <vt:i4>3211380</vt:i4>
      </vt:variant>
      <vt:variant>
        <vt:i4>90</vt:i4>
      </vt:variant>
      <vt:variant>
        <vt:i4>0</vt:i4>
      </vt:variant>
      <vt:variant>
        <vt:i4>5</vt:i4>
      </vt:variant>
      <vt:variant>
        <vt:lpwstr>http://www.nevo.co.il/case/23751652</vt:lpwstr>
      </vt:variant>
      <vt:variant>
        <vt:lpwstr/>
      </vt:variant>
      <vt:variant>
        <vt:i4>3276916</vt:i4>
      </vt:variant>
      <vt:variant>
        <vt:i4>87</vt:i4>
      </vt:variant>
      <vt:variant>
        <vt:i4>0</vt:i4>
      </vt:variant>
      <vt:variant>
        <vt:i4>5</vt:i4>
      </vt:variant>
      <vt:variant>
        <vt:lpwstr>http://www.nevo.co.il/case/5810781</vt:lpwstr>
      </vt:variant>
      <vt:variant>
        <vt:lpwstr/>
      </vt:variant>
      <vt:variant>
        <vt:i4>8257634</vt:i4>
      </vt:variant>
      <vt:variant>
        <vt:i4>84</vt:i4>
      </vt:variant>
      <vt:variant>
        <vt:i4>0</vt:i4>
      </vt:variant>
      <vt:variant>
        <vt:i4>5</vt:i4>
      </vt:variant>
      <vt:variant>
        <vt:lpwstr>http://www.nevo.co.il/law/71553</vt:lpwstr>
      </vt:variant>
      <vt:variant>
        <vt:lpwstr/>
      </vt:variant>
      <vt:variant>
        <vt:i4>7995492</vt:i4>
      </vt:variant>
      <vt:variant>
        <vt:i4>81</vt:i4>
      </vt:variant>
      <vt:variant>
        <vt:i4>0</vt:i4>
      </vt:variant>
      <vt:variant>
        <vt:i4>5</vt:i4>
      </vt:variant>
      <vt:variant>
        <vt:lpwstr>http://www.nevo.co.il/law/70301</vt:lpwstr>
      </vt:variant>
      <vt:variant>
        <vt:lpwstr/>
      </vt:variant>
      <vt:variant>
        <vt:i4>4915205</vt:i4>
      </vt:variant>
      <vt:variant>
        <vt:i4>78</vt:i4>
      </vt:variant>
      <vt:variant>
        <vt:i4>0</vt:i4>
      </vt:variant>
      <vt:variant>
        <vt:i4>5</vt:i4>
      </vt:variant>
      <vt:variant>
        <vt:lpwstr>http://www.nevo.co.il/law/70301/40d.a</vt:lpwstr>
      </vt:variant>
      <vt:variant>
        <vt:lpwstr/>
      </vt:variant>
      <vt:variant>
        <vt:i4>3473524</vt:i4>
      </vt:variant>
      <vt:variant>
        <vt:i4>75</vt:i4>
      </vt:variant>
      <vt:variant>
        <vt:i4>0</vt:i4>
      </vt:variant>
      <vt:variant>
        <vt:i4>5</vt:i4>
      </vt:variant>
      <vt:variant>
        <vt:lpwstr>http://www.nevo.co.il/case/6891399</vt:lpwstr>
      </vt:variant>
      <vt:variant>
        <vt:lpwstr/>
      </vt:variant>
      <vt:variant>
        <vt:i4>3342449</vt:i4>
      </vt:variant>
      <vt:variant>
        <vt:i4>72</vt:i4>
      </vt:variant>
      <vt:variant>
        <vt:i4>0</vt:i4>
      </vt:variant>
      <vt:variant>
        <vt:i4>5</vt:i4>
      </vt:variant>
      <vt:variant>
        <vt:lpwstr>http://www.nevo.co.il/case/27435100</vt:lpwstr>
      </vt:variant>
      <vt:variant>
        <vt:lpwstr/>
      </vt:variant>
      <vt:variant>
        <vt:i4>3801200</vt:i4>
      </vt:variant>
      <vt:variant>
        <vt:i4>69</vt:i4>
      </vt:variant>
      <vt:variant>
        <vt:i4>0</vt:i4>
      </vt:variant>
      <vt:variant>
        <vt:i4>5</vt:i4>
      </vt:variant>
      <vt:variant>
        <vt:lpwstr>http://www.nevo.co.il/case/11279208</vt:lpwstr>
      </vt:variant>
      <vt:variant>
        <vt:lpwstr/>
      </vt:variant>
      <vt:variant>
        <vt:i4>3342453</vt:i4>
      </vt:variant>
      <vt:variant>
        <vt:i4>66</vt:i4>
      </vt:variant>
      <vt:variant>
        <vt:i4>0</vt:i4>
      </vt:variant>
      <vt:variant>
        <vt:i4>5</vt:i4>
      </vt:variant>
      <vt:variant>
        <vt:lpwstr>http://www.nevo.co.il/case/23750765</vt:lpwstr>
      </vt:variant>
      <vt:variant>
        <vt:lpwstr/>
      </vt:variant>
      <vt:variant>
        <vt:i4>3407990</vt:i4>
      </vt:variant>
      <vt:variant>
        <vt:i4>60</vt:i4>
      </vt:variant>
      <vt:variant>
        <vt:i4>0</vt:i4>
      </vt:variant>
      <vt:variant>
        <vt:i4>5</vt:i4>
      </vt:variant>
      <vt:variant>
        <vt:lpwstr>http://www.nevo.co.il/case/5763166</vt:lpwstr>
      </vt:variant>
      <vt:variant>
        <vt:lpwstr/>
      </vt:variant>
      <vt:variant>
        <vt:i4>7995492</vt:i4>
      </vt:variant>
      <vt:variant>
        <vt:i4>57</vt:i4>
      </vt:variant>
      <vt:variant>
        <vt:i4>0</vt:i4>
      </vt:variant>
      <vt:variant>
        <vt:i4>5</vt:i4>
      </vt:variant>
      <vt:variant>
        <vt:lpwstr>http://www.nevo.co.il/law/70301</vt:lpwstr>
      </vt:variant>
      <vt:variant>
        <vt:lpwstr/>
      </vt:variant>
      <vt:variant>
        <vt:i4>3211363</vt:i4>
      </vt:variant>
      <vt:variant>
        <vt:i4>54</vt:i4>
      </vt:variant>
      <vt:variant>
        <vt:i4>0</vt:i4>
      </vt:variant>
      <vt:variant>
        <vt:i4>5</vt:i4>
      </vt:variant>
      <vt:variant>
        <vt:lpwstr>http://www.nevo.co.il/law/70301/61.a.4</vt:lpwstr>
      </vt:variant>
      <vt:variant>
        <vt:lpwstr/>
      </vt:variant>
      <vt:variant>
        <vt:i4>8257637</vt:i4>
      </vt:variant>
      <vt:variant>
        <vt:i4>51</vt:i4>
      </vt:variant>
      <vt:variant>
        <vt:i4>0</vt:i4>
      </vt:variant>
      <vt:variant>
        <vt:i4>5</vt:i4>
      </vt:variant>
      <vt:variant>
        <vt:lpwstr>http://www.nevo.co.il/law/4216</vt:lpwstr>
      </vt:variant>
      <vt:variant>
        <vt:lpwstr/>
      </vt:variant>
      <vt:variant>
        <vt:i4>3997821</vt:i4>
      </vt:variant>
      <vt:variant>
        <vt:i4>48</vt:i4>
      </vt:variant>
      <vt:variant>
        <vt:i4>0</vt:i4>
      </vt:variant>
      <vt:variant>
        <vt:i4>5</vt:i4>
      </vt:variant>
      <vt:variant>
        <vt:lpwstr>http://www.nevo.co.il/law/4216/7.a.;7.c</vt:lpwstr>
      </vt:variant>
      <vt:variant>
        <vt:lpwstr/>
      </vt:variant>
      <vt:variant>
        <vt:i4>3276916</vt:i4>
      </vt:variant>
      <vt:variant>
        <vt:i4>45</vt:i4>
      </vt:variant>
      <vt:variant>
        <vt:i4>0</vt:i4>
      </vt:variant>
      <vt:variant>
        <vt:i4>5</vt:i4>
      </vt:variant>
      <vt:variant>
        <vt:lpwstr>http://www.nevo.co.il/case/5810781</vt:lpwstr>
      </vt:variant>
      <vt:variant>
        <vt:lpwstr/>
      </vt:variant>
      <vt:variant>
        <vt:i4>3342452</vt:i4>
      </vt:variant>
      <vt:variant>
        <vt:i4>42</vt:i4>
      </vt:variant>
      <vt:variant>
        <vt:i4>0</vt:i4>
      </vt:variant>
      <vt:variant>
        <vt:i4>5</vt:i4>
      </vt:variant>
      <vt:variant>
        <vt:lpwstr>http://www.nevo.co.il/case/23575417</vt:lpwstr>
      </vt:variant>
      <vt:variant>
        <vt:lpwstr/>
      </vt:variant>
      <vt:variant>
        <vt:i4>8257637</vt:i4>
      </vt:variant>
      <vt:variant>
        <vt:i4>39</vt:i4>
      </vt:variant>
      <vt:variant>
        <vt:i4>0</vt:i4>
      </vt:variant>
      <vt:variant>
        <vt:i4>5</vt:i4>
      </vt:variant>
      <vt:variant>
        <vt:lpwstr>http://www.nevo.co.il/law/4216</vt:lpwstr>
      </vt:variant>
      <vt:variant>
        <vt:lpwstr/>
      </vt:variant>
      <vt:variant>
        <vt:i4>4784202</vt:i4>
      </vt:variant>
      <vt:variant>
        <vt:i4>36</vt:i4>
      </vt:variant>
      <vt:variant>
        <vt:i4>0</vt:i4>
      </vt:variant>
      <vt:variant>
        <vt:i4>5</vt:i4>
      </vt:variant>
      <vt:variant>
        <vt:lpwstr>http://www.nevo.co.il/law/4216/7</vt:lpwstr>
      </vt:variant>
      <vt:variant>
        <vt:lpwstr/>
      </vt:variant>
      <vt:variant>
        <vt:i4>2293792</vt:i4>
      </vt:variant>
      <vt:variant>
        <vt:i4>33</vt:i4>
      </vt:variant>
      <vt:variant>
        <vt:i4>0</vt:i4>
      </vt:variant>
      <vt:variant>
        <vt:i4>5</vt:i4>
      </vt:variant>
      <vt:variant>
        <vt:lpwstr>http://www.nevo.co.il/safrut/bookgroup/2870</vt:lpwstr>
      </vt:variant>
      <vt:variant>
        <vt:lpwstr/>
      </vt:variant>
      <vt:variant>
        <vt:i4>8257637</vt:i4>
      </vt:variant>
      <vt:variant>
        <vt:i4>30</vt:i4>
      </vt:variant>
      <vt:variant>
        <vt:i4>0</vt:i4>
      </vt:variant>
      <vt:variant>
        <vt:i4>5</vt:i4>
      </vt:variant>
      <vt:variant>
        <vt:lpwstr>http://www.nevo.co.il/law/4216</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8257634</vt:i4>
      </vt:variant>
      <vt:variant>
        <vt:i4>21</vt:i4>
      </vt:variant>
      <vt:variant>
        <vt:i4>0</vt:i4>
      </vt:variant>
      <vt:variant>
        <vt:i4>5</vt:i4>
      </vt:variant>
      <vt:variant>
        <vt:lpwstr>http://www.nevo.co.il/law/71553</vt:lpwstr>
      </vt:variant>
      <vt:variant>
        <vt:lpwstr/>
      </vt:variant>
      <vt:variant>
        <vt:i4>3211363</vt:i4>
      </vt:variant>
      <vt:variant>
        <vt:i4>18</vt:i4>
      </vt:variant>
      <vt:variant>
        <vt:i4>0</vt:i4>
      </vt:variant>
      <vt:variant>
        <vt:i4>5</vt:i4>
      </vt:variant>
      <vt:variant>
        <vt:lpwstr>http://www.nevo.co.il/law/70301/61.a.4</vt:lpwstr>
      </vt:variant>
      <vt:variant>
        <vt:lpwstr/>
      </vt:variant>
      <vt:variant>
        <vt:i4>4915205</vt:i4>
      </vt:variant>
      <vt:variant>
        <vt:i4>15</vt:i4>
      </vt:variant>
      <vt:variant>
        <vt:i4>0</vt:i4>
      </vt:variant>
      <vt:variant>
        <vt:i4>5</vt:i4>
      </vt:variant>
      <vt:variant>
        <vt:lpwstr>http://www.nevo.co.il/law/70301/40d.a</vt:lpwstr>
      </vt:variant>
      <vt:variant>
        <vt:lpwstr/>
      </vt:variant>
      <vt:variant>
        <vt:i4>7995492</vt:i4>
      </vt:variant>
      <vt:variant>
        <vt:i4>12</vt:i4>
      </vt:variant>
      <vt:variant>
        <vt:i4>0</vt:i4>
      </vt:variant>
      <vt:variant>
        <vt:i4>5</vt:i4>
      </vt:variant>
      <vt:variant>
        <vt:lpwstr>http://www.nevo.co.il/law/70301</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4784202</vt:i4>
      </vt:variant>
      <vt:variant>
        <vt:i4>3</vt:i4>
      </vt:variant>
      <vt:variant>
        <vt:i4>0</vt:i4>
      </vt:variant>
      <vt:variant>
        <vt:i4>5</vt:i4>
      </vt:variant>
      <vt:variant>
        <vt:lpwstr>http://www.nevo.co.il/law/4216/7</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2025-04-23T01:28:00Z</dcterms:created>
  <dcterms:modified xsi:type="dcterms:W3CDTF">2025-04-23T01:28:00Z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35581</vt:lpwstr>
  </property>
  <property fmtid="{D5CDD505-2E9C-101B-9397-08002B2CF9AE}" pid="6" name="NEWPARTB">
    <vt:lpwstr>05</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אור יהודה ויסלבלום</vt:lpwstr>
  </property>
  <property fmtid="{D5CDD505-2E9C-101B-9397-08002B2CF9AE}" pid="10" name="LAWYER">
    <vt:lpwstr>יגאל דותן;מוטי בניטה;אורי קנר;אלון חבר </vt:lpwstr>
  </property>
  <property fmtid="{D5CDD505-2E9C-101B-9397-08002B2CF9AE}" pid="11" name="JUDGE">
    <vt:lpwstr>ביאלין אלעזר</vt:lpwstr>
  </property>
  <property fmtid="{D5CDD505-2E9C-101B-9397-08002B2CF9AE}" pid="12" name="CITY">
    <vt:lpwstr>בי"ש</vt:lpwstr>
  </property>
  <property fmtid="{D5CDD505-2E9C-101B-9397-08002B2CF9AE}" pid="13" name="DATE">
    <vt:lpwstr>20240515</vt:lpwstr>
  </property>
  <property fmtid="{D5CDD505-2E9C-101B-9397-08002B2CF9AE}" pid="14" name="TYPE_N_DATE">
    <vt:lpwstr>38020240515</vt:lpwstr>
  </property>
  <property fmtid="{D5CDD505-2E9C-101B-9397-08002B2CF9AE}" pid="15" name="WORDNUMPAGES">
    <vt:lpwstr>11</vt:lpwstr>
  </property>
  <property fmtid="{D5CDD505-2E9C-101B-9397-08002B2CF9AE}" pid="16" name="TYPE_ABS_DATE">
    <vt:lpwstr>380020240515</vt:lpwstr>
  </property>
  <property fmtid="{D5CDD505-2E9C-101B-9397-08002B2CF9AE}" pid="17" name="ISABSTRACT">
    <vt:lpwstr>Y</vt:lpwstr>
  </property>
  <property fmtid="{D5CDD505-2E9C-101B-9397-08002B2CF9AE}" pid="18" name="CASESLISTTMP1">
    <vt:lpwstr>23575417;5810781:2;5763166;23750765;11279208;27435100;6891399;23751652;6146169;18118854;16941543;16900367;6552365</vt:lpwstr>
  </property>
  <property fmtid="{D5CDD505-2E9C-101B-9397-08002B2CF9AE}" pid="19" name="BOOKGROUPTMP1">
    <vt:lpwstr/>
  </property>
  <property fmtid="{D5CDD505-2E9C-101B-9397-08002B2CF9AE}" pid="20" name="NOBOOKNEVO">
    <vt:lpwstr>2870</vt:lpwstr>
  </property>
  <property fmtid="{D5CDD505-2E9C-101B-9397-08002B2CF9AE}" pid="21" name="LAWLISTTMP1">
    <vt:lpwstr>4216/007.a:2;007.c:2;007</vt:lpwstr>
  </property>
  <property fmtid="{D5CDD505-2E9C-101B-9397-08002B2CF9AE}" pid="22" name="LAWLISTTMP2">
    <vt:lpwstr>70301/061.a.4;040d.a</vt:lpwstr>
  </property>
  <property fmtid="{D5CDD505-2E9C-101B-9397-08002B2CF9AE}" pid="23" name="LAWLISTTMP3">
    <vt:lpwstr>71553</vt:lpwstr>
  </property>
</Properties>
</file>