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9346E" w:rsidRPr="008400AC" w14:paraId="3485FD7B" w14:textId="77777777" w:rsidTr="00E005DA">
        <w:trPr>
          <w:trHeight w:hRule="exact" w:val="418"/>
          <w:jc w:val="center"/>
        </w:trPr>
        <w:tc>
          <w:tcPr>
            <w:tcW w:w="8721" w:type="dxa"/>
            <w:gridSpan w:val="2"/>
          </w:tcPr>
          <w:p w14:paraId="4AE45461" w14:textId="77777777" w:rsidR="00B9346E" w:rsidRPr="008400AC" w:rsidRDefault="00B9346E" w:rsidP="004626E6">
            <w:pPr>
              <w:pStyle w:val="a3"/>
              <w:jc w:val="center"/>
              <w:rPr>
                <w:rFonts w:ascii="Tahoma" w:hAnsi="Tahoma" w:cs="Tahoma"/>
                <w:color w:val="000080"/>
                <w:rtl/>
              </w:rPr>
            </w:pPr>
            <w:bookmarkStart w:id="0" w:name="LastJudge"/>
            <w:r w:rsidRPr="008400AC">
              <w:rPr>
                <w:rFonts w:ascii="Tahoma" w:hAnsi="Tahoma" w:cs="Tahoma"/>
                <w:b/>
                <w:bCs/>
                <w:color w:val="000080"/>
                <w:rtl/>
              </w:rPr>
              <w:t>בית משפט השלום בתל אביב-יפו</w:t>
            </w:r>
          </w:p>
        </w:tc>
      </w:tr>
      <w:tr w:rsidR="00B9346E" w:rsidRPr="008400AC" w14:paraId="6BFA8D5A" w14:textId="77777777" w:rsidTr="00E005DA">
        <w:trPr>
          <w:trHeight w:val="337"/>
          <w:jc w:val="center"/>
        </w:trPr>
        <w:tc>
          <w:tcPr>
            <w:tcW w:w="5055" w:type="dxa"/>
          </w:tcPr>
          <w:p w14:paraId="135A3546" w14:textId="77777777" w:rsidR="00B9346E" w:rsidRPr="008400AC" w:rsidRDefault="00B9346E" w:rsidP="004626E6">
            <w:pPr>
              <w:rPr>
                <w:rFonts w:cs="FrankRuehl"/>
                <w:sz w:val="28"/>
                <w:szCs w:val="28"/>
                <w:rtl/>
              </w:rPr>
            </w:pPr>
            <w:r w:rsidRPr="008400AC">
              <w:rPr>
                <w:rFonts w:cs="FrankRuehl"/>
                <w:sz w:val="28"/>
                <w:szCs w:val="28"/>
                <w:rtl/>
              </w:rPr>
              <w:t>ת"פ</w:t>
            </w:r>
            <w:r w:rsidRPr="008400AC">
              <w:rPr>
                <w:rFonts w:cs="FrankRuehl" w:hint="cs"/>
                <w:sz w:val="28"/>
                <w:szCs w:val="28"/>
                <w:rtl/>
              </w:rPr>
              <w:t xml:space="preserve"> </w:t>
            </w:r>
            <w:r w:rsidRPr="008400AC">
              <w:rPr>
                <w:rFonts w:cs="FrankRuehl"/>
                <w:sz w:val="28"/>
                <w:szCs w:val="28"/>
                <w:rtl/>
              </w:rPr>
              <w:t>39333-05-22</w:t>
            </w:r>
            <w:r w:rsidRPr="008400AC">
              <w:rPr>
                <w:rFonts w:cs="FrankRuehl" w:hint="cs"/>
                <w:sz w:val="28"/>
                <w:szCs w:val="28"/>
                <w:rtl/>
              </w:rPr>
              <w:t xml:space="preserve"> </w:t>
            </w:r>
            <w:r w:rsidRPr="008400AC">
              <w:rPr>
                <w:rFonts w:cs="FrankRuehl"/>
                <w:b/>
                <w:bCs/>
                <w:sz w:val="28"/>
                <w:szCs w:val="28"/>
                <w:rtl/>
              </w:rPr>
              <w:t>מדינת ישראל נ' בראהמה</w:t>
            </w:r>
          </w:p>
          <w:p w14:paraId="06BA6CE4" w14:textId="77777777" w:rsidR="00B9346E" w:rsidRPr="008400AC" w:rsidRDefault="00B9346E" w:rsidP="004626E6">
            <w:pPr>
              <w:pStyle w:val="a3"/>
              <w:rPr>
                <w:rFonts w:cs="FrankRuehl"/>
                <w:sz w:val="28"/>
                <w:szCs w:val="28"/>
                <w:rtl/>
              </w:rPr>
            </w:pPr>
          </w:p>
        </w:tc>
        <w:tc>
          <w:tcPr>
            <w:tcW w:w="3666" w:type="dxa"/>
          </w:tcPr>
          <w:p w14:paraId="38F00B9E" w14:textId="77777777" w:rsidR="00B9346E" w:rsidRPr="008400AC" w:rsidRDefault="00B9346E" w:rsidP="004626E6">
            <w:pPr>
              <w:pStyle w:val="a3"/>
              <w:jc w:val="right"/>
              <w:rPr>
                <w:rFonts w:cs="FrankRuehl"/>
                <w:sz w:val="28"/>
                <w:szCs w:val="28"/>
                <w:rtl/>
              </w:rPr>
            </w:pPr>
          </w:p>
        </w:tc>
      </w:tr>
    </w:tbl>
    <w:p w14:paraId="060DB78D" w14:textId="77777777" w:rsidR="00B9346E" w:rsidRPr="008400AC" w:rsidRDefault="00B9346E" w:rsidP="00B9346E">
      <w:pPr>
        <w:pStyle w:val="a3"/>
        <w:rPr>
          <w:rtl/>
        </w:rPr>
      </w:pPr>
      <w:r w:rsidRPr="008400A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9346E" w:rsidRPr="008400AC" w14:paraId="6A942BCA" w14:textId="77777777" w:rsidTr="00B9346E">
        <w:trPr>
          <w:trHeight w:val="295"/>
          <w:jc w:val="center"/>
        </w:trPr>
        <w:tc>
          <w:tcPr>
            <w:tcW w:w="923" w:type="dxa"/>
            <w:tcBorders>
              <w:top w:val="nil"/>
              <w:left w:val="nil"/>
              <w:bottom w:val="nil"/>
              <w:right w:val="nil"/>
            </w:tcBorders>
            <w:shd w:val="clear" w:color="auto" w:fill="auto"/>
          </w:tcPr>
          <w:p w14:paraId="57474775" w14:textId="77777777" w:rsidR="00B9346E" w:rsidRPr="008400AC" w:rsidRDefault="00B9346E" w:rsidP="00B9346E">
            <w:pPr>
              <w:spacing w:line="360" w:lineRule="auto"/>
              <w:jc w:val="both"/>
              <w:rPr>
                <w:rFonts w:ascii="David" w:hAnsi="David"/>
                <w:b/>
                <w:bCs/>
                <w:sz w:val="26"/>
                <w:szCs w:val="26"/>
              </w:rPr>
            </w:pPr>
            <w:r w:rsidRPr="008400AC">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48D25EC" w14:textId="77777777" w:rsidR="00B9346E" w:rsidRPr="008400AC" w:rsidRDefault="00B9346E" w:rsidP="00B9346E">
            <w:pPr>
              <w:spacing w:line="360" w:lineRule="auto"/>
              <w:rPr>
                <w:rFonts w:ascii="David" w:hAnsi="David"/>
                <w:b/>
                <w:bCs/>
                <w:sz w:val="26"/>
                <w:szCs w:val="26"/>
                <w:rtl/>
              </w:rPr>
            </w:pPr>
            <w:r w:rsidRPr="008400AC">
              <w:rPr>
                <w:rFonts w:ascii="David" w:hAnsi="David" w:hint="cs"/>
                <w:b/>
                <w:bCs/>
                <w:sz w:val="26"/>
                <w:szCs w:val="26"/>
                <w:rtl/>
              </w:rPr>
              <w:t>כבוד השופט הבכיר, שאול אבינור</w:t>
            </w:r>
          </w:p>
          <w:p w14:paraId="15F4C772" w14:textId="77777777" w:rsidR="00B9346E" w:rsidRPr="008400AC" w:rsidRDefault="00B9346E" w:rsidP="00B9346E">
            <w:pPr>
              <w:spacing w:line="360" w:lineRule="auto"/>
              <w:rPr>
                <w:rFonts w:ascii="David" w:hAnsi="David"/>
                <w:sz w:val="26"/>
                <w:szCs w:val="26"/>
              </w:rPr>
            </w:pPr>
          </w:p>
        </w:tc>
      </w:tr>
      <w:tr w:rsidR="00B9346E" w:rsidRPr="008400AC" w14:paraId="48C1A594" w14:textId="77777777" w:rsidTr="00B9346E">
        <w:trPr>
          <w:trHeight w:val="355"/>
          <w:jc w:val="center"/>
        </w:trPr>
        <w:tc>
          <w:tcPr>
            <w:tcW w:w="923" w:type="dxa"/>
            <w:tcBorders>
              <w:top w:val="nil"/>
              <w:left w:val="nil"/>
              <w:bottom w:val="nil"/>
              <w:right w:val="nil"/>
            </w:tcBorders>
            <w:shd w:val="clear" w:color="auto" w:fill="auto"/>
          </w:tcPr>
          <w:p w14:paraId="5160DA3F" w14:textId="77777777" w:rsidR="00B9346E" w:rsidRPr="008400AC" w:rsidRDefault="00B9346E" w:rsidP="00B9346E">
            <w:pPr>
              <w:spacing w:line="360" w:lineRule="auto"/>
              <w:jc w:val="both"/>
              <w:rPr>
                <w:rFonts w:ascii="David" w:hAnsi="David"/>
                <w:sz w:val="26"/>
                <w:szCs w:val="26"/>
              </w:rPr>
            </w:pPr>
            <w:bookmarkStart w:id="1" w:name="FirstAppellant"/>
            <w:bookmarkStart w:id="2" w:name="FirstLawyer"/>
            <w:r w:rsidRPr="008400AC">
              <w:rPr>
                <w:rFonts w:ascii="David" w:hAnsi="David"/>
                <w:sz w:val="26"/>
                <w:szCs w:val="26"/>
                <w:rtl/>
              </w:rPr>
              <w:t>בעניין:</w:t>
            </w:r>
          </w:p>
        </w:tc>
        <w:tc>
          <w:tcPr>
            <w:tcW w:w="3219" w:type="dxa"/>
            <w:tcBorders>
              <w:top w:val="nil"/>
              <w:left w:val="nil"/>
              <w:bottom w:val="nil"/>
              <w:right w:val="nil"/>
            </w:tcBorders>
            <w:shd w:val="clear" w:color="auto" w:fill="auto"/>
          </w:tcPr>
          <w:p w14:paraId="0BA17204" w14:textId="77777777" w:rsidR="00B9346E" w:rsidRPr="008400AC" w:rsidRDefault="00B9346E" w:rsidP="00B9346E">
            <w:pPr>
              <w:suppressLineNumbers/>
              <w:spacing w:line="360" w:lineRule="auto"/>
            </w:pPr>
            <w:r w:rsidRPr="008400AC">
              <w:rPr>
                <w:rFonts w:ascii="Arial" w:hAnsi="Arial" w:hint="cs"/>
                <w:b/>
                <w:bCs/>
                <w:sz w:val="26"/>
                <w:szCs w:val="26"/>
                <w:rtl/>
              </w:rPr>
              <w:t>המאשימה:</w:t>
            </w:r>
          </w:p>
          <w:p w14:paraId="4B9FAFBC" w14:textId="77777777" w:rsidR="00B9346E" w:rsidRPr="008400AC" w:rsidRDefault="00B9346E" w:rsidP="00B9346E">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4825A68C" w14:textId="77777777" w:rsidR="00B9346E" w:rsidRPr="008400AC" w:rsidRDefault="00B9346E" w:rsidP="00B9346E">
            <w:pPr>
              <w:suppressLineNumbers/>
              <w:spacing w:line="360" w:lineRule="auto"/>
              <w:rPr>
                <w:rFonts w:ascii="Arial" w:hAnsi="Arial"/>
                <w:rtl/>
              </w:rPr>
            </w:pPr>
            <w:r w:rsidRPr="008400AC">
              <w:rPr>
                <w:rFonts w:ascii="Arial" w:hAnsi="Arial"/>
                <w:b/>
                <w:bCs/>
                <w:sz w:val="26"/>
                <w:szCs w:val="26"/>
                <w:rtl/>
              </w:rPr>
              <w:t>מדינת ישראל</w:t>
            </w:r>
            <w:r w:rsidRPr="008400AC">
              <w:rPr>
                <w:rFonts w:ascii="Arial" w:hAnsi="Arial" w:hint="cs"/>
                <w:b/>
                <w:bCs/>
                <w:sz w:val="26"/>
                <w:szCs w:val="26"/>
                <w:rtl/>
              </w:rPr>
              <w:t xml:space="preserve"> </w:t>
            </w:r>
          </w:p>
          <w:p w14:paraId="67732E3C" w14:textId="77777777" w:rsidR="00B9346E" w:rsidRPr="008400AC" w:rsidRDefault="00B9346E" w:rsidP="00B9346E">
            <w:pPr>
              <w:suppressLineNumbers/>
              <w:spacing w:line="360" w:lineRule="auto"/>
            </w:pPr>
            <w:r w:rsidRPr="008400AC">
              <w:rPr>
                <w:rFonts w:ascii="Arial" w:hAnsi="Arial"/>
                <w:rtl/>
              </w:rPr>
              <w:t>ע"י</w:t>
            </w:r>
            <w:r w:rsidRPr="008400AC">
              <w:rPr>
                <w:rFonts w:ascii="Arial" w:hAnsi="Arial"/>
                <w:b/>
                <w:bCs/>
                <w:sz w:val="26"/>
                <w:szCs w:val="26"/>
                <w:rtl/>
              </w:rPr>
              <w:t xml:space="preserve"> </w:t>
            </w:r>
            <w:r w:rsidRPr="008400AC">
              <w:rPr>
                <w:rFonts w:ascii="Arial" w:hAnsi="Arial"/>
                <w:rtl/>
              </w:rPr>
              <w:t>ב"כ עו"ד</w:t>
            </w:r>
            <w:r w:rsidRPr="008400AC">
              <w:rPr>
                <w:rFonts w:ascii="Arial" w:hAnsi="Arial" w:hint="cs"/>
                <w:rtl/>
              </w:rPr>
              <w:t xml:space="preserve"> לידר דמרי</w:t>
            </w:r>
          </w:p>
          <w:p w14:paraId="48C1AAC8" w14:textId="77777777" w:rsidR="00B9346E" w:rsidRPr="008400AC" w:rsidRDefault="00B9346E" w:rsidP="00B9346E">
            <w:pPr>
              <w:spacing w:line="360" w:lineRule="auto"/>
              <w:rPr>
                <w:rFonts w:ascii="David" w:hAnsi="David"/>
                <w:sz w:val="26"/>
                <w:szCs w:val="26"/>
              </w:rPr>
            </w:pPr>
          </w:p>
        </w:tc>
      </w:tr>
      <w:bookmarkEnd w:id="1"/>
      <w:bookmarkEnd w:id="2"/>
      <w:tr w:rsidR="00B9346E" w:rsidRPr="008400AC" w14:paraId="07D7DBDE" w14:textId="77777777" w:rsidTr="00B9346E">
        <w:trPr>
          <w:trHeight w:val="355"/>
          <w:jc w:val="center"/>
        </w:trPr>
        <w:tc>
          <w:tcPr>
            <w:tcW w:w="923" w:type="dxa"/>
            <w:tcBorders>
              <w:top w:val="nil"/>
              <w:left w:val="nil"/>
              <w:bottom w:val="nil"/>
              <w:right w:val="nil"/>
            </w:tcBorders>
            <w:shd w:val="clear" w:color="auto" w:fill="auto"/>
          </w:tcPr>
          <w:p w14:paraId="47FA0052" w14:textId="77777777" w:rsidR="00B9346E" w:rsidRPr="008400AC" w:rsidRDefault="00B9346E" w:rsidP="00B9346E">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5CEB36A9" w14:textId="77777777" w:rsidR="00B9346E" w:rsidRPr="008400AC" w:rsidRDefault="00B9346E" w:rsidP="00B9346E">
            <w:pPr>
              <w:spacing w:line="360" w:lineRule="auto"/>
              <w:jc w:val="center"/>
              <w:rPr>
                <w:rFonts w:ascii="David" w:hAnsi="David"/>
                <w:b/>
                <w:bCs/>
                <w:sz w:val="26"/>
                <w:szCs w:val="26"/>
                <w:rtl/>
              </w:rPr>
            </w:pPr>
          </w:p>
          <w:p w14:paraId="469CC850" w14:textId="77777777" w:rsidR="00B9346E" w:rsidRPr="008400AC" w:rsidRDefault="00B9346E" w:rsidP="00B9346E">
            <w:pPr>
              <w:spacing w:line="360" w:lineRule="auto"/>
              <w:jc w:val="center"/>
              <w:rPr>
                <w:rFonts w:ascii="David" w:hAnsi="David"/>
                <w:b/>
                <w:bCs/>
                <w:sz w:val="26"/>
                <w:szCs w:val="26"/>
                <w:rtl/>
              </w:rPr>
            </w:pPr>
            <w:r w:rsidRPr="008400AC">
              <w:rPr>
                <w:rFonts w:ascii="David" w:hAnsi="David"/>
                <w:b/>
                <w:bCs/>
                <w:sz w:val="26"/>
                <w:szCs w:val="26"/>
                <w:rtl/>
              </w:rPr>
              <w:t>נגד</w:t>
            </w:r>
          </w:p>
          <w:p w14:paraId="07BD7384" w14:textId="77777777" w:rsidR="00B9346E" w:rsidRPr="008400AC" w:rsidRDefault="00B9346E" w:rsidP="00B9346E">
            <w:pPr>
              <w:spacing w:line="360" w:lineRule="auto"/>
              <w:jc w:val="both"/>
              <w:rPr>
                <w:rFonts w:ascii="David" w:hAnsi="David"/>
                <w:sz w:val="26"/>
                <w:szCs w:val="26"/>
                <w:rtl/>
              </w:rPr>
            </w:pPr>
          </w:p>
          <w:p w14:paraId="0A054940" w14:textId="77777777" w:rsidR="00B9346E" w:rsidRPr="008400AC" w:rsidRDefault="00B9346E" w:rsidP="00B9346E">
            <w:pPr>
              <w:spacing w:line="360" w:lineRule="auto"/>
              <w:jc w:val="both"/>
              <w:rPr>
                <w:rFonts w:ascii="David" w:hAnsi="David"/>
                <w:sz w:val="26"/>
                <w:szCs w:val="26"/>
              </w:rPr>
            </w:pPr>
          </w:p>
        </w:tc>
      </w:tr>
      <w:tr w:rsidR="00B9346E" w:rsidRPr="008400AC" w14:paraId="52BD5AA2" w14:textId="77777777" w:rsidTr="00B9346E">
        <w:trPr>
          <w:trHeight w:val="355"/>
          <w:jc w:val="center"/>
        </w:trPr>
        <w:tc>
          <w:tcPr>
            <w:tcW w:w="923" w:type="dxa"/>
            <w:tcBorders>
              <w:top w:val="nil"/>
              <w:left w:val="nil"/>
              <w:bottom w:val="nil"/>
              <w:right w:val="nil"/>
            </w:tcBorders>
            <w:shd w:val="clear" w:color="auto" w:fill="auto"/>
          </w:tcPr>
          <w:p w14:paraId="7F1A8F4A" w14:textId="77777777" w:rsidR="00B9346E" w:rsidRPr="008400AC" w:rsidRDefault="00B9346E" w:rsidP="00B9346E">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8F7FA33" w14:textId="77777777" w:rsidR="00B9346E" w:rsidRPr="008400AC" w:rsidRDefault="00B9346E" w:rsidP="00B9346E">
            <w:pPr>
              <w:spacing w:line="360" w:lineRule="auto"/>
              <w:rPr>
                <w:rFonts w:ascii="Arial" w:hAnsi="Arial"/>
                <w:b/>
                <w:bCs/>
                <w:sz w:val="26"/>
                <w:szCs w:val="26"/>
                <w:rtl/>
              </w:rPr>
            </w:pPr>
            <w:r w:rsidRPr="008400AC">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C465B29" w14:textId="77777777" w:rsidR="00B9346E" w:rsidRPr="008400AC" w:rsidRDefault="00B9346E" w:rsidP="00B9346E">
            <w:pPr>
              <w:suppressLineNumbers/>
              <w:spacing w:line="360" w:lineRule="auto"/>
              <w:rPr>
                <w:rFonts w:ascii="Arial" w:hAnsi="Arial"/>
                <w:b/>
                <w:bCs/>
                <w:sz w:val="26"/>
                <w:szCs w:val="26"/>
                <w:rtl/>
              </w:rPr>
            </w:pPr>
            <w:r w:rsidRPr="008400AC">
              <w:rPr>
                <w:rFonts w:ascii="Arial" w:hAnsi="Arial"/>
                <w:b/>
                <w:bCs/>
                <w:sz w:val="26"/>
                <w:szCs w:val="26"/>
                <w:rtl/>
              </w:rPr>
              <w:t>נעים בראהמה</w:t>
            </w:r>
            <w:r w:rsidRPr="008400AC">
              <w:rPr>
                <w:rFonts w:ascii="Arial" w:hAnsi="Arial" w:hint="cs"/>
                <w:b/>
                <w:bCs/>
                <w:sz w:val="26"/>
                <w:szCs w:val="26"/>
                <w:rtl/>
              </w:rPr>
              <w:t xml:space="preserve"> </w:t>
            </w:r>
          </w:p>
          <w:p w14:paraId="5223E532" w14:textId="77777777" w:rsidR="00B9346E" w:rsidRPr="008400AC" w:rsidRDefault="00B9346E" w:rsidP="00B9346E">
            <w:pPr>
              <w:suppressLineNumbers/>
              <w:spacing w:line="360" w:lineRule="auto"/>
            </w:pPr>
            <w:r w:rsidRPr="008400AC">
              <w:rPr>
                <w:rFonts w:ascii="Arial" w:hAnsi="Arial"/>
                <w:rtl/>
              </w:rPr>
              <w:t>ע"י</w:t>
            </w:r>
            <w:r w:rsidRPr="008400AC">
              <w:rPr>
                <w:rFonts w:ascii="Arial" w:hAnsi="Arial"/>
                <w:b/>
                <w:bCs/>
                <w:sz w:val="26"/>
                <w:szCs w:val="26"/>
                <w:rtl/>
              </w:rPr>
              <w:t xml:space="preserve"> </w:t>
            </w:r>
            <w:r w:rsidRPr="008400AC">
              <w:rPr>
                <w:rFonts w:ascii="Arial" w:hAnsi="Arial"/>
                <w:rtl/>
              </w:rPr>
              <w:t>ב"כ עו"ד</w:t>
            </w:r>
            <w:r w:rsidRPr="008400AC">
              <w:rPr>
                <w:rFonts w:ascii="Arial" w:hAnsi="Arial" w:hint="cs"/>
                <w:rtl/>
              </w:rPr>
              <w:t xml:space="preserve"> שרון קינן</w:t>
            </w:r>
          </w:p>
          <w:p w14:paraId="461C9CEF" w14:textId="77777777" w:rsidR="00B9346E" w:rsidRPr="008400AC" w:rsidRDefault="00B9346E" w:rsidP="00B9346E">
            <w:pPr>
              <w:spacing w:line="360" w:lineRule="auto"/>
              <w:rPr>
                <w:rFonts w:ascii="David" w:hAnsi="David"/>
                <w:sz w:val="26"/>
                <w:szCs w:val="26"/>
              </w:rPr>
            </w:pPr>
          </w:p>
        </w:tc>
      </w:tr>
    </w:tbl>
    <w:p w14:paraId="454AE293" w14:textId="77777777" w:rsidR="008400AC" w:rsidRPr="008400AC" w:rsidRDefault="008400AC" w:rsidP="008400AC">
      <w:pPr>
        <w:spacing w:before="120" w:after="120" w:line="240" w:lineRule="exact"/>
        <w:ind w:left="283" w:hanging="283"/>
        <w:jc w:val="both"/>
        <w:rPr>
          <w:rFonts w:ascii="FrankRuehl" w:hAnsi="FrankRuehl" w:cs="FrankRuehl"/>
          <w:rtl/>
        </w:rPr>
      </w:pPr>
    </w:p>
    <w:p w14:paraId="64E3068E" w14:textId="77777777" w:rsidR="008400AC" w:rsidRPr="008400AC" w:rsidRDefault="008400AC" w:rsidP="008400AC">
      <w:pPr>
        <w:spacing w:line="360" w:lineRule="auto"/>
        <w:rPr>
          <w:sz w:val="26"/>
          <w:szCs w:val="26"/>
          <w:rtl/>
        </w:rPr>
      </w:pPr>
    </w:p>
    <w:p w14:paraId="747F57AA" w14:textId="77777777" w:rsidR="00E005DA" w:rsidRPr="00E005DA" w:rsidRDefault="00E005DA" w:rsidP="00E005DA">
      <w:pPr>
        <w:spacing w:before="120" w:after="120" w:line="240" w:lineRule="exact"/>
        <w:ind w:left="283" w:hanging="283"/>
        <w:jc w:val="both"/>
        <w:rPr>
          <w:rFonts w:ascii="FrankRuehl" w:hAnsi="FrankRuehl" w:cs="FrankRuehl"/>
          <w:rtl/>
        </w:rPr>
      </w:pPr>
      <w:bookmarkStart w:id="3" w:name="LawTable"/>
      <w:bookmarkEnd w:id="3"/>
    </w:p>
    <w:p w14:paraId="54530C0B" w14:textId="77777777" w:rsidR="00E005DA" w:rsidRPr="00E005DA" w:rsidRDefault="00E005DA" w:rsidP="00E005DA">
      <w:pPr>
        <w:spacing w:before="120" w:after="120" w:line="240" w:lineRule="exact"/>
        <w:ind w:left="283" w:hanging="283"/>
        <w:jc w:val="both"/>
        <w:rPr>
          <w:rFonts w:ascii="FrankRuehl" w:hAnsi="FrankRuehl" w:cs="FrankRuehl"/>
          <w:rtl/>
        </w:rPr>
      </w:pPr>
      <w:r w:rsidRPr="00E005DA">
        <w:rPr>
          <w:rFonts w:ascii="FrankRuehl" w:hAnsi="FrankRuehl" w:cs="FrankRuehl"/>
          <w:rtl/>
        </w:rPr>
        <w:t xml:space="preserve">חקיקה שאוזכרה: </w:t>
      </w:r>
    </w:p>
    <w:p w14:paraId="1101E26F" w14:textId="77777777" w:rsidR="00E005DA" w:rsidRPr="00E005DA" w:rsidRDefault="00E005DA" w:rsidP="00E005DA">
      <w:pPr>
        <w:spacing w:before="120" w:after="120" w:line="240" w:lineRule="exact"/>
        <w:ind w:left="283" w:hanging="283"/>
        <w:jc w:val="both"/>
        <w:rPr>
          <w:rFonts w:ascii="FrankRuehl" w:hAnsi="FrankRuehl" w:cs="FrankRuehl"/>
          <w:color w:val="0000FF"/>
          <w:rtl/>
        </w:rPr>
      </w:pPr>
      <w:hyperlink r:id="rId7" w:history="1">
        <w:r w:rsidRPr="00E005DA">
          <w:rPr>
            <w:rStyle w:val="Hyperlink"/>
            <w:rFonts w:ascii="FrankRuehl" w:hAnsi="FrankRuehl" w:cs="FrankRuehl"/>
            <w:u w:val="none"/>
            <w:rtl/>
          </w:rPr>
          <w:t>פקודת הסמים המסוכנים [נוסח חדש], תשל"ג-1973</w:t>
        </w:r>
      </w:hyperlink>
      <w:r w:rsidRPr="00E005DA">
        <w:rPr>
          <w:rFonts w:ascii="FrankRuehl" w:hAnsi="FrankRuehl" w:cs="FrankRuehl"/>
          <w:color w:val="0000FF"/>
          <w:rtl/>
        </w:rPr>
        <w:t xml:space="preserve">: סע'  </w:t>
      </w:r>
      <w:hyperlink r:id="rId8" w:history="1">
        <w:r w:rsidRPr="00E005DA">
          <w:rPr>
            <w:rStyle w:val="Hyperlink"/>
            <w:rFonts w:ascii="FrankRuehl" w:hAnsi="FrankRuehl" w:cs="FrankRuehl"/>
            <w:u w:val="none"/>
          </w:rPr>
          <w:t>13</w:t>
        </w:r>
      </w:hyperlink>
      <w:r w:rsidRPr="00E005DA">
        <w:rPr>
          <w:rFonts w:ascii="FrankRuehl" w:hAnsi="FrankRuehl" w:cs="FrankRuehl"/>
          <w:color w:val="0000FF"/>
          <w:rtl/>
        </w:rPr>
        <w:t xml:space="preserve">, </w:t>
      </w:r>
      <w:hyperlink r:id="rId9" w:history="1">
        <w:r w:rsidRPr="00E005DA">
          <w:rPr>
            <w:rStyle w:val="Hyperlink"/>
            <w:rFonts w:ascii="FrankRuehl" w:hAnsi="FrankRuehl" w:cs="FrankRuehl"/>
            <w:u w:val="none"/>
          </w:rPr>
          <w:t>19</w:t>
        </w:r>
        <w:r w:rsidRPr="00E005DA">
          <w:rPr>
            <w:rStyle w:val="Hyperlink"/>
            <w:rFonts w:ascii="FrankRuehl" w:hAnsi="FrankRuehl" w:cs="FrankRuehl"/>
            <w:u w:val="none"/>
            <w:rtl/>
          </w:rPr>
          <w:t>א</w:t>
        </w:r>
      </w:hyperlink>
    </w:p>
    <w:p w14:paraId="10586709" w14:textId="77777777" w:rsidR="00E005DA" w:rsidRPr="00E005DA" w:rsidRDefault="00E005DA" w:rsidP="00E005DA">
      <w:pPr>
        <w:spacing w:before="120" w:after="120" w:line="240" w:lineRule="exact"/>
        <w:ind w:left="283" w:hanging="283"/>
        <w:jc w:val="both"/>
        <w:rPr>
          <w:rFonts w:ascii="FrankRuehl" w:hAnsi="FrankRuehl" w:cs="FrankRuehl"/>
          <w:color w:val="0000FF"/>
          <w:rtl/>
        </w:rPr>
      </w:pPr>
      <w:hyperlink r:id="rId10" w:history="1">
        <w:r w:rsidRPr="00E005DA">
          <w:rPr>
            <w:rStyle w:val="Hyperlink"/>
            <w:rFonts w:ascii="FrankRuehl" w:hAnsi="FrankRuehl" w:cs="FrankRuehl"/>
            <w:u w:val="none"/>
            <w:rtl/>
          </w:rPr>
          <w:t>חוק העונשין, תשל"ז-1977</w:t>
        </w:r>
      </w:hyperlink>
      <w:r w:rsidRPr="00E005DA">
        <w:rPr>
          <w:rFonts w:ascii="FrankRuehl" w:hAnsi="FrankRuehl" w:cs="FrankRuehl"/>
          <w:color w:val="0000FF"/>
          <w:rtl/>
        </w:rPr>
        <w:t xml:space="preserve">: סע'  </w:t>
      </w:r>
      <w:hyperlink r:id="rId11" w:history="1">
        <w:r w:rsidRPr="00E005DA">
          <w:rPr>
            <w:rStyle w:val="Hyperlink"/>
            <w:rFonts w:ascii="FrankRuehl" w:hAnsi="FrankRuehl" w:cs="FrankRuehl"/>
            <w:u w:val="none"/>
          </w:rPr>
          <w:t>40</w:t>
        </w:r>
        <w:r w:rsidRPr="00E005DA">
          <w:rPr>
            <w:rStyle w:val="Hyperlink"/>
            <w:rFonts w:ascii="FrankRuehl" w:hAnsi="FrankRuehl" w:cs="FrankRuehl"/>
            <w:u w:val="none"/>
            <w:rtl/>
          </w:rPr>
          <w:t>ד</w:t>
        </w:r>
      </w:hyperlink>
    </w:p>
    <w:p w14:paraId="2A758C47" w14:textId="77777777" w:rsidR="00B9346E" w:rsidRPr="00E005DA" w:rsidRDefault="00B9346E" w:rsidP="00E005DA">
      <w:pPr>
        <w:spacing w:line="360" w:lineRule="auto"/>
        <w:rPr>
          <w:sz w:val="26"/>
          <w:szCs w:val="26"/>
        </w:rPr>
      </w:pPr>
      <w:bookmarkStart w:id="4" w:name="LawTable_End"/>
      <w:bookmarkEnd w:id="4"/>
    </w:p>
    <w:p w14:paraId="7A93489F" w14:textId="77777777" w:rsidR="00E005DA" w:rsidRPr="008400AC" w:rsidRDefault="00E005DA" w:rsidP="008400AC">
      <w:pPr>
        <w:spacing w:after="120" w:line="360" w:lineRule="auto"/>
        <w:jc w:val="center"/>
        <w:rPr>
          <w:rFonts w:ascii="David" w:hAnsi="David"/>
          <w:b/>
          <w:bCs/>
          <w:sz w:val="36"/>
          <w:szCs w:val="36"/>
          <w:u w:val="single"/>
          <w:rtl/>
        </w:rPr>
      </w:pPr>
      <w:bookmarkStart w:id="5" w:name="PsakDin" w:colFirst="0" w:colLast="0"/>
      <w:bookmarkEnd w:id="0"/>
      <w:r w:rsidRPr="008400AC">
        <w:rPr>
          <w:rFonts w:ascii="David" w:hAnsi="David"/>
          <w:b/>
          <w:bCs/>
          <w:sz w:val="36"/>
          <w:szCs w:val="36"/>
          <w:u w:val="single"/>
          <w:rtl/>
        </w:rPr>
        <w:t>גזר דין</w:t>
      </w:r>
    </w:p>
    <w:p w14:paraId="7F55EAE0" w14:textId="77777777" w:rsidR="00E005DA" w:rsidRPr="008400AC" w:rsidRDefault="00E005DA" w:rsidP="008400AC">
      <w:pPr>
        <w:spacing w:after="120" w:line="360" w:lineRule="auto"/>
        <w:jc w:val="center"/>
        <w:rPr>
          <w:rFonts w:ascii="David" w:hAnsi="David"/>
          <w:bCs/>
          <w:sz w:val="36"/>
          <w:szCs w:val="36"/>
          <w:u w:val="single"/>
          <w:rtl/>
        </w:rPr>
      </w:pPr>
    </w:p>
    <w:bookmarkEnd w:id="5"/>
    <w:p w14:paraId="1E20A1F7" w14:textId="77777777" w:rsidR="00B9346E" w:rsidRDefault="00B9346E" w:rsidP="00B9346E">
      <w:pPr>
        <w:numPr>
          <w:ilvl w:val="0"/>
          <w:numId w:val="1"/>
        </w:numPr>
        <w:spacing w:after="120" w:line="360" w:lineRule="auto"/>
        <w:ind w:left="368"/>
        <w:jc w:val="both"/>
        <w:rPr>
          <w:rFonts w:ascii="Tahoma" w:hAnsi="Tahoma"/>
          <w:b/>
          <w:bCs/>
          <w:u w:val="single"/>
        </w:rPr>
      </w:pPr>
      <w:r>
        <w:rPr>
          <w:rFonts w:ascii="Tahoma" w:hAnsi="Tahoma"/>
          <w:b/>
          <w:bCs/>
          <w:u w:val="single"/>
          <w:rtl/>
        </w:rPr>
        <w:t>רקע כללי:</w:t>
      </w:r>
    </w:p>
    <w:p w14:paraId="64F24DAE" w14:textId="77777777" w:rsidR="00B9346E" w:rsidRPr="00C368B0" w:rsidRDefault="00B9346E" w:rsidP="00B9346E">
      <w:pPr>
        <w:numPr>
          <w:ilvl w:val="0"/>
          <w:numId w:val="2"/>
        </w:numPr>
        <w:spacing w:after="120" w:line="360" w:lineRule="auto"/>
        <w:ind w:left="360"/>
        <w:jc w:val="both"/>
        <w:rPr>
          <w:rFonts w:ascii="Tahoma" w:hAnsi="Tahoma"/>
        </w:rPr>
      </w:pPr>
      <w:bookmarkStart w:id="6" w:name="ABSTRACT_START"/>
      <w:bookmarkEnd w:id="6"/>
      <w:r w:rsidRPr="00C368B0">
        <w:rPr>
          <w:rFonts w:ascii="David" w:hAnsi="David"/>
          <w:rtl/>
        </w:rPr>
        <w:t xml:space="preserve">הנאשם הורשע – על יסוד הודאתו בעובדות כתב האישום, שניתנה במסגרת הסדר טיעון בו הגבילה עצמה המאשימה בטיעוניה לעונש – </w:t>
      </w:r>
      <w:r w:rsidRPr="00C368B0">
        <w:rPr>
          <w:rFonts w:ascii="David" w:hAnsi="David"/>
          <w:color w:val="000000"/>
          <w:shd w:val="clear" w:color="auto" w:fill="FFFFFF"/>
          <w:rtl/>
        </w:rPr>
        <w:t xml:space="preserve">בביצוע עבירה של </w:t>
      </w:r>
      <w:r w:rsidRPr="00C368B0">
        <w:rPr>
          <w:rFonts w:ascii="David" w:hAnsi="David"/>
          <w:b/>
          <w:bCs/>
          <w:rtl/>
        </w:rPr>
        <w:t>סחר בסמים מסוכנים</w:t>
      </w:r>
      <w:r w:rsidRPr="00C368B0">
        <w:rPr>
          <w:rFonts w:ascii="David" w:hAnsi="David"/>
          <w:rtl/>
        </w:rPr>
        <w:t xml:space="preserve">, לפי הוראות </w:t>
      </w:r>
      <w:hyperlink r:id="rId12" w:history="1">
        <w:r w:rsidR="00E005DA" w:rsidRPr="00E005DA">
          <w:rPr>
            <w:rStyle w:val="Hyperlink"/>
            <w:rFonts w:ascii="David" w:hAnsi="David"/>
            <w:color w:val="0000FF"/>
            <w:rtl/>
          </w:rPr>
          <w:t>סעיף 13</w:t>
        </w:r>
      </w:hyperlink>
      <w:r w:rsidRPr="00C368B0">
        <w:rPr>
          <w:rFonts w:ascii="David" w:hAnsi="David"/>
          <w:rtl/>
        </w:rPr>
        <w:t xml:space="preserve"> יחד עם סעיף </w:t>
      </w:r>
      <w:hyperlink r:id="rId13" w:history="1">
        <w:r w:rsidR="00E005DA" w:rsidRPr="00E005DA">
          <w:rPr>
            <w:rStyle w:val="Hyperlink"/>
            <w:rFonts w:ascii="David" w:hAnsi="David"/>
            <w:color w:val="0000FF"/>
            <w:rtl/>
          </w:rPr>
          <w:t>19א</w:t>
        </w:r>
      </w:hyperlink>
      <w:r w:rsidRPr="00C368B0">
        <w:rPr>
          <w:rFonts w:ascii="David" w:hAnsi="David"/>
          <w:rtl/>
        </w:rPr>
        <w:t xml:space="preserve"> ל</w:t>
      </w:r>
      <w:hyperlink r:id="rId14" w:history="1">
        <w:r w:rsidR="008400AC" w:rsidRPr="008400AC">
          <w:rPr>
            <w:rFonts w:ascii="David" w:hAnsi="David"/>
            <w:color w:val="0000FF"/>
            <w:u w:val="single"/>
            <w:rtl/>
          </w:rPr>
          <w:t>פקודת הסמים המסוכנים</w:t>
        </w:r>
      </w:hyperlink>
      <w:r w:rsidRPr="00C368B0">
        <w:rPr>
          <w:rFonts w:ascii="David" w:hAnsi="David"/>
          <w:rtl/>
        </w:rPr>
        <w:t xml:space="preserve"> [נוסח חדש], תשל"ג-1973 (להלן – פקודת הסמים המסוכנים).</w:t>
      </w:r>
    </w:p>
    <w:p w14:paraId="3E9AFAF5" w14:textId="77777777" w:rsidR="00B9346E" w:rsidRDefault="00B9346E" w:rsidP="00B9346E">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בעובדות כתב האישום נטען כי ביום 03.08.</w:t>
      </w:r>
      <w:r>
        <w:rPr>
          <w:rFonts w:ascii="Tahoma" w:hAnsi="Tahoma" w:hint="cs"/>
          <w:rtl/>
        </w:rPr>
        <w:t>20</w:t>
      </w:r>
      <w:r>
        <w:rPr>
          <w:rFonts w:ascii="Tahoma" w:hAnsi="Tahoma"/>
          <w:rtl/>
        </w:rPr>
        <w:t xml:space="preserve">21, בשעה 00:39 או בסמוך לכך, ברחוב השרון בתל אביב, מכר הנאשם לשוטר סמים מסוכנים מסוג </w:t>
      </w:r>
      <w:r>
        <w:rPr>
          <w:rFonts w:ascii="Tahoma" w:hAnsi="Tahoma"/>
          <w:b/>
          <w:bCs/>
          <w:rtl/>
        </w:rPr>
        <w:t>קוקאין</w:t>
      </w:r>
      <w:r>
        <w:rPr>
          <w:rFonts w:ascii="Tahoma" w:hAnsi="Tahoma"/>
          <w:rtl/>
        </w:rPr>
        <w:t xml:space="preserve"> במשקל של </w:t>
      </w:r>
      <w:r>
        <w:rPr>
          <w:rFonts w:ascii="Tahoma" w:hAnsi="Tahoma"/>
          <w:b/>
          <w:bCs/>
          <w:rtl/>
        </w:rPr>
        <w:t>0.2035 גרם נטו</w:t>
      </w:r>
      <w:r>
        <w:rPr>
          <w:rFonts w:ascii="Tahoma" w:hAnsi="Tahoma"/>
          <w:rtl/>
        </w:rPr>
        <w:t>, תמורת 200 ₪. באותן הנסיבות החזיק הנאשם על גופו סך של 2,000 ₪.</w:t>
      </w:r>
    </w:p>
    <w:p w14:paraId="5A9A4E50" w14:textId="77777777" w:rsidR="00B9346E" w:rsidRDefault="00B9346E" w:rsidP="00B9346E">
      <w:pPr>
        <w:numPr>
          <w:ilvl w:val="0"/>
          <w:numId w:val="2"/>
        </w:numPr>
        <w:spacing w:after="120" w:line="360" w:lineRule="auto"/>
        <w:ind w:left="360"/>
        <w:jc w:val="both"/>
        <w:rPr>
          <w:rFonts w:ascii="Tahoma" w:hAnsi="Tahoma"/>
          <w:rtl/>
        </w:rPr>
      </w:pPr>
      <w:r>
        <w:rPr>
          <w:rFonts w:ascii="Tahoma" w:hAnsi="Tahoma"/>
          <w:rtl/>
        </w:rPr>
        <w:t>במסגרת הדיונים המקדמיים לפניי הגיעו הצדדים להסדר טיעון, בו עתרו במשותף לקבלת תסקיר שירות המבחן. המאשימה הודיעה כי בכפוף לתסקיר חיובי – שיצביע על נטילת אחריות, שיתוף פעולה עם שירות המבחן וניקיון מסמים – המאשימה תגביל עצמה לטיעון לעונש של 6 חודשי מאסר בפועל, לנשיאה בדרך של בעבודות שירות, מאסר מותנה וקנס כספי. עוד הסכימו הצדדים לעתור במשותף לחילוט סך של 1,000 ₪ מתוך הסך של 2,000 ₪ שנתפסו ברשות הנאשם (כאמור גם בהודעה שבסיפא לכתב האישום).</w:t>
      </w:r>
      <w:r>
        <w:rPr>
          <w:rFonts w:ascii="Tahoma" w:hAnsi="Tahoma" w:hint="cs"/>
          <w:rtl/>
        </w:rPr>
        <w:t xml:space="preserve"> כאן יצוין כי במועד מתן גזר הדין הוסכם על חילוט מלוא הסכום חלף הפחתה של 1,000 ₪ בקנס הכספי.</w:t>
      </w:r>
    </w:p>
    <w:p w14:paraId="6CBB2D93" w14:textId="77777777" w:rsidR="00B9346E" w:rsidRDefault="00B9346E" w:rsidP="00B9346E">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והורשע, על יסוד הודאה זו, בעבירה בה הואשם כאמור בפסקה 1 דלעיל. בית המשפט נעתר לבקשת הצדדים והורה על עריכת תסקיר שירות המבחן</w:t>
      </w:r>
      <w:r>
        <w:rPr>
          <w:rFonts w:ascii="Tahoma" w:hAnsi="Tahoma" w:hint="cs"/>
          <w:rtl/>
        </w:rPr>
        <w:t>, תוך הבהרה שאין בהחלטה זו משום קביעה כלשהי באשר לעונש הראוי במקרה זה.</w:t>
      </w:r>
    </w:p>
    <w:p w14:paraId="63D04A6D" w14:textId="77777777" w:rsidR="00B9346E" w:rsidRDefault="00B9346E" w:rsidP="00B9346E">
      <w:pPr>
        <w:spacing w:after="120" w:line="360" w:lineRule="auto"/>
        <w:jc w:val="both"/>
        <w:rPr>
          <w:rFonts w:ascii="Tahoma" w:hAnsi="Tahoma"/>
        </w:rPr>
      </w:pPr>
    </w:p>
    <w:p w14:paraId="48C41256" w14:textId="77777777" w:rsidR="00B9346E" w:rsidRPr="00C368B0" w:rsidRDefault="00B9346E" w:rsidP="00B9346E">
      <w:pPr>
        <w:pStyle w:val="a9"/>
        <w:numPr>
          <w:ilvl w:val="0"/>
          <w:numId w:val="1"/>
        </w:numPr>
        <w:spacing w:after="120" w:line="360" w:lineRule="auto"/>
        <w:ind w:left="360"/>
        <w:contextualSpacing w:val="0"/>
        <w:jc w:val="both"/>
        <w:rPr>
          <w:rFonts w:ascii="Tahoma" w:hAnsi="Tahoma"/>
          <w:b/>
          <w:bCs/>
          <w:u w:val="single"/>
          <w:rtl/>
        </w:rPr>
      </w:pPr>
      <w:r w:rsidRPr="00C368B0">
        <w:rPr>
          <w:rFonts w:ascii="Tahoma" w:hAnsi="Tahoma"/>
          <w:b/>
          <w:bCs/>
          <w:u w:val="single"/>
          <w:rtl/>
        </w:rPr>
        <w:t>עיקר תסקירי שירות המבחן:</w:t>
      </w:r>
    </w:p>
    <w:p w14:paraId="250045CF"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תסקיר שירות המבחן (מיום 05.05.2024) מפרט את נסיבותיו האישיות של הנאשם, יליד שנת 1993 (בן 31 שנים כיום). הנאשם נשוי ולו שלושה ילדים קטנים, ומתגורר עם משפחתו בבית אימו ביפו. הנאשם עובד כיום במפעל וכשליח. לנאשם נסיבות אישיות מורכבות</w:t>
      </w:r>
      <w:r>
        <w:rPr>
          <w:rFonts w:ascii="Tahoma" w:hAnsi="Tahoma" w:hint="cs"/>
          <w:rtl/>
        </w:rPr>
        <w:t xml:space="preserve"> מאוד</w:t>
      </w:r>
      <w:r>
        <w:rPr>
          <w:rFonts w:ascii="Tahoma" w:hAnsi="Tahoma"/>
          <w:rtl/>
        </w:rPr>
        <w:t xml:space="preserve">, מימי ילדותו ועד היום, כמפורט </w:t>
      </w:r>
      <w:r>
        <w:rPr>
          <w:rFonts w:ascii="Tahoma" w:hAnsi="Tahoma" w:hint="cs"/>
          <w:rtl/>
        </w:rPr>
        <w:t xml:space="preserve">בהרחבה </w:t>
      </w:r>
      <w:r>
        <w:rPr>
          <w:rFonts w:ascii="Tahoma" w:hAnsi="Tahoma"/>
          <w:rtl/>
        </w:rPr>
        <w:t>בתסקיר. כאן רק יצוין כי מגיל צעיר הסתבך הנאשם עם החוק ואף החל בשימוש אינטנסיבי בסמים מסוכנים.</w:t>
      </w:r>
    </w:p>
    <w:p w14:paraId="1682E481"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הנאשם הציג לשירות המבחן הערכת פסיכיאטר, שלפיה הוא סובל מהפרעה פוסט-טראומטית ללא עדות למצב פסיכוטי, בה הומלץ על טיפול תרופתי. הנאשם מסר כי טרם השתלב בטיפול אך בכוונתו לעשות כן. עוד מסר הנאשם כי הוא תומך באמו ובאחיו מבחינה כלכלית, כאשר אחד מאחיו מאושפז בבית חולים פסיכיאטר</w:t>
      </w:r>
      <w:r>
        <w:rPr>
          <w:rFonts w:ascii="Tahoma" w:hAnsi="Tahoma" w:hint="cs"/>
          <w:rtl/>
        </w:rPr>
        <w:t>י</w:t>
      </w:r>
      <w:r>
        <w:rPr>
          <w:rFonts w:ascii="Tahoma" w:hAnsi="Tahoma"/>
          <w:rtl/>
        </w:rPr>
        <w:t xml:space="preserve"> ואחר מרצה עונש מאסר</w:t>
      </w:r>
      <w:r>
        <w:rPr>
          <w:rFonts w:ascii="Tahoma" w:hAnsi="Tahoma" w:hint="cs"/>
          <w:rtl/>
        </w:rPr>
        <w:t xml:space="preserve"> בפועל</w:t>
      </w:r>
      <w:r>
        <w:rPr>
          <w:rFonts w:ascii="Tahoma" w:hAnsi="Tahoma"/>
          <w:rtl/>
        </w:rPr>
        <w:t>.</w:t>
      </w:r>
    </w:p>
    <w:p w14:paraId="3684D539"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 xml:space="preserve">בהתייחסותו לביצוע העבירה מושא כתב האישום סיפר הנאשם כי באותה התקופה, עקב משבר ביחסיו עם אשתו ועזיבתה (הזמנית) את הבית, החל לצרוך גם סמים מסוג קוקאין; כאשר לדבריו מכר סמים בכדי לממן את שימושו העצמי. הנאשם הביע חרטה על מעשיו ותחושת אכזבה בגין </w:t>
      </w:r>
      <w:r>
        <w:rPr>
          <w:rFonts w:ascii="Tahoma" w:hAnsi="Tahoma" w:hint="cs"/>
          <w:rtl/>
        </w:rPr>
        <w:t>ה</w:t>
      </w:r>
      <w:r>
        <w:rPr>
          <w:rFonts w:ascii="Tahoma" w:hAnsi="Tahoma"/>
          <w:rtl/>
        </w:rPr>
        <w:t xml:space="preserve">שימוש בסמים מסוג קוקאין. עוד מסר הנאשם כי כיום הוא משתמש בסמים מסוג קנבוס בלבד, בהתאם לרישיון </w:t>
      </w:r>
      <w:r>
        <w:rPr>
          <w:rFonts w:ascii="Tahoma" w:hAnsi="Tahoma" w:hint="cs"/>
          <w:rtl/>
        </w:rPr>
        <w:t xml:space="preserve">רפואי </w:t>
      </w:r>
      <w:r>
        <w:rPr>
          <w:rFonts w:ascii="Tahoma" w:hAnsi="Tahoma"/>
          <w:rtl/>
        </w:rPr>
        <w:t>שניתן לו, ובבדיקת שתן שמסר אמנם נמצאו שרידי קנבוס בלבד. שירות המבחן המליץ לנאשם להשתלב בהליך טיפולי, אך הוא שלל נחרצות המלצה זו.</w:t>
      </w:r>
    </w:p>
    <w:p w14:paraId="20F4B391"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lastRenderedPageBreak/>
        <w:t>שירות המבחן בחן את גורמי הסיכון והסיכוי בעניינו של הנאשם. כגורמי סיכון צוין עברו הפלילי של הנאשם, שבעברו אף נשא עונשי מאסר בפועל. עוד יצוין, בהקשר זה, כי שירות המבחן התרשם מהנאשם כבעל דפוסי חשיבה נוקשים, קושי בשמירה על יציבות במישורי חייו השונים ותפיסות מקלות לגבי שימוש בסמים. מנגד, כגורמי סיכוי צוינו מאמצי הנאשם לשמור על התא המשפחתי. בהקשר זה יצוין כי כיום בני הזוג עורכים מאמצים לשיקום יחסיהם, ואשתו של הנאשם מהווה עבורו גורם תמיכה ומציב גבולות. עם זאת, במכלול הנסיבות ונוכח שלילת הנזקקות הטיפולית מצד הנאשם, נמנע שירות המבחן מלבוא בהמלצה שיקומית-טיפולית בעניינו.</w:t>
      </w:r>
    </w:p>
    <w:p w14:paraId="66997C91"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בדיון שנערך לאחר קבלת התסקיר עתר ב"כ הנאשם ליתן לנאשם הזדמנות נוספת בשירות המבחן, בין השאר משום ש</w:t>
      </w:r>
      <w:r>
        <w:rPr>
          <w:rFonts w:ascii="Tahoma" w:hAnsi="Tahoma" w:hint="cs"/>
          <w:rtl/>
        </w:rPr>
        <w:t xml:space="preserve">הנאשם </w:t>
      </w:r>
      <w:r>
        <w:rPr>
          <w:rFonts w:ascii="Tahoma" w:hAnsi="Tahoma"/>
          <w:rtl/>
        </w:rPr>
        <w:t>החל בטיפולים פסיכולוגיים</w:t>
      </w:r>
      <w:r>
        <w:rPr>
          <w:rFonts w:ascii="Tahoma" w:hAnsi="Tahoma" w:hint="cs"/>
          <w:rtl/>
        </w:rPr>
        <w:t xml:space="preserve"> באופן פרטי</w:t>
      </w:r>
      <w:r>
        <w:rPr>
          <w:rFonts w:ascii="Tahoma" w:hAnsi="Tahoma"/>
          <w:rtl/>
        </w:rPr>
        <w:t xml:space="preserve">. אף הנאשם עצמו </w:t>
      </w:r>
      <w:r>
        <w:rPr>
          <w:rFonts w:ascii="Tahoma" w:hAnsi="Tahoma" w:hint="cs"/>
          <w:rtl/>
        </w:rPr>
        <w:t xml:space="preserve">הצהיר בדיון </w:t>
      </w:r>
      <w:r>
        <w:rPr>
          <w:rFonts w:ascii="Tahoma" w:hAnsi="Tahoma"/>
          <w:rtl/>
        </w:rPr>
        <w:t>כי הוא מתחייב לשתף פעולה בכל הליך טיפולי שיוצע לו</w:t>
      </w:r>
      <w:r>
        <w:rPr>
          <w:rFonts w:ascii="Tahoma" w:hAnsi="Tahoma" w:hint="cs"/>
          <w:rtl/>
        </w:rPr>
        <w:t>;</w:t>
      </w:r>
      <w:r>
        <w:rPr>
          <w:rFonts w:ascii="Tahoma" w:hAnsi="Tahoma"/>
          <w:rtl/>
        </w:rPr>
        <w:t xml:space="preserve"> ולפנים משורת הדין גם ב"כ המאשימה </w:t>
      </w:r>
      <w:r>
        <w:rPr>
          <w:rFonts w:ascii="Tahoma" w:hAnsi="Tahoma" w:hint="cs"/>
          <w:rtl/>
        </w:rPr>
        <w:t xml:space="preserve">הסכים </w:t>
      </w:r>
      <w:r>
        <w:rPr>
          <w:rFonts w:ascii="Tahoma" w:hAnsi="Tahoma"/>
          <w:rtl/>
        </w:rPr>
        <w:t>לעתירה זו (</w:t>
      </w:r>
      <w:r>
        <w:rPr>
          <w:rFonts w:ascii="Tahoma" w:hAnsi="Tahoma" w:hint="cs"/>
          <w:rtl/>
        </w:rPr>
        <w:t xml:space="preserve">ר' </w:t>
      </w:r>
      <w:r>
        <w:rPr>
          <w:rFonts w:ascii="Tahoma" w:hAnsi="Tahoma"/>
          <w:rtl/>
        </w:rPr>
        <w:t>בפרוטוקול, עמ' 8). בנסיבות אלה הוריתי על קבלת תסקיר משלים.</w:t>
      </w:r>
    </w:p>
    <w:p w14:paraId="294CBE0A"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 xml:space="preserve">בתסקיר המשלים (מיום 07.07.24) צוין כי הנאשם הציג לפני שירות המבחן רישיון להחזקה ושימוש בקנבוס רפואי, וכן שיתף את שירות המבחן בכנות ובאותנטיות באירועים טראומטיים שחווה בילדותו. אירועים אלה משליכים, </w:t>
      </w:r>
      <w:r>
        <w:rPr>
          <w:rFonts w:ascii="Tahoma" w:hAnsi="Tahoma" w:hint="cs"/>
          <w:rtl/>
        </w:rPr>
        <w:t xml:space="preserve">כך </w:t>
      </w:r>
      <w:r>
        <w:rPr>
          <w:rFonts w:ascii="Tahoma" w:hAnsi="Tahoma"/>
          <w:rtl/>
        </w:rPr>
        <w:t xml:space="preserve">להבנת הנאשם, על בחירותיו והתנהלותו </w:t>
      </w:r>
      <w:r>
        <w:rPr>
          <w:rFonts w:ascii="Tahoma" w:hAnsi="Tahoma" w:hint="cs"/>
          <w:rtl/>
        </w:rPr>
        <w:t xml:space="preserve">אף </w:t>
      </w:r>
      <w:r>
        <w:rPr>
          <w:rFonts w:ascii="Tahoma" w:hAnsi="Tahoma"/>
          <w:rtl/>
        </w:rPr>
        <w:t>כיום, ומהווים גורמי משבר ודחק משמעותיים</w:t>
      </w:r>
      <w:r>
        <w:rPr>
          <w:rFonts w:ascii="Tahoma" w:hAnsi="Tahoma" w:hint="cs"/>
          <w:rtl/>
        </w:rPr>
        <w:t>;</w:t>
      </w:r>
      <w:r>
        <w:rPr>
          <w:rFonts w:ascii="Tahoma" w:hAnsi="Tahoma"/>
          <w:rtl/>
        </w:rPr>
        <w:t xml:space="preserve"> ועל כן הוא יצר קשר עם פסיכולוג קליני והחל</w:t>
      </w:r>
      <w:r>
        <w:rPr>
          <w:rFonts w:ascii="Tahoma" w:hAnsi="Tahoma" w:hint="cs"/>
          <w:rtl/>
        </w:rPr>
        <w:t xml:space="preserve"> </w:t>
      </w:r>
      <w:r>
        <w:rPr>
          <w:rFonts w:ascii="Tahoma" w:hAnsi="Tahoma"/>
          <w:rtl/>
        </w:rPr>
        <w:t xml:space="preserve">בטיפול </w:t>
      </w:r>
      <w:r>
        <w:rPr>
          <w:rFonts w:ascii="Tahoma" w:hAnsi="Tahoma" w:hint="cs"/>
          <w:rtl/>
        </w:rPr>
        <w:t xml:space="preserve">פרטי </w:t>
      </w:r>
      <w:r>
        <w:rPr>
          <w:rFonts w:ascii="Tahoma" w:hAnsi="Tahoma"/>
          <w:rtl/>
        </w:rPr>
        <w:t>פרטני</w:t>
      </w:r>
      <w:r>
        <w:rPr>
          <w:rFonts w:ascii="Tahoma" w:hAnsi="Tahoma" w:hint="cs"/>
          <w:rtl/>
        </w:rPr>
        <w:t xml:space="preserve">, </w:t>
      </w:r>
      <w:r>
        <w:rPr>
          <w:rFonts w:ascii="Tahoma" w:hAnsi="Tahoma"/>
          <w:rtl/>
        </w:rPr>
        <w:t xml:space="preserve">אחת לשבוע. </w:t>
      </w:r>
    </w:p>
    <w:p w14:paraId="002346AD"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 xml:space="preserve">הנאשם מסר לשירות המבחן כי המפגשים הטיפוליים אינם פשוטים עבורו, שכן הם מציפים </w:t>
      </w:r>
      <w:r>
        <w:rPr>
          <w:rFonts w:ascii="Tahoma" w:hAnsi="Tahoma" w:hint="cs"/>
          <w:rtl/>
        </w:rPr>
        <w:t xml:space="preserve">אצלו </w:t>
      </w:r>
      <w:r>
        <w:rPr>
          <w:rFonts w:ascii="Tahoma" w:hAnsi="Tahoma"/>
          <w:rtl/>
        </w:rPr>
        <w:t>רגשות קשים עמם הוא מתקשה להתמודד, אך לצד זאת הביע נכונות להמשיך בהליך מתוך הבנה כי עליו להתמודד עם הקשיים ולא להדחיקם, כפי שעשה בעבר. בשיחה שערך שירות המבחן עם הפסיכולוג המטפל</w:t>
      </w:r>
      <w:r>
        <w:rPr>
          <w:rFonts w:ascii="Tahoma" w:hAnsi="Tahoma" w:hint="cs"/>
          <w:rtl/>
        </w:rPr>
        <w:t>,</w:t>
      </w:r>
      <w:r>
        <w:rPr>
          <w:rFonts w:ascii="Tahoma" w:hAnsi="Tahoma"/>
          <w:rtl/>
        </w:rPr>
        <w:t xml:space="preserve"> מסר הלה כי הנאשם </w:t>
      </w:r>
      <w:r>
        <w:rPr>
          <w:rFonts w:ascii="Tahoma" w:hAnsi="Tahoma" w:hint="cs"/>
          <w:rtl/>
        </w:rPr>
        <w:t xml:space="preserve">דאמנם </w:t>
      </w:r>
      <w:r>
        <w:rPr>
          <w:rFonts w:ascii="Tahoma" w:hAnsi="Tahoma"/>
          <w:rtl/>
        </w:rPr>
        <w:t>משתתף באופן עקבי בטיפול ומגלה מוטיבציה גבוהה לשינוי, הגם שהטיפול מצוי בשלביו הראשוניים.</w:t>
      </w:r>
    </w:p>
    <w:p w14:paraId="645B016F" w14:textId="77777777" w:rsidR="00B9346E" w:rsidRDefault="00B9346E" w:rsidP="00B9346E">
      <w:pPr>
        <w:pStyle w:val="a9"/>
        <w:numPr>
          <w:ilvl w:val="0"/>
          <w:numId w:val="2"/>
        </w:numPr>
        <w:spacing w:after="120" w:line="360" w:lineRule="auto"/>
        <w:ind w:left="360"/>
        <w:contextualSpacing w:val="0"/>
        <w:jc w:val="both"/>
        <w:rPr>
          <w:rFonts w:ascii="Tahoma" w:hAnsi="Tahoma"/>
        </w:rPr>
      </w:pPr>
      <w:r>
        <w:rPr>
          <w:rFonts w:ascii="Tahoma" w:hAnsi="Tahoma"/>
          <w:rtl/>
        </w:rPr>
        <w:t>בנסיבות אלה המליץ שירות המבחן להעדיף, במקרה זה, את הפ</w:t>
      </w:r>
      <w:r>
        <w:rPr>
          <w:rFonts w:ascii="Tahoma" w:hAnsi="Tahoma" w:hint="cs"/>
          <w:rtl/>
        </w:rPr>
        <w:t>ן</w:t>
      </w:r>
      <w:r>
        <w:rPr>
          <w:rFonts w:ascii="Tahoma" w:hAnsi="Tahoma"/>
          <w:rtl/>
        </w:rPr>
        <w:t xml:space="preserve"> השיקומי ולאפשר לנאשם להמשיך להשתתף בהליך הטיפולי אותו החל כאמור. שירות המבחן המליץ אפוא להסתפק בעניינו של הנאשם בענישה מקלה</w:t>
      </w:r>
      <w:r>
        <w:rPr>
          <w:rFonts w:ascii="Tahoma" w:hAnsi="Tahoma" w:hint="cs"/>
          <w:rtl/>
        </w:rPr>
        <w:t>,</w:t>
      </w:r>
      <w:r>
        <w:rPr>
          <w:rFonts w:ascii="Tahoma" w:hAnsi="Tahoma"/>
          <w:rtl/>
        </w:rPr>
        <w:t xml:space="preserve"> שתכלול צו מבחן למשך שנה וצו של"צ בהיקף של 200 שעות. </w:t>
      </w:r>
    </w:p>
    <w:p w14:paraId="1252EE13" w14:textId="77777777" w:rsidR="00B9346E" w:rsidRPr="00107931" w:rsidRDefault="00B9346E" w:rsidP="00B9346E">
      <w:pPr>
        <w:pStyle w:val="a9"/>
        <w:spacing w:before="120" w:after="120" w:line="360" w:lineRule="auto"/>
        <w:ind w:left="360"/>
        <w:contextualSpacing w:val="0"/>
        <w:jc w:val="both"/>
        <w:rPr>
          <w:rFonts w:ascii="Arial (W1)" w:hAnsi="Arial (W1)"/>
          <w:b/>
          <w:bCs/>
          <w:u w:val="single"/>
        </w:rPr>
      </w:pPr>
    </w:p>
    <w:p w14:paraId="1283FC3D" w14:textId="77777777" w:rsidR="00B9346E" w:rsidRDefault="00B9346E" w:rsidP="00B9346E">
      <w:pPr>
        <w:pStyle w:val="a9"/>
        <w:numPr>
          <w:ilvl w:val="0"/>
          <w:numId w:val="1"/>
        </w:numPr>
        <w:spacing w:before="120" w:after="120" w:line="360" w:lineRule="auto"/>
        <w:ind w:left="360"/>
        <w:contextualSpacing w:val="0"/>
        <w:jc w:val="both"/>
        <w:rPr>
          <w:b/>
          <w:bCs/>
          <w:u w:val="single"/>
        </w:rPr>
      </w:pPr>
      <w:r>
        <w:rPr>
          <w:b/>
          <w:bCs/>
          <w:u w:val="single"/>
          <w:rtl/>
        </w:rPr>
        <w:t>עיקר הטיעונים לקביעת העונש:</w:t>
      </w:r>
    </w:p>
    <w:p w14:paraId="6C705F83" w14:textId="77777777" w:rsidR="00B9346E" w:rsidRPr="00107931" w:rsidRDefault="00B9346E" w:rsidP="00B9346E">
      <w:pPr>
        <w:numPr>
          <w:ilvl w:val="0"/>
          <w:numId w:val="2"/>
        </w:numPr>
        <w:spacing w:after="120" w:line="360" w:lineRule="auto"/>
        <w:ind w:left="360"/>
        <w:jc w:val="both"/>
        <w:rPr>
          <w:rFonts w:ascii="David" w:hAnsi="David"/>
        </w:rPr>
      </w:pPr>
      <w:r>
        <w:rPr>
          <w:rtl/>
        </w:rPr>
        <w:t xml:space="preserve">המאשימה הגישה, כראייה לקביעת העונש, את תדפיס המידע הפלילי של הנאשם. כעולה מתדפיס זה לנאשם, </w:t>
      </w:r>
      <w:r w:rsidRPr="00107931">
        <w:rPr>
          <w:rFonts w:ascii="David" w:hAnsi="David"/>
          <w:rtl/>
        </w:rPr>
        <w:t>כאמור יליד שנת 1993, עבר פלילי לא קל, הכולל שתי הרשעות קודמות –</w:t>
      </w:r>
      <w:r w:rsidRPr="00107931">
        <w:rPr>
          <w:rFonts w:ascii="David" w:hAnsi="David" w:hint="cs"/>
          <w:rtl/>
        </w:rPr>
        <w:t xml:space="preserve"> </w:t>
      </w:r>
      <w:r w:rsidRPr="00107931">
        <w:rPr>
          <w:rFonts w:ascii="David" w:hAnsi="David"/>
          <w:rtl/>
        </w:rPr>
        <w:t xml:space="preserve">שבגין שתיהן </w:t>
      </w:r>
      <w:r>
        <w:rPr>
          <w:rFonts w:ascii="David" w:hAnsi="David" w:hint="cs"/>
          <w:rtl/>
        </w:rPr>
        <w:t xml:space="preserve">הוא </w:t>
      </w:r>
      <w:r w:rsidRPr="00107931">
        <w:rPr>
          <w:rFonts w:ascii="David" w:hAnsi="David"/>
          <w:rtl/>
        </w:rPr>
        <w:t xml:space="preserve">נידון לעונשי מאסר בפועל משמעותיים. עם זאת, הרשעתו הקודמת האחרונה של הנאשם היא </w:t>
      </w:r>
      <w:r>
        <w:rPr>
          <w:rFonts w:ascii="David" w:hAnsi="David" w:hint="cs"/>
          <w:rtl/>
        </w:rPr>
        <w:t xml:space="preserve">הרשעה </w:t>
      </w:r>
      <w:r w:rsidRPr="00107931">
        <w:rPr>
          <w:rFonts w:ascii="David" w:hAnsi="David"/>
          <w:rtl/>
        </w:rPr>
        <w:t>משנת</w:t>
      </w:r>
      <w:r>
        <w:rPr>
          <w:rFonts w:ascii="David" w:hAnsi="David"/>
          <w:rtl/>
        </w:rPr>
        <w:t xml:space="preserve"> 2014, דהיינו מלפני למעלה מעשור</w:t>
      </w:r>
      <w:r>
        <w:rPr>
          <w:rFonts w:ascii="David" w:hAnsi="David" w:hint="cs"/>
          <w:rtl/>
        </w:rPr>
        <w:t>, שהתיישנה.</w:t>
      </w:r>
    </w:p>
    <w:p w14:paraId="2E0D1D00" w14:textId="77777777" w:rsidR="00B9346E" w:rsidRDefault="00B9346E" w:rsidP="00B9346E">
      <w:pPr>
        <w:numPr>
          <w:ilvl w:val="0"/>
          <w:numId w:val="2"/>
        </w:numPr>
        <w:spacing w:after="120" w:line="360" w:lineRule="auto"/>
        <w:ind w:left="360"/>
        <w:jc w:val="both"/>
        <w:rPr>
          <w:rFonts w:ascii="David" w:hAnsi="David"/>
        </w:rPr>
      </w:pPr>
      <w:r>
        <w:rPr>
          <w:rFonts w:ascii="David" w:hAnsi="David"/>
          <w:rtl/>
        </w:rPr>
        <w:t xml:space="preserve">בטיעוניה לעונש עמדה ב"כ המאשימה על חומרת העבירה בה הורשע הנאשם ובמיוחד על השפעותיו ההרסניות של סם הקוקאין, כפי שגם הודגשו בפסיקה לא אחת. </w:t>
      </w:r>
      <w:r>
        <w:rPr>
          <w:rFonts w:ascii="Tahoma" w:hAnsi="Tahoma"/>
          <w:rtl/>
        </w:rPr>
        <w:t xml:space="preserve">ב"כ המאשימה הטעימה את </w:t>
      </w:r>
      <w:r>
        <w:rPr>
          <w:rFonts w:ascii="David" w:hAnsi="David"/>
          <w:rtl/>
        </w:rPr>
        <w:t xml:space="preserve">הערכים החברתיים, שנפגעו כתולדה מביצוע העבירה, וביניהם הפגיעה בהגנה על שלום הציבור ועל בריאותו מפני הנזקים הישירים והעקיפים הנגרמים עקב השימוש בסמים מסוכנים. פגיעות אלה הן חמורות יותר כאשר מדובר בסמים קשים כבענייננו, כאשר נזקי הקוקאין </w:t>
      </w:r>
      <w:r>
        <w:rPr>
          <w:rFonts w:ascii="David" w:hAnsi="David" w:hint="cs"/>
          <w:rtl/>
        </w:rPr>
        <w:t xml:space="preserve">הם </w:t>
      </w:r>
      <w:r>
        <w:rPr>
          <w:rFonts w:ascii="David" w:hAnsi="David"/>
          <w:rtl/>
        </w:rPr>
        <w:t>חמורים במיוחד, בין השאר בשל ההתמכרות הנגרמת כתוצאה מהשימוש בו.</w:t>
      </w:r>
    </w:p>
    <w:p w14:paraId="481E5EF1" w14:textId="77777777" w:rsidR="00B9346E" w:rsidRDefault="00B9346E" w:rsidP="00B9346E">
      <w:pPr>
        <w:numPr>
          <w:ilvl w:val="0"/>
          <w:numId w:val="2"/>
        </w:numPr>
        <w:spacing w:after="120" w:line="360" w:lineRule="auto"/>
        <w:ind w:left="360"/>
        <w:jc w:val="both"/>
        <w:rPr>
          <w:rFonts w:ascii="David" w:hAnsi="David"/>
        </w:rPr>
      </w:pPr>
      <w:r>
        <w:rPr>
          <w:rFonts w:ascii="David" w:hAnsi="David"/>
          <w:rtl/>
        </w:rPr>
        <w:t>אשר ל</w:t>
      </w:r>
      <w:r>
        <w:rPr>
          <w:rFonts w:ascii="Tahoma" w:hAnsi="Tahoma"/>
          <w:rtl/>
        </w:rPr>
        <w:t xml:space="preserve">מדיניות הענישה הנהוגה הפנתה ב"כ המאשימה, בין השאר, </w:t>
      </w:r>
      <w:r>
        <w:rPr>
          <w:rFonts w:ascii="David" w:hAnsi="David"/>
          <w:rtl/>
        </w:rPr>
        <w:t>ל</w:t>
      </w:r>
      <w:hyperlink r:id="rId15" w:history="1">
        <w:r w:rsidR="008400AC" w:rsidRPr="008400AC">
          <w:rPr>
            <w:rFonts w:ascii="David" w:hAnsi="David"/>
            <w:color w:val="0000FF"/>
            <w:u w:val="single"/>
            <w:rtl/>
          </w:rPr>
          <w:t>רע"פ 126/15</w:t>
        </w:r>
      </w:hyperlink>
      <w:r w:rsidR="008400AC">
        <w:rPr>
          <w:rFonts w:ascii="David" w:hAnsi="David"/>
          <w:rtl/>
        </w:rPr>
        <w:t xml:space="preserve"> </w:t>
      </w:r>
      <w:r>
        <w:rPr>
          <w:rFonts w:ascii="David" w:hAnsi="David"/>
          <w:b/>
          <w:bCs/>
          <w:rtl/>
        </w:rPr>
        <w:t>חביף נ' מדינת ישראל</w:t>
      </w:r>
      <w:r w:rsidR="008400AC">
        <w:rPr>
          <w:rFonts w:ascii="David" w:hAnsi="David"/>
          <w:rtl/>
        </w:rPr>
        <w:t xml:space="preserve"> </w:t>
      </w:r>
      <w:r>
        <w:rPr>
          <w:rFonts w:ascii="David" w:hAnsi="David"/>
          <w:rtl/>
        </w:rPr>
        <w:t xml:space="preserve">(13.01.2015), שם אושר </w:t>
      </w:r>
      <w:r>
        <w:rPr>
          <w:rFonts w:ascii="Tahoma" w:hAnsi="Tahoma"/>
          <w:rtl/>
        </w:rPr>
        <w:t xml:space="preserve">מתחם עונש הולם שבין 8 חודשי מאסר בפועל לבין 18 חודשי מאסר בפועל, </w:t>
      </w:r>
      <w:r>
        <w:rPr>
          <w:rFonts w:ascii="Tahoma" w:hAnsi="Tahoma" w:hint="cs"/>
          <w:rtl/>
        </w:rPr>
        <w:t>א</w:t>
      </w:r>
      <w:r>
        <w:rPr>
          <w:rFonts w:ascii="Tahoma" w:hAnsi="Tahoma"/>
          <w:rtl/>
        </w:rPr>
        <w:t>ש</w:t>
      </w:r>
      <w:r>
        <w:rPr>
          <w:rFonts w:ascii="Tahoma" w:hAnsi="Tahoma" w:hint="cs"/>
          <w:rtl/>
        </w:rPr>
        <w:t xml:space="preserve">ר </w:t>
      </w:r>
      <w:r>
        <w:rPr>
          <w:rFonts w:ascii="Tahoma" w:hAnsi="Tahoma"/>
          <w:rtl/>
        </w:rPr>
        <w:t>נקבע בגין סחר ב</w:t>
      </w:r>
      <w:r>
        <w:rPr>
          <w:rFonts w:ascii="Tahoma" w:hAnsi="Tahoma" w:hint="cs"/>
          <w:rtl/>
        </w:rPr>
        <w:t xml:space="preserve">סמים מסוכנים מסוג </w:t>
      </w:r>
      <w:r>
        <w:rPr>
          <w:rFonts w:ascii="Tahoma" w:hAnsi="Tahoma"/>
          <w:rtl/>
        </w:rPr>
        <w:t>קוקאין בכמויות קטנות יחסית. עוד הפנתה ב"כ המאשימה לפסיקה נוספת, אך במקרים חמורים מענייננו. מכל מקום, בשורה התחתונה עתרה ב"כ המאשימה לקביעת מתחם עונש הולם</w:t>
      </w:r>
      <w:r>
        <w:rPr>
          <w:rFonts w:ascii="David" w:hAnsi="David"/>
          <w:rtl/>
        </w:rPr>
        <w:t xml:space="preserve"> כפי שנקבע בעניין </w:t>
      </w:r>
      <w:r>
        <w:rPr>
          <w:rFonts w:ascii="David" w:hAnsi="David"/>
          <w:b/>
          <w:bCs/>
          <w:rtl/>
        </w:rPr>
        <w:t>חביף</w:t>
      </w:r>
      <w:r>
        <w:rPr>
          <w:rFonts w:ascii="David" w:hAnsi="David"/>
          <w:rtl/>
        </w:rPr>
        <w:t xml:space="preserve"> הנ"ל.</w:t>
      </w:r>
    </w:p>
    <w:p w14:paraId="502D2A80" w14:textId="77777777" w:rsidR="00B9346E" w:rsidRDefault="00B9346E" w:rsidP="00B9346E">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מתחם העונש ההולם ציינה ב"כ המאשימה כי המאשימה לקחה בחשבון את היבטי השיקום במסגרת הסדר הטיעון – בו כזכור הגבילה עצמה לטיעון לשישה חודשי מאסר בפועל, בדרך של עבודות שירות – ונוכח הנסיבות המקלות, הכוללות את ההודאה ונטילת האחריות, כמו גם העובדה שהנאשם לא פתח תיקים חדשים, עתרה להשתת ענישה כפי עמדת המאשימה ב</w:t>
      </w:r>
      <w:r>
        <w:rPr>
          <w:rFonts w:ascii="Tahoma" w:hAnsi="Tahoma" w:hint="cs"/>
          <w:rtl/>
        </w:rPr>
        <w:t xml:space="preserve">עת </w:t>
      </w:r>
      <w:r>
        <w:rPr>
          <w:rFonts w:ascii="Tahoma" w:hAnsi="Tahoma"/>
          <w:rtl/>
        </w:rPr>
        <w:t>הצגת הסדר הטיעון.</w:t>
      </w:r>
    </w:p>
    <w:p w14:paraId="6FC4605E" w14:textId="77777777" w:rsidR="00B9346E" w:rsidRDefault="00B9346E" w:rsidP="00B9346E">
      <w:pPr>
        <w:numPr>
          <w:ilvl w:val="0"/>
          <w:numId w:val="2"/>
        </w:numPr>
        <w:spacing w:after="120" w:line="360" w:lineRule="auto"/>
        <w:ind w:left="360"/>
        <w:jc w:val="both"/>
        <w:rPr>
          <w:rFonts w:ascii="Tahoma" w:hAnsi="Tahoma"/>
        </w:rPr>
      </w:pPr>
      <w:r>
        <w:rPr>
          <w:rFonts w:ascii="Tahoma" w:hAnsi="Tahoma"/>
          <w:rtl/>
        </w:rPr>
        <w:t>ב"כ הנאשם, מצידו, הרחיב בטיעוניו אודות נסיבות חייו הקשות של הנאשם, בין השאר כהשתקפותן בתסקירי שירות המבחן. הסניגור הדגיש במיוחד את הנסיבות הקשות של משפחת מוצאו של הנאשם, ולעניין נסיבות ביצוע העבירה הדגיש את המשבר בו היה הנאשם נתון באותה העת. עוד הטעים הסניגור כי מדובר, במקרה זה, במכירת סמים בכמות מזערית, תמורת 200 ₪.</w:t>
      </w:r>
    </w:p>
    <w:p w14:paraId="5BB1D741" w14:textId="77777777" w:rsidR="00B9346E" w:rsidRDefault="00B9346E" w:rsidP="00B9346E">
      <w:pPr>
        <w:numPr>
          <w:ilvl w:val="0"/>
          <w:numId w:val="2"/>
        </w:numPr>
        <w:spacing w:after="120" w:line="360" w:lineRule="auto"/>
        <w:ind w:left="360"/>
        <w:jc w:val="both"/>
        <w:rPr>
          <w:rFonts w:ascii="Tahoma" w:hAnsi="Tahoma"/>
        </w:rPr>
      </w:pPr>
      <w:r>
        <w:rPr>
          <w:rFonts w:ascii="Tahoma" w:hAnsi="Tahoma"/>
          <w:rtl/>
        </w:rPr>
        <w:t>ב"כ הנאשם הוסיף ו</w:t>
      </w:r>
      <w:r>
        <w:rPr>
          <w:rFonts w:ascii="Tahoma" w:hAnsi="Tahoma" w:hint="cs"/>
          <w:rtl/>
        </w:rPr>
        <w:t xml:space="preserve">טען </w:t>
      </w:r>
      <w:r>
        <w:rPr>
          <w:rFonts w:ascii="Tahoma" w:hAnsi="Tahoma"/>
          <w:rtl/>
        </w:rPr>
        <w:t xml:space="preserve">כי הנאשם השתלב בעבודה יציבה וקבועה ועזב את עולם הפשע, כאשר </w:t>
      </w:r>
      <w:r>
        <w:rPr>
          <w:rFonts w:ascii="Tahoma" w:hAnsi="Tahoma" w:hint="cs"/>
          <w:rtl/>
        </w:rPr>
        <w:t xml:space="preserve">לשיטתו </w:t>
      </w:r>
      <w:r>
        <w:rPr>
          <w:rFonts w:ascii="Tahoma" w:hAnsi="Tahoma"/>
          <w:rtl/>
        </w:rPr>
        <w:t xml:space="preserve">הטלת עונש של מאסר </w:t>
      </w:r>
      <w:r>
        <w:rPr>
          <w:rFonts w:ascii="Tahoma" w:hAnsi="Tahoma" w:hint="cs"/>
          <w:rtl/>
        </w:rPr>
        <w:t xml:space="preserve">בפועל </w:t>
      </w:r>
      <w:r>
        <w:rPr>
          <w:rFonts w:ascii="Tahoma" w:hAnsi="Tahoma"/>
          <w:rtl/>
        </w:rPr>
        <w:t>על</w:t>
      </w:r>
      <w:r>
        <w:rPr>
          <w:rFonts w:ascii="Tahoma" w:hAnsi="Tahoma" w:hint="cs"/>
          <w:rtl/>
        </w:rPr>
        <w:t xml:space="preserve"> הנאשם</w:t>
      </w:r>
      <w:r>
        <w:rPr>
          <w:rFonts w:ascii="Tahoma" w:hAnsi="Tahoma"/>
          <w:rtl/>
        </w:rPr>
        <w:t>, גם בעבודות שירות, תפגע בהליכי שיקומו. בסיכומו של דבר, ובפרט נוכח ההליך הטיפולי בו השתלב הנאשם, עתר הסניגור לחריגה לכף קולה ממתחם העונש ההולם, מטעמי שיקום, ו</w:t>
      </w:r>
      <w:r>
        <w:rPr>
          <w:rFonts w:ascii="Tahoma" w:hAnsi="Tahoma" w:hint="cs"/>
          <w:rtl/>
        </w:rPr>
        <w:t>ל</w:t>
      </w:r>
      <w:r>
        <w:rPr>
          <w:rFonts w:ascii="Tahoma" w:hAnsi="Tahoma"/>
          <w:rtl/>
        </w:rPr>
        <w:t xml:space="preserve">הסתפקות בענישה </w:t>
      </w:r>
      <w:r>
        <w:rPr>
          <w:rFonts w:ascii="Tahoma" w:hAnsi="Tahoma" w:hint="cs"/>
          <w:rtl/>
        </w:rPr>
        <w:t xml:space="preserve">שיקומית </w:t>
      </w:r>
      <w:r>
        <w:rPr>
          <w:rFonts w:ascii="Tahoma" w:hAnsi="Tahoma"/>
          <w:rtl/>
        </w:rPr>
        <w:t xml:space="preserve">מקלה </w:t>
      </w:r>
      <w:r>
        <w:rPr>
          <w:rFonts w:ascii="Tahoma" w:hAnsi="Tahoma" w:hint="cs"/>
          <w:rtl/>
        </w:rPr>
        <w:t>כ</w:t>
      </w:r>
      <w:r>
        <w:rPr>
          <w:rFonts w:ascii="Tahoma" w:hAnsi="Tahoma"/>
          <w:rtl/>
        </w:rPr>
        <w:t>המלצת שירות המבחן בתסקיר המשלים.</w:t>
      </w:r>
    </w:p>
    <w:p w14:paraId="509BC209" w14:textId="77777777" w:rsidR="00B9346E" w:rsidRDefault="00B9346E" w:rsidP="00B9346E">
      <w:pPr>
        <w:numPr>
          <w:ilvl w:val="0"/>
          <w:numId w:val="2"/>
        </w:numPr>
        <w:spacing w:after="120" w:line="360" w:lineRule="auto"/>
        <w:ind w:left="360"/>
        <w:jc w:val="both"/>
        <w:rPr>
          <w:rFonts w:ascii="Tahoma" w:hAnsi="Tahoma"/>
        </w:rPr>
      </w:pPr>
      <w:r>
        <w:rPr>
          <w:rFonts w:ascii="Tahoma" w:hAnsi="Tahoma"/>
          <w:rtl/>
        </w:rPr>
        <w:t>לבסוף הנאשם, בדברו האחרון לעונש, הסתפק בדברי הסניגור.</w:t>
      </w:r>
    </w:p>
    <w:p w14:paraId="026FC2EB" w14:textId="77777777" w:rsidR="00B9346E" w:rsidRDefault="00B9346E" w:rsidP="00B9346E">
      <w:pPr>
        <w:spacing w:after="120" w:line="360" w:lineRule="auto"/>
        <w:jc w:val="both"/>
        <w:rPr>
          <w:rFonts w:ascii="Tahoma" w:hAnsi="Tahoma"/>
        </w:rPr>
      </w:pPr>
    </w:p>
    <w:p w14:paraId="14955736" w14:textId="77777777" w:rsidR="00B9346E" w:rsidRDefault="00B9346E" w:rsidP="00B9346E">
      <w:pPr>
        <w:pStyle w:val="a9"/>
        <w:numPr>
          <w:ilvl w:val="0"/>
          <w:numId w:val="1"/>
        </w:numPr>
        <w:spacing w:before="120" w:after="120" w:line="360" w:lineRule="auto"/>
        <w:ind w:left="360"/>
        <w:contextualSpacing w:val="0"/>
        <w:jc w:val="both"/>
        <w:rPr>
          <w:rFonts w:ascii="Arial (W1)" w:hAnsi="Arial (W1)"/>
          <w:b/>
          <w:bCs/>
          <w:u w:val="single"/>
        </w:rPr>
      </w:pPr>
      <w:r>
        <w:rPr>
          <w:b/>
          <w:bCs/>
          <w:u w:val="single"/>
          <w:rtl/>
        </w:rPr>
        <w:t>קביעת מתחם העונש ההולם:</w:t>
      </w:r>
    </w:p>
    <w:p w14:paraId="403F820B" w14:textId="77777777" w:rsidR="00B9346E" w:rsidRDefault="00B9346E" w:rsidP="00B9346E">
      <w:pPr>
        <w:numPr>
          <w:ilvl w:val="0"/>
          <w:numId w:val="2"/>
        </w:numPr>
        <w:spacing w:after="120" w:line="360" w:lineRule="auto"/>
        <w:ind w:left="360"/>
        <w:jc w:val="both"/>
        <w:rPr>
          <w:rFonts w:ascii="David" w:hAnsi="David"/>
        </w:rPr>
      </w:pPr>
      <w:r>
        <w:rPr>
          <w:rFonts w:ascii="David" w:hAnsi="David"/>
          <w:rtl/>
        </w:rPr>
        <w:t xml:space="preserve">בהתאם להוראות </w:t>
      </w:r>
      <w:hyperlink r:id="rId16" w:history="1">
        <w:r w:rsidR="008400AC" w:rsidRPr="008400AC">
          <w:rPr>
            <w:rFonts w:ascii="David" w:hAnsi="David"/>
            <w:color w:val="0000FF"/>
            <w:u w:val="single"/>
            <w:rtl/>
          </w:rPr>
          <w:t>חוק העונשין</w:t>
        </w:r>
      </w:hyperlink>
      <w:r>
        <w:rPr>
          <w:rFonts w:ascii="David" w:hAnsi="David"/>
          <w:rtl/>
        </w:rPr>
        <w:t xml:space="preserve">, תשל"ז-1977 (להלן – חוק העונשין), </w:t>
      </w:r>
      <w:r>
        <w:rPr>
          <w:rFonts w:ascii="Tahoma" w:hAnsi="Tahoma"/>
          <w:rtl/>
        </w:rPr>
        <w:t>בעת גזירת עונשו של נאשם על בית המשפט לקבוע, תחילה, את מתחם העונש ההולם לאירוע שבגינו הורשע הנאשם, וזאת בהתאם לעיקרון ההלימה. בהקשר זה יתחשב בית המשפט, בין השאר, בערכים החברתיים שנפגעו מביצוע העבירה ובמידת הפגיעה בהם, במדיניות הענישה הנהוגה ובנסיבות הקשורות בביצוע העבירה</w:t>
      </w:r>
      <w:r>
        <w:rPr>
          <w:rFonts w:ascii="David" w:hAnsi="David"/>
          <w:rtl/>
        </w:rPr>
        <w:t>.</w:t>
      </w:r>
    </w:p>
    <w:p w14:paraId="5F6CBF27" w14:textId="77777777" w:rsidR="00B9346E" w:rsidRDefault="00B9346E" w:rsidP="00B9346E">
      <w:pPr>
        <w:numPr>
          <w:ilvl w:val="0"/>
          <w:numId w:val="2"/>
        </w:numPr>
        <w:spacing w:after="120" w:line="360" w:lineRule="auto"/>
        <w:ind w:left="360"/>
        <w:jc w:val="both"/>
        <w:rPr>
          <w:rFonts w:ascii="David" w:hAnsi="David"/>
          <w:rtl/>
        </w:rPr>
      </w:pPr>
      <w:r>
        <w:rPr>
          <w:rFonts w:ascii="Tahoma" w:hAnsi="Tahoma"/>
          <w:rtl/>
        </w:rPr>
        <w:t xml:space="preserve">לעניין הערכים </w:t>
      </w:r>
      <w:r>
        <w:rPr>
          <w:rFonts w:ascii="David" w:hAnsi="David"/>
          <w:rtl/>
        </w:rPr>
        <w:t xml:space="preserve">החברתיים שנפגעו כתולדה מביצוע העבירה, מעבר לאמור בטיעון ב"כ המאשימה יש להדגיש את חומרת עבירות הסמים הנובעת בשל היותן גורם מחולל פשיעה, דהיינו: גורם העומד ברקע ביצוען של עבירות רבות אחרות. אין תמה, אפוא, שכאשר מדובר בעבירות סמים – ובפרט </w:t>
      </w:r>
      <w:r>
        <w:rPr>
          <w:rFonts w:ascii="David" w:hAnsi="David" w:hint="cs"/>
          <w:rtl/>
        </w:rPr>
        <w:t xml:space="preserve">כאשר מדובר </w:t>
      </w:r>
      <w:r>
        <w:rPr>
          <w:rFonts w:ascii="David" w:hAnsi="David"/>
          <w:rtl/>
        </w:rPr>
        <w:t>בסחר בסמים מסוכנים קשים – מדיניות הענישה הנהוגה מדגישה את הצורך בהרתעה וקובעת מתחמי עונש הולמים שתחילתם במאסר בפועל, ולו לנשיאה בדרך של עבודות שירות.</w:t>
      </w:r>
    </w:p>
    <w:p w14:paraId="69EE2F3B" w14:textId="77777777" w:rsidR="00B9346E" w:rsidRDefault="00B9346E" w:rsidP="00B9346E">
      <w:pPr>
        <w:numPr>
          <w:ilvl w:val="0"/>
          <w:numId w:val="2"/>
        </w:numPr>
        <w:spacing w:after="120" w:line="360" w:lineRule="auto"/>
        <w:ind w:left="360"/>
        <w:jc w:val="both"/>
        <w:rPr>
          <w:rFonts w:ascii="David" w:hAnsi="David"/>
        </w:rPr>
      </w:pPr>
      <w:r>
        <w:rPr>
          <w:rFonts w:ascii="David" w:hAnsi="David"/>
          <w:rtl/>
        </w:rPr>
        <w:t xml:space="preserve">מתחם העונש ההולם לו עתרה ב"כ המאשימה אכן משקף את מדיניות הענישה הנהוגה כאשר מדובר בסחר בסמים מסוג קוקאין בכמויות קטנות, והלכה למעשה גם הסניגור לא חלק על כך בטיעוניו. אכן, ניתן למצוא פסיקה מקלה יותר (ר' למשל </w:t>
      </w:r>
      <w:hyperlink r:id="rId17" w:history="1">
        <w:r w:rsidR="008400AC" w:rsidRPr="008400AC">
          <w:rPr>
            <w:rFonts w:ascii="David" w:hAnsi="David"/>
            <w:color w:val="0000FF"/>
            <w:u w:val="single"/>
            <w:rtl/>
          </w:rPr>
          <w:t>ת"פ (שלום י-ם) 16143-03-18</w:t>
        </w:r>
      </w:hyperlink>
      <w:r>
        <w:rPr>
          <w:rFonts w:ascii="David" w:hAnsi="David"/>
          <w:rtl/>
        </w:rPr>
        <w:t xml:space="preserve"> </w:t>
      </w:r>
      <w:r>
        <w:rPr>
          <w:rFonts w:ascii="David" w:hAnsi="David"/>
          <w:b/>
          <w:bCs/>
          <w:rtl/>
        </w:rPr>
        <w:t>מדינת ישראל נ' ג'אבר</w:t>
      </w:r>
      <w:r>
        <w:rPr>
          <w:rFonts w:ascii="David" w:hAnsi="David"/>
          <w:rtl/>
        </w:rPr>
        <w:t xml:space="preserve"> (20.11.2019)</w:t>
      </w:r>
      <w:r>
        <w:rPr>
          <w:rFonts w:ascii="David" w:hAnsi="David" w:hint="cs"/>
          <w:rtl/>
        </w:rPr>
        <w:t>,</w:t>
      </w:r>
      <w:r>
        <w:rPr>
          <w:rFonts w:ascii="David" w:hAnsi="David"/>
          <w:rtl/>
        </w:rPr>
        <w:t xml:space="preserve"> והאסמכתאות שם). עם זאת, כאמור, ככלל הפסיקה חוזרת וקובעת מתחמים כפי הקביעה בעניין </w:t>
      </w:r>
      <w:r>
        <w:rPr>
          <w:rFonts w:ascii="David" w:hAnsi="David"/>
          <w:b/>
          <w:bCs/>
          <w:rtl/>
        </w:rPr>
        <w:t>חביף</w:t>
      </w:r>
      <w:r>
        <w:rPr>
          <w:rFonts w:ascii="David" w:hAnsi="David"/>
          <w:rtl/>
        </w:rPr>
        <w:t>, ואין מקום לסטות מכך במקרה זה.</w:t>
      </w:r>
    </w:p>
    <w:p w14:paraId="7196D222" w14:textId="77777777" w:rsidR="00B9346E" w:rsidRDefault="00B9346E" w:rsidP="00B9346E">
      <w:pPr>
        <w:numPr>
          <w:ilvl w:val="0"/>
          <w:numId w:val="2"/>
        </w:numPr>
        <w:spacing w:after="120" w:line="360" w:lineRule="auto"/>
        <w:ind w:left="360"/>
        <w:jc w:val="both"/>
        <w:rPr>
          <w:rFonts w:ascii="Tahoma" w:hAnsi="Tahoma"/>
        </w:rPr>
      </w:pPr>
      <w:r>
        <w:rPr>
          <w:rtl/>
        </w:rPr>
        <w:t>אני קובע אפוא את מתחם העונש ההולם, במקרה זה, בין 8 חודשי מאסר בפועל, לנשיאה בדרך של עבודות שירות, לבין 18 חודשי מאסר בפועל.</w:t>
      </w:r>
    </w:p>
    <w:p w14:paraId="42084B2D" w14:textId="77777777" w:rsidR="00B9346E" w:rsidRDefault="00B9346E" w:rsidP="00B9346E">
      <w:pPr>
        <w:spacing w:after="120" w:line="360" w:lineRule="auto"/>
        <w:jc w:val="both"/>
        <w:rPr>
          <w:rFonts w:ascii="Tahoma" w:hAnsi="Tahoma"/>
        </w:rPr>
      </w:pPr>
    </w:p>
    <w:p w14:paraId="5338DBAE" w14:textId="77777777" w:rsidR="00B9346E" w:rsidRDefault="00B9346E" w:rsidP="00B9346E">
      <w:pPr>
        <w:pStyle w:val="a9"/>
        <w:numPr>
          <w:ilvl w:val="0"/>
          <w:numId w:val="1"/>
        </w:numPr>
        <w:spacing w:after="120" w:line="360" w:lineRule="auto"/>
        <w:ind w:left="360"/>
        <w:contextualSpacing w:val="0"/>
        <w:jc w:val="both"/>
        <w:rPr>
          <w:rFonts w:ascii="Tahoma" w:hAnsi="Tahoma"/>
          <w:b/>
          <w:bCs/>
          <w:u w:val="single"/>
          <w:rtl/>
        </w:rPr>
      </w:pPr>
      <w:r>
        <w:rPr>
          <w:b/>
          <w:bCs/>
          <w:u w:val="single"/>
          <w:rtl/>
        </w:rPr>
        <w:t>גזירת עונשו של הנאשם בתוך מתחם העונש ההולם והאפשרות לחריגה הימנו:</w:t>
      </w:r>
    </w:p>
    <w:p w14:paraId="4750965A" w14:textId="77777777" w:rsidR="00B9346E" w:rsidRDefault="00B9346E" w:rsidP="00B9346E">
      <w:pPr>
        <w:numPr>
          <w:ilvl w:val="0"/>
          <w:numId w:val="2"/>
        </w:numPr>
        <w:spacing w:after="120" w:line="360" w:lineRule="auto"/>
        <w:ind w:left="360"/>
        <w:jc w:val="both"/>
        <w:rPr>
          <w:rFonts w:ascii="Tahoma" w:hAnsi="Tahoma"/>
          <w:rtl/>
        </w:rPr>
      </w:pPr>
      <w:r>
        <w:rPr>
          <w:rtl/>
        </w:rPr>
        <w:t>לאחר קביעת מתחם העונש ההולם על בית המשפט לגזור את עונשו של הנאשם בתוך מתחם זה תוך התחשבות בנסיבות שאינן קשורות בביצוע העבירה.</w:t>
      </w:r>
      <w:r>
        <w:rPr>
          <w:rFonts w:ascii="Tahoma" w:hAnsi="Tahoma"/>
          <w:rtl/>
        </w:rPr>
        <w:t xml:space="preserve"> </w:t>
      </w:r>
      <w:r>
        <w:rPr>
          <w:rtl/>
        </w:rPr>
        <w:t xml:space="preserve">עם זאת, לבית המשפט סמכות לחרוג לכף קולה ממתחם העונש ההולם, משיקולי שיקום, בהתאם להוראות </w:t>
      </w:r>
      <w:hyperlink r:id="rId18" w:history="1">
        <w:r w:rsidR="00E005DA" w:rsidRPr="00E005DA">
          <w:rPr>
            <w:rStyle w:val="Hyperlink"/>
            <w:color w:val="0000FF"/>
            <w:rtl/>
          </w:rPr>
          <w:t>סעיף 40ד</w:t>
        </w:r>
      </w:hyperlink>
      <w:r>
        <w:rPr>
          <w:rtl/>
        </w:rPr>
        <w:t xml:space="preserve"> ל</w:t>
      </w:r>
      <w:hyperlink r:id="rId19" w:history="1">
        <w:r w:rsidR="008400AC" w:rsidRPr="008400AC">
          <w:rPr>
            <w:color w:val="0000FF"/>
            <w:u w:val="single"/>
            <w:rtl/>
          </w:rPr>
          <w:t>חוק העונשין</w:t>
        </w:r>
      </w:hyperlink>
      <w:r>
        <w:rPr>
          <w:rtl/>
        </w:rPr>
        <w:t>. לפי הוראות סעיף זה, אם מצא בית המשפט כי הנאשם השתקם או כי יש סיכוי של ממש שישתקם, רשאי הוא לחרוג לכף קולה ממתחם העונש ההולם ולקבוע את עונשו של הנאשם לפי שיקולי שיקומו.</w:t>
      </w:r>
    </w:p>
    <w:p w14:paraId="79A4C2FF" w14:textId="77777777" w:rsidR="00B9346E" w:rsidRDefault="00B9346E" w:rsidP="00B9346E">
      <w:pPr>
        <w:numPr>
          <w:ilvl w:val="0"/>
          <w:numId w:val="2"/>
        </w:numPr>
        <w:spacing w:after="120" w:line="360" w:lineRule="auto"/>
        <w:ind w:left="360"/>
        <w:jc w:val="both"/>
        <w:rPr>
          <w:rFonts w:ascii="Tahoma" w:hAnsi="Tahoma"/>
          <w:rtl/>
        </w:rPr>
      </w:pPr>
      <w:r>
        <w:rPr>
          <w:rtl/>
        </w:rPr>
        <w:t>עניינו של הנאשם דנא הוא מורכב. הנאשם ביצע עבירה חמורה</w:t>
      </w:r>
      <w:r>
        <w:rPr>
          <w:rFonts w:hint="cs"/>
          <w:rtl/>
        </w:rPr>
        <w:t>,</w:t>
      </w:r>
      <w:r>
        <w:rPr>
          <w:rtl/>
        </w:rPr>
        <w:t xml:space="preserve"> של סחר בסמים קשים מסוג קוקאין, הגם שמדובר במכירה אחת של כמות </w:t>
      </w:r>
      <w:r>
        <w:rPr>
          <w:rFonts w:hint="cs"/>
          <w:rtl/>
        </w:rPr>
        <w:t xml:space="preserve">סמים </w:t>
      </w:r>
      <w:r>
        <w:rPr>
          <w:rtl/>
        </w:rPr>
        <w:t>מזערית. לנאשם אף עבר פלילי מכביד, הגם שישן</w:t>
      </w:r>
      <w:r>
        <w:rPr>
          <w:rFonts w:hint="cs"/>
          <w:rtl/>
        </w:rPr>
        <w:t xml:space="preserve"> מאוד ולמעשה התיישן</w:t>
      </w:r>
      <w:r>
        <w:rPr>
          <w:rtl/>
        </w:rPr>
        <w:t xml:space="preserve">. עם זאת, למרות הקשיים הרבים עמם מתמודד הנאשם, בין השאר נוכח התנאים המורכבים מאוד בהם </w:t>
      </w:r>
      <w:r>
        <w:rPr>
          <w:rFonts w:hint="cs"/>
          <w:rtl/>
        </w:rPr>
        <w:t xml:space="preserve">הוא </w:t>
      </w:r>
      <w:r>
        <w:rPr>
          <w:rtl/>
        </w:rPr>
        <w:t xml:space="preserve">גדל – כמפורט בתסקירי שירות המבחן – הוא השכיל להשתלב בהליך טיפולי </w:t>
      </w:r>
      <w:r>
        <w:rPr>
          <w:rFonts w:hint="cs"/>
          <w:rtl/>
        </w:rPr>
        <w:t xml:space="preserve">פרטי </w:t>
      </w:r>
      <w:r>
        <w:rPr>
          <w:rtl/>
        </w:rPr>
        <w:t>משמעותי. הנאשם אף השתלב בעבודה</w:t>
      </w:r>
      <w:r>
        <w:rPr>
          <w:rFonts w:hint="cs"/>
          <w:rtl/>
        </w:rPr>
        <w:t xml:space="preserve"> יציבה</w:t>
      </w:r>
      <w:r>
        <w:rPr>
          <w:rtl/>
        </w:rPr>
        <w:t xml:space="preserve">, </w:t>
      </w:r>
      <w:r>
        <w:rPr>
          <w:rFonts w:hint="cs"/>
          <w:rtl/>
        </w:rPr>
        <w:t xml:space="preserve">הוא </w:t>
      </w:r>
      <w:r>
        <w:rPr>
          <w:rtl/>
        </w:rPr>
        <w:t xml:space="preserve">מנסה לשקם את יחסיו עם אשתו ונהנה מתמיכה משפחתית. </w:t>
      </w:r>
    </w:p>
    <w:p w14:paraId="40D9BBB4" w14:textId="77777777" w:rsidR="00B9346E" w:rsidRDefault="00B9346E" w:rsidP="00B9346E">
      <w:pPr>
        <w:numPr>
          <w:ilvl w:val="0"/>
          <w:numId w:val="2"/>
        </w:numPr>
        <w:spacing w:after="120" w:line="360" w:lineRule="auto"/>
        <w:ind w:left="360"/>
        <w:jc w:val="both"/>
        <w:rPr>
          <w:rFonts w:ascii="Tahoma" w:hAnsi="Tahoma"/>
        </w:rPr>
      </w:pPr>
      <w:r>
        <w:rPr>
          <w:rtl/>
        </w:rPr>
        <w:t xml:space="preserve">עוד יש לציין את העובדה </w:t>
      </w:r>
      <w:r>
        <w:rPr>
          <w:rFonts w:hint="cs"/>
          <w:rtl/>
        </w:rPr>
        <w:t xml:space="preserve">כי </w:t>
      </w:r>
      <w:r>
        <w:rPr>
          <w:rtl/>
        </w:rPr>
        <w:t xml:space="preserve">נראה </w:t>
      </w:r>
      <w:r>
        <w:rPr>
          <w:rFonts w:hint="cs"/>
          <w:rtl/>
        </w:rPr>
        <w:t>ש</w:t>
      </w:r>
      <w:r>
        <w:rPr>
          <w:rtl/>
        </w:rPr>
        <w:t xml:space="preserve">הנאשם </w:t>
      </w:r>
      <w:r>
        <w:rPr>
          <w:rFonts w:hint="cs"/>
          <w:rtl/>
        </w:rPr>
        <w:t>מ</w:t>
      </w:r>
      <w:r>
        <w:rPr>
          <w:rtl/>
        </w:rPr>
        <w:t>תחיל להביא עצמו לידי שינוי, ובמיוחד את המוטיבציה הגבוהה לשיקום שהוא מבטא. בנסיבות אלה – ו</w:t>
      </w:r>
      <w:r>
        <w:rPr>
          <w:rFonts w:hint="cs"/>
          <w:rtl/>
        </w:rPr>
        <w:t xml:space="preserve">גם </w:t>
      </w:r>
      <w:r>
        <w:rPr>
          <w:rtl/>
        </w:rPr>
        <w:t xml:space="preserve">בהתחשב בהמלצת שירות המבחן – </w:t>
      </w:r>
      <w:r>
        <w:rPr>
          <w:rFonts w:ascii="Tahoma" w:hAnsi="Tahoma"/>
          <w:rtl/>
        </w:rPr>
        <w:t xml:space="preserve">ראוי </w:t>
      </w:r>
      <w:r>
        <w:rPr>
          <w:rFonts w:ascii="Tahoma" w:hAnsi="Tahoma" w:hint="cs"/>
          <w:rtl/>
        </w:rPr>
        <w:t>במקרה זה לחרוג לכף קולה ממתחם העונש ההולם ו</w:t>
      </w:r>
      <w:r>
        <w:rPr>
          <w:rFonts w:ascii="Tahoma" w:hAnsi="Tahoma"/>
          <w:rtl/>
        </w:rPr>
        <w:t>לגזור את עונשו של הנאשם לפי שיקולי שיקומו, כפי ש</w:t>
      </w:r>
      <w:r>
        <w:rPr>
          <w:rFonts w:ascii="Tahoma" w:hAnsi="Tahoma" w:hint="cs"/>
          <w:rtl/>
        </w:rPr>
        <w:t xml:space="preserve">למעשה </w:t>
      </w:r>
      <w:r>
        <w:rPr>
          <w:rFonts w:ascii="Tahoma" w:hAnsi="Tahoma"/>
          <w:rtl/>
        </w:rPr>
        <w:t>גם המאשימה מסכימה.</w:t>
      </w:r>
    </w:p>
    <w:p w14:paraId="7C02C706" w14:textId="77777777" w:rsidR="00B9346E" w:rsidRDefault="00B9346E" w:rsidP="00B9346E">
      <w:pPr>
        <w:numPr>
          <w:ilvl w:val="0"/>
          <w:numId w:val="2"/>
        </w:numPr>
        <w:spacing w:after="120" w:line="360" w:lineRule="auto"/>
        <w:ind w:left="360"/>
        <w:jc w:val="both"/>
        <w:rPr>
          <w:rFonts w:ascii="Tahoma" w:hAnsi="Tahoma"/>
        </w:rPr>
      </w:pPr>
      <w:r>
        <w:rPr>
          <w:rFonts w:ascii="Tahoma" w:hAnsi="Tahoma"/>
          <w:rtl/>
        </w:rPr>
        <w:t xml:space="preserve">עם זאת, נוכח חומרת העבירה ומכלול הנסיבות, כאשר </w:t>
      </w:r>
      <w:r>
        <w:rPr>
          <w:rFonts w:ascii="Tahoma" w:hAnsi="Tahoma" w:hint="cs"/>
          <w:rtl/>
        </w:rPr>
        <w:t xml:space="preserve">כאמור </w:t>
      </w:r>
      <w:r>
        <w:rPr>
          <w:rFonts w:ascii="Tahoma" w:hAnsi="Tahoma"/>
          <w:rtl/>
        </w:rPr>
        <w:t>מדובר בסחר בסמים מסוכנים מסוג קוקאין, אין מקום להימנע כליל מהטלת עונש של מאסר בעבודות שירות</w:t>
      </w:r>
      <w:r>
        <w:rPr>
          <w:rFonts w:ascii="Tahoma" w:hAnsi="Tahoma" w:hint="cs"/>
          <w:rtl/>
        </w:rPr>
        <w:t>. זאת, גם בהתחשב בכך שב</w:t>
      </w:r>
      <w:r>
        <w:rPr>
          <w:rFonts w:ascii="Tahoma" w:hAnsi="Tahoma"/>
          <w:rtl/>
        </w:rPr>
        <w:t>הטלת עונש כאמור לתקופה קצרה אין כדי לפגוע ממשית בנאשם</w:t>
      </w:r>
      <w:r>
        <w:rPr>
          <w:rFonts w:ascii="Tahoma" w:hAnsi="Tahoma" w:hint="cs"/>
          <w:rtl/>
        </w:rPr>
        <w:t>; בפרט כאשר המלצת הממונה על עבודות השירות היא להגבלת היקף העבודות לשש וחצי שעות עבודה יומיות.</w:t>
      </w:r>
    </w:p>
    <w:p w14:paraId="119A1AD5" w14:textId="77777777" w:rsidR="00B9346E" w:rsidRPr="00E8574E" w:rsidRDefault="00B9346E" w:rsidP="00B9346E">
      <w:pPr>
        <w:numPr>
          <w:ilvl w:val="0"/>
          <w:numId w:val="2"/>
        </w:numPr>
        <w:spacing w:after="120" w:line="360" w:lineRule="auto"/>
        <w:ind w:left="360"/>
        <w:jc w:val="both"/>
        <w:rPr>
          <w:rFonts w:ascii="Tahoma" w:hAnsi="Tahoma"/>
        </w:rPr>
      </w:pPr>
      <w:r>
        <w:rPr>
          <w:rtl/>
        </w:rPr>
        <w:t xml:space="preserve">לבסוף, ונוכח ההיבט הכלכלי </w:t>
      </w:r>
      <w:r>
        <w:rPr>
          <w:rFonts w:hint="cs"/>
          <w:rtl/>
        </w:rPr>
        <w:t xml:space="preserve">המובהק </w:t>
      </w:r>
      <w:r>
        <w:rPr>
          <w:rtl/>
        </w:rPr>
        <w:t xml:space="preserve">של </w:t>
      </w:r>
      <w:r>
        <w:rPr>
          <w:rFonts w:hint="cs"/>
          <w:rtl/>
        </w:rPr>
        <w:t>עבירת הסחר בסמים</w:t>
      </w:r>
      <w:r>
        <w:rPr>
          <w:rtl/>
        </w:rPr>
        <w:t>, יש כמובן להטיל גם קנס כספי</w:t>
      </w:r>
      <w:r>
        <w:rPr>
          <w:rFonts w:hint="cs"/>
          <w:rtl/>
        </w:rPr>
        <w:t xml:space="preserve"> </w:t>
      </w:r>
      <w:r>
        <w:rPr>
          <w:rtl/>
        </w:rPr>
        <w:t>בנוסף לסכום החילוט המוסכם.</w:t>
      </w:r>
    </w:p>
    <w:p w14:paraId="60041559" w14:textId="77777777" w:rsidR="00B9346E" w:rsidRPr="00142C10" w:rsidRDefault="00B9346E" w:rsidP="00B9346E">
      <w:pPr>
        <w:spacing w:after="120" w:line="360" w:lineRule="auto"/>
        <w:jc w:val="both"/>
        <w:rPr>
          <w:rFonts w:ascii="Tahoma" w:hAnsi="Tahoma"/>
          <w:rtl/>
        </w:rPr>
      </w:pPr>
    </w:p>
    <w:p w14:paraId="17B3EB79" w14:textId="77777777" w:rsidR="00B9346E" w:rsidRDefault="00B9346E" w:rsidP="00B9346E">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6C5D4943" w14:textId="77777777" w:rsidR="00B9346E" w:rsidRPr="002059D0" w:rsidRDefault="00B9346E" w:rsidP="00B9346E">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1D0740B" w14:textId="77777777" w:rsidR="00B9346E" w:rsidRDefault="00B9346E" w:rsidP="00B9346E">
      <w:pPr>
        <w:spacing w:after="120" w:line="360" w:lineRule="auto"/>
        <w:ind w:left="1080" w:hanging="720"/>
        <w:jc w:val="both"/>
        <w:rPr>
          <w:rFonts w:ascii="Tahoma" w:hAnsi="Tahoma"/>
          <w:rtl/>
        </w:rPr>
      </w:pPr>
      <w:r>
        <w:rPr>
          <w:rFonts w:hint="cs"/>
          <w:rtl/>
        </w:rPr>
        <w:t>(א)</w:t>
      </w:r>
      <w:r>
        <w:rPr>
          <w:rtl/>
        </w:rPr>
        <w:tab/>
      </w:r>
      <w:r>
        <w:rPr>
          <w:rFonts w:hint="cs"/>
          <w:rtl/>
        </w:rPr>
        <w:t>3 חודשי מאסר בפועל.</w:t>
      </w:r>
    </w:p>
    <w:p w14:paraId="4500A8A1" w14:textId="77777777" w:rsidR="00B9346E" w:rsidRDefault="00B9346E" w:rsidP="00B9346E">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05.01.2025, לרבות בהגבלת היקף העבודות לשש וחצי שעות עבודה יומיות.</w:t>
      </w:r>
    </w:p>
    <w:p w14:paraId="45521223" w14:textId="77777777" w:rsidR="00B9346E" w:rsidRDefault="00B9346E" w:rsidP="00B9346E">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10.02.2025 עד השעה 08:00.</w:t>
      </w:r>
    </w:p>
    <w:p w14:paraId="788EA6E6" w14:textId="77777777" w:rsidR="00B9346E" w:rsidRDefault="00B9346E" w:rsidP="00B9346E">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13A5ABC3" w14:textId="77777777" w:rsidR="00B9346E" w:rsidRDefault="00B9346E" w:rsidP="00B9346E">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8 חודשים, אותו לא יישא הנאשם אלא אם כן יעבור, תוך שלוש שנים מיום סיום נשיאת המאסר בדרך של עבודות שירות, עבירה לפי הוראות </w:t>
      </w:r>
      <w:hyperlink r:id="rId20" w:history="1">
        <w:r w:rsidR="008400AC" w:rsidRPr="008400AC">
          <w:rPr>
            <w:color w:val="0000FF"/>
            <w:u w:val="single"/>
            <w:rtl/>
          </w:rPr>
          <w:t>פקודת הסמים המסוכנים</w:t>
        </w:r>
      </w:hyperlink>
      <w:r>
        <w:rPr>
          <w:rFonts w:hint="cs"/>
          <w:rtl/>
        </w:rPr>
        <w:t xml:space="preserve"> מסוג פשע</w:t>
      </w:r>
      <w:r>
        <w:rPr>
          <w:rFonts w:ascii="Tahoma" w:hAnsi="Tahoma" w:hint="cs"/>
          <w:rtl/>
        </w:rPr>
        <w:t>.</w:t>
      </w:r>
    </w:p>
    <w:p w14:paraId="55BB0206" w14:textId="77777777" w:rsidR="00B9346E" w:rsidRDefault="00B9346E" w:rsidP="00B9346E">
      <w:pPr>
        <w:spacing w:after="120" w:line="360" w:lineRule="auto"/>
        <w:ind w:left="1080" w:hanging="720"/>
        <w:jc w:val="both"/>
        <w:rPr>
          <w:rtl/>
        </w:rPr>
      </w:pPr>
      <w:r>
        <w:rPr>
          <w:rFonts w:hint="cs"/>
          <w:rtl/>
        </w:rPr>
        <w:t>(ג)</w:t>
      </w:r>
      <w:r>
        <w:rPr>
          <w:rtl/>
        </w:rPr>
        <w:tab/>
      </w:r>
      <w:r>
        <w:rPr>
          <w:rFonts w:hint="cs"/>
          <w:rtl/>
        </w:rPr>
        <w:t>קנס בסך של 2,000 ₪, או 15 ימי מאסר תמורתו.</w:t>
      </w:r>
    </w:p>
    <w:p w14:paraId="02498423" w14:textId="77777777" w:rsidR="00B9346E" w:rsidRDefault="00B9346E" w:rsidP="00B9346E">
      <w:pPr>
        <w:spacing w:after="120" w:line="360" w:lineRule="auto"/>
        <w:ind w:left="1080"/>
        <w:jc w:val="both"/>
        <w:rPr>
          <w:rFonts w:ascii="Tahoma" w:hAnsi="Tahoma"/>
          <w:rtl/>
        </w:rPr>
      </w:pPr>
      <w:r>
        <w:rPr>
          <w:rFonts w:hint="cs"/>
          <w:rtl/>
        </w:rPr>
        <w:t>הקנס ישולם ב-2 תשלומים חודשיים, שווים ורצופים, החל מיום 01.03.2025 ובכל אחד בחודש שלאחריו. היה והנאשם לא ישלם את אחד התשלומים במועד תועמד כל יתרת הקנס לפירעון מידי.</w:t>
      </w:r>
    </w:p>
    <w:p w14:paraId="595EF207" w14:textId="77777777" w:rsidR="00B9346E" w:rsidRDefault="00B9346E" w:rsidP="00B9346E">
      <w:pPr>
        <w:spacing w:after="120" w:line="360" w:lineRule="auto"/>
        <w:ind w:left="1080" w:hanging="720"/>
        <w:jc w:val="both"/>
        <w:rPr>
          <w:rtl/>
        </w:rPr>
      </w:pPr>
      <w:r>
        <w:rPr>
          <w:rFonts w:hint="cs"/>
          <w:rtl/>
        </w:rPr>
        <w:t>(ד)</w:t>
      </w:r>
      <w:r>
        <w:rPr>
          <w:rtl/>
        </w:rPr>
        <w:tab/>
      </w:r>
      <w:r>
        <w:rPr>
          <w:rFonts w:hint="cs"/>
          <w:rtl/>
        </w:rPr>
        <w:t>חילוט סך של 2,000 ₪ שנתפס ברשות הנאשם, כאמור בהודעה שבסיפא לכתב האישום.</w:t>
      </w:r>
    </w:p>
    <w:p w14:paraId="2A77E30B" w14:textId="77777777" w:rsidR="00B9346E" w:rsidRPr="00B9346E" w:rsidRDefault="00B9346E" w:rsidP="00B9346E">
      <w:pPr>
        <w:spacing w:after="120" w:line="360" w:lineRule="auto"/>
        <w:ind w:left="1080" w:hanging="720"/>
        <w:jc w:val="both"/>
        <w:rPr>
          <w:rFonts w:ascii="Calibri" w:hAnsi="Calibri"/>
          <w:rtl/>
        </w:rPr>
      </w:pPr>
      <w:r w:rsidRPr="00B9346E">
        <w:rPr>
          <w:rFonts w:ascii="Calibri" w:hAnsi="Calibri" w:hint="cs"/>
          <w:rtl/>
        </w:rPr>
        <w:t>(ה)</w:t>
      </w:r>
      <w:r w:rsidRPr="00B9346E">
        <w:rPr>
          <w:rFonts w:ascii="Calibri" w:hAnsi="Calibri"/>
          <w:rtl/>
        </w:rPr>
        <w:tab/>
      </w:r>
      <w:r w:rsidRPr="00B9346E">
        <w:rPr>
          <w:rFonts w:ascii="Calibri" w:hAnsi="Calibri" w:hint="cs"/>
          <w:rtl/>
        </w:rPr>
        <w:t>צו מבחן, לתקופה של 12 חודשים מהיום.</w:t>
      </w:r>
    </w:p>
    <w:p w14:paraId="544DE813" w14:textId="77777777" w:rsidR="00B9346E" w:rsidRPr="00B9346E" w:rsidRDefault="00B9346E" w:rsidP="00B9346E">
      <w:pPr>
        <w:spacing w:after="120" w:line="360" w:lineRule="auto"/>
        <w:ind w:left="1080"/>
        <w:jc w:val="both"/>
        <w:rPr>
          <w:rFonts w:ascii="Calibri" w:hAnsi="Calibri"/>
          <w:rtl/>
        </w:rPr>
      </w:pPr>
      <w:r w:rsidRPr="00B9346E">
        <w:rPr>
          <w:rFonts w:ascii="Calibri" w:hAnsi="Calibri"/>
          <w:rtl/>
        </w:rPr>
        <w:t xml:space="preserve">מובהר בזה לנאשם כי אם הוא לא ימלא אחר </w:t>
      </w:r>
      <w:r w:rsidRPr="00B9346E">
        <w:rPr>
          <w:rFonts w:ascii="Calibri" w:hAnsi="Calibri" w:hint="cs"/>
          <w:rtl/>
        </w:rPr>
        <w:t xml:space="preserve">הוראות </w:t>
      </w:r>
      <w:r w:rsidRPr="00B9346E">
        <w:rPr>
          <w:rFonts w:ascii="Calibri" w:hAnsi="Calibri"/>
          <w:rtl/>
        </w:rPr>
        <w:t>צו ה</w:t>
      </w:r>
      <w:r w:rsidRPr="00B9346E">
        <w:rPr>
          <w:rFonts w:ascii="Calibri" w:hAnsi="Calibri" w:hint="cs"/>
          <w:rtl/>
        </w:rPr>
        <w:t xml:space="preserve">מבחן ולא ישתף פעולה עם קצין המבחן, </w:t>
      </w:r>
      <w:r w:rsidRPr="00B9346E">
        <w:rPr>
          <w:rFonts w:ascii="Calibri" w:hAnsi="Calibri"/>
          <w:rtl/>
        </w:rPr>
        <w:t>יהא בית המשפט רשאי</w:t>
      </w:r>
      <w:r w:rsidRPr="00B9346E">
        <w:rPr>
          <w:rFonts w:ascii="Calibri" w:hAnsi="Calibri" w:hint="cs"/>
          <w:rtl/>
        </w:rPr>
        <w:t xml:space="preserve"> </w:t>
      </w:r>
      <w:r w:rsidRPr="00B9346E">
        <w:rPr>
          <w:rFonts w:ascii="Calibri" w:hAnsi="Calibri"/>
          <w:rtl/>
        </w:rPr>
        <w:t>לבטל את צו ה</w:t>
      </w:r>
      <w:r w:rsidRPr="00B9346E">
        <w:rPr>
          <w:rFonts w:ascii="Calibri" w:hAnsi="Calibri" w:hint="cs"/>
          <w:rtl/>
        </w:rPr>
        <w:t>מבחן ולגזור עליו, במקום צו המבחן, עונש נוסף.</w:t>
      </w:r>
    </w:p>
    <w:p w14:paraId="4BCCFAE4" w14:textId="77777777" w:rsidR="00B9346E" w:rsidRDefault="00B9346E" w:rsidP="00B9346E">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w:t>
      </w:r>
    </w:p>
    <w:p w14:paraId="11C1DC71" w14:textId="77777777" w:rsidR="00B9346E" w:rsidRDefault="008400AC" w:rsidP="00B9346E">
      <w:pPr>
        <w:spacing w:after="120" w:line="360" w:lineRule="auto"/>
        <w:jc w:val="both"/>
        <w:rPr>
          <w:rtl/>
        </w:rPr>
      </w:pPr>
      <w:r w:rsidRPr="008400AC">
        <w:rPr>
          <w:color w:val="FFFFFF"/>
          <w:sz w:val="2"/>
          <w:szCs w:val="2"/>
          <w:rtl/>
        </w:rPr>
        <w:t>5129371</w:t>
      </w:r>
      <w:r w:rsidR="00B9346E">
        <w:rPr>
          <w:rFonts w:hint="cs"/>
          <w:rtl/>
        </w:rPr>
        <w:t xml:space="preserve">ניתן בזה צו כללי, לעניין מוצגים, לשיקול דעתו של קצין משטרה. </w:t>
      </w:r>
    </w:p>
    <w:p w14:paraId="553285D5" w14:textId="77777777" w:rsidR="00B9346E" w:rsidRDefault="008400AC" w:rsidP="00B9346E">
      <w:pPr>
        <w:snapToGrid w:val="0"/>
        <w:spacing w:after="120" w:line="360" w:lineRule="auto"/>
        <w:jc w:val="both"/>
        <w:rPr>
          <w:rtl/>
        </w:rPr>
      </w:pPr>
      <w:r w:rsidRPr="008400AC">
        <w:rPr>
          <w:color w:val="FFFFFF"/>
          <w:sz w:val="2"/>
          <w:szCs w:val="2"/>
          <w:rtl/>
        </w:rPr>
        <w:t>54678313</w:t>
      </w:r>
      <w:r w:rsidR="00B9346E">
        <w:rPr>
          <w:rFonts w:hint="cs"/>
          <w:rtl/>
        </w:rPr>
        <w:t>זכות ערעור בתוך 45 יום מהיום.</w:t>
      </w:r>
    </w:p>
    <w:p w14:paraId="0E4531B8" w14:textId="77777777" w:rsidR="00B9346E" w:rsidRPr="00761D70" w:rsidRDefault="00B9346E" w:rsidP="00B9346E">
      <w:pPr>
        <w:spacing w:after="120" w:line="360" w:lineRule="auto"/>
        <w:jc w:val="both"/>
        <w:rPr>
          <w:rFonts w:ascii="Tahoma" w:hAnsi="Tahoma"/>
          <w:rtl/>
        </w:rPr>
      </w:pPr>
      <w:r>
        <w:rPr>
          <w:rFonts w:hint="cs"/>
          <w:rtl/>
        </w:rPr>
        <w:t>המזכירות תמציא גזר דין זה לשירות המבחן.</w:t>
      </w:r>
    </w:p>
    <w:p w14:paraId="0F91248E" w14:textId="77777777" w:rsidR="00B9346E" w:rsidRPr="000F2247" w:rsidRDefault="008400AC" w:rsidP="00B9346E">
      <w:pPr>
        <w:spacing w:line="360" w:lineRule="auto"/>
        <w:jc w:val="both"/>
        <w:rPr>
          <w:rFonts w:ascii="Arial" w:hAnsi="Arial"/>
          <w:b/>
          <w:bCs/>
          <w:sz w:val="26"/>
          <w:szCs w:val="26"/>
          <w:rtl/>
        </w:rPr>
      </w:pPr>
      <w:bookmarkStart w:id="8" w:name="Nitan"/>
      <w:r>
        <w:rPr>
          <w:rFonts w:ascii="Arial" w:hAnsi="Arial"/>
          <w:rtl/>
        </w:rPr>
        <w:t xml:space="preserve">ניתן היום, ו' טבת תשפ"ה, 06 ינואר 2025, במעמד הצדדים. </w:t>
      </w:r>
      <w:bookmarkEnd w:id="8"/>
      <w:r w:rsidR="00B9346E">
        <w:rPr>
          <w:rFonts w:ascii="Arial" w:hAnsi="Arial"/>
          <w:b/>
          <w:bCs/>
          <w:sz w:val="26"/>
          <w:szCs w:val="26"/>
          <w:rtl/>
        </w:rPr>
        <w:tab/>
      </w:r>
      <w:r w:rsidR="00B9346E">
        <w:rPr>
          <w:rFonts w:ascii="Arial" w:hAnsi="Arial"/>
          <w:b/>
          <w:bCs/>
          <w:sz w:val="26"/>
          <w:szCs w:val="26"/>
          <w:rtl/>
        </w:rPr>
        <w:tab/>
      </w:r>
      <w:r w:rsidR="00B9346E">
        <w:rPr>
          <w:rFonts w:ascii="Arial" w:hAnsi="Arial"/>
          <w:b/>
          <w:bCs/>
          <w:sz w:val="26"/>
          <w:szCs w:val="26"/>
          <w:rtl/>
        </w:rPr>
        <w:tab/>
      </w:r>
      <w:r w:rsidR="00B9346E">
        <w:rPr>
          <w:rFonts w:ascii="Arial" w:hAnsi="Arial"/>
          <w:b/>
          <w:bCs/>
          <w:sz w:val="26"/>
          <w:szCs w:val="26"/>
          <w:rtl/>
        </w:rPr>
        <w:tab/>
      </w:r>
      <w:r w:rsidR="00B9346E">
        <w:rPr>
          <w:rFonts w:ascii="Arial" w:hAnsi="Arial"/>
          <w:b/>
          <w:bCs/>
          <w:sz w:val="26"/>
          <w:szCs w:val="26"/>
          <w:rtl/>
        </w:rPr>
        <w:tab/>
      </w:r>
      <w:r w:rsidR="00B9346E">
        <w:rPr>
          <w:rFonts w:ascii="Arial" w:hAnsi="Arial"/>
          <w:b/>
          <w:bCs/>
          <w:sz w:val="26"/>
          <w:szCs w:val="26"/>
          <w:rtl/>
        </w:rPr>
        <w:tab/>
      </w:r>
      <w:r w:rsidR="00B9346E">
        <w:rPr>
          <w:rFonts w:ascii="Arial" w:hAnsi="Arial"/>
          <w:b/>
          <w:bCs/>
          <w:sz w:val="26"/>
          <w:szCs w:val="26"/>
          <w:rtl/>
        </w:rPr>
        <w:tab/>
      </w:r>
      <w:r w:rsidR="00B9346E">
        <w:rPr>
          <w:rFonts w:ascii="Arial" w:hAnsi="Arial" w:hint="cs"/>
          <w:b/>
          <w:bCs/>
          <w:sz w:val="26"/>
          <w:szCs w:val="26"/>
          <w:rtl/>
        </w:rPr>
        <w:t xml:space="preserve">         </w:t>
      </w:r>
    </w:p>
    <w:p w14:paraId="4E3424B7" w14:textId="77777777" w:rsidR="008400AC" w:rsidRDefault="008400AC" w:rsidP="008400AC">
      <w:pPr>
        <w:rPr>
          <w:rtl/>
        </w:rPr>
      </w:pPr>
    </w:p>
    <w:p w14:paraId="4171651C" w14:textId="77777777" w:rsidR="008400AC" w:rsidRDefault="008400AC" w:rsidP="008400AC">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3640BAD7" w14:textId="77777777" w:rsidR="00E005DA" w:rsidRPr="00E005DA" w:rsidRDefault="00E005DA" w:rsidP="00E005DA">
      <w:pPr>
        <w:keepNext/>
        <w:rPr>
          <w:rFonts w:ascii="David" w:hAnsi="David"/>
          <w:color w:val="000000"/>
          <w:sz w:val="22"/>
          <w:szCs w:val="22"/>
          <w:rtl/>
        </w:rPr>
      </w:pPr>
    </w:p>
    <w:p w14:paraId="6C4C9182" w14:textId="77777777" w:rsidR="00E005DA" w:rsidRPr="00E005DA" w:rsidRDefault="00E005DA" w:rsidP="00E005DA">
      <w:pPr>
        <w:keepNext/>
        <w:rPr>
          <w:rFonts w:ascii="David" w:hAnsi="David"/>
          <w:color w:val="000000"/>
          <w:sz w:val="22"/>
          <w:szCs w:val="22"/>
          <w:rtl/>
        </w:rPr>
      </w:pPr>
      <w:r w:rsidRPr="00E005DA">
        <w:rPr>
          <w:rFonts w:ascii="David" w:hAnsi="David"/>
          <w:color w:val="000000"/>
          <w:sz w:val="22"/>
          <w:szCs w:val="22"/>
          <w:rtl/>
        </w:rPr>
        <w:t>שאול אבינור 54678313</w:t>
      </w:r>
    </w:p>
    <w:p w14:paraId="50772C66" w14:textId="77777777" w:rsidR="008400AC" w:rsidRPr="008400AC" w:rsidRDefault="00E005DA" w:rsidP="00E005DA">
      <w:pPr>
        <w:rPr>
          <w:color w:val="0000FF"/>
          <w:u w:val="single"/>
        </w:rPr>
      </w:pPr>
      <w:r w:rsidRPr="00E005DA">
        <w:rPr>
          <w:color w:val="000000"/>
          <w:u w:val="single"/>
          <w:rtl/>
        </w:rPr>
        <w:t>נוסח מסמך זה כפוף לשינויי ניסוח ועריכה</w:t>
      </w:r>
    </w:p>
    <w:sectPr w:rsidR="008400AC" w:rsidRPr="008400AC" w:rsidSect="00E005D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1232C" w14:textId="77777777" w:rsidR="00736E6B" w:rsidRDefault="00736E6B" w:rsidP="001C4AA3">
      <w:r>
        <w:separator/>
      </w:r>
    </w:p>
  </w:endnote>
  <w:endnote w:type="continuationSeparator" w:id="0">
    <w:p w14:paraId="7E9194F6" w14:textId="77777777" w:rsidR="00736E6B" w:rsidRDefault="00736E6B" w:rsidP="001C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378CD" w14:textId="77777777" w:rsidR="00E005DA" w:rsidRDefault="00E005DA" w:rsidP="00E005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33E1AA7" w14:textId="77777777" w:rsidR="004626E6" w:rsidRPr="00E005DA" w:rsidRDefault="00E005DA" w:rsidP="00E005DA">
    <w:pPr>
      <w:pStyle w:val="a5"/>
      <w:pBdr>
        <w:top w:val="single" w:sz="4" w:space="1" w:color="auto"/>
        <w:between w:val="single" w:sz="4" w:space="0" w:color="auto"/>
      </w:pBdr>
      <w:spacing w:after="60"/>
      <w:jc w:val="center"/>
      <w:rPr>
        <w:rFonts w:ascii="FrankRuehl" w:hAnsi="FrankRuehl" w:cs="FrankRuehl"/>
        <w:color w:val="000000"/>
      </w:rPr>
    </w:pPr>
    <w:r w:rsidRPr="00E005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4628A" w14:textId="77777777" w:rsidR="00E005DA" w:rsidRDefault="00E005DA" w:rsidP="00E005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7702">
      <w:rPr>
        <w:rFonts w:ascii="FrankRuehl" w:hAnsi="FrankRuehl" w:cs="FrankRuehl"/>
        <w:noProof/>
        <w:rtl/>
      </w:rPr>
      <w:t>1</w:t>
    </w:r>
    <w:r>
      <w:rPr>
        <w:rFonts w:ascii="FrankRuehl" w:hAnsi="FrankRuehl" w:cs="FrankRuehl"/>
        <w:rtl/>
      </w:rPr>
      <w:fldChar w:fldCharType="end"/>
    </w:r>
  </w:p>
  <w:p w14:paraId="561514C9" w14:textId="77777777" w:rsidR="004626E6" w:rsidRPr="00E005DA" w:rsidRDefault="00E005DA" w:rsidP="00E005DA">
    <w:pPr>
      <w:pStyle w:val="a5"/>
      <w:pBdr>
        <w:top w:val="single" w:sz="4" w:space="1" w:color="auto"/>
        <w:between w:val="single" w:sz="4" w:space="0" w:color="auto"/>
      </w:pBdr>
      <w:spacing w:after="60"/>
      <w:jc w:val="center"/>
      <w:rPr>
        <w:rFonts w:ascii="FrankRuehl" w:hAnsi="FrankRuehl" w:cs="FrankRuehl"/>
        <w:color w:val="000000"/>
      </w:rPr>
    </w:pPr>
    <w:r w:rsidRPr="00E005DA">
      <w:rPr>
        <w:rFonts w:ascii="FrankRuehl" w:hAnsi="FrankRuehl" w:cs="FrankRuehl"/>
        <w:color w:val="000000"/>
      </w:rPr>
      <w:pict w14:anchorId="6EE54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26D73" w14:textId="77777777" w:rsidR="00736E6B" w:rsidRDefault="00736E6B" w:rsidP="001C4AA3">
      <w:r>
        <w:separator/>
      </w:r>
    </w:p>
  </w:footnote>
  <w:footnote w:type="continuationSeparator" w:id="0">
    <w:p w14:paraId="36ED290F" w14:textId="77777777" w:rsidR="00736E6B" w:rsidRDefault="00736E6B" w:rsidP="001C4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B212C" w14:textId="77777777" w:rsidR="008400AC" w:rsidRPr="00E005DA" w:rsidRDefault="00E005DA" w:rsidP="00E005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39333-05-22</w:t>
    </w:r>
    <w:r>
      <w:rPr>
        <w:rFonts w:ascii="David" w:hAnsi="David"/>
        <w:color w:val="000000"/>
        <w:sz w:val="22"/>
        <w:szCs w:val="22"/>
        <w:rtl/>
      </w:rPr>
      <w:tab/>
      <w:t xml:space="preserve"> מדינת ישראל נ' נעים בראהמה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E2813" w14:textId="77777777" w:rsidR="008400AC" w:rsidRPr="00E005DA" w:rsidRDefault="00E005DA" w:rsidP="00E005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39333-05-22</w:t>
    </w:r>
    <w:r>
      <w:rPr>
        <w:rFonts w:ascii="David" w:hAnsi="David"/>
        <w:color w:val="000000"/>
        <w:sz w:val="22"/>
        <w:szCs w:val="22"/>
        <w:rtl/>
      </w:rPr>
      <w:tab/>
      <w:t xml:space="preserve"> מדינת ישראל נ' נעים בראהמה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078213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4346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346E"/>
    <w:rsid w:val="001C4AA3"/>
    <w:rsid w:val="001E2B06"/>
    <w:rsid w:val="004626E6"/>
    <w:rsid w:val="00736E6B"/>
    <w:rsid w:val="00777702"/>
    <w:rsid w:val="008400AC"/>
    <w:rsid w:val="009A4E4C"/>
    <w:rsid w:val="009F4057"/>
    <w:rsid w:val="00B9346E"/>
    <w:rsid w:val="00E00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449D3C"/>
  <w15:chartTrackingRefBased/>
  <w15:docId w15:val="{AC3C9B98-8B47-4690-BD75-BECB8858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34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346E"/>
    <w:pPr>
      <w:tabs>
        <w:tab w:val="center" w:pos="4153"/>
        <w:tab w:val="right" w:pos="8306"/>
      </w:tabs>
    </w:pPr>
  </w:style>
  <w:style w:type="character" w:customStyle="1" w:styleId="a4">
    <w:name w:val="כותרת עליונה תו"/>
    <w:link w:val="a3"/>
    <w:rsid w:val="00B9346E"/>
    <w:rPr>
      <w:rFonts w:ascii="Times New Roman" w:eastAsia="Times New Roman" w:hAnsi="Times New Roman" w:cs="David"/>
      <w:sz w:val="24"/>
      <w:szCs w:val="24"/>
    </w:rPr>
  </w:style>
  <w:style w:type="paragraph" w:styleId="a5">
    <w:name w:val="footer"/>
    <w:basedOn w:val="a"/>
    <w:link w:val="a6"/>
    <w:rsid w:val="00B9346E"/>
    <w:pPr>
      <w:tabs>
        <w:tab w:val="center" w:pos="4153"/>
        <w:tab w:val="right" w:pos="8306"/>
      </w:tabs>
    </w:pPr>
  </w:style>
  <w:style w:type="character" w:customStyle="1" w:styleId="a6">
    <w:name w:val="כותרת תחתונה תו"/>
    <w:link w:val="a5"/>
    <w:rsid w:val="00B9346E"/>
    <w:rPr>
      <w:rFonts w:ascii="Times New Roman" w:eastAsia="Times New Roman" w:hAnsi="Times New Roman" w:cs="David"/>
      <w:sz w:val="24"/>
      <w:szCs w:val="24"/>
    </w:rPr>
  </w:style>
  <w:style w:type="table" w:styleId="a7">
    <w:name w:val="Table Grid"/>
    <w:basedOn w:val="a1"/>
    <w:rsid w:val="00B934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346E"/>
  </w:style>
  <w:style w:type="paragraph" w:styleId="a9">
    <w:name w:val="List Paragraph"/>
    <w:basedOn w:val="a"/>
    <w:qFormat/>
    <w:rsid w:val="00B9346E"/>
    <w:pPr>
      <w:ind w:left="720"/>
      <w:contextualSpacing/>
    </w:pPr>
    <w:rPr>
      <w:rFonts w:ascii="David" w:eastAsia="David" w:hAnsi="David"/>
    </w:rPr>
  </w:style>
  <w:style w:type="character" w:styleId="Hyperlink">
    <w:name w:val="Hyperlink"/>
    <w:rsid w:val="008400A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70301/40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3770786"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8793360"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2047</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12261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3997815</vt:i4>
      </vt:variant>
      <vt:variant>
        <vt:i4>30</vt:i4>
      </vt:variant>
      <vt:variant>
        <vt:i4>0</vt:i4>
      </vt:variant>
      <vt:variant>
        <vt:i4>5</vt:i4>
      </vt:variant>
      <vt:variant>
        <vt:lpwstr>http://www.nevo.co.il/case/23770786</vt:lpwstr>
      </vt:variant>
      <vt:variant>
        <vt:lpwstr/>
      </vt:variant>
      <vt:variant>
        <vt:i4>7995492</vt:i4>
      </vt:variant>
      <vt:variant>
        <vt:i4>27</vt:i4>
      </vt:variant>
      <vt:variant>
        <vt:i4>0</vt:i4>
      </vt:variant>
      <vt:variant>
        <vt:i4>5</vt:i4>
      </vt:variant>
      <vt:variant>
        <vt:lpwstr>http://www.nevo.co.il/law/70301</vt:lpwstr>
      </vt:variant>
      <vt:variant>
        <vt:lpwstr/>
      </vt:variant>
      <vt:variant>
        <vt:i4>3342454</vt:i4>
      </vt:variant>
      <vt:variant>
        <vt:i4>24</vt:i4>
      </vt:variant>
      <vt:variant>
        <vt:i4>0</vt:i4>
      </vt:variant>
      <vt:variant>
        <vt:i4>5</vt:i4>
      </vt:variant>
      <vt:variant>
        <vt:lpwstr>http://www.nevo.co.il/case/18793360</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39333</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נעים בראהמה</vt:lpwstr>
  </property>
  <property fmtid="{D5CDD505-2E9C-101B-9397-08002B2CF9AE}" pid="10" name="LAWYER">
    <vt:lpwstr>לידר דמרי;שרון קינן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20250106</vt:lpwstr>
  </property>
  <property fmtid="{D5CDD505-2E9C-101B-9397-08002B2CF9AE}" pid="14" name="TYPE_N_DATE">
    <vt:lpwstr>38020250106</vt:lpwstr>
  </property>
  <property fmtid="{D5CDD505-2E9C-101B-9397-08002B2CF9AE}" pid="15" name="CASESLISTTMP1">
    <vt:lpwstr>18793360;23770786</vt:lpwstr>
  </property>
  <property fmtid="{D5CDD505-2E9C-101B-9397-08002B2CF9AE}" pid="16" name="WORDNUMPAGES">
    <vt:lpwstr>7</vt:lpwstr>
  </property>
  <property fmtid="{D5CDD505-2E9C-101B-9397-08002B2CF9AE}" pid="17" name="TYPE_ABS_DATE">
    <vt:lpwstr>380020250106</vt:lpwstr>
  </property>
  <property fmtid="{D5CDD505-2E9C-101B-9397-08002B2CF9AE}" pid="18" name="LAWLISTTMP1">
    <vt:lpwstr>4216/013;019a</vt:lpwstr>
  </property>
  <property fmtid="{D5CDD505-2E9C-101B-9397-08002B2CF9AE}" pid="19" name="LAWLISTTMP2">
    <vt:lpwstr>70301/040d</vt:lpwstr>
  </property>
  <property fmtid="{D5CDD505-2E9C-101B-9397-08002B2CF9AE}" pid="20" name="ISABSTRACT">
    <vt:lpwstr>Y</vt:lpwstr>
  </property>
</Properties>
</file>