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8B5534" w:rsidRPr="004C517F" w14:paraId="08BA85B7" w14:textId="77777777" w:rsidTr="007D4107">
        <w:trPr>
          <w:gridAfter w:val="1"/>
          <w:wAfter w:w="99" w:type="dxa"/>
          <w:trHeight w:hRule="exact" w:val="418"/>
          <w:jc w:val="center"/>
        </w:trPr>
        <w:tc>
          <w:tcPr>
            <w:tcW w:w="8721" w:type="dxa"/>
            <w:gridSpan w:val="4"/>
          </w:tcPr>
          <w:p w14:paraId="3DDE0033" w14:textId="77777777" w:rsidR="008B5534" w:rsidRPr="004C517F" w:rsidRDefault="008B5534" w:rsidP="00CD3D7E">
            <w:pPr>
              <w:pStyle w:val="a3"/>
              <w:jc w:val="center"/>
              <w:rPr>
                <w:rFonts w:ascii="Tahoma" w:hAnsi="Tahoma" w:cs="Tahoma"/>
                <w:color w:val="000080"/>
                <w:rtl/>
              </w:rPr>
            </w:pPr>
            <w:bookmarkStart w:id="0" w:name="LastJudge"/>
            <w:r w:rsidRPr="004C517F">
              <w:rPr>
                <w:rFonts w:ascii="Tahoma" w:hAnsi="Tahoma" w:cs="Tahoma"/>
                <w:b/>
                <w:bCs/>
                <w:color w:val="000080"/>
                <w:rtl/>
              </w:rPr>
              <w:t>בית משפט השלום בקריות</w:t>
            </w:r>
          </w:p>
        </w:tc>
      </w:tr>
      <w:tr w:rsidR="008B5534" w:rsidRPr="004C517F" w14:paraId="1DC29D7A" w14:textId="77777777" w:rsidTr="007D4107">
        <w:trPr>
          <w:gridAfter w:val="1"/>
          <w:wAfter w:w="99" w:type="dxa"/>
          <w:trHeight w:val="337"/>
          <w:jc w:val="center"/>
        </w:trPr>
        <w:tc>
          <w:tcPr>
            <w:tcW w:w="5056" w:type="dxa"/>
            <w:gridSpan w:val="3"/>
          </w:tcPr>
          <w:p w14:paraId="76A86125" w14:textId="77777777" w:rsidR="008B5534" w:rsidRPr="004C517F" w:rsidRDefault="008B5534" w:rsidP="00CD3D7E">
            <w:pPr>
              <w:rPr>
                <w:rFonts w:cs="FrankRuehl"/>
                <w:sz w:val="28"/>
                <w:szCs w:val="28"/>
                <w:rtl/>
              </w:rPr>
            </w:pPr>
            <w:r w:rsidRPr="004C517F">
              <w:rPr>
                <w:rFonts w:cs="FrankRuehl"/>
                <w:sz w:val="28"/>
                <w:szCs w:val="28"/>
                <w:rtl/>
              </w:rPr>
              <w:t>ת"פ</w:t>
            </w:r>
            <w:r w:rsidRPr="004C517F">
              <w:rPr>
                <w:rFonts w:cs="FrankRuehl" w:hint="cs"/>
                <w:sz w:val="28"/>
                <w:szCs w:val="28"/>
                <w:rtl/>
              </w:rPr>
              <w:t xml:space="preserve"> </w:t>
            </w:r>
            <w:r w:rsidRPr="004C517F">
              <w:rPr>
                <w:rFonts w:cs="FrankRuehl"/>
                <w:sz w:val="28"/>
                <w:szCs w:val="28"/>
                <w:rtl/>
              </w:rPr>
              <w:t>49210-05-22</w:t>
            </w:r>
            <w:r w:rsidRPr="004C517F">
              <w:rPr>
                <w:rFonts w:cs="FrankRuehl" w:hint="cs"/>
                <w:sz w:val="28"/>
                <w:szCs w:val="28"/>
                <w:rtl/>
              </w:rPr>
              <w:t xml:space="preserve"> </w:t>
            </w:r>
            <w:r w:rsidRPr="004C517F">
              <w:rPr>
                <w:rFonts w:cs="FrankRuehl"/>
                <w:sz w:val="28"/>
                <w:szCs w:val="28"/>
                <w:rtl/>
              </w:rPr>
              <w:t>מדינת ישראל נ' לוי(עציר)</w:t>
            </w:r>
          </w:p>
          <w:p w14:paraId="34A3B3F7" w14:textId="77777777" w:rsidR="008B5534" w:rsidRPr="004C517F" w:rsidRDefault="008B5534" w:rsidP="00CD3D7E">
            <w:pPr>
              <w:pStyle w:val="a3"/>
              <w:rPr>
                <w:rFonts w:cs="FrankRuehl"/>
                <w:sz w:val="28"/>
                <w:szCs w:val="28"/>
                <w:rtl/>
              </w:rPr>
            </w:pPr>
          </w:p>
        </w:tc>
        <w:tc>
          <w:tcPr>
            <w:tcW w:w="3665" w:type="dxa"/>
          </w:tcPr>
          <w:p w14:paraId="073BD763" w14:textId="77777777" w:rsidR="008B5534" w:rsidRPr="004C517F" w:rsidRDefault="008B5534" w:rsidP="00CD3D7E">
            <w:pPr>
              <w:pStyle w:val="a3"/>
              <w:jc w:val="right"/>
              <w:rPr>
                <w:rFonts w:cs="FrankRuehl"/>
                <w:sz w:val="28"/>
                <w:szCs w:val="28"/>
                <w:rtl/>
              </w:rPr>
            </w:pPr>
          </w:p>
        </w:tc>
      </w:tr>
      <w:tr w:rsidR="008B5534" w:rsidRPr="004C517F" w14:paraId="03F8DF53" w14:textId="77777777" w:rsidTr="007D41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E2000C0" w14:textId="77777777" w:rsidR="008B5534" w:rsidRPr="004C517F" w:rsidRDefault="008B5534" w:rsidP="008B5534">
            <w:pPr>
              <w:jc w:val="both"/>
              <w:rPr>
                <w:rFonts w:ascii="David" w:hAnsi="David"/>
                <w:sz w:val="26"/>
                <w:szCs w:val="26"/>
              </w:rPr>
            </w:pPr>
            <w:r w:rsidRPr="004C517F">
              <w:rPr>
                <w:rFonts w:hint="cs"/>
                <w:rtl/>
              </w:rPr>
              <w:t xml:space="preserve"> </w:t>
            </w:r>
            <w:r w:rsidRPr="004C517F">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3CC99EC4" w14:textId="77777777" w:rsidR="008B5534" w:rsidRPr="004C517F" w:rsidRDefault="008B5534" w:rsidP="00CD3D7E">
            <w:pPr>
              <w:rPr>
                <w:rFonts w:ascii="David" w:hAnsi="David"/>
                <w:b/>
                <w:bCs/>
                <w:sz w:val="26"/>
                <w:szCs w:val="26"/>
                <w:rtl/>
              </w:rPr>
            </w:pPr>
            <w:r w:rsidRPr="004C517F">
              <w:rPr>
                <w:rFonts w:ascii="David" w:hAnsi="David"/>
                <w:b/>
                <w:bCs/>
                <w:sz w:val="26"/>
                <w:szCs w:val="26"/>
                <w:rtl/>
              </w:rPr>
              <w:t>כבוד השופטת  סימי פלג קימלוב</w:t>
            </w:r>
          </w:p>
          <w:p w14:paraId="1DDC96F4" w14:textId="77777777" w:rsidR="008B5534" w:rsidRPr="004C517F" w:rsidRDefault="008B5534" w:rsidP="00CD3D7E">
            <w:pPr>
              <w:rPr>
                <w:rFonts w:ascii="David" w:hAnsi="David"/>
                <w:sz w:val="26"/>
                <w:szCs w:val="26"/>
                <w:rtl/>
              </w:rPr>
            </w:pPr>
          </w:p>
          <w:p w14:paraId="3297C8A3" w14:textId="77777777" w:rsidR="008B5534" w:rsidRPr="004C517F" w:rsidRDefault="008B5534" w:rsidP="008B5534">
            <w:pPr>
              <w:jc w:val="both"/>
              <w:rPr>
                <w:rFonts w:ascii="David" w:hAnsi="David"/>
                <w:sz w:val="26"/>
                <w:szCs w:val="26"/>
              </w:rPr>
            </w:pPr>
          </w:p>
        </w:tc>
      </w:tr>
      <w:tr w:rsidR="008B5534" w:rsidRPr="004C517F" w14:paraId="37EA7061" w14:textId="77777777" w:rsidTr="007D41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D9C18EA" w14:textId="77777777" w:rsidR="008B5534" w:rsidRPr="004C517F" w:rsidRDefault="008B5534" w:rsidP="008B5534">
            <w:pPr>
              <w:jc w:val="both"/>
              <w:rPr>
                <w:rFonts w:ascii="David" w:hAnsi="David"/>
                <w:sz w:val="26"/>
                <w:szCs w:val="26"/>
              </w:rPr>
            </w:pPr>
            <w:bookmarkStart w:id="1" w:name="FirstAppellant"/>
            <w:r w:rsidRPr="004C517F">
              <w:rPr>
                <w:rFonts w:ascii="David" w:hAnsi="David"/>
                <w:sz w:val="26"/>
                <w:szCs w:val="26"/>
                <w:rtl/>
              </w:rPr>
              <w:t>בעניין:</w:t>
            </w:r>
          </w:p>
        </w:tc>
        <w:tc>
          <w:tcPr>
            <w:tcW w:w="3219" w:type="dxa"/>
            <w:tcBorders>
              <w:top w:val="nil"/>
              <w:left w:val="nil"/>
              <w:bottom w:val="nil"/>
              <w:right w:val="nil"/>
            </w:tcBorders>
            <w:shd w:val="clear" w:color="auto" w:fill="auto"/>
          </w:tcPr>
          <w:p w14:paraId="6874B7D3" w14:textId="77777777" w:rsidR="008B5534" w:rsidRPr="004C517F" w:rsidRDefault="008B5534" w:rsidP="008B5534">
            <w:pPr>
              <w:suppressLineNumbers/>
            </w:pPr>
            <w:r w:rsidRPr="004C517F">
              <w:rPr>
                <w:rFonts w:ascii="Arial" w:hAnsi="Arial" w:hint="cs"/>
                <w:b/>
                <w:bCs/>
                <w:sz w:val="26"/>
                <w:szCs w:val="26"/>
                <w:rtl/>
              </w:rPr>
              <w:t>ה</w:t>
            </w:r>
            <w:r w:rsidRPr="004C517F">
              <w:rPr>
                <w:rFonts w:ascii="Arial" w:hAnsi="Arial"/>
                <w:b/>
                <w:bCs/>
                <w:sz w:val="26"/>
                <w:szCs w:val="26"/>
                <w:rtl/>
              </w:rPr>
              <w:t>מאשימה</w:t>
            </w:r>
          </w:p>
          <w:p w14:paraId="60BD0C5E" w14:textId="77777777" w:rsidR="008B5534" w:rsidRPr="004C517F" w:rsidRDefault="008B5534" w:rsidP="00CD3D7E">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F904F82" w14:textId="77777777" w:rsidR="008B5534" w:rsidRPr="004C517F" w:rsidRDefault="008B5534" w:rsidP="008B5534">
            <w:pPr>
              <w:suppressLineNumbers/>
            </w:pPr>
            <w:r w:rsidRPr="004C517F">
              <w:rPr>
                <w:rFonts w:ascii="Arial" w:hAnsi="Arial"/>
                <w:b/>
                <w:bCs/>
                <w:sz w:val="26"/>
                <w:szCs w:val="26"/>
                <w:rtl/>
              </w:rPr>
              <w:t>מדינת ישראל</w:t>
            </w:r>
          </w:p>
          <w:p w14:paraId="6E471480" w14:textId="77777777" w:rsidR="008B5534" w:rsidRPr="004C517F" w:rsidRDefault="008B5534" w:rsidP="00CD3D7E">
            <w:pPr>
              <w:rPr>
                <w:rFonts w:ascii="David" w:hAnsi="David"/>
                <w:sz w:val="26"/>
                <w:szCs w:val="26"/>
              </w:rPr>
            </w:pPr>
          </w:p>
        </w:tc>
      </w:tr>
      <w:bookmarkEnd w:id="1"/>
      <w:tr w:rsidR="008B5534" w:rsidRPr="004C517F" w14:paraId="339A3B8C" w14:textId="77777777" w:rsidTr="007D41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7E61913" w14:textId="77777777" w:rsidR="008B5534" w:rsidRPr="004C517F" w:rsidRDefault="008B5534" w:rsidP="008B5534">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115CAD98" w14:textId="77777777" w:rsidR="008B5534" w:rsidRPr="004C517F" w:rsidRDefault="008B5534" w:rsidP="008B5534">
            <w:pPr>
              <w:jc w:val="center"/>
              <w:rPr>
                <w:rFonts w:ascii="David" w:hAnsi="David"/>
                <w:b/>
                <w:bCs/>
                <w:sz w:val="26"/>
                <w:szCs w:val="26"/>
                <w:rtl/>
              </w:rPr>
            </w:pPr>
          </w:p>
          <w:p w14:paraId="2B7C62D5" w14:textId="77777777" w:rsidR="008B5534" w:rsidRPr="004C517F" w:rsidRDefault="008B5534" w:rsidP="008B5534">
            <w:pPr>
              <w:jc w:val="center"/>
              <w:rPr>
                <w:rFonts w:ascii="David" w:hAnsi="David"/>
                <w:b/>
                <w:bCs/>
                <w:sz w:val="26"/>
                <w:szCs w:val="26"/>
                <w:rtl/>
              </w:rPr>
            </w:pPr>
            <w:r w:rsidRPr="004C517F">
              <w:rPr>
                <w:rFonts w:ascii="David" w:hAnsi="David"/>
                <w:b/>
                <w:bCs/>
                <w:sz w:val="26"/>
                <w:szCs w:val="26"/>
                <w:rtl/>
              </w:rPr>
              <w:t>נגד</w:t>
            </w:r>
          </w:p>
          <w:p w14:paraId="5DE84B36" w14:textId="77777777" w:rsidR="008B5534" w:rsidRPr="004C517F" w:rsidRDefault="008B5534" w:rsidP="008B5534">
            <w:pPr>
              <w:jc w:val="both"/>
              <w:rPr>
                <w:rFonts w:ascii="David" w:hAnsi="David"/>
                <w:sz w:val="26"/>
                <w:szCs w:val="26"/>
              </w:rPr>
            </w:pPr>
          </w:p>
        </w:tc>
      </w:tr>
      <w:tr w:rsidR="008B5534" w:rsidRPr="004C517F" w14:paraId="5E556B79" w14:textId="77777777" w:rsidTr="007D410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EEB3709" w14:textId="77777777" w:rsidR="008B5534" w:rsidRPr="004C517F" w:rsidRDefault="008B5534" w:rsidP="00CD3D7E">
            <w:pPr>
              <w:rPr>
                <w:rFonts w:ascii="David" w:hAnsi="David"/>
                <w:sz w:val="26"/>
                <w:szCs w:val="26"/>
                <w:rtl/>
              </w:rPr>
            </w:pPr>
          </w:p>
        </w:tc>
        <w:tc>
          <w:tcPr>
            <w:tcW w:w="3219" w:type="dxa"/>
            <w:tcBorders>
              <w:top w:val="nil"/>
              <w:left w:val="nil"/>
              <w:bottom w:val="nil"/>
              <w:right w:val="nil"/>
            </w:tcBorders>
            <w:shd w:val="clear" w:color="auto" w:fill="auto"/>
          </w:tcPr>
          <w:p w14:paraId="60AB318E" w14:textId="77777777" w:rsidR="008B5534" w:rsidRPr="004C517F" w:rsidRDefault="008B5534" w:rsidP="00CD3D7E">
            <w:pPr>
              <w:rPr>
                <w:rFonts w:ascii="Arial" w:hAnsi="Arial"/>
                <w:b/>
                <w:bCs/>
                <w:sz w:val="26"/>
                <w:szCs w:val="26"/>
                <w:rtl/>
              </w:rPr>
            </w:pPr>
            <w:r w:rsidRPr="004C517F">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2298F3E6" w14:textId="77777777" w:rsidR="008B5534" w:rsidRPr="004C517F" w:rsidRDefault="008B5534" w:rsidP="008B5534">
            <w:pPr>
              <w:suppressLineNumbers/>
            </w:pPr>
            <w:r w:rsidRPr="004C517F">
              <w:rPr>
                <w:rFonts w:ascii="Arial" w:hAnsi="Arial"/>
                <w:b/>
                <w:bCs/>
                <w:sz w:val="26"/>
                <w:szCs w:val="26"/>
                <w:rtl/>
              </w:rPr>
              <w:t xml:space="preserve">עידן לוי </w:t>
            </w:r>
          </w:p>
          <w:p w14:paraId="60D173D4" w14:textId="77777777" w:rsidR="008B5534" w:rsidRPr="004C517F" w:rsidRDefault="008B5534" w:rsidP="00CD3D7E">
            <w:pPr>
              <w:rPr>
                <w:rFonts w:ascii="David" w:hAnsi="David"/>
                <w:sz w:val="26"/>
                <w:szCs w:val="26"/>
              </w:rPr>
            </w:pPr>
          </w:p>
        </w:tc>
      </w:tr>
    </w:tbl>
    <w:p w14:paraId="0E08EA89" w14:textId="77777777" w:rsidR="007D4107" w:rsidRDefault="007D4107" w:rsidP="004C517F">
      <w:pPr>
        <w:rPr>
          <w:sz w:val="26"/>
          <w:szCs w:val="26"/>
          <w:rtl/>
        </w:rPr>
      </w:pPr>
    </w:p>
    <w:p w14:paraId="071A3AA0" w14:textId="77777777" w:rsidR="007D4107" w:rsidRPr="007D4107" w:rsidRDefault="007D4107" w:rsidP="007D4107">
      <w:pPr>
        <w:spacing w:after="120" w:line="240" w:lineRule="exact"/>
        <w:ind w:left="283" w:hanging="283"/>
        <w:jc w:val="both"/>
        <w:rPr>
          <w:rFonts w:ascii="FrankRuehl" w:hAnsi="FrankRuehl" w:cs="FrankRuehl"/>
          <w:rtl/>
        </w:rPr>
      </w:pPr>
    </w:p>
    <w:p w14:paraId="1447D017" w14:textId="77777777" w:rsidR="005547FE" w:rsidRPr="005547FE" w:rsidRDefault="005547FE" w:rsidP="005547FE">
      <w:pPr>
        <w:spacing w:before="120" w:after="120" w:line="240" w:lineRule="exact"/>
        <w:ind w:left="283" w:hanging="283"/>
        <w:jc w:val="both"/>
        <w:rPr>
          <w:rFonts w:ascii="FrankRuehl" w:hAnsi="FrankRuehl" w:cs="FrankRuehl"/>
          <w:rtl/>
        </w:rPr>
      </w:pPr>
    </w:p>
    <w:p w14:paraId="2206AC2B" w14:textId="77777777" w:rsidR="000B4023" w:rsidRDefault="000B4023" w:rsidP="000B4023">
      <w:pPr>
        <w:rPr>
          <w:sz w:val="26"/>
          <w:szCs w:val="26"/>
          <w:rtl/>
        </w:rPr>
      </w:pPr>
      <w:bookmarkStart w:id="2" w:name="LawTable"/>
      <w:bookmarkEnd w:id="2"/>
    </w:p>
    <w:p w14:paraId="7507AEBB" w14:textId="77777777" w:rsidR="000B4023" w:rsidRPr="000B4023" w:rsidRDefault="000B4023" w:rsidP="000B4023">
      <w:pPr>
        <w:spacing w:before="120" w:after="120" w:line="240" w:lineRule="exact"/>
        <w:ind w:left="283" w:hanging="283"/>
        <w:jc w:val="both"/>
        <w:rPr>
          <w:rFonts w:ascii="FrankRuehl" w:hAnsi="FrankRuehl" w:cs="FrankRuehl"/>
          <w:rtl/>
        </w:rPr>
      </w:pPr>
    </w:p>
    <w:p w14:paraId="42C73637" w14:textId="77777777" w:rsidR="000B4023" w:rsidRPr="000B4023" w:rsidRDefault="000B4023" w:rsidP="000B4023">
      <w:pPr>
        <w:spacing w:before="120" w:after="120" w:line="240" w:lineRule="exact"/>
        <w:ind w:left="283" w:hanging="283"/>
        <w:jc w:val="both"/>
        <w:rPr>
          <w:rFonts w:ascii="FrankRuehl" w:hAnsi="FrankRuehl" w:cs="FrankRuehl"/>
          <w:rtl/>
        </w:rPr>
      </w:pPr>
    </w:p>
    <w:p w14:paraId="6F77C69A" w14:textId="77777777" w:rsidR="000B4023" w:rsidRPr="000B4023" w:rsidRDefault="000B4023" w:rsidP="000B4023">
      <w:pPr>
        <w:spacing w:before="120" w:after="120" w:line="240" w:lineRule="exact"/>
        <w:ind w:left="283" w:hanging="283"/>
        <w:jc w:val="both"/>
        <w:rPr>
          <w:rFonts w:ascii="FrankRuehl" w:hAnsi="FrankRuehl" w:cs="FrankRuehl"/>
          <w:rtl/>
        </w:rPr>
      </w:pPr>
      <w:r w:rsidRPr="000B4023">
        <w:rPr>
          <w:rFonts w:ascii="FrankRuehl" w:hAnsi="FrankRuehl" w:cs="FrankRuehl"/>
          <w:rtl/>
        </w:rPr>
        <w:t xml:space="preserve">חקיקה שאוזכרה: </w:t>
      </w:r>
    </w:p>
    <w:p w14:paraId="610AEDFD" w14:textId="77777777" w:rsidR="000B4023" w:rsidRPr="000B4023" w:rsidRDefault="000B4023" w:rsidP="000B4023">
      <w:pPr>
        <w:spacing w:before="120" w:after="120" w:line="240" w:lineRule="exact"/>
        <w:ind w:left="283" w:hanging="283"/>
        <w:jc w:val="both"/>
        <w:rPr>
          <w:rFonts w:ascii="FrankRuehl" w:hAnsi="FrankRuehl" w:cs="FrankRuehl"/>
          <w:rtl/>
        </w:rPr>
      </w:pPr>
      <w:hyperlink r:id="rId7" w:history="1">
        <w:r w:rsidRPr="000B4023">
          <w:rPr>
            <w:rFonts w:ascii="FrankRuehl" w:hAnsi="FrankRuehl" w:cs="FrankRuehl"/>
            <w:color w:val="0000FF"/>
            <w:rtl/>
          </w:rPr>
          <w:t>חוק העונשין, תשל"ז-1977</w:t>
        </w:r>
      </w:hyperlink>
      <w:r w:rsidRPr="000B4023">
        <w:rPr>
          <w:rFonts w:ascii="FrankRuehl" w:hAnsi="FrankRuehl" w:cs="FrankRuehl"/>
          <w:rtl/>
        </w:rPr>
        <w:t xml:space="preserve">: סע'  </w:t>
      </w:r>
      <w:hyperlink r:id="rId8" w:history="1">
        <w:r w:rsidRPr="000B4023">
          <w:rPr>
            <w:rFonts w:ascii="FrankRuehl" w:hAnsi="FrankRuehl" w:cs="FrankRuehl"/>
            <w:color w:val="0000FF"/>
            <w:rtl/>
          </w:rPr>
          <w:t>40ט</w:t>
        </w:r>
      </w:hyperlink>
      <w:r w:rsidRPr="000B4023">
        <w:rPr>
          <w:rFonts w:ascii="FrankRuehl" w:hAnsi="FrankRuehl" w:cs="FrankRuehl"/>
          <w:rtl/>
        </w:rPr>
        <w:t xml:space="preserve">, </w:t>
      </w:r>
      <w:hyperlink r:id="rId9" w:history="1">
        <w:r w:rsidRPr="000B4023">
          <w:rPr>
            <w:rFonts w:ascii="FrankRuehl" w:hAnsi="FrankRuehl" w:cs="FrankRuehl"/>
            <w:color w:val="0000FF"/>
            <w:rtl/>
          </w:rPr>
          <w:t>384</w:t>
        </w:r>
      </w:hyperlink>
      <w:r w:rsidRPr="000B4023">
        <w:rPr>
          <w:rFonts w:ascii="FrankRuehl" w:hAnsi="FrankRuehl" w:cs="FrankRuehl"/>
          <w:rtl/>
        </w:rPr>
        <w:t xml:space="preserve">, </w:t>
      </w:r>
      <w:hyperlink r:id="rId10" w:history="1">
        <w:r w:rsidRPr="000B4023">
          <w:rPr>
            <w:rFonts w:ascii="FrankRuehl" w:hAnsi="FrankRuehl" w:cs="FrankRuehl"/>
            <w:color w:val="0000FF"/>
            <w:rtl/>
          </w:rPr>
          <w:t>40יא'</w:t>
        </w:r>
      </w:hyperlink>
      <w:r w:rsidRPr="000B4023">
        <w:rPr>
          <w:rFonts w:ascii="FrankRuehl" w:hAnsi="FrankRuehl" w:cs="FrankRuehl"/>
          <w:rtl/>
        </w:rPr>
        <w:t xml:space="preserve">, </w:t>
      </w:r>
      <w:hyperlink r:id="rId11" w:history="1">
        <w:r w:rsidRPr="000B4023">
          <w:rPr>
            <w:rFonts w:ascii="FrankRuehl" w:hAnsi="FrankRuehl" w:cs="FrankRuehl"/>
            <w:color w:val="0000FF"/>
            <w:rtl/>
          </w:rPr>
          <w:t>413</w:t>
        </w:r>
      </w:hyperlink>
    </w:p>
    <w:p w14:paraId="7B590069" w14:textId="77777777" w:rsidR="000B4023" w:rsidRPr="000B4023" w:rsidRDefault="000B4023" w:rsidP="000B4023">
      <w:pPr>
        <w:spacing w:before="120" w:after="120" w:line="240" w:lineRule="exact"/>
        <w:ind w:left="283" w:hanging="283"/>
        <w:jc w:val="both"/>
        <w:rPr>
          <w:rFonts w:ascii="FrankRuehl" w:hAnsi="FrankRuehl" w:cs="FrankRuehl"/>
          <w:rtl/>
        </w:rPr>
      </w:pPr>
      <w:hyperlink r:id="rId12" w:history="1">
        <w:r w:rsidRPr="000B4023">
          <w:rPr>
            <w:rFonts w:ascii="FrankRuehl" w:hAnsi="FrankRuehl" w:cs="FrankRuehl"/>
            <w:color w:val="0000FF"/>
            <w:rtl/>
          </w:rPr>
          <w:t>פקודת הסמים המסוכנים [נוסח חדש], תשל"ג-1973</w:t>
        </w:r>
      </w:hyperlink>
      <w:r w:rsidRPr="000B4023">
        <w:rPr>
          <w:rFonts w:ascii="FrankRuehl" w:hAnsi="FrankRuehl" w:cs="FrankRuehl"/>
          <w:rtl/>
        </w:rPr>
        <w:t xml:space="preserve">: סע'  </w:t>
      </w:r>
      <w:hyperlink r:id="rId13" w:history="1">
        <w:r w:rsidRPr="000B4023">
          <w:rPr>
            <w:rFonts w:ascii="FrankRuehl" w:hAnsi="FrankRuehl" w:cs="FrankRuehl"/>
            <w:color w:val="0000FF"/>
            <w:rtl/>
          </w:rPr>
          <w:t>7(א)</w:t>
        </w:r>
      </w:hyperlink>
      <w:r w:rsidRPr="000B4023">
        <w:rPr>
          <w:rFonts w:ascii="FrankRuehl" w:hAnsi="FrankRuehl" w:cs="FrankRuehl"/>
          <w:rtl/>
        </w:rPr>
        <w:t xml:space="preserve">, </w:t>
      </w:r>
      <w:hyperlink r:id="rId14" w:history="1">
        <w:r w:rsidRPr="000B4023">
          <w:rPr>
            <w:rFonts w:ascii="FrankRuehl" w:hAnsi="FrankRuehl" w:cs="FrankRuehl"/>
            <w:color w:val="0000FF"/>
            <w:rtl/>
          </w:rPr>
          <w:t>7(ג)</w:t>
        </w:r>
      </w:hyperlink>
    </w:p>
    <w:p w14:paraId="2071C5DD" w14:textId="77777777" w:rsidR="000B4023" w:rsidRPr="000B4023" w:rsidRDefault="000B4023" w:rsidP="000B4023">
      <w:pPr>
        <w:rPr>
          <w:sz w:val="26"/>
          <w:szCs w:val="26"/>
          <w:rtl/>
        </w:rPr>
      </w:pPr>
      <w:bookmarkStart w:id="3" w:name="LawTable_End"/>
      <w:bookmarkEnd w:id="3"/>
    </w:p>
    <w:p w14:paraId="47C083BB" w14:textId="77777777" w:rsidR="008B5534" w:rsidRPr="005547FE" w:rsidRDefault="008B5534" w:rsidP="005547FE">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B5534" w14:paraId="3FFA5AA0" w14:textId="77777777" w:rsidTr="008B5534">
        <w:trPr>
          <w:trHeight w:val="355"/>
          <w:jc w:val="center"/>
        </w:trPr>
        <w:tc>
          <w:tcPr>
            <w:tcW w:w="8820" w:type="dxa"/>
            <w:tcBorders>
              <w:top w:val="nil"/>
              <w:left w:val="nil"/>
              <w:bottom w:val="nil"/>
              <w:right w:val="nil"/>
            </w:tcBorders>
            <w:shd w:val="clear" w:color="auto" w:fill="auto"/>
          </w:tcPr>
          <w:p w14:paraId="3F8A6B9C" w14:textId="77777777" w:rsidR="004C517F" w:rsidRPr="004C517F" w:rsidRDefault="004C517F" w:rsidP="004C517F">
            <w:pPr>
              <w:jc w:val="center"/>
              <w:rPr>
                <w:rFonts w:ascii="David" w:hAnsi="David"/>
                <w:b/>
                <w:bCs/>
                <w:sz w:val="32"/>
                <w:szCs w:val="32"/>
                <w:u w:val="single"/>
                <w:rtl/>
              </w:rPr>
            </w:pPr>
            <w:bookmarkStart w:id="4" w:name="PsakDin" w:colFirst="0" w:colLast="0"/>
            <w:bookmarkEnd w:id="0"/>
            <w:r w:rsidRPr="004C517F">
              <w:rPr>
                <w:rFonts w:ascii="David" w:hAnsi="David"/>
                <w:b/>
                <w:bCs/>
                <w:sz w:val="32"/>
                <w:szCs w:val="32"/>
                <w:u w:val="single"/>
                <w:rtl/>
              </w:rPr>
              <w:t>גזר דין</w:t>
            </w:r>
          </w:p>
          <w:p w14:paraId="3C4F0EDF" w14:textId="77777777" w:rsidR="008B5534" w:rsidRPr="004C517F" w:rsidRDefault="008B5534" w:rsidP="004C517F">
            <w:pPr>
              <w:jc w:val="center"/>
              <w:rPr>
                <w:rFonts w:ascii="David" w:hAnsi="David"/>
                <w:bCs/>
                <w:sz w:val="32"/>
                <w:szCs w:val="32"/>
                <w:u w:val="single"/>
                <w:rtl/>
              </w:rPr>
            </w:pPr>
          </w:p>
        </w:tc>
      </w:tr>
      <w:bookmarkEnd w:id="4"/>
    </w:tbl>
    <w:p w14:paraId="02738F42" w14:textId="77777777" w:rsidR="008B5534" w:rsidRPr="000F2247" w:rsidRDefault="008B5534" w:rsidP="008B5534">
      <w:pPr>
        <w:rPr>
          <w:rFonts w:ascii="Arial" w:hAnsi="Arial"/>
          <w:b/>
          <w:bCs/>
          <w:sz w:val="26"/>
          <w:szCs w:val="26"/>
          <w:rtl/>
        </w:rPr>
      </w:pPr>
    </w:p>
    <w:p w14:paraId="264B965E" w14:textId="77777777" w:rsidR="008B5534" w:rsidRDefault="008B5534" w:rsidP="008B5534">
      <w:pPr>
        <w:spacing w:line="360" w:lineRule="auto"/>
        <w:rPr>
          <w:rFonts w:ascii="Arial" w:hAnsi="Arial"/>
          <w:b/>
          <w:bCs/>
          <w:u w:val="single"/>
          <w:rtl/>
        </w:rPr>
      </w:pPr>
      <w:r>
        <w:rPr>
          <w:rFonts w:ascii="Arial" w:hAnsi="Arial"/>
          <w:b/>
          <w:bCs/>
          <w:sz w:val="26"/>
          <w:szCs w:val="26"/>
          <w:rtl/>
        </w:rPr>
        <w:tab/>
      </w:r>
      <w:r w:rsidRPr="009C06BC">
        <w:rPr>
          <w:rFonts w:ascii="Arial" w:hAnsi="Arial" w:hint="cs"/>
          <w:b/>
          <w:bCs/>
          <w:u w:val="single"/>
          <w:rtl/>
        </w:rPr>
        <w:t xml:space="preserve">כתב האישום </w:t>
      </w:r>
    </w:p>
    <w:p w14:paraId="3CD46141" w14:textId="77777777" w:rsidR="008B5534" w:rsidRDefault="008B5534" w:rsidP="008B5534">
      <w:pPr>
        <w:pStyle w:val="a9"/>
        <w:numPr>
          <w:ilvl w:val="0"/>
          <w:numId w:val="1"/>
        </w:numPr>
        <w:spacing w:line="360" w:lineRule="auto"/>
        <w:rPr>
          <w:rFonts w:ascii="Arial" w:hAnsi="Arial"/>
        </w:rPr>
      </w:pPr>
      <w:bookmarkStart w:id="5" w:name="ABSTRACT_START"/>
      <w:bookmarkEnd w:id="5"/>
      <w:r>
        <w:rPr>
          <w:rFonts w:ascii="Arial" w:hAnsi="Arial" w:hint="cs"/>
          <w:rtl/>
        </w:rPr>
        <w:t xml:space="preserve">הנאשם הורשע על פי הודאתו בעובדות כתב אישום המייחס לו שלושה אישומים כמפורט להלן: </w:t>
      </w:r>
    </w:p>
    <w:p w14:paraId="3AA3C192" w14:textId="77777777" w:rsidR="008B5534" w:rsidRDefault="008B5534" w:rsidP="008B5534">
      <w:pPr>
        <w:pStyle w:val="a9"/>
        <w:spacing w:line="360" w:lineRule="auto"/>
        <w:rPr>
          <w:rFonts w:ascii="Arial" w:hAnsi="Arial"/>
          <w:b/>
          <w:bCs/>
          <w:rtl/>
        </w:rPr>
      </w:pPr>
    </w:p>
    <w:p w14:paraId="3745D867" w14:textId="77777777" w:rsidR="008B5534" w:rsidRPr="009C06BC" w:rsidRDefault="008B5534" w:rsidP="008B5534">
      <w:pPr>
        <w:pStyle w:val="a9"/>
        <w:spacing w:line="360" w:lineRule="auto"/>
        <w:rPr>
          <w:rFonts w:ascii="Arial" w:hAnsi="Arial"/>
          <w:b/>
          <w:bCs/>
          <w:rtl/>
        </w:rPr>
      </w:pPr>
      <w:r w:rsidRPr="009C06BC">
        <w:rPr>
          <w:rFonts w:ascii="Arial" w:hAnsi="Arial" w:hint="cs"/>
          <w:b/>
          <w:bCs/>
          <w:rtl/>
        </w:rPr>
        <w:t xml:space="preserve">חלק כללי : </w:t>
      </w:r>
    </w:p>
    <w:p w14:paraId="0D8BC382" w14:textId="77777777" w:rsidR="008B5534" w:rsidRDefault="008B5534" w:rsidP="008B5534">
      <w:pPr>
        <w:pStyle w:val="a9"/>
        <w:spacing w:line="360" w:lineRule="auto"/>
        <w:jc w:val="both"/>
        <w:rPr>
          <w:rFonts w:ascii="Arial" w:hAnsi="Arial"/>
          <w:rtl/>
        </w:rPr>
      </w:pPr>
      <w:r>
        <w:rPr>
          <w:rFonts w:ascii="Arial" w:hAnsi="Arial" w:hint="cs"/>
          <w:rtl/>
        </w:rPr>
        <w:t xml:space="preserve">על פי עובדות החלק הכללי של כתב האישום הגיע הנאשם לבית החולים גליל מערבי שבנהריה (להלן: "בית החולים") בכוונה לבצע גניבה, בכך שעלה לחדרי המטופלים במחלקות השונות וחיפש רכוש עד אשר מצא את הרכוש המתואר בכתב האישום. </w:t>
      </w:r>
    </w:p>
    <w:p w14:paraId="45D80EC5" w14:textId="77777777" w:rsidR="008B5534" w:rsidRDefault="008B5534" w:rsidP="008B5534">
      <w:pPr>
        <w:pStyle w:val="a9"/>
        <w:spacing w:line="360" w:lineRule="auto"/>
        <w:rPr>
          <w:rFonts w:ascii="Arial" w:hAnsi="Arial"/>
          <w:rtl/>
        </w:rPr>
      </w:pPr>
    </w:p>
    <w:p w14:paraId="0CBB6C6B" w14:textId="77777777" w:rsidR="008B5534" w:rsidRPr="009C06BC" w:rsidRDefault="008B5534" w:rsidP="008B5534">
      <w:pPr>
        <w:pStyle w:val="a9"/>
        <w:spacing w:line="360" w:lineRule="auto"/>
        <w:rPr>
          <w:rFonts w:ascii="Arial" w:hAnsi="Arial"/>
          <w:b/>
          <w:bCs/>
          <w:rtl/>
        </w:rPr>
      </w:pPr>
      <w:bookmarkStart w:id="6" w:name="ABSTRACT_END"/>
      <w:bookmarkEnd w:id="6"/>
      <w:r w:rsidRPr="009C06BC">
        <w:rPr>
          <w:rFonts w:ascii="Arial" w:hAnsi="Arial" w:hint="cs"/>
          <w:b/>
          <w:bCs/>
          <w:rtl/>
        </w:rPr>
        <w:t xml:space="preserve">אישום מספר 1: </w:t>
      </w:r>
    </w:p>
    <w:p w14:paraId="0D3AF7FA" w14:textId="77777777" w:rsidR="008B5534" w:rsidRDefault="008B5534" w:rsidP="008B5534">
      <w:pPr>
        <w:pStyle w:val="a9"/>
        <w:spacing w:line="360" w:lineRule="auto"/>
        <w:jc w:val="both"/>
        <w:rPr>
          <w:rFonts w:ascii="Arial" w:hAnsi="Arial"/>
          <w:rtl/>
        </w:rPr>
      </w:pPr>
      <w:r>
        <w:rPr>
          <w:rFonts w:ascii="Arial" w:hAnsi="Arial" w:hint="cs"/>
          <w:rtl/>
        </w:rPr>
        <w:t xml:space="preserve">על פי עובדות האישום הראשון בתאריך 3.5.22 בין השעות 17:40-19:30 או בסמוך לכך, במחלקה האורתופדית בחדר מספר 9 נטל הנאשם מכשיר טלפון נייד מסוג סמסונג בשווי </w:t>
      </w:r>
      <w:r>
        <w:rPr>
          <w:rFonts w:ascii="Arial" w:hAnsi="Arial" w:hint="cs"/>
          <w:rtl/>
        </w:rPr>
        <w:lastRenderedPageBreak/>
        <w:t xml:space="preserve">מוערך של 6,000 ₪ השייך למתלונן (להלן: "מתלונן מספר 1") שהיה מונח ליד מיטת המתלונן 1 ויצא מבית החולים כשמכשיר הטלפון הנייד בחזקתו. בהמשך מכר הנאשם את מכשיר הטלפון הנייד לאדם שזהותו אינה ידועה בסכום של 500 ₪ לערך. </w:t>
      </w:r>
    </w:p>
    <w:p w14:paraId="2A47E0A7" w14:textId="77777777" w:rsidR="008B5534" w:rsidRDefault="008B5534" w:rsidP="008B5534">
      <w:pPr>
        <w:pStyle w:val="a9"/>
        <w:spacing w:line="360" w:lineRule="auto"/>
        <w:rPr>
          <w:rFonts w:ascii="Arial" w:hAnsi="Arial"/>
          <w:rtl/>
        </w:rPr>
      </w:pPr>
    </w:p>
    <w:p w14:paraId="22822E4D" w14:textId="77777777" w:rsidR="008B5534" w:rsidRDefault="008B5534" w:rsidP="008B5534">
      <w:pPr>
        <w:pStyle w:val="a9"/>
        <w:spacing w:line="360" w:lineRule="auto"/>
        <w:jc w:val="both"/>
        <w:rPr>
          <w:rFonts w:ascii="Arial" w:hAnsi="Arial"/>
          <w:rtl/>
        </w:rPr>
      </w:pPr>
      <w:r>
        <w:rPr>
          <w:rFonts w:ascii="Arial" w:hAnsi="Arial" w:hint="cs"/>
          <w:rtl/>
        </w:rPr>
        <w:t xml:space="preserve">באותו המועד, בחדר מספר 1, במחלקה האורתופדית בבית החולים, נטל הנאשם ארנק ובו שני פנקסי צ'קים השייכים למתלונן (להלן: "המתלונן 2") באופן שנטל את הארנק שהיה בתיק על מיטת המתלונן ויצא מבית החולים כשהארנק בחזקתו. בהמשך, זרק הנאשם את הארנק. </w:t>
      </w:r>
    </w:p>
    <w:p w14:paraId="77370C52" w14:textId="77777777" w:rsidR="008B5534" w:rsidRDefault="008B5534" w:rsidP="008B5534">
      <w:pPr>
        <w:pStyle w:val="a9"/>
        <w:spacing w:line="360" w:lineRule="auto"/>
        <w:rPr>
          <w:rFonts w:ascii="Arial" w:hAnsi="Arial"/>
          <w:rtl/>
        </w:rPr>
      </w:pPr>
    </w:p>
    <w:p w14:paraId="15E0A984" w14:textId="77777777" w:rsidR="008B5534" w:rsidRDefault="008B5534" w:rsidP="008B5534">
      <w:pPr>
        <w:pStyle w:val="a9"/>
        <w:spacing w:line="360" w:lineRule="auto"/>
        <w:rPr>
          <w:rFonts w:ascii="Arial" w:hAnsi="Arial"/>
          <w:rtl/>
        </w:rPr>
      </w:pPr>
      <w:r>
        <w:rPr>
          <w:rFonts w:ascii="Arial" w:hAnsi="Arial" w:hint="cs"/>
          <w:rtl/>
        </w:rPr>
        <w:t xml:space="preserve">בגין אישום זה הורשע הנאשם בעבירת גניבה </w:t>
      </w:r>
      <w:r>
        <w:rPr>
          <w:rFonts w:ascii="Arial" w:hAnsi="Arial"/>
          <w:rtl/>
        </w:rPr>
        <w:t>–</w:t>
      </w:r>
      <w:r>
        <w:rPr>
          <w:rFonts w:ascii="Arial" w:hAnsi="Arial" w:hint="cs"/>
          <w:rtl/>
        </w:rPr>
        <w:t xml:space="preserve"> עבירה לפי </w:t>
      </w:r>
      <w:hyperlink r:id="rId15" w:history="1">
        <w:r w:rsidR="007D4107" w:rsidRPr="007D4107">
          <w:rPr>
            <w:rStyle w:val="Hyperlink"/>
            <w:rFonts w:ascii="Arial" w:hAnsi="Arial" w:hint="eastAsia"/>
            <w:rtl/>
          </w:rPr>
          <w:t>סעיף</w:t>
        </w:r>
        <w:r w:rsidR="007D4107" w:rsidRPr="007D4107">
          <w:rPr>
            <w:rStyle w:val="Hyperlink"/>
            <w:rFonts w:ascii="Arial" w:hAnsi="Arial"/>
            <w:rtl/>
          </w:rPr>
          <w:t xml:space="preserve"> 384</w:t>
        </w:r>
      </w:hyperlink>
      <w:r>
        <w:rPr>
          <w:rFonts w:ascii="Arial" w:hAnsi="Arial" w:hint="cs"/>
          <w:rtl/>
        </w:rPr>
        <w:t xml:space="preserve"> ל</w:t>
      </w:r>
      <w:hyperlink r:id="rId16" w:history="1">
        <w:r w:rsidR="004C517F" w:rsidRPr="004C517F">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(להלן: "חוק העונשין"). </w:t>
      </w:r>
    </w:p>
    <w:p w14:paraId="66D3ED04" w14:textId="77777777" w:rsidR="008B5534" w:rsidRPr="004A2BE1" w:rsidRDefault="008B5534" w:rsidP="008B5534">
      <w:pPr>
        <w:pStyle w:val="a9"/>
        <w:spacing w:line="360" w:lineRule="auto"/>
        <w:rPr>
          <w:rFonts w:ascii="Arial" w:hAnsi="Arial"/>
          <w:b/>
          <w:bCs/>
          <w:rtl/>
        </w:rPr>
      </w:pPr>
      <w:r w:rsidRPr="004A2BE1">
        <w:rPr>
          <w:rFonts w:ascii="Arial" w:hAnsi="Arial" w:hint="cs"/>
          <w:b/>
          <w:bCs/>
          <w:rtl/>
        </w:rPr>
        <w:t>אישום מספר 2:</w:t>
      </w:r>
    </w:p>
    <w:p w14:paraId="6B3897E7" w14:textId="77777777" w:rsidR="008B5534" w:rsidRDefault="008B5534" w:rsidP="008B5534">
      <w:pPr>
        <w:pStyle w:val="a9"/>
        <w:spacing w:line="360" w:lineRule="auto"/>
        <w:jc w:val="both"/>
        <w:rPr>
          <w:rFonts w:ascii="Arial" w:hAnsi="Arial"/>
          <w:rtl/>
        </w:rPr>
      </w:pPr>
      <w:r>
        <w:rPr>
          <w:rFonts w:ascii="Arial" w:hAnsi="Arial" w:hint="cs"/>
          <w:rtl/>
        </w:rPr>
        <w:t xml:space="preserve">בתאריך 5.5.22 בין השעות 19:00-21:00 או בסמוך לכך בחדר מספר 4 במחלקה הפנימית ה' בבית החולים, נטל הנאשם מכשיר נייד מסוג אייפון 13 פרו בשווי של 5,399 ₪ השייך למתלונן </w:t>
      </w:r>
    </w:p>
    <w:p w14:paraId="752876DF" w14:textId="77777777" w:rsidR="008B5534" w:rsidRDefault="008B5534" w:rsidP="008B5534">
      <w:pPr>
        <w:pStyle w:val="a9"/>
        <w:spacing w:line="360" w:lineRule="auto"/>
        <w:jc w:val="both"/>
        <w:rPr>
          <w:rFonts w:ascii="Arial" w:hAnsi="Arial"/>
          <w:rtl/>
        </w:rPr>
      </w:pPr>
      <w:r>
        <w:rPr>
          <w:rFonts w:ascii="Arial" w:hAnsi="Arial" w:hint="cs"/>
          <w:rtl/>
        </w:rPr>
        <w:t xml:space="preserve">(להלן: "המתלונן 3") באופן שנטל את מכשיר הטלפון הנייד שהיה מונח על המדף ליד מיטת המתלונן 3 ויצא מבית החולים כשהמכשיר הנייד בחזקתו . בהמשך, במועד שאינו ידוע למאשימה מכר הנאשם את מכשיר הטלפון הנייד לאדם שזהותו אינה ידועה למאשימה בסך של 600 ₪. </w:t>
      </w:r>
    </w:p>
    <w:p w14:paraId="2C652FE4" w14:textId="77777777" w:rsidR="008B5534" w:rsidRDefault="008B5534" w:rsidP="008B5534">
      <w:pPr>
        <w:pStyle w:val="a9"/>
        <w:spacing w:line="360" w:lineRule="auto"/>
        <w:jc w:val="both"/>
        <w:rPr>
          <w:rFonts w:ascii="Arial" w:hAnsi="Arial"/>
          <w:rtl/>
        </w:rPr>
      </w:pPr>
    </w:p>
    <w:p w14:paraId="40EB0071" w14:textId="77777777" w:rsidR="008B5534" w:rsidRPr="003434F7" w:rsidRDefault="008B5534" w:rsidP="008B5534">
      <w:pPr>
        <w:pStyle w:val="a9"/>
        <w:spacing w:line="360" w:lineRule="auto"/>
        <w:jc w:val="both"/>
        <w:rPr>
          <w:rFonts w:ascii="Arial" w:hAnsi="Arial"/>
          <w:b/>
          <w:bCs/>
          <w:rtl/>
        </w:rPr>
      </w:pPr>
      <w:r w:rsidRPr="003434F7">
        <w:rPr>
          <w:rFonts w:ascii="Arial" w:hAnsi="Arial" w:hint="cs"/>
          <w:b/>
          <w:bCs/>
          <w:rtl/>
        </w:rPr>
        <w:t xml:space="preserve">בגין אישום זה הורשע הנאשם בעבירת גניבה </w:t>
      </w:r>
      <w:r w:rsidRPr="003434F7">
        <w:rPr>
          <w:rFonts w:ascii="Arial" w:hAnsi="Arial"/>
          <w:b/>
          <w:bCs/>
          <w:rtl/>
        </w:rPr>
        <w:t>–</w:t>
      </w:r>
      <w:r w:rsidRPr="003434F7">
        <w:rPr>
          <w:rFonts w:ascii="Arial" w:hAnsi="Arial" w:hint="cs"/>
          <w:b/>
          <w:bCs/>
          <w:rtl/>
        </w:rPr>
        <w:t xml:space="preserve"> עבירה לפי </w:t>
      </w:r>
      <w:hyperlink r:id="rId17" w:history="1">
        <w:r w:rsidR="007D4107" w:rsidRPr="007D4107">
          <w:rPr>
            <w:rStyle w:val="Hyperlink"/>
            <w:rFonts w:ascii="Arial" w:hAnsi="Arial" w:hint="eastAsia"/>
            <w:b/>
            <w:bCs/>
            <w:rtl/>
          </w:rPr>
          <w:t>סעיף</w:t>
        </w:r>
        <w:r w:rsidR="007D4107" w:rsidRPr="007D4107">
          <w:rPr>
            <w:rStyle w:val="Hyperlink"/>
            <w:rFonts w:ascii="Arial" w:hAnsi="Arial"/>
            <w:b/>
            <w:bCs/>
            <w:rtl/>
          </w:rPr>
          <w:t xml:space="preserve"> 384</w:t>
        </w:r>
      </w:hyperlink>
      <w:r w:rsidRPr="003434F7">
        <w:rPr>
          <w:rFonts w:ascii="Arial" w:hAnsi="Arial" w:hint="cs"/>
          <w:b/>
          <w:bCs/>
          <w:rtl/>
        </w:rPr>
        <w:t xml:space="preserve"> ל</w:t>
      </w:r>
      <w:hyperlink r:id="rId18" w:history="1">
        <w:r w:rsidR="004C517F" w:rsidRPr="004C517F">
          <w:rPr>
            <w:rFonts w:ascii="Arial" w:hAnsi="Arial"/>
            <w:b/>
            <w:bCs/>
            <w:color w:val="0000FF"/>
            <w:u w:val="single"/>
            <w:rtl/>
          </w:rPr>
          <w:t>חוק העונשין</w:t>
        </w:r>
      </w:hyperlink>
      <w:r w:rsidRPr="003434F7">
        <w:rPr>
          <w:rFonts w:ascii="Arial" w:hAnsi="Arial" w:hint="cs"/>
          <w:b/>
          <w:bCs/>
          <w:rtl/>
        </w:rPr>
        <w:t xml:space="preserve">. </w:t>
      </w:r>
    </w:p>
    <w:p w14:paraId="127CB4E3" w14:textId="77777777" w:rsidR="008B5534" w:rsidRDefault="008B5534" w:rsidP="008B5534">
      <w:pPr>
        <w:pStyle w:val="a9"/>
        <w:spacing w:line="360" w:lineRule="auto"/>
        <w:jc w:val="both"/>
        <w:rPr>
          <w:rFonts w:ascii="Arial" w:hAnsi="Arial"/>
          <w:rtl/>
        </w:rPr>
      </w:pPr>
    </w:p>
    <w:p w14:paraId="55342707" w14:textId="77777777" w:rsidR="008B5534" w:rsidRPr="003434F7" w:rsidRDefault="008B5534" w:rsidP="008B5534">
      <w:pPr>
        <w:pStyle w:val="a9"/>
        <w:spacing w:line="360" w:lineRule="auto"/>
        <w:jc w:val="both"/>
        <w:rPr>
          <w:rFonts w:ascii="Arial" w:hAnsi="Arial"/>
          <w:b/>
          <w:bCs/>
          <w:rtl/>
        </w:rPr>
      </w:pPr>
      <w:r w:rsidRPr="003434F7">
        <w:rPr>
          <w:rFonts w:ascii="Arial" w:hAnsi="Arial" w:hint="cs"/>
          <w:b/>
          <w:bCs/>
          <w:rtl/>
        </w:rPr>
        <w:t xml:space="preserve">אישום מספר 3: </w:t>
      </w:r>
    </w:p>
    <w:p w14:paraId="4CCA2B15" w14:textId="77777777" w:rsidR="008B5534" w:rsidRDefault="008B5534" w:rsidP="008B5534">
      <w:pPr>
        <w:pStyle w:val="a9"/>
        <w:spacing w:line="360" w:lineRule="auto"/>
        <w:jc w:val="both"/>
        <w:rPr>
          <w:rFonts w:ascii="Arial" w:hAnsi="Arial"/>
          <w:rtl/>
        </w:rPr>
      </w:pPr>
      <w:r>
        <w:rPr>
          <w:rFonts w:ascii="Arial" w:hAnsi="Arial" w:hint="cs"/>
          <w:rtl/>
        </w:rPr>
        <w:t xml:space="preserve">בתאריך 9.5.22 החזיק הנאשם בביתו במעלות, בארנק בחדר השינה בסם מסוכן מסוג הרואין המחולק ל </w:t>
      </w:r>
      <w:r>
        <w:rPr>
          <w:rFonts w:ascii="Arial" w:hAnsi="Arial"/>
          <w:rtl/>
        </w:rPr>
        <w:t>–</w:t>
      </w:r>
      <w:r>
        <w:rPr>
          <w:rFonts w:ascii="Arial" w:hAnsi="Arial" w:hint="cs"/>
          <w:rtl/>
        </w:rPr>
        <w:t xml:space="preserve"> 3 מנות במשקל נטו של 1.9092 גרם שלא לצריכתו העצמית. </w:t>
      </w:r>
    </w:p>
    <w:p w14:paraId="02E3A1EB" w14:textId="77777777" w:rsidR="008B5534" w:rsidRDefault="008B5534" w:rsidP="008B5534">
      <w:pPr>
        <w:pStyle w:val="a9"/>
        <w:spacing w:line="360" w:lineRule="auto"/>
        <w:jc w:val="both"/>
        <w:rPr>
          <w:rFonts w:ascii="Arial" w:hAnsi="Arial"/>
          <w:rtl/>
        </w:rPr>
      </w:pPr>
    </w:p>
    <w:p w14:paraId="71C76D50" w14:textId="77777777" w:rsidR="008B5534" w:rsidRPr="00C515F9" w:rsidRDefault="008B5534" w:rsidP="008B5534">
      <w:pPr>
        <w:pStyle w:val="a9"/>
        <w:spacing w:line="360" w:lineRule="auto"/>
        <w:jc w:val="both"/>
        <w:rPr>
          <w:rFonts w:ascii="Arial" w:hAnsi="Arial"/>
          <w:b/>
          <w:bCs/>
          <w:rtl/>
        </w:rPr>
      </w:pPr>
      <w:r w:rsidRPr="00C515F9">
        <w:rPr>
          <w:rFonts w:ascii="Arial" w:hAnsi="Arial" w:hint="cs"/>
          <w:b/>
          <w:bCs/>
          <w:rtl/>
        </w:rPr>
        <w:t xml:space="preserve">בגין אישום זה הורשע הנאשם בעבירה של החזקת סמים שלא לצריכה עצמית </w:t>
      </w:r>
      <w:r w:rsidRPr="00C515F9">
        <w:rPr>
          <w:rFonts w:ascii="Arial" w:hAnsi="Arial"/>
          <w:b/>
          <w:bCs/>
          <w:rtl/>
        </w:rPr>
        <w:t>–</w:t>
      </w:r>
      <w:r w:rsidRPr="00C515F9">
        <w:rPr>
          <w:rFonts w:ascii="Arial" w:hAnsi="Arial" w:hint="cs"/>
          <w:b/>
          <w:bCs/>
          <w:rtl/>
        </w:rPr>
        <w:t xml:space="preserve"> עבירה לפי </w:t>
      </w:r>
      <w:hyperlink r:id="rId19" w:history="1">
        <w:r w:rsidR="007D4107" w:rsidRPr="007D4107">
          <w:rPr>
            <w:rStyle w:val="Hyperlink"/>
            <w:rFonts w:ascii="Arial" w:hAnsi="Arial" w:hint="eastAsia"/>
            <w:b/>
            <w:bCs/>
            <w:rtl/>
          </w:rPr>
          <w:t>סעיף</w:t>
        </w:r>
        <w:r w:rsidR="007D4107" w:rsidRPr="007D4107">
          <w:rPr>
            <w:rStyle w:val="Hyperlink"/>
            <w:rFonts w:ascii="Arial" w:hAnsi="Arial"/>
            <w:b/>
            <w:bCs/>
            <w:rtl/>
          </w:rPr>
          <w:t xml:space="preserve"> 7(א)</w:t>
        </w:r>
      </w:hyperlink>
      <w:r w:rsidRPr="00C515F9">
        <w:rPr>
          <w:rFonts w:ascii="Arial" w:hAnsi="Arial" w:hint="cs"/>
          <w:b/>
          <w:bCs/>
          <w:rtl/>
        </w:rPr>
        <w:t xml:space="preserve"> + </w:t>
      </w:r>
      <w:hyperlink r:id="rId20" w:history="1">
        <w:r w:rsidR="007D4107" w:rsidRPr="007D4107">
          <w:rPr>
            <w:rStyle w:val="Hyperlink"/>
            <w:rFonts w:ascii="Arial" w:hAnsi="Arial"/>
            <w:b/>
            <w:bCs/>
            <w:rtl/>
          </w:rPr>
          <w:t>7(ג)</w:t>
        </w:r>
      </w:hyperlink>
      <w:r w:rsidRPr="00C515F9">
        <w:rPr>
          <w:rFonts w:ascii="Arial" w:hAnsi="Arial" w:hint="cs"/>
          <w:b/>
          <w:bCs/>
          <w:rtl/>
        </w:rPr>
        <w:t xml:space="preserve"> רישא </w:t>
      </w:r>
      <w:r w:rsidRPr="00C515F9">
        <w:rPr>
          <w:rFonts w:ascii="Arial" w:hAnsi="Arial"/>
          <w:b/>
          <w:bCs/>
          <w:rtl/>
        </w:rPr>
        <w:t>–</w:t>
      </w:r>
      <w:r w:rsidRPr="00C515F9">
        <w:rPr>
          <w:rFonts w:ascii="Arial" w:hAnsi="Arial" w:hint="cs"/>
          <w:b/>
          <w:bCs/>
          <w:rtl/>
        </w:rPr>
        <w:t xml:space="preserve"> ל</w:t>
      </w:r>
      <w:hyperlink r:id="rId21" w:history="1">
        <w:r w:rsidR="004C517F" w:rsidRPr="004C517F">
          <w:rPr>
            <w:rFonts w:ascii="Arial" w:hAnsi="Arial"/>
            <w:b/>
            <w:bCs/>
            <w:color w:val="0000FF"/>
            <w:u w:val="single"/>
            <w:rtl/>
          </w:rPr>
          <w:t>פקודת הסמים המסוכנים</w:t>
        </w:r>
      </w:hyperlink>
      <w:r w:rsidRPr="00C515F9">
        <w:rPr>
          <w:rFonts w:ascii="Arial" w:hAnsi="Arial" w:hint="cs"/>
          <w:b/>
          <w:bCs/>
          <w:rtl/>
        </w:rPr>
        <w:t xml:space="preserve"> (נוסח חדש), תשל"ג </w:t>
      </w:r>
      <w:r w:rsidRPr="00C515F9">
        <w:rPr>
          <w:rFonts w:ascii="Arial" w:hAnsi="Arial"/>
          <w:b/>
          <w:bCs/>
          <w:rtl/>
        </w:rPr>
        <w:t>–</w:t>
      </w:r>
      <w:r w:rsidRPr="00C515F9">
        <w:rPr>
          <w:rFonts w:ascii="Arial" w:hAnsi="Arial" w:hint="cs"/>
          <w:b/>
          <w:bCs/>
          <w:rtl/>
        </w:rPr>
        <w:t xml:space="preserve"> 1973 (להלן: "פקודת הסמים"). </w:t>
      </w:r>
    </w:p>
    <w:p w14:paraId="0AB99812" w14:textId="77777777" w:rsidR="008B5534" w:rsidRDefault="008B5534" w:rsidP="008B5534">
      <w:pPr>
        <w:pStyle w:val="a9"/>
        <w:spacing w:line="360" w:lineRule="auto"/>
        <w:rPr>
          <w:rFonts w:ascii="Arial" w:hAnsi="Arial"/>
          <w:rtl/>
        </w:rPr>
      </w:pPr>
    </w:p>
    <w:p w14:paraId="0D0B9447" w14:textId="77777777" w:rsidR="008B5534" w:rsidRPr="00EA2021" w:rsidRDefault="008B5534" w:rsidP="008B5534">
      <w:pPr>
        <w:pStyle w:val="a9"/>
        <w:spacing w:line="360" w:lineRule="auto"/>
        <w:rPr>
          <w:rFonts w:ascii="Arial" w:hAnsi="Arial"/>
          <w:b/>
          <w:bCs/>
          <w:u w:val="single"/>
          <w:rtl/>
        </w:rPr>
      </w:pPr>
      <w:r w:rsidRPr="00EA2021">
        <w:rPr>
          <w:rFonts w:ascii="Arial" w:hAnsi="Arial" w:hint="cs"/>
          <w:b/>
          <w:bCs/>
          <w:u w:val="single"/>
          <w:rtl/>
        </w:rPr>
        <w:t xml:space="preserve">ראיות לעונש </w:t>
      </w:r>
    </w:p>
    <w:p w14:paraId="104421F1" w14:textId="77777777" w:rsidR="008B5534" w:rsidRDefault="008B5534" w:rsidP="008B5534">
      <w:pPr>
        <w:pStyle w:val="a9"/>
        <w:numPr>
          <w:ilvl w:val="0"/>
          <w:numId w:val="1"/>
        </w:numPr>
        <w:spacing w:line="360" w:lineRule="auto"/>
        <w:jc w:val="both"/>
        <w:rPr>
          <w:rFonts w:ascii="Arial" w:hAnsi="Arial"/>
        </w:rPr>
      </w:pPr>
      <w:r>
        <w:rPr>
          <w:rFonts w:ascii="Arial" w:hAnsi="Arial" w:hint="cs"/>
          <w:rtl/>
        </w:rPr>
        <w:t xml:space="preserve">במסגרת הראיות לעונש העידה בת זוגו של הנאשם וסיפרה כי היא נמצאת בחודש השמיני להריונה ומבקשת כי הנאשם יוכל להיות לצדה בתקופה זו ובלידה. העדה סיפרה שעברה על הנאשם תקופה קשה  ולא היתה לבני הזוג כל מעטפת משפחתית תומכת. גם מצבם הכלכלי כך נטען היה קשה וביקשה שבית המשפט יחוס על הנאשם ויתחשב בו. </w:t>
      </w:r>
    </w:p>
    <w:p w14:paraId="20D6CC3B" w14:textId="77777777" w:rsidR="008B5534" w:rsidRPr="00EA2021" w:rsidRDefault="008B5534" w:rsidP="008B5534">
      <w:pPr>
        <w:pStyle w:val="a9"/>
        <w:spacing w:line="360" w:lineRule="auto"/>
        <w:jc w:val="both"/>
        <w:rPr>
          <w:rFonts w:ascii="Arial" w:hAnsi="Arial"/>
          <w:rtl/>
        </w:rPr>
      </w:pPr>
    </w:p>
    <w:p w14:paraId="6B65B751" w14:textId="77777777" w:rsidR="008B5534" w:rsidRPr="00EA2021" w:rsidRDefault="008B5534" w:rsidP="008B5534">
      <w:pPr>
        <w:spacing w:line="360" w:lineRule="auto"/>
        <w:ind w:firstLine="714"/>
        <w:rPr>
          <w:rFonts w:ascii="Arial" w:hAnsi="Arial"/>
          <w:b/>
          <w:bCs/>
          <w:u w:val="single"/>
          <w:rtl/>
        </w:rPr>
      </w:pPr>
      <w:r w:rsidRPr="00EA2021">
        <w:rPr>
          <w:rFonts w:ascii="Arial" w:hAnsi="Arial" w:hint="cs"/>
          <w:b/>
          <w:bCs/>
          <w:u w:val="single"/>
          <w:rtl/>
        </w:rPr>
        <w:t xml:space="preserve">תמצית טיעוני הצדדים לעונש </w:t>
      </w:r>
    </w:p>
    <w:p w14:paraId="38368DFF" w14:textId="77777777" w:rsidR="008B5534" w:rsidRDefault="008B5534" w:rsidP="008B5534">
      <w:pPr>
        <w:pStyle w:val="a9"/>
        <w:numPr>
          <w:ilvl w:val="0"/>
          <w:numId w:val="1"/>
        </w:numPr>
        <w:spacing w:line="360" w:lineRule="auto"/>
        <w:ind w:left="714" w:hanging="357"/>
        <w:jc w:val="both"/>
        <w:rPr>
          <w:rFonts w:ascii="Arial" w:hAnsi="Arial"/>
        </w:rPr>
      </w:pPr>
      <w:r>
        <w:rPr>
          <w:rFonts w:ascii="Arial" w:hAnsi="Arial" w:hint="cs"/>
          <w:rtl/>
        </w:rPr>
        <w:t xml:space="preserve">במסגרת הראיות לעונש הגישה ב"כ המאשימה את גיליון הרשעותיו  - </w:t>
      </w:r>
      <w:r w:rsidRPr="00EA2021">
        <w:rPr>
          <w:rFonts w:ascii="Arial" w:hAnsi="Arial" w:hint="cs"/>
          <w:b/>
          <w:bCs/>
          <w:rtl/>
        </w:rPr>
        <w:t>ת/1</w:t>
      </w:r>
      <w:r>
        <w:rPr>
          <w:rFonts w:ascii="Arial" w:hAnsi="Arial" w:hint="cs"/>
          <w:rtl/>
        </w:rPr>
        <w:t xml:space="preserve">. ב"כ המאשימה הדגישה את הנסיבות החמורות לביצוע העבירות שעה שהנאשם ניצל את שעתם הקשה של המתלוננים שהיו מאושפזים בבית החולים וגנב מהם מכשירי טלפון וארנק הכל כמפורט בכתב האישום. ב"כ המאשימה טענה כי יש לקבוע שכל אחד מהאישומים מהווה אירוע אחד וטענה כי יש לקבוע מתחם עונש נפרד לכל אחד מהאישומים. לפיכך, עתרה המאשימה למתחם עונש הולם לאישום הראשון שנע בין עונש של 8 חודשי מאסר בופעל ועד לעונש של 18 חודשי מאסר בפועל ברף העליון ובאשר לעונשו של הנאשם טענה ב"כ המאשימה שהמאשימה עותרת לעונש של 10 חודשי מאסר בפועל, ביחס לאישום השני מתחם עונש שנע בין עונש של 6 חודשי מאסר בפועל ועד לעונש של 12 חודשי מאסר בפועל ובאשר לעונשו של הנאשם עתרה המאשימה לעונש של 8 חודשי מאסר בפועל, ביחס לאישום השלישי עתרה המאשימה למתחם עונש שנע בין עונש של 8 חודשי מאסר בפועל ועד לעונש של 18 חודשי מאסר בפועל ובאשר לעונשו של הנאשם עתרה המאשימה לעונש של 12 חודשי מאסר בפועל. ב"כ המאשימה הפנתה לפסיקה הרלוונטית לטעמה למתחמי הענישה להם עתרה </w:t>
      </w:r>
      <w:r>
        <w:rPr>
          <w:rFonts w:ascii="Arial" w:hAnsi="Arial"/>
          <w:rtl/>
        </w:rPr>
        <w:t>–</w:t>
      </w:r>
      <w:r>
        <w:rPr>
          <w:rFonts w:ascii="Arial" w:hAnsi="Arial" w:hint="cs"/>
          <w:rtl/>
        </w:rPr>
        <w:t xml:space="preserve"> </w:t>
      </w:r>
      <w:r w:rsidRPr="00EA2021">
        <w:rPr>
          <w:rFonts w:ascii="Arial" w:hAnsi="Arial" w:hint="cs"/>
          <w:b/>
          <w:bCs/>
          <w:rtl/>
        </w:rPr>
        <w:t>ת/2.</w:t>
      </w:r>
      <w:r>
        <w:rPr>
          <w:rFonts w:ascii="Arial" w:hAnsi="Arial" w:hint="cs"/>
          <w:rtl/>
        </w:rPr>
        <w:t xml:space="preserve">  באשר לעונשו של הנאשם ולנסיבות שאינן קשורות לביצוע העבירות טענה ב"כ המאשימה שמדובר בנאשם יליד 1958 שלחובתו עבר פלילי מכביד בעבירות סמים, רכוש ואף ריצה עונשי מאסר בפועל לתקופות ממושכות. אין כל סיכויי שיקום בעניינו של הנאשם ועל כן אין לסטות ממתחם העונש ההולם ובנסיבות העניין יש להשית עונש כולל שלא יפחת מ </w:t>
      </w:r>
      <w:r>
        <w:rPr>
          <w:rFonts w:ascii="Arial" w:hAnsi="Arial"/>
          <w:rtl/>
        </w:rPr>
        <w:t>–</w:t>
      </w:r>
      <w:r>
        <w:rPr>
          <w:rFonts w:ascii="Arial" w:hAnsi="Arial" w:hint="cs"/>
          <w:rtl/>
        </w:rPr>
        <w:t xml:space="preserve"> 30 חודשי מאסר בפועל, מאסר על תנאי, קנס כספי, פסילת רישיון הנהיגה בפועל ועל תנאי וכן פיצוי למתלוננים. </w:t>
      </w:r>
    </w:p>
    <w:p w14:paraId="1FF234F3" w14:textId="77777777" w:rsidR="008B5534" w:rsidRDefault="008B5534" w:rsidP="008B5534">
      <w:pPr>
        <w:pStyle w:val="a9"/>
        <w:spacing w:line="360" w:lineRule="auto"/>
        <w:ind w:left="714"/>
        <w:jc w:val="both"/>
        <w:rPr>
          <w:rFonts w:ascii="Arial" w:hAnsi="Arial"/>
        </w:rPr>
      </w:pPr>
    </w:p>
    <w:p w14:paraId="29E6026E" w14:textId="77777777" w:rsidR="008B5534" w:rsidRDefault="008B5534" w:rsidP="008B5534">
      <w:pPr>
        <w:pStyle w:val="a9"/>
        <w:numPr>
          <w:ilvl w:val="0"/>
          <w:numId w:val="1"/>
        </w:numPr>
        <w:spacing w:line="360" w:lineRule="auto"/>
        <w:ind w:left="714" w:hanging="357"/>
        <w:jc w:val="both"/>
        <w:rPr>
          <w:rFonts w:ascii="Arial" w:hAnsi="Arial"/>
        </w:rPr>
      </w:pPr>
      <w:r>
        <w:rPr>
          <w:rFonts w:ascii="Arial" w:hAnsi="Arial" w:hint="cs"/>
          <w:rtl/>
        </w:rPr>
        <w:t xml:space="preserve">ב"כ הנאשם הדגישה את נסיבותיו האישיות והרפואיות של הנאשם וציינה עוד את הודאת הנאשם בהזדמנות הראשונה ולקיחת האחריות ואת העובדה שהנאשם חסך את עדותם של המתלוננים. באשר לנסיבות ביצוע העבירות טענה ב"כ הנאשם שיש לקבוע כי כל האישומים מהווים אירוע אחד וטענה עוד כי מתחם העונש לו עותרת המאשימה אינו תואם את נסיבות ביצוע העבירות והפנתה לפסיקה רלוונטית לטעמה. כמו כן ביקשה ב"כ הנאשם לתת משקל של ממש לדברי בת זוגו של הנאשם שסיפרה על מצבם הכלכלי הקשה. הוסיפה וטענה ב"כ הנאשם באשר לנסיבות תאונת הדרכים שעבר הנאשם אשר השאירה את אותותיה על הנאשם. לסיכום עתרה הסנגורית להסתפק בתקופת מעצרו של הנאשם  ולא להשית עונש מעבר לשישה חודשים. </w:t>
      </w:r>
    </w:p>
    <w:p w14:paraId="77F7F99E" w14:textId="77777777" w:rsidR="008B5534" w:rsidRPr="00EA2021" w:rsidRDefault="008B5534" w:rsidP="008B5534">
      <w:pPr>
        <w:pStyle w:val="a9"/>
        <w:rPr>
          <w:rFonts w:ascii="Arial" w:hAnsi="Arial"/>
          <w:rtl/>
        </w:rPr>
      </w:pPr>
    </w:p>
    <w:p w14:paraId="7F30236C" w14:textId="77777777" w:rsidR="008B5534" w:rsidRDefault="008B5534" w:rsidP="008B5534">
      <w:pPr>
        <w:pStyle w:val="a9"/>
        <w:numPr>
          <w:ilvl w:val="0"/>
          <w:numId w:val="1"/>
        </w:numPr>
        <w:spacing w:line="360" w:lineRule="auto"/>
        <w:ind w:left="714" w:hanging="357"/>
        <w:jc w:val="both"/>
        <w:rPr>
          <w:rFonts w:ascii="Arial" w:hAnsi="Arial"/>
        </w:rPr>
      </w:pPr>
      <w:r>
        <w:rPr>
          <w:rFonts w:ascii="Arial" w:hAnsi="Arial" w:hint="cs"/>
          <w:rtl/>
        </w:rPr>
        <w:t xml:space="preserve">הנאשם בדברו אמר שהוא מצטער על מעשיו ומתבייש בהם. הנאשם סיפר שעבר תאונת דרכים לפני כשלוש שנים וציין את העובדה שבת זוגו עומדת ללדת. </w:t>
      </w:r>
    </w:p>
    <w:p w14:paraId="74CBDE57" w14:textId="77777777" w:rsidR="008B5534" w:rsidRPr="00634038" w:rsidRDefault="008B5534" w:rsidP="008B5534">
      <w:pPr>
        <w:pStyle w:val="a9"/>
        <w:rPr>
          <w:rFonts w:ascii="Arial" w:hAnsi="Arial"/>
          <w:rtl/>
        </w:rPr>
      </w:pPr>
    </w:p>
    <w:p w14:paraId="4C1DB667" w14:textId="77777777" w:rsidR="008B5534" w:rsidRPr="00634038" w:rsidRDefault="008B5534" w:rsidP="008B5534">
      <w:pPr>
        <w:pStyle w:val="a9"/>
        <w:spacing w:line="360" w:lineRule="auto"/>
        <w:ind w:left="714"/>
        <w:jc w:val="both"/>
        <w:rPr>
          <w:rFonts w:ascii="Arial" w:hAnsi="Arial"/>
          <w:b/>
          <w:bCs/>
          <w:u w:val="single"/>
        </w:rPr>
      </w:pPr>
      <w:r w:rsidRPr="00634038">
        <w:rPr>
          <w:rFonts w:ascii="Arial" w:hAnsi="Arial" w:hint="cs"/>
          <w:b/>
          <w:bCs/>
          <w:u w:val="single"/>
          <w:rtl/>
        </w:rPr>
        <w:t>דיון והכרעה</w:t>
      </w:r>
    </w:p>
    <w:p w14:paraId="2AEB5E91" w14:textId="77777777" w:rsidR="008B5534" w:rsidRPr="00634038" w:rsidRDefault="008B5534" w:rsidP="008B5534">
      <w:pPr>
        <w:pStyle w:val="a9"/>
        <w:rPr>
          <w:rFonts w:ascii="Arial" w:hAnsi="Arial"/>
          <w:rtl/>
        </w:rPr>
      </w:pPr>
    </w:p>
    <w:p w14:paraId="2297AFA7" w14:textId="77777777" w:rsidR="008B5534" w:rsidRDefault="008B5534" w:rsidP="008B5534">
      <w:pPr>
        <w:pStyle w:val="a9"/>
        <w:numPr>
          <w:ilvl w:val="0"/>
          <w:numId w:val="1"/>
        </w:numPr>
        <w:spacing w:line="360" w:lineRule="auto"/>
        <w:jc w:val="both"/>
        <w:rPr>
          <w:rFonts w:ascii="Arial" w:hAnsi="Arial"/>
        </w:rPr>
      </w:pPr>
      <w:r>
        <w:rPr>
          <w:rFonts w:ascii="Arial" w:hAnsi="Arial"/>
          <w:rtl/>
        </w:rPr>
        <w:t xml:space="preserve">בקביעת עונשו של הנאשם על בית המשפט לקבוע את מתחם העונש בהתאם לעיקרון המנחה המתווה את קיומו של יחס הולם בין חומרת המעשה העבירה לבין נסיבות העבירה, מידת אשמו של הנאשם לבין סוג ומידת העונש המוטל עליו. בקביעת עקרון זה על בית המשפט לשקול את הערך החברתי שבבסיס העבירה המיוחסת לנאשם, מידת הפגיעה בו ומדיניות הענישה הנוהגת. </w:t>
      </w:r>
      <w:hyperlink r:id="rId22" w:history="1">
        <w:r w:rsidR="007D4107" w:rsidRPr="007D4107">
          <w:rPr>
            <w:rStyle w:val="Hyperlink"/>
            <w:rFonts w:ascii="Arial" w:hAnsi="Arial"/>
            <w:rtl/>
          </w:rPr>
          <w:t>סעיף 40ט</w:t>
        </w:r>
      </w:hyperlink>
      <w:r>
        <w:rPr>
          <w:rFonts w:ascii="Arial" w:hAnsi="Arial"/>
          <w:rtl/>
        </w:rPr>
        <w:t xml:space="preserve"> ל</w:t>
      </w:r>
      <w:hyperlink r:id="rId23" w:history="1">
        <w:r w:rsidR="004C517F" w:rsidRPr="004C517F">
          <w:rPr>
            <w:rFonts w:ascii="Arial" w:hAnsi="Arial"/>
            <w:color w:val="0000FF"/>
            <w:u w:val="single"/>
            <w:rtl/>
          </w:rPr>
          <w:t>חוק העונשין</w:t>
        </w:r>
      </w:hyperlink>
      <w:r>
        <w:rPr>
          <w:rFonts w:ascii="Arial" w:hAnsi="Arial"/>
          <w:rtl/>
        </w:rPr>
        <w:t xml:space="preserve"> מונה את הנסיבות שיש להתחשב בהן בקביעת מתחם העונש ההולם </w:t>
      </w:r>
      <w:hyperlink r:id="rId24" w:history="1">
        <w:r w:rsidR="007D4107" w:rsidRPr="007D4107">
          <w:rPr>
            <w:rStyle w:val="Hyperlink"/>
            <w:rFonts w:ascii="Arial" w:hAnsi="Arial"/>
            <w:rtl/>
          </w:rPr>
          <w:t>וסעיף 40יא'</w:t>
        </w:r>
      </w:hyperlink>
      <w:r>
        <w:rPr>
          <w:rFonts w:ascii="Arial" w:hAnsi="Arial"/>
          <w:rtl/>
        </w:rPr>
        <w:t xml:space="preserve"> לחוק העונשין מונה את הנסיבות שבית המשפט רשאי להתחשב בהן בגזירת העונש בתוך מתחם העונש ההולם. </w:t>
      </w:r>
    </w:p>
    <w:p w14:paraId="303A5E61" w14:textId="77777777" w:rsidR="008B5534" w:rsidRDefault="008B5534" w:rsidP="008B5534">
      <w:pPr>
        <w:pStyle w:val="a9"/>
        <w:spacing w:line="360" w:lineRule="auto"/>
        <w:jc w:val="both"/>
        <w:rPr>
          <w:rFonts w:ascii="Arial" w:hAnsi="Arial"/>
        </w:rPr>
      </w:pPr>
    </w:p>
    <w:p w14:paraId="4A43785E" w14:textId="77777777" w:rsidR="008B5534" w:rsidRDefault="008B5534" w:rsidP="008B5534">
      <w:pPr>
        <w:numPr>
          <w:ilvl w:val="0"/>
          <w:numId w:val="1"/>
        </w:numPr>
        <w:spacing w:line="360" w:lineRule="auto"/>
        <w:jc w:val="both"/>
      </w:pPr>
      <w:r>
        <w:rPr>
          <w:rtl/>
        </w:rPr>
        <w:t xml:space="preserve">מדובר בכתב אישום הכולל  </w:t>
      </w:r>
      <w:r>
        <w:rPr>
          <w:rFonts w:hint="cs"/>
          <w:rtl/>
        </w:rPr>
        <w:t xml:space="preserve">שלושה אישומים. אישומים 1 ו </w:t>
      </w:r>
      <w:r>
        <w:rPr>
          <w:rtl/>
        </w:rPr>
        <w:t>–</w:t>
      </w:r>
      <w:r>
        <w:rPr>
          <w:rFonts w:hint="cs"/>
          <w:rtl/>
        </w:rPr>
        <w:t xml:space="preserve"> 2 אמנם לא בוצעו באותו מועד אך בסמיכות זמנים ותחת תכנית עבריינית אחד. יחד עם זאת אישום מספר 3 עניינו שונה ואינו חלק מהתכנית העבריינית. לפיכך אני קובעת כי אישום מספר 1 ואישום מספר 2 מהווים אירוע אחד בגינו יש לקבוע מתחם עונש אחד למכלול העבירות וכי אישום מספר 3 הוא אירוע נפרד בגינו יש לקבוע מתחם עונש נוסף ונפרד. לעניין זה אפנה ל</w:t>
      </w:r>
      <w:hyperlink r:id="rId25" w:history="1">
        <w:r w:rsidR="004C517F" w:rsidRPr="004C517F">
          <w:rPr>
            <w:color w:val="0000FF"/>
            <w:u w:val="single"/>
            <w:rtl/>
          </w:rPr>
          <w:t>ע"פ 2580/14</w:t>
        </w:r>
      </w:hyperlink>
      <w:r>
        <w:rPr>
          <w:rtl/>
        </w:rPr>
        <w:t xml:space="preserve"> </w:t>
      </w:r>
      <w:r>
        <w:rPr>
          <w:rFonts w:hint="cs"/>
          <w:b/>
          <w:bCs/>
          <w:rtl/>
        </w:rPr>
        <w:t>אבו ליל חסן נ' מדינת ישראל</w:t>
      </w:r>
      <w:r>
        <w:rPr>
          <w:rFonts w:hint="cs"/>
          <w:rtl/>
        </w:rPr>
        <w:t xml:space="preserve"> (23.9.14) וכן </w:t>
      </w:r>
      <w:hyperlink r:id="rId26" w:history="1">
        <w:r w:rsidR="004C517F" w:rsidRPr="004C517F">
          <w:rPr>
            <w:color w:val="0000FF"/>
            <w:u w:val="single"/>
            <w:rtl/>
          </w:rPr>
          <w:t>ע"פ 4910/13</w:t>
        </w:r>
      </w:hyperlink>
      <w:r>
        <w:rPr>
          <w:rFonts w:hint="cs"/>
          <w:rtl/>
        </w:rPr>
        <w:t xml:space="preserve"> </w:t>
      </w:r>
      <w:r>
        <w:rPr>
          <w:rFonts w:hint="cs"/>
          <w:b/>
          <w:bCs/>
          <w:rtl/>
        </w:rPr>
        <w:t>ג'אבר נגד מדינת ישראל</w:t>
      </w:r>
      <w:r>
        <w:rPr>
          <w:rFonts w:hint="cs"/>
          <w:rtl/>
        </w:rPr>
        <w:t xml:space="preserve"> (29.10.14 )).  לאחר שיקבע מתחם עונש כמפורט יינתן עונש כולל לכל האישומים. </w:t>
      </w:r>
    </w:p>
    <w:p w14:paraId="196D92C8" w14:textId="77777777" w:rsidR="008B5534" w:rsidRDefault="008B5534" w:rsidP="008B5534">
      <w:pPr>
        <w:pStyle w:val="a9"/>
        <w:rPr>
          <w:rtl/>
        </w:rPr>
      </w:pPr>
    </w:p>
    <w:p w14:paraId="1BA4B3F6" w14:textId="77777777" w:rsidR="008B5534" w:rsidRDefault="008B5534" w:rsidP="008B5534">
      <w:pPr>
        <w:spacing w:line="360" w:lineRule="auto"/>
        <w:ind w:left="720"/>
        <w:jc w:val="both"/>
      </w:pPr>
    </w:p>
    <w:p w14:paraId="1898ABC7" w14:textId="77777777" w:rsidR="008B5534" w:rsidRDefault="008B5534" w:rsidP="008B5534">
      <w:pPr>
        <w:pStyle w:val="a9"/>
        <w:numPr>
          <w:ilvl w:val="0"/>
          <w:numId w:val="1"/>
        </w:numPr>
        <w:spacing w:line="360" w:lineRule="auto"/>
        <w:ind w:left="714" w:hanging="357"/>
        <w:jc w:val="both"/>
        <w:rPr>
          <w:rFonts w:ascii="Arial" w:hAnsi="Arial"/>
        </w:rPr>
      </w:pPr>
      <w:r>
        <w:rPr>
          <w:rFonts w:ascii="Arial" w:hAnsi="Arial" w:hint="cs"/>
          <w:rtl/>
        </w:rPr>
        <w:t xml:space="preserve">הערכים החברתיים שנפגעו כתוצאה ממעשיו של הנאשם באישום מספר 1 ואישום מספר 3 הם פגיעה קשה בערכים של זכות אדם לקניינו ולביטחונו האישי. הדברים נכונים ביתר שאת כאשר עסקינן שנפגעי עבירה שהיו באותה עת מאושפזים בבית החולים בשעתם הקשה. </w:t>
      </w:r>
    </w:p>
    <w:p w14:paraId="3402A8BE" w14:textId="77777777" w:rsidR="008B5534" w:rsidRDefault="008B5534" w:rsidP="008B5534">
      <w:pPr>
        <w:pStyle w:val="a9"/>
        <w:spacing w:line="360" w:lineRule="auto"/>
        <w:ind w:left="714"/>
        <w:jc w:val="both"/>
        <w:rPr>
          <w:rFonts w:ascii="Arial" w:hAnsi="Arial"/>
        </w:rPr>
      </w:pPr>
    </w:p>
    <w:p w14:paraId="65104462" w14:textId="77777777" w:rsidR="008B5534" w:rsidRDefault="008B5534" w:rsidP="008B5534">
      <w:pPr>
        <w:pStyle w:val="a9"/>
        <w:numPr>
          <w:ilvl w:val="0"/>
          <w:numId w:val="1"/>
        </w:numPr>
        <w:spacing w:line="360" w:lineRule="auto"/>
        <w:jc w:val="both"/>
        <w:rPr>
          <w:rFonts w:ascii="David" w:hAnsi="David"/>
        </w:rPr>
      </w:pPr>
      <w:r>
        <w:rPr>
          <w:rFonts w:ascii="David" w:hAnsi="David" w:hint="cs"/>
          <w:rtl/>
        </w:rPr>
        <w:t>באשר לגניבת טלפון נייד ועל חשיבותו של טלפון חכם בחייו של אדם נכתב רבות. גניבת טלפון נייד, מעבר לפגיעה הקניינית יש בה כדי להוות גם פגיעה בפרטיותו של אדם שכן בדרך כלל מכשיר הטלפון הנייד מכיל תמונות, זיכרונות מאירועים, פרטי אנשי קשר ופרטים אישיים ומידע אישי. לעניין זה יפים דבריו של בית המשפט העליון ב</w:t>
      </w:r>
      <w:hyperlink r:id="rId27" w:history="1">
        <w:r w:rsidR="004C517F" w:rsidRPr="004C517F">
          <w:rPr>
            <w:color w:val="0000FF"/>
            <w:u w:val="single"/>
            <w:rtl/>
          </w:rPr>
          <w:t>ע"פ 8627/14</w:t>
        </w:r>
      </w:hyperlink>
      <w:r>
        <w:rPr>
          <w:rFonts w:hint="cs"/>
          <w:rtl/>
        </w:rPr>
        <w:t xml:space="preserve"> </w:t>
      </w:r>
      <w:r>
        <w:rPr>
          <w:rFonts w:hint="cs"/>
          <w:b/>
          <w:bCs/>
          <w:rtl/>
        </w:rPr>
        <w:t xml:space="preserve"> דביר נ' מדינת ישראל </w:t>
      </w:r>
      <w:r>
        <w:rPr>
          <w:rFonts w:hint="cs"/>
          <w:rtl/>
        </w:rPr>
        <w:t>(פורסם ביום 14.7.15)</w:t>
      </w:r>
      <w:r>
        <w:rPr>
          <w:rFonts w:ascii="David" w:hAnsi="David" w:hint="cs"/>
          <w:rtl/>
        </w:rPr>
        <w:t>:</w:t>
      </w:r>
    </w:p>
    <w:p w14:paraId="3C1C48C1" w14:textId="77777777" w:rsidR="008B5534" w:rsidRDefault="008B5534" w:rsidP="008B5534">
      <w:pPr>
        <w:pStyle w:val="a9"/>
        <w:spacing w:line="360" w:lineRule="auto"/>
        <w:jc w:val="both"/>
        <w:rPr>
          <w:rFonts w:ascii="David" w:hAnsi="David"/>
        </w:rPr>
      </w:pPr>
    </w:p>
    <w:p w14:paraId="241FF632" w14:textId="77777777" w:rsidR="008B5534" w:rsidRPr="001B67B4" w:rsidRDefault="008B5534" w:rsidP="008B5534">
      <w:pPr>
        <w:spacing w:line="360" w:lineRule="auto"/>
        <w:ind w:left="1984" w:right="1474"/>
        <w:jc w:val="both"/>
        <w:rPr>
          <w:rFonts w:ascii="Miriam" w:hAnsi="Miriam" w:cs="Miriam"/>
        </w:rPr>
      </w:pPr>
      <w:r w:rsidRPr="001B67B4">
        <w:rPr>
          <w:rFonts w:ascii="Miriam" w:hAnsi="Miriam" w:cs="Miriam"/>
          <w:rtl/>
        </w:rPr>
        <w:t>"נוסף על אובדן הנגישות והחרדה המתלווה לכך, גניבת טלפון סלולרי מהווה גם חדירה למתחם פרטי ביותר של האדם. הסמארטפון הוא מעין כספת ניידת המכילה תמונות, לעיתים תמונות רגישות, התכתבויות אישיות ומידע פרטי, ולעיתים אף סודי, אשר מעצימים את החרדה מן הגניבה. מרבית המכשירים הסלולריים הנמכרים כיום, הינם "מכשירים חכמים", שמהווים לרוב גם שער כניסה לשלל נכסיו הדיגיטליים של האדם – חשבון דואר אלקטרוני, חשבון פייסבוק ורשתות חברתיות נוספות, אפליקציות עם גישה לחשבון הבנק וכיוצא באלה".</w:t>
      </w:r>
    </w:p>
    <w:p w14:paraId="7934AD15" w14:textId="77777777" w:rsidR="008B5534" w:rsidRPr="00140BA1" w:rsidRDefault="008B5534" w:rsidP="008B5534">
      <w:pPr>
        <w:pStyle w:val="a9"/>
        <w:spacing w:line="360" w:lineRule="auto"/>
        <w:rPr>
          <w:rFonts w:ascii="David" w:hAnsi="David"/>
        </w:rPr>
      </w:pPr>
    </w:p>
    <w:p w14:paraId="74E1056C" w14:textId="77777777" w:rsidR="008B5534" w:rsidRDefault="008B5534" w:rsidP="008B5534">
      <w:pPr>
        <w:spacing w:line="360" w:lineRule="auto"/>
        <w:ind w:left="720"/>
        <w:jc w:val="both"/>
        <w:rPr>
          <w:rFonts w:ascii="Calibri" w:hAnsi="Calibri"/>
          <w:rtl/>
        </w:rPr>
      </w:pPr>
      <w:r>
        <w:rPr>
          <w:rFonts w:ascii="David" w:hAnsi="David" w:hint="cs"/>
          <w:rtl/>
        </w:rPr>
        <w:t xml:space="preserve">עוד אפנה </w:t>
      </w:r>
      <w:r w:rsidRPr="00BC770A">
        <w:rPr>
          <w:rFonts w:ascii="Calibri" w:hAnsi="Calibri" w:hint="eastAsia"/>
          <w:rtl/>
        </w:rPr>
        <w:t xml:space="preserve"> </w:t>
      </w:r>
      <w:r w:rsidRPr="002146CC">
        <w:rPr>
          <w:rFonts w:ascii="Calibri" w:hAnsi="Calibri" w:hint="eastAsia"/>
          <w:rtl/>
        </w:rPr>
        <w:t>באשר</w:t>
      </w:r>
      <w:r w:rsidRPr="002146CC">
        <w:rPr>
          <w:rFonts w:ascii="Calibri" w:hAnsi="Calibri"/>
          <w:rtl/>
        </w:rPr>
        <w:t xml:space="preserve"> </w:t>
      </w:r>
      <w:r w:rsidRPr="002146CC">
        <w:rPr>
          <w:rFonts w:ascii="Calibri" w:hAnsi="Calibri" w:hint="eastAsia"/>
          <w:rtl/>
        </w:rPr>
        <w:t>לחומרת</w:t>
      </w:r>
      <w:r w:rsidRPr="002146CC">
        <w:rPr>
          <w:rFonts w:ascii="Calibri" w:hAnsi="Calibri"/>
          <w:rtl/>
        </w:rPr>
        <w:t xml:space="preserve"> </w:t>
      </w:r>
      <w:r w:rsidRPr="002146CC">
        <w:rPr>
          <w:rFonts w:ascii="Calibri" w:hAnsi="Calibri" w:hint="eastAsia"/>
          <w:rtl/>
        </w:rPr>
        <w:t>הפגיעה</w:t>
      </w:r>
      <w:r w:rsidRPr="002146CC">
        <w:rPr>
          <w:rFonts w:ascii="Calibri" w:hAnsi="Calibri"/>
          <w:rtl/>
        </w:rPr>
        <w:t xml:space="preserve"> </w:t>
      </w:r>
      <w:r w:rsidRPr="002146CC">
        <w:rPr>
          <w:rFonts w:ascii="Calibri" w:hAnsi="Calibri" w:hint="eastAsia"/>
          <w:rtl/>
        </w:rPr>
        <w:t>בערך</w:t>
      </w:r>
      <w:r w:rsidRPr="002146CC">
        <w:rPr>
          <w:rFonts w:ascii="Calibri" w:hAnsi="Calibri"/>
          <w:rtl/>
        </w:rPr>
        <w:t xml:space="preserve"> </w:t>
      </w:r>
      <w:r w:rsidRPr="002146CC">
        <w:rPr>
          <w:rFonts w:ascii="Calibri" w:hAnsi="Calibri" w:hint="eastAsia"/>
          <w:rtl/>
        </w:rPr>
        <w:t>המוגן</w:t>
      </w:r>
      <w:r w:rsidRPr="002146CC">
        <w:rPr>
          <w:rFonts w:ascii="Calibri" w:hAnsi="Calibri"/>
          <w:rtl/>
        </w:rPr>
        <w:t xml:space="preserve"> </w:t>
      </w:r>
      <w:r>
        <w:rPr>
          <w:rFonts w:ascii="Calibri" w:hAnsi="Calibri" w:hint="cs"/>
          <w:rtl/>
        </w:rPr>
        <w:t xml:space="preserve">את שנקבע </w:t>
      </w:r>
      <w:r w:rsidRPr="002146CC">
        <w:rPr>
          <w:rFonts w:ascii="Calibri" w:hAnsi="Calibri" w:hint="eastAsia"/>
          <w:rtl/>
        </w:rPr>
        <w:t>ב</w:t>
      </w:r>
      <w:hyperlink r:id="rId28" w:history="1">
        <w:r w:rsidR="004C517F" w:rsidRPr="004C517F">
          <w:rPr>
            <w:rFonts w:ascii="Calibri" w:hAnsi="Calibri" w:hint="eastAsia"/>
            <w:b/>
            <w:bCs/>
            <w:color w:val="0000FF"/>
            <w:u w:val="single"/>
            <w:rtl/>
          </w:rPr>
          <w:t>רע</w:t>
        </w:r>
        <w:r w:rsidR="004C517F" w:rsidRPr="004C517F">
          <w:rPr>
            <w:rFonts w:ascii="Calibri" w:hAnsi="Calibri"/>
            <w:b/>
            <w:bCs/>
            <w:color w:val="0000FF"/>
            <w:u w:val="single"/>
            <w:rtl/>
          </w:rPr>
          <w:t>"</w:t>
        </w:r>
        <w:r w:rsidR="004C517F" w:rsidRPr="004C517F">
          <w:rPr>
            <w:rFonts w:ascii="Calibri" w:hAnsi="Calibri" w:hint="eastAsia"/>
            <w:b/>
            <w:bCs/>
            <w:color w:val="0000FF"/>
            <w:u w:val="single"/>
            <w:rtl/>
          </w:rPr>
          <w:t>פ</w:t>
        </w:r>
        <w:r w:rsidR="004C517F" w:rsidRPr="004C517F">
          <w:rPr>
            <w:rFonts w:ascii="Calibri" w:hAnsi="Calibri"/>
            <w:b/>
            <w:bCs/>
            <w:color w:val="0000FF"/>
            <w:u w:val="single"/>
            <w:rtl/>
          </w:rPr>
          <w:t xml:space="preserve"> 6365/13</w:t>
        </w:r>
      </w:hyperlink>
      <w:r w:rsidRPr="002146CC">
        <w:rPr>
          <w:rFonts w:ascii="Calibri" w:hAnsi="Calibri"/>
          <w:b/>
          <w:bCs/>
          <w:rtl/>
        </w:rPr>
        <w:t xml:space="preserve"> </w:t>
      </w:r>
      <w:r w:rsidRPr="002146CC">
        <w:rPr>
          <w:rFonts w:ascii="Calibri" w:hAnsi="Calibri" w:hint="eastAsia"/>
          <w:b/>
          <w:bCs/>
          <w:rtl/>
        </w:rPr>
        <w:t>קליינר</w:t>
      </w:r>
      <w:r w:rsidRPr="002146CC">
        <w:rPr>
          <w:rFonts w:ascii="Calibri" w:hAnsi="Calibri"/>
          <w:b/>
          <w:bCs/>
          <w:rtl/>
        </w:rPr>
        <w:t xml:space="preserve"> </w:t>
      </w:r>
      <w:r w:rsidRPr="002146CC">
        <w:rPr>
          <w:rFonts w:ascii="Calibri" w:hAnsi="Calibri" w:hint="eastAsia"/>
          <w:b/>
          <w:bCs/>
          <w:rtl/>
        </w:rPr>
        <w:t>נ</w:t>
      </w:r>
      <w:r w:rsidRPr="002146CC">
        <w:rPr>
          <w:rFonts w:ascii="Calibri" w:hAnsi="Calibri"/>
          <w:b/>
          <w:bCs/>
          <w:rtl/>
        </w:rPr>
        <w:t xml:space="preserve">' </w:t>
      </w:r>
      <w:r w:rsidRPr="002146CC">
        <w:rPr>
          <w:rFonts w:ascii="Calibri" w:hAnsi="Calibri" w:hint="eastAsia"/>
          <w:b/>
          <w:bCs/>
          <w:rtl/>
        </w:rPr>
        <w:t>מדינת</w:t>
      </w:r>
      <w:r w:rsidRPr="002146CC">
        <w:rPr>
          <w:rFonts w:ascii="Calibri" w:hAnsi="Calibri"/>
          <w:b/>
          <w:bCs/>
          <w:rtl/>
        </w:rPr>
        <w:t xml:space="preserve"> </w:t>
      </w:r>
      <w:r w:rsidRPr="002146CC">
        <w:rPr>
          <w:rFonts w:ascii="Calibri" w:hAnsi="Calibri" w:hint="eastAsia"/>
          <w:b/>
          <w:bCs/>
          <w:rtl/>
        </w:rPr>
        <w:t>ישראל</w:t>
      </w:r>
      <w:r w:rsidRPr="002146CC">
        <w:rPr>
          <w:rFonts w:ascii="Calibri" w:hAnsi="Calibri"/>
          <w:rtl/>
        </w:rPr>
        <w:t xml:space="preserve"> : </w:t>
      </w:r>
    </w:p>
    <w:p w14:paraId="7799F7BE" w14:textId="77777777" w:rsidR="008B5534" w:rsidRPr="00BC770A" w:rsidRDefault="008B5534" w:rsidP="008B5534">
      <w:pPr>
        <w:spacing w:line="360" w:lineRule="auto"/>
        <w:ind w:left="1440"/>
        <w:jc w:val="both"/>
        <w:rPr>
          <w:rFonts w:ascii="Miriam" w:hAnsi="Miriam" w:cs="Miriam"/>
          <w:rtl/>
        </w:rPr>
      </w:pPr>
      <w:r w:rsidRPr="00BC770A">
        <w:rPr>
          <w:rFonts w:ascii="Miriam" w:hAnsi="Miriam" w:cs="Miriam"/>
          <w:rtl/>
        </w:rPr>
        <w:t>"גניבת מכשירי טלפון ניידים הפכה, למרבה הצער, לתופעה נפוצה הפוגעת באזרחים תמימים ומערערת את תחושת הביטחון של הציבור. אין להקל ראש בעבירה זו ויש להטיל על המורשעים בביצועה עונשים הולמים".</w:t>
      </w:r>
    </w:p>
    <w:p w14:paraId="68C2296F" w14:textId="77777777" w:rsidR="008B5534" w:rsidRDefault="008B5534" w:rsidP="008B5534">
      <w:pPr>
        <w:pStyle w:val="a9"/>
        <w:spacing w:line="360" w:lineRule="auto"/>
        <w:jc w:val="both"/>
        <w:rPr>
          <w:rFonts w:ascii="David" w:hAnsi="David"/>
        </w:rPr>
      </w:pPr>
    </w:p>
    <w:p w14:paraId="7BBC7970" w14:textId="77777777" w:rsidR="008B5534" w:rsidRDefault="008B5534" w:rsidP="008B5534">
      <w:pPr>
        <w:pStyle w:val="a9"/>
        <w:numPr>
          <w:ilvl w:val="0"/>
          <w:numId w:val="1"/>
        </w:numPr>
        <w:spacing w:line="360" w:lineRule="auto"/>
        <w:jc w:val="both"/>
        <w:rPr>
          <w:rFonts w:ascii="David" w:hAnsi="David"/>
        </w:rPr>
      </w:pPr>
      <w:r w:rsidRPr="000C4C99">
        <w:rPr>
          <w:rFonts w:ascii="David" w:hAnsi="David" w:hint="eastAsia"/>
          <w:b/>
          <w:bCs/>
          <w:rtl/>
        </w:rPr>
        <w:t>הערכים</w:t>
      </w:r>
      <w:r w:rsidRPr="000C4C99">
        <w:rPr>
          <w:rFonts w:ascii="David" w:hAnsi="David"/>
          <w:b/>
          <w:bCs/>
          <w:rtl/>
        </w:rPr>
        <w:t xml:space="preserve"> </w:t>
      </w:r>
      <w:r w:rsidRPr="000C4C99">
        <w:rPr>
          <w:rFonts w:ascii="David" w:hAnsi="David" w:hint="eastAsia"/>
          <w:b/>
          <w:bCs/>
          <w:rtl/>
        </w:rPr>
        <w:t>המוגנים</w:t>
      </w:r>
      <w:r w:rsidRPr="000C4C99">
        <w:rPr>
          <w:rFonts w:ascii="David" w:hAnsi="David"/>
          <w:b/>
          <w:bCs/>
          <w:rtl/>
        </w:rPr>
        <w:t xml:space="preserve"> </w:t>
      </w:r>
      <w:r w:rsidRPr="000C4C99">
        <w:rPr>
          <w:rFonts w:ascii="David" w:hAnsi="David" w:hint="eastAsia"/>
          <w:b/>
          <w:bCs/>
          <w:rtl/>
        </w:rPr>
        <w:t>בבסיס</w:t>
      </w:r>
      <w:r w:rsidRPr="000C4C99">
        <w:rPr>
          <w:rFonts w:ascii="David" w:hAnsi="David"/>
          <w:b/>
          <w:bCs/>
          <w:rtl/>
        </w:rPr>
        <w:t xml:space="preserve"> </w:t>
      </w:r>
      <w:r w:rsidRPr="000C4C99">
        <w:rPr>
          <w:rFonts w:ascii="David" w:hAnsi="David" w:hint="eastAsia"/>
          <w:b/>
          <w:bCs/>
          <w:rtl/>
        </w:rPr>
        <w:t>העבירה</w:t>
      </w:r>
      <w:r>
        <w:rPr>
          <w:rFonts w:ascii="David" w:hAnsi="David" w:hint="cs"/>
          <w:b/>
          <w:bCs/>
          <w:rtl/>
        </w:rPr>
        <w:t xml:space="preserve"> של החזקת סם מסוכן שלא לצריכה עצמית</w:t>
      </w:r>
      <w:r>
        <w:rPr>
          <w:rFonts w:ascii="David" w:hAnsi="David" w:hint="cs"/>
          <w:rtl/>
        </w:rPr>
        <w:t xml:space="preserve"> שבה הורשע הנאשם באישום מספר 3  הן הסכנות </w:t>
      </w:r>
      <w:r w:rsidRPr="000C4C99">
        <w:rPr>
          <w:rFonts w:ascii="David" w:hAnsi="David" w:hint="eastAsia"/>
          <w:rtl/>
        </w:rPr>
        <w:t>הטמונות</w:t>
      </w:r>
      <w:r w:rsidRPr="000C4C99">
        <w:rPr>
          <w:rFonts w:ascii="David" w:hAnsi="David"/>
          <w:rtl/>
        </w:rPr>
        <w:t xml:space="preserve"> </w:t>
      </w:r>
      <w:r w:rsidRPr="000C4C99">
        <w:rPr>
          <w:rFonts w:ascii="David" w:hAnsi="David" w:hint="eastAsia"/>
          <w:rtl/>
        </w:rPr>
        <w:t>בהחזקת</w:t>
      </w:r>
      <w:r w:rsidRPr="000C4C99">
        <w:rPr>
          <w:rFonts w:ascii="David" w:hAnsi="David"/>
          <w:rtl/>
        </w:rPr>
        <w:t xml:space="preserve"> </w:t>
      </w:r>
      <w:r w:rsidRPr="000C4C99">
        <w:rPr>
          <w:rFonts w:ascii="David" w:hAnsi="David" w:hint="eastAsia"/>
          <w:rtl/>
        </w:rPr>
        <w:t>סם</w:t>
      </w:r>
      <w:r w:rsidRPr="000C4C99">
        <w:rPr>
          <w:rFonts w:ascii="David" w:hAnsi="David"/>
          <w:rtl/>
        </w:rPr>
        <w:t xml:space="preserve"> </w:t>
      </w:r>
      <w:r w:rsidRPr="000C4C99">
        <w:rPr>
          <w:rFonts w:ascii="David" w:hAnsi="David" w:hint="eastAsia"/>
          <w:rtl/>
        </w:rPr>
        <w:t>מסוכן</w:t>
      </w:r>
      <w:r w:rsidRPr="000C4C99">
        <w:rPr>
          <w:rFonts w:ascii="David" w:hAnsi="David"/>
          <w:rtl/>
        </w:rPr>
        <w:t xml:space="preserve"> </w:t>
      </w:r>
      <w:r w:rsidRPr="000C4C99">
        <w:rPr>
          <w:rFonts w:ascii="David" w:hAnsi="David" w:hint="eastAsia"/>
          <w:rtl/>
        </w:rPr>
        <w:t>מסוג</w:t>
      </w:r>
      <w:r w:rsidRPr="000C4C99">
        <w:rPr>
          <w:rFonts w:ascii="David" w:hAnsi="David"/>
          <w:rtl/>
        </w:rPr>
        <w:t xml:space="preserve"> </w:t>
      </w:r>
      <w:r>
        <w:rPr>
          <w:rFonts w:ascii="David" w:hAnsi="David" w:hint="cs"/>
          <w:rtl/>
        </w:rPr>
        <w:t>הירואין</w:t>
      </w:r>
      <w:r w:rsidRPr="000C4C99">
        <w:rPr>
          <w:rFonts w:ascii="David" w:hAnsi="David"/>
          <w:rtl/>
        </w:rPr>
        <w:t xml:space="preserve">, </w:t>
      </w:r>
      <w:r w:rsidRPr="000C4C99">
        <w:rPr>
          <w:rFonts w:ascii="David" w:hAnsi="David" w:hint="eastAsia"/>
          <w:rtl/>
        </w:rPr>
        <w:t>שלא</w:t>
      </w:r>
      <w:r w:rsidRPr="000C4C99">
        <w:rPr>
          <w:rFonts w:ascii="David" w:hAnsi="David"/>
          <w:rtl/>
        </w:rPr>
        <w:t xml:space="preserve"> </w:t>
      </w:r>
      <w:r w:rsidRPr="000C4C99">
        <w:rPr>
          <w:rFonts w:ascii="David" w:hAnsi="David" w:hint="eastAsia"/>
          <w:rtl/>
        </w:rPr>
        <w:t>לשימוש</w:t>
      </w:r>
      <w:r w:rsidRPr="000C4C99">
        <w:rPr>
          <w:rFonts w:ascii="David" w:hAnsi="David"/>
          <w:rtl/>
        </w:rPr>
        <w:t xml:space="preserve"> </w:t>
      </w:r>
      <w:r w:rsidRPr="000C4C99">
        <w:rPr>
          <w:rFonts w:ascii="David" w:hAnsi="David" w:hint="eastAsia"/>
          <w:rtl/>
        </w:rPr>
        <w:t>עצמי</w:t>
      </w:r>
      <w:r w:rsidRPr="000C4C99">
        <w:rPr>
          <w:rFonts w:ascii="David" w:hAnsi="David"/>
          <w:rtl/>
        </w:rPr>
        <w:t xml:space="preserve"> </w:t>
      </w:r>
      <w:r w:rsidRPr="000C4C99">
        <w:rPr>
          <w:rFonts w:ascii="David" w:hAnsi="David" w:hint="eastAsia"/>
          <w:rtl/>
        </w:rPr>
        <w:t>בלבד</w:t>
      </w:r>
      <w:r>
        <w:rPr>
          <w:rFonts w:ascii="David" w:hAnsi="David" w:hint="cs"/>
          <w:rtl/>
        </w:rPr>
        <w:t xml:space="preserve"> ואשר נחשב סם קשה והנזקים הישירים והעקיפים שעלולים להיגרם לחברה ולפרט </w:t>
      </w:r>
      <w:r>
        <w:rPr>
          <w:rFonts w:ascii="David" w:hAnsi="David"/>
          <w:rtl/>
        </w:rPr>
        <w:t xml:space="preserve"> </w:t>
      </w:r>
      <w:r w:rsidRPr="000C4C99">
        <w:rPr>
          <w:rFonts w:ascii="David" w:hAnsi="David"/>
          <w:rtl/>
        </w:rPr>
        <w:t>(</w:t>
      </w:r>
      <w:r w:rsidRPr="000C4C99">
        <w:rPr>
          <w:rFonts w:ascii="David" w:hAnsi="David" w:hint="eastAsia"/>
          <w:rtl/>
        </w:rPr>
        <w:t>ראה</w:t>
      </w:r>
      <w:r w:rsidRPr="000C4C99">
        <w:rPr>
          <w:rFonts w:ascii="David" w:hAnsi="David"/>
          <w:rtl/>
        </w:rPr>
        <w:t xml:space="preserve">: </w:t>
      </w:r>
      <w:hyperlink r:id="rId29" w:history="1">
        <w:r w:rsidR="004C517F" w:rsidRPr="004C517F">
          <w:rPr>
            <w:rFonts w:ascii="David" w:hAnsi="David"/>
            <w:color w:val="0000FF"/>
            <w:u w:val="single"/>
            <w:rtl/>
          </w:rPr>
          <w:t>ע"פ 11220/03</w:t>
        </w:r>
      </w:hyperlink>
      <w:r w:rsidRPr="000C4C99">
        <w:rPr>
          <w:rFonts w:ascii="David" w:hAnsi="David"/>
          <w:rtl/>
        </w:rPr>
        <w:t xml:space="preserve"> </w:t>
      </w:r>
      <w:r w:rsidRPr="000C4C99">
        <w:rPr>
          <w:rFonts w:ascii="David" w:hAnsi="David" w:hint="eastAsia"/>
          <w:b/>
          <w:bCs/>
          <w:rtl/>
        </w:rPr>
        <w:t>פלוני</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rtl/>
        </w:rPr>
        <w:t xml:space="preserve"> (6.7.05); </w:t>
      </w:r>
      <w:hyperlink r:id="rId30" w:history="1">
        <w:r w:rsidR="004C517F" w:rsidRPr="004C517F">
          <w:rPr>
            <w:rFonts w:ascii="David" w:hAnsi="David"/>
            <w:color w:val="0000FF"/>
            <w:u w:val="single"/>
            <w:rtl/>
          </w:rPr>
          <w:t>ע"פ 4484/05</w:t>
        </w:r>
      </w:hyperlink>
      <w:r w:rsidRPr="000C4C99">
        <w:rPr>
          <w:rFonts w:ascii="David" w:hAnsi="David"/>
          <w:rtl/>
        </w:rPr>
        <w:t xml:space="preserve"> </w:t>
      </w:r>
      <w:r w:rsidRPr="000C4C99">
        <w:rPr>
          <w:rFonts w:ascii="David" w:hAnsi="David" w:hint="eastAsia"/>
          <w:b/>
          <w:bCs/>
          <w:rtl/>
        </w:rPr>
        <w:t>שגב</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rtl/>
        </w:rPr>
        <w:t xml:space="preserve"> (8.8.2006); </w:t>
      </w:r>
      <w:hyperlink r:id="rId31" w:history="1">
        <w:r w:rsidR="004C517F" w:rsidRPr="004C517F">
          <w:rPr>
            <w:rFonts w:ascii="David" w:hAnsi="David"/>
            <w:color w:val="0000FF"/>
            <w:u w:val="single"/>
            <w:rtl/>
          </w:rPr>
          <w:t>ע"פ 10228/05</w:t>
        </w:r>
      </w:hyperlink>
      <w:r w:rsidRPr="000C4C99">
        <w:rPr>
          <w:rFonts w:ascii="David" w:hAnsi="David"/>
          <w:rtl/>
        </w:rPr>
        <w:t xml:space="preserve"> </w:t>
      </w:r>
      <w:r w:rsidRPr="000C4C99">
        <w:rPr>
          <w:rFonts w:ascii="David" w:hAnsi="David" w:hint="eastAsia"/>
          <w:b/>
          <w:bCs/>
          <w:rtl/>
        </w:rPr>
        <w:t>רובאעי</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rtl/>
        </w:rPr>
        <w:t xml:space="preserve"> (26.6.2006); </w:t>
      </w:r>
      <w:hyperlink r:id="rId32" w:history="1">
        <w:r w:rsidR="004C517F" w:rsidRPr="004C517F">
          <w:rPr>
            <w:rFonts w:ascii="David" w:hAnsi="David"/>
            <w:color w:val="0000FF"/>
            <w:u w:val="single"/>
            <w:rtl/>
          </w:rPr>
          <w:t>ע"פ 3578/12</w:t>
        </w:r>
      </w:hyperlink>
      <w:r w:rsidRPr="000C4C99">
        <w:rPr>
          <w:rFonts w:ascii="David" w:hAnsi="David"/>
          <w:rtl/>
        </w:rPr>
        <w:t xml:space="preserve"> </w:t>
      </w:r>
      <w:r w:rsidRPr="000C4C99">
        <w:rPr>
          <w:rFonts w:ascii="David" w:hAnsi="David" w:hint="eastAsia"/>
          <w:b/>
          <w:bCs/>
          <w:rtl/>
        </w:rPr>
        <w:t>עזמה</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b/>
          <w:bCs/>
          <w:rtl/>
        </w:rPr>
        <w:t xml:space="preserve"> </w:t>
      </w:r>
      <w:r w:rsidRPr="000C4C99">
        <w:rPr>
          <w:rFonts w:ascii="David" w:hAnsi="David"/>
          <w:rtl/>
        </w:rPr>
        <w:t xml:space="preserve">(17.1.13); </w:t>
      </w:r>
      <w:hyperlink r:id="rId33" w:history="1">
        <w:r w:rsidR="004C517F" w:rsidRPr="004C517F">
          <w:rPr>
            <w:rFonts w:ascii="David" w:hAnsi="David"/>
            <w:color w:val="0000FF"/>
            <w:u w:val="single"/>
            <w:rtl/>
          </w:rPr>
          <w:t>רע"פ 7996/12</w:t>
        </w:r>
      </w:hyperlink>
      <w:r w:rsidRPr="000C4C99">
        <w:rPr>
          <w:rFonts w:ascii="David" w:hAnsi="David"/>
          <w:rtl/>
        </w:rPr>
        <w:t xml:space="preserve"> </w:t>
      </w:r>
      <w:r w:rsidRPr="000C4C99">
        <w:rPr>
          <w:rFonts w:ascii="David" w:hAnsi="David" w:hint="eastAsia"/>
          <w:b/>
          <w:bCs/>
          <w:rtl/>
        </w:rPr>
        <w:t>יוסף</w:t>
      </w:r>
      <w:r w:rsidRPr="000C4C99">
        <w:rPr>
          <w:rFonts w:ascii="David" w:hAnsi="David"/>
          <w:b/>
          <w:bCs/>
          <w:rtl/>
        </w:rPr>
        <w:t xml:space="preserve"> </w:t>
      </w:r>
      <w:r w:rsidRPr="000C4C99">
        <w:rPr>
          <w:rFonts w:ascii="David" w:hAnsi="David" w:hint="eastAsia"/>
          <w:b/>
          <w:bCs/>
          <w:rtl/>
        </w:rPr>
        <w:t>נ</w:t>
      </w:r>
      <w:r w:rsidRPr="000C4C99">
        <w:rPr>
          <w:rFonts w:ascii="David" w:hAnsi="David"/>
          <w:b/>
          <w:bCs/>
          <w:rtl/>
        </w:rPr>
        <w:t xml:space="preserve">' </w:t>
      </w:r>
      <w:r w:rsidRPr="000C4C99">
        <w:rPr>
          <w:rFonts w:ascii="David" w:hAnsi="David" w:hint="eastAsia"/>
          <w:b/>
          <w:bCs/>
          <w:rtl/>
        </w:rPr>
        <w:t>מדינת</w:t>
      </w:r>
      <w:r w:rsidRPr="000C4C99">
        <w:rPr>
          <w:rFonts w:ascii="David" w:hAnsi="David"/>
          <w:b/>
          <w:bCs/>
          <w:rtl/>
        </w:rPr>
        <w:t xml:space="preserve"> </w:t>
      </w:r>
      <w:r w:rsidRPr="000C4C99">
        <w:rPr>
          <w:rFonts w:ascii="David" w:hAnsi="David" w:hint="eastAsia"/>
          <w:b/>
          <w:bCs/>
          <w:rtl/>
        </w:rPr>
        <w:t>ישראל</w:t>
      </w:r>
      <w:r w:rsidRPr="000C4C99">
        <w:rPr>
          <w:rFonts w:ascii="David" w:hAnsi="David"/>
          <w:b/>
          <w:bCs/>
          <w:rtl/>
        </w:rPr>
        <w:t xml:space="preserve"> </w:t>
      </w:r>
      <w:r w:rsidRPr="000C4C99">
        <w:rPr>
          <w:rFonts w:ascii="David" w:hAnsi="David"/>
          <w:rtl/>
        </w:rPr>
        <w:t>( 23.1.13)).</w:t>
      </w:r>
    </w:p>
    <w:p w14:paraId="088BB008" w14:textId="77777777" w:rsidR="008B5534" w:rsidRDefault="008B5534" w:rsidP="008B5534">
      <w:pPr>
        <w:pStyle w:val="a9"/>
        <w:spacing w:line="360" w:lineRule="auto"/>
        <w:jc w:val="both"/>
        <w:rPr>
          <w:rFonts w:ascii="David" w:hAnsi="David"/>
        </w:rPr>
      </w:pPr>
    </w:p>
    <w:p w14:paraId="71ECDD93" w14:textId="77777777" w:rsidR="008B5534" w:rsidRDefault="008B5534" w:rsidP="008B5534">
      <w:pPr>
        <w:pStyle w:val="a9"/>
        <w:numPr>
          <w:ilvl w:val="0"/>
          <w:numId w:val="1"/>
        </w:numPr>
        <w:spacing w:line="360" w:lineRule="auto"/>
        <w:jc w:val="both"/>
        <w:rPr>
          <w:rFonts w:ascii="David" w:hAnsi="David"/>
        </w:rPr>
      </w:pPr>
      <w:r w:rsidRPr="009D3852">
        <w:rPr>
          <w:rFonts w:ascii="David" w:hAnsi="David" w:hint="cs"/>
          <w:rtl/>
        </w:rPr>
        <w:t xml:space="preserve">באשר לנסיבות ביצוע העבירות הקשורות לאישום הראשון ולאישום השני, מדובר בעבירות חמורות ומכוערות </w:t>
      </w:r>
      <w:r>
        <w:rPr>
          <w:rFonts w:ascii="David" w:hAnsi="David" w:hint="cs"/>
          <w:rtl/>
        </w:rPr>
        <w:t xml:space="preserve">שעה שהנאשם ניצל את שעתם הקשה ואת מצוקתם של המתלוננים שהיו מאושפזים בבית חולים, וגנב חפצים אישיים שהיו בקרבת מיטת חוליים. </w:t>
      </w:r>
    </w:p>
    <w:p w14:paraId="26FD32DC" w14:textId="77777777" w:rsidR="008B5534" w:rsidRPr="009D3852" w:rsidRDefault="008B5534" w:rsidP="008B5534">
      <w:pPr>
        <w:pStyle w:val="a9"/>
        <w:rPr>
          <w:rFonts w:ascii="David" w:hAnsi="David"/>
          <w:rtl/>
        </w:rPr>
      </w:pPr>
    </w:p>
    <w:p w14:paraId="5A94EF79" w14:textId="77777777" w:rsidR="008B5534" w:rsidRDefault="008B5534" w:rsidP="008B5534">
      <w:pPr>
        <w:pStyle w:val="a9"/>
        <w:numPr>
          <w:ilvl w:val="0"/>
          <w:numId w:val="1"/>
        </w:numPr>
        <w:spacing w:line="360" w:lineRule="auto"/>
        <w:jc w:val="both"/>
        <w:rPr>
          <w:rFonts w:ascii="David" w:hAnsi="David"/>
        </w:rPr>
      </w:pPr>
      <w:r>
        <w:rPr>
          <w:rFonts w:ascii="David" w:hAnsi="David" w:hint="cs"/>
          <w:rtl/>
        </w:rPr>
        <w:t xml:space="preserve">באשר לנסיבות ביצוע העבירה באישום השלישי אין צורך להכביר במילים על חומרת ביצוע עבירות סם קשה. הנאשם החזיק סם מסוכן מסוג הרואין שהיה מחולק לשלוש מנות. </w:t>
      </w:r>
    </w:p>
    <w:p w14:paraId="1EB3CEB9" w14:textId="77777777" w:rsidR="008B5534" w:rsidRPr="009D3852" w:rsidRDefault="008B5534" w:rsidP="008B5534">
      <w:pPr>
        <w:pStyle w:val="a9"/>
        <w:rPr>
          <w:rFonts w:ascii="David" w:hAnsi="David"/>
          <w:rtl/>
        </w:rPr>
      </w:pPr>
    </w:p>
    <w:p w14:paraId="730E59E8" w14:textId="77777777" w:rsidR="008B5534" w:rsidRPr="009D3852" w:rsidRDefault="008B5534" w:rsidP="008B5534">
      <w:pPr>
        <w:pStyle w:val="a9"/>
        <w:spacing w:line="360" w:lineRule="auto"/>
        <w:jc w:val="both"/>
        <w:rPr>
          <w:rFonts w:ascii="David" w:hAnsi="David"/>
          <w:rtl/>
        </w:rPr>
      </w:pPr>
    </w:p>
    <w:p w14:paraId="089C1D29" w14:textId="77777777" w:rsidR="008B5534" w:rsidRDefault="008B5534" w:rsidP="008B5534">
      <w:pPr>
        <w:pStyle w:val="a9"/>
        <w:numPr>
          <w:ilvl w:val="0"/>
          <w:numId w:val="1"/>
        </w:numPr>
        <w:spacing w:line="360" w:lineRule="auto"/>
        <w:jc w:val="both"/>
        <w:rPr>
          <w:rFonts w:ascii="David" w:hAnsi="David"/>
        </w:rPr>
      </w:pPr>
      <w:r>
        <w:rPr>
          <w:rFonts w:ascii="David" w:hAnsi="David" w:hint="cs"/>
          <w:rtl/>
        </w:rPr>
        <w:t>עי</w:t>
      </w:r>
      <w:r w:rsidRPr="00265126">
        <w:rPr>
          <w:rFonts w:ascii="David" w:hAnsi="David"/>
          <w:rtl/>
        </w:rPr>
        <w:t>ון בפסיקה מ</w:t>
      </w:r>
      <w:r>
        <w:rPr>
          <w:rFonts w:ascii="David" w:hAnsi="David" w:hint="cs"/>
          <w:rtl/>
        </w:rPr>
        <w:t xml:space="preserve">למד כי במקרים של גניבת פלאפון נייד נגזרו עונשים במנעד רחב ראו למשל </w:t>
      </w:r>
      <w:hyperlink r:id="rId34" w:history="1">
        <w:r w:rsidR="004C517F" w:rsidRPr="004C517F">
          <w:rPr>
            <w:rFonts w:ascii="David" w:hAnsi="David"/>
            <w:color w:val="0000FF"/>
            <w:u w:val="single"/>
            <w:rtl/>
          </w:rPr>
          <w:t>ת"פ (ק"ג) 52022-06-17</w:t>
        </w:r>
      </w:hyperlink>
      <w:r>
        <w:rPr>
          <w:rFonts w:ascii="David" w:hAnsi="David" w:hint="cs"/>
          <w:rtl/>
        </w:rPr>
        <w:t xml:space="preserve"> </w:t>
      </w:r>
      <w:r>
        <w:rPr>
          <w:rFonts w:ascii="David" w:hAnsi="David" w:hint="cs"/>
          <w:b/>
          <w:bCs/>
          <w:rtl/>
        </w:rPr>
        <w:t xml:space="preserve">מדינת ישראל נ' דתחייב </w:t>
      </w:r>
      <w:r>
        <w:rPr>
          <w:rFonts w:ascii="David" w:hAnsi="David" w:hint="cs"/>
          <w:rtl/>
        </w:rPr>
        <w:t xml:space="preserve">(16.9.18); </w:t>
      </w:r>
      <w:hyperlink r:id="rId35" w:history="1">
        <w:r w:rsidR="004C517F" w:rsidRPr="004C517F">
          <w:rPr>
            <w:rFonts w:ascii="David" w:hAnsi="David"/>
            <w:color w:val="0000FF"/>
            <w:u w:val="single"/>
            <w:rtl/>
          </w:rPr>
          <w:t>ת"פ (י-ם) 16061-09-14</w:t>
        </w:r>
      </w:hyperlink>
      <w:r>
        <w:rPr>
          <w:rFonts w:ascii="David" w:hAnsi="David" w:hint="cs"/>
          <w:rtl/>
        </w:rPr>
        <w:t xml:space="preserve"> </w:t>
      </w:r>
      <w:r>
        <w:rPr>
          <w:rFonts w:ascii="David" w:hAnsi="David" w:hint="cs"/>
          <w:b/>
          <w:bCs/>
          <w:rtl/>
        </w:rPr>
        <w:t xml:space="preserve">מדינת ישראל נ' ממן </w:t>
      </w:r>
      <w:r>
        <w:rPr>
          <w:rFonts w:ascii="David" w:hAnsi="David" w:hint="cs"/>
          <w:rtl/>
        </w:rPr>
        <w:t xml:space="preserve">(28.12.15); </w:t>
      </w:r>
      <w:hyperlink r:id="rId36" w:history="1">
        <w:r w:rsidR="004C517F" w:rsidRPr="004C517F">
          <w:rPr>
            <w:rFonts w:ascii="David" w:hAnsi="David"/>
            <w:color w:val="0000FF"/>
            <w:u w:val="single"/>
            <w:rtl/>
          </w:rPr>
          <w:t>ת"פ (י-ם) 14271-07-15</w:t>
        </w:r>
      </w:hyperlink>
      <w:r>
        <w:rPr>
          <w:rFonts w:ascii="David" w:hAnsi="David" w:hint="cs"/>
          <w:rtl/>
        </w:rPr>
        <w:t xml:space="preserve"> </w:t>
      </w:r>
      <w:r>
        <w:rPr>
          <w:rFonts w:ascii="David" w:hAnsi="David" w:hint="cs"/>
          <w:b/>
          <w:bCs/>
          <w:rtl/>
        </w:rPr>
        <w:t xml:space="preserve">מדינת ישראל נ' בורטובוי </w:t>
      </w:r>
      <w:r>
        <w:rPr>
          <w:rFonts w:ascii="David" w:hAnsi="David" w:hint="cs"/>
          <w:rtl/>
        </w:rPr>
        <w:t xml:space="preserve">(16.6.16) שאליהם הפנה ב"כ הנאשם) ועד לעונשי מאסר בפועל </w:t>
      </w:r>
      <w:r w:rsidRPr="00DF7B21">
        <w:rPr>
          <w:rFonts w:ascii="David" w:hAnsi="David"/>
          <w:rtl/>
        </w:rPr>
        <w:t>(</w:t>
      </w:r>
      <w:r>
        <w:rPr>
          <w:rFonts w:ascii="David" w:hAnsi="David" w:hint="cs"/>
          <w:rtl/>
        </w:rPr>
        <w:t xml:space="preserve">ראו למשל </w:t>
      </w:r>
      <w:hyperlink w:history="1">
        <w:r w:rsidRPr="004C517F">
          <w:rPr>
            <w:color w:val="000000"/>
            <w:rtl/>
          </w:rPr>
          <w:t>רע</w:t>
        </w:r>
        <w:r w:rsidRPr="004C517F">
          <w:rPr>
            <w:rFonts w:ascii="David" w:hAnsi="David"/>
            <w:color w:val="000000"/>
            <w:rtl/>
          </w:rPr>
          <w:t>"</w:t>
        </w:r>
        <w:r w:rsidRPr="004C517F">
          <w:rPr>
            <w:color w:val="000000"/>
            <w:rtl/>
          </w:rPr>
          <w:t xml:space="preserve">פ </w:t>
        </w:r>
        <w:r w:rsidRPr="004C517F">
          <w:rPr>
            <w:rFonts w:ascii="David" w:hAnsi="David"/>
            <w:color w:val="000000"/>
            <w:rtl/>
          </w:rPr>
          <w:t>6365/13</w:t>
        </w:r>
      </w:hyperlink>
      <w:r w:rsidRPr="00265126">
        <w:rPr>
          <w:rtl/>
        </w:rPr>
        <w:t xml:space="preserve"> </w:t>
      </w:r>
      <w:r w:rsidRPr="00FA7201">
        <w:rPr>
          <w:b/>
          <w:bCs/>
          <w:rtl/>
        </w:rPr>
        <w:t>קליינר נ' מדינת ישראל</w:t>
      </w:r>
      <w:r w:rsidRPr="00265126">
        <w:rPr>
          <w:rtl/>
        </w:rPr>
        <w:t xml:space="preserve"> </w:t>
      </w:r>
      <w:r>
        <w:rPr>
          <w:rFonts w:hint="cs"/>
          <w:rtl/>
        </w:rPr>
        <w:t xml:space="preserve">( </w:t>
      </w:r>
      <w:r w:rsidRPr="00265126">
        <w:rPr>
          <w:rtl/>
        </w:rPr>
        <w:t>23.9.13)</w:t>
      </w:r>
      <w:r>
        <w:rPr>
          <w:rFonts w:ascii="David" w:hAnsi="David" w:hint="cs"/>
          <w:rtl/>
        </w:rPr>
        <w:t xml:space="preserve">; </w:t>
      </w:r>
      <w:hyperlink w:history="1">
        <w:r w:rsidRPr="004C517F">
          <w:rPr>
            <w:color w:val="000000"/>
            <w:rtl/>
          </w:rPr>
          <w:t>עפ</w:t>
        </w:r>
        <w:r w:rsidRPr="004C517F">
          <w:rPr>
            <w:rFonts w:ascii="David" w:hAnsi="David"/>
            <w:color w:val="000000"/>
            <w:rtl/>
          </w:rPr>
          <w:t>"</w:t>
        </w:r>
        <w:r w:rsidRPr="004C517F">
          <w:rPr>
            <w:color w:val="000000"/>
            <w:rtl/>
          </w:rPr>
          <w:t xml:space="preserve">ג </w:t>
        </w:r>
        <w:r w:rsidRPr="004C517F">
          <w:rPr>
            <w:rFonts w:ascii="David" w:hAnsi="David"/>
            <w:color w:val="000000"/>
            <w:rtl/>
          </w:rPr>
          <w:t>(</w:t>
        </w:r>
        <w:r w:rsidRPr="004C517F">
          <w:rPr>
            <w:color w:val="000000"/>
            <w:rtl/>
          </w:rPr>
          <w:t>מרכז</w:t>
        </w:r>
        <w:r w:rsidRPr="004C517F">
          <w:rPr>
            <w:rFonts w:ascii="David" w:hAnsi="David"/>
            <w:color w:val="000000"/>
            <w:rtl/>
          </w:rPr>
          <w:t>) 18093-01-11</w:t>
        </w:r>
      </w:hyperlink>
      <w:r w:rsidRPr="00265126">
        <w:rPr>
          <w:rtl/>
        </w:rPr>
        <w:t xml:space="preserve"> </w:t>
      </w:r>
      <w:r w:rsidRPr="00884881">
        <w:rPr>
          <w:b/>
          <w:bCs/>
          <w:rtl/>
        </w:rPr>
        <w:t>קרוני נ' מדינת ישראל</w:t>
      </w:r>
      <w:r>
        <w:rPr>
          <w:rFonts w:hint="cs"/>
          <w:rtl/>
        </w:rPr>
        <w:t xml:space="preserve"> (</w:t>
      </w:r>
      <w:r>
        <w:rPr>
          <w:rFonts w:ascii="David" w:hAnsi="David" w:hint="cs"/>
          <w:rtl/>
        </w:rPr>
        <w:t xml:space="preserve">8.2.11); </w:t>
      </w:r>
      <w:hyperlink r:id="rId37" w:history="1">
        <w:r w:rsidR="004C517F" w:rsidRPr="004C517F">
          <w:rPr>
            <w:rFonts w:ascii="David" w:hAnsi="David"/>
            <w:color w:val="0000FF"/>
            <w:u w:val="single"/>
            <w:rtl/>
          </w:rPr>
          <w:t>עפ"ג 34135-02-18</w:t>
        </w:r>
      </w:hyperlink>
      <w:r>
        <w:rPr>
          <w:rFonts w:ascii="David" w:hAnsi="David" w:hint="cs"/>
          <w:rtl/>
        </w:rPr>
        <w:t xml:space="preserve"> </w:t>
      </w:r>
      <w:r>
        <w:rPr>
          <w:rFonts w:hint="cs"/>
          <w:b/>
          <w:bCs/>
          <w:rtl/>
        </w:rPr>
        <w:t xml:space="preserve">ג'עביץ נ' מדינת ישראל </w:t>
      </w:r>
      <w:r>
        <w:rPr>
          <w:rFonts w:hint="cs"/>
          <w:rtl/>
        </w:rPr>
        <w:t>(17.7.18)).</w:t>
      </w:r>
    </w:p>
    <w:p w14:paraId="68175561" w14:textId="77777777" w:rsidR="008B5534" w:rsidRDefault="008B5534" w:rsidP="008B5534">
      <w:pPr>
        <w:pStyle w:val="a9"/>
        <w:spacing w:line="360" w:lineRule="auto"/>
        <w:jc w:val="both"/>
        <w:rPr>
          <w:rFonts w:ascii="David" w:hAnsi="David"/>
          <w:rtl/>
        </w:rPr>
      </w:pPr>
    </w:p>
    <w:p w14:paraId="62335FE0" w14:textId="77777777" w:rsidR="008B5534" w:rsidRDefault="008B5534" w:rsidP="008B5534">
      <w:pPr>
        <w:pStyle w:val="a9"/>
        <w:spacing w:line="360" w:lineRule="auto"/>
        <w:jc w:val="both"/>
        <w:rPr>
          <w:rFonts w:ascii="Arial" w:hAnsi="Arial"/>
          <w:rtl/>
        </w:rPr>
      </w:pPr>
      <w:r>
        <w:rPr>
          <w:rFonts w:ascii="Arial" w:hAnsi="Arial" w:hint="cs"/>
          <w:rtl/>
        </w:rPr>
        <w:t xml:space="preserve">כמו כן אפנה לפסקי הדין: </w:t>
      </w:r>
    </w:p>
    <w:p w14:paraId="67F1F4F5" w14:textId="77777777" w:rsidR="008B5534" w:rsidRDefault="008B5534" w:rsidP="008B5534">
      <w:pPr>
        <w:pStyle w:val="a9"/>
        <w:spacing w:line="360" w:lineRule="auto"/>
        <w:jc w:val="both"/>
        <w:rPr>
          <w:rFonts w:ascii="Arial" w:hAnsi="Arial"/>
        </w:rPr>
      </w:pPr>
      <w:r>
        <w:rPr>
          <w:rFonts w:ascii="Arial" w:hAnsi="Arial"/>
          <w:rtl/>
        </w:rPr>
        <w:t>ב</w:t>
      </w:r>
      <w:hyperlink r:id="rId38" w:history="1">
        <w:r w:rsidR="004C517F" w:rsidRPr="004C517F">
          <w:rPr>
            <w:rFonts w:ascii="Arial" w:hAnsi="Arial"/>
            <w:color w:val="0000FF"/>
            <w:u w:val="single"/>
            <w:rtl/>
          </w:rPr>
          <w:t>רע"פ 6365/13</w:t>
        </w:r>
      </w:hyperlink>
      <w:r>
        <w:rPr>
          <w:rFonts w:ascii="Arial" w:hAnsi="Arial"/>
          <w:rtl/>
        </w:rPr>
        <w:t xml:space="preserve"> </w:t>
      </w:r>
      <w:r>
        <w:rPr>
          <w:rFonts w:ascii="Arial" w:hAnsi="Arial"/>
          <w:u w:val="single"/>
          <w:rtl/>
        </w:rPr>
        <w:t>קליינר</w:t>
      </w:r>
      <w:r>
        <w:rPr>
          <w:rFonts w:ascii="Arial" w:hAnsi="Arial"/>
          <w:rtl/>
        </w:rPr>
        <w:t xml:space="preserve"> נ. </w:t>
      </w:r>
      <w:r>
        <w:rPr>
          <w:rFonts w:ascii="Arial" w:hAnsi="Arial"/>
          <w:u w:val="single"/>
          <w:rtl/>
        </w:rPr>
        <w:t>מדינת ישראל</w:t>
      </w:r>
      <w:r>
        <w:rPr>
          <w:rFonts w:ascii="Arial" w:hAnsi="Arial"/>
          <w:rtl/>
        </w:rPr>
        <w:t xml:space="preserve"> ( 23.9.13) נקבע מתחם עונש הולם בגין מעשה עבירה של גניבת פלאפון הנע בין 2-8 חודשי מאסר בפועל. הנאשם נדון ל 4 חודשי מאסר מאחורי סורג ובריח בגין גניבת טלפון נייד, מע"ת ופיצוי למתלונן בסך 3,000 ₪. ערעור בבית המשפט המחוזי נדחה תוך שקבע בית המשפט כי העונש אינו חמור כי אם "ממש קל". בר"ע לעליון נדחתה על אף טענות הנאשם לפגיעה בהליך שיקומו.</w:t>
      </w:r>
    </w:p>
    <w:p w14:paraId="484F3A03" w14:textId="77777777" w:rsidR="008B5534" w:rsidRDefault="008B5534" w:rsidP="008B5534">
      <w:pPr>
        <w:pStyle w:val="a9"/>
        <w:spacing w:line="360" w:lineRule="auto"/>
        <w:jc w:val="both"/>
        <w:rPr>
          <w:rFonts w:ascii="Arial" w:hAnsi="Arial"/>
          <w:rtl/>
        </w:rPr>
      </w:pPr>
    </w:p>
    <w:p w14:paraId="22716B38" w14:textId="77777777" w:rsidR="008B5534" w:rsidRDefault="004C517F" w:rsidP="008B5534">
      <w:pPr>
        <w:pStyle w:val="a9"/>
        <w:spacing w:line="360" w:lineRule="auto"/>
        <w:jc w:val="both"/>
        <w:rPr>
          <w:rFonts w:ascii="Arial" w:hAnsi="Arial"/>
          <w:rtl/>
        </w:rPr>
      </w:pPr>
      <w:hyperlink r:id="rId39" w:history="1">
        <w:r w:rsidRPr="004C517F">
          <w:rPr>
            <w:rFonts w:ascii="Arial" w:hAnsi="Arial"/>
            <w:color w:val="0000FF"/>
            <w:u w:val="single"/>
            <w:rtl/>
          </w:rPr>
          <w:t>עפ"ג (ת"א) 51662-12-14</w:t>
        </w:r>
      </w:hyperlink>
      <w:r w:rsidR="008B5534">
        <w:rPr>
          <w:rFonts w:ascii="Arial" w:hAnsi="Arial"/>
          <w:rtl/>
        </w:rPr>
        <w:t xml:space="preserve"> </w:t>
      </w:r>
      <w:r w:rsidR="008B5534">
        <w:rPr>
          <w:rFonts w:ascii="Arial" w:hAnsi="Arial"/>
          <w:u w:val="single"/>
          <w:rtl/>
        </w:rPr>
        <w:t>מדינת ישראל</w:t>
      </w:r>
      <w:r w:rsidR="008B5534">
        <w:rPr>
          <w:rFonts w:ascii="Arial" w:hAnsi="Arial"/>
          <w:rtl/>
        </w:rPr>
        <w:t xml:space="preserve"> נ. </w:t>
      </w:r>
      <w:r w:rsidR="008B5534">
        <w:rPr>
          <w:rFonts w:ascii="Arial" w:hAnsi="Arial"/>
          <w:u w:val="single"/>
          <w:rtl/>
        </w:rPr>
        <w:t>אחמד ג'אבר</w:t>
      </w:r>
      <w:r w:rsidR="008B5534">
        <w:rPr>
          <w:rFonts w:ascii="Arial" w:hAnsi="Arial"/>
          <w:rtl/>
        </w:rPr>
        <w:t xml:space="preserve"> ( 20.4.15) שם נקבע מתחם עונש הולם בגין עבירת גניבה אחת (לרבות גניבת טלפונים חכמים) הנע בין מאסר על תנאי ועד 12 חודשי מאסר בפועל. </w:t>
      </w:r>
    </w:p>
    <w:p w14:paraId="742B0CEC" w14:textId="77777777" w:rsidR="008B5534" w:rsidRDefault="008B5534" w:rsidP="008B5534">
      <w:pPr>
        <w:pStyle w:val="a9"/>
        <w:spacing w:line="360" w:lineRule="auto"/>
        <w:jc w:val="both"/>
        <w:rPr>
          <w:rFonts w:ascii="Arial" w:hAnsi="Arial"/>
          <w:rtl/>
        </w:rPr>
      </w:pPr>
    </w:p>
    <w:p w14:paraId="329BA1D0" w14:textId="77777777" w:rsidR="008B5534" w:rsidRDefault="008B5534" w:rsidP="008B5534">
      <w:pPr>
        <w:pStyle w:val="a9"/>
        <w:spacing w:line="360" w:lineRule="auto"/>
        <w:jc w:val="both"/>
        <w:rPr>
          <w:rFonts w:ascii="Arial" w:hAnsi="Arial"/>
          <w:rtl/>
        </w:rPr>
      </w:pPr>
      <w:r>
        <w:rPr>
          <w:rFonts w:ascii="Arial" w:hAnsi="Arial"/>
          <w:rtl/>
        </w:rPr>
        <w:t>ב</w:t>
      </w:r>
      <w:hyperlink r:id="rId40" w:history="1">
        <w:r w:rsidR="004C517F" w:rsidRPr="004C517F">
          <w:rPr>
            <w:rFonts w:ascii="Arial" w:hAnsi="Arial"/>
            <w:color w:val="0000FF"/>
            <w:u w:val="single"/>
            <w:rtl/>
          </w:rPr>
          <w:t>ת"פ 26473-06-15</w:t>
        </w:r>
      </w:hyperlink>
      <w:r>
        <w:rPr>
          <w:rFonts w:ascii="Arial" w:hAnsi="Arial"/>
          <w:rtl/>
        </w:rPr>
        <w:t xml:space="preserve"> </w:t>
      </w:r>
      <w:r>
        <w:rPr>
          <w:rFonts w:ascii="Arial" w:hAnsi="Arial"/>
          <w:u w:val="single"/>
          <w:rtl/>
        </w:rPr>
        <w:t>מדינת ישראל</w:t>
      </w:r>
      <w:r>
        <w:rPr>
          <w:rFonts w:ascii="Arial" w:hAnsi="Arial"/>
          <w:rtl/>
        </w:rPr>
        <w:t xml:space="preserve"> נ. </w:t>
      </w:r>
      <w:r>
        <w:rPr>
          <w:rFonts w:ascii="Arial" w:hAnsi="Arial"/>
          <w:u w:val="single"/>
          <w:rtl/>
        </w:rPr>
        <w:t>פלוני</w:t>
      </w:r>
      <w:r>
        <w:rPr>
          <w:rFonts w:ascii="Arial" w:hAnsi="Arial"/>
          <w:rtl/>
        </w:rPr>
        <w:t xml:space="preserve"> ( 6.9.18) נקבע מתחם עונש הולם בגין גניבת פלאפון ומכירתו בסך 300 ₪ הנע בין מאסר על תנאי ועד 9 חודשי מאסר בפועל. </w:t>
      </w:r>
    </w:p>
    <w:p w14:paraId="179B6794" w14:textId="77777777" w:rsidR="008B5534" w:rsidRDefault="008B5534" w:rsidP="008B5534">
      <w:pPr>
        <w:pStyle w:val="a9"/>
        <w:spacing w:line="360" w:lineRule="auto"/>
        <w:jc w:val="both"/>
        <w:rPr>
          <w:rFonts w:ascii="Arial" w:hAnsi="Arial"/>
          <w:rtl/>
        </w:rPr>
      </w:pPr>
    </w:p>
    <w:p w14:paraId="3FE16964" w14:textId="77777777" w:rsidR="008B5534" w:rsidRPr="00BF7871" w:rsidRDefault="004C517F" w:rsidP="008B5534">
      <w:pPr>
        <w:pStyle w:val="a9"/>
        <w:spacing w:line="360" w:lineRule="auto"/>
        <w:jc w:val="both"/>
        <w:rPr>
          <w:rFonts w:ascii="David" w:hAnsi="David"/>
          <w:rtl/>
        </w:rPr>
      </w:pPr>
      <w:hyperlink r:id="rId41" w:history="1">
        <w:r w:rsidRPr="004C517F">
          <w:rPr>
            <w:rFonts w:ascii="David" w:hAnsi="David"/>
            <w:color w:val="0000FF"/>
            <w:u w:val="single"/>
            <w:rtl/>
          </w:rPr>
          <w:t>רע"פ 5023/18</w:t>
        </w:r>
      </w:hyperlink>
      <w:r w:rsidR="008B5534" w:rsidRPr="00BF7871">
        <w:rPr>
          <w:rFonts w:ascii="David" w:hAnsi="David" w:hint="cs"/>
          <w:rtl/>
        </w:rPr>
        <w:t xml:space="preserve"> </w:t>
      </w:r>
      <w:r w:rsidR="008B5534" w:rsidRPr="00BF7871">
        <w:rPr>
          <w:rFonts w:ascii="David" w:hAnsi="David" w:hint="cs"/>
          <w:b/>
          <w:bCs/>
          <w:u w:val="single"/>
          <w:rtl/>
        </w:rPr>
        <w:t>בדיר</w:t>
      </w:r>
      <w:r w:rsidR="008B5534" w:rsidRPr="00BF7871">
        <w:rPr>
          <w:rFonts w:ascii="David" w:hAnsi="David" w:hint="cs"/>
          <w:rtl/>
        </w:rPr>
        <w:t xml:space="preserve"> נ' </w:t>
      </w:r>
      <w:r w:rsidR="008B5534" w:rsidRPr="00BF7871">
        <w:rPr>
          <w:rFonts w:ascii="David" w:hAnsi="David" w:hint="cs"/>
          <w:b/>
          <w:bCs/>
          <w:u w:val="single"/>
          <w:rtl/>
        </w:rPr>
        <w:t>מ"י</w:t>
      </w:r>
      <w:r w:rsidR="008B5534" w:rsidRPr="00BF7871">
        <w:rPr>
          <w:rFonts w:ascii="David" w:hAnsi="David" w:hint="cs"/>
          <w:rtl/>
        </w:rPr>
        <w:t xml:space="preserve"> (מיום 28.6.2018) שם אושר בהקשר לעבירות אלו בלבד מתחם שבין מאסר מותנה ועד מאסר קצר. שם בנסיבות נוספות של תקיפה הגורמת חבלה נגזר עונש של 5 חודשי מאסר בפועל. ביחס לעבירות של החזקת סם לצריכה עצמית מסוג נייס גאי,</w:t>
      </w:r>
    </w:p>
    <w:p w14:paraId="4594E5E3" w14:textId="77777777" w:rsidR="008B5534" w:rsidRPr="00DA37DA" w:rsidRDefault="008B5534" w:rsidP="008B5534">
      <w:pPr>
        <w:pStyle w:val="a9"/>
        <w:spacing w:line="360" w:lineRule="auto"/>
        <w:jc w:val="both"/>
        <w:rPr>
          <w:rFonts w:ascii="David" w:hAnsi="David"/>
          <w:rtl/>
        </w:rPr>
      </w:pPr>
    </w:p>
    <w:p w14:paraId="7C441705" w14:textId="77777777" w:rsidR="008B5534" w:rsidRDefault="008B5534" w:rsidP="008B5534">
      <w:pPr>
        <w:pStyle w:val="a9"/>
        <w:numPr>
          <w:ilvl w:val="0"/>
          <w:numId w:val="1"/>
        </w:numPr>
        <w:spacing w:line="360" w:lineRule="auto"/>
        <w:jc w:val="both"/>
      </w:pPr>
      <w:r w:rsidRPr="00267B62">
        <w:rPr>
          <w:rFonts w:ascii="David" w:hAnsi="David" w:hint="eastAsia"/>
          <w:rtl/>
        </w:rPr>
        <w:t>מדיניות</w:t>
      </w:r>
      <w:r w:rsidRPr="00267B62">
        <w:rPr>
          <w:rFonts w:ascii="David" w:hAnsi="David"/>
          <w:rtl/>
        </w:rPr>
        <w:t xml:space="preserve"> </w:t>
      </w:r>
      <w:r w:rsidRPr="00267B62">
        <w:rPr>
          <w:rFonts w:ascii="David" w:hAnsi="David" w:hint="eastAsia"/>
          <w:rtl/>
        </w:rPr>
        <w:t>הענישה</w:t>
      </w:r>
      <w:r w:rsidRPr="00267B62">
        <w:rPr>
          <w:rFonts w:ascii="David" w:hAnsi="David"/>
          <w:rtl/>
        </w:rPr>
        <w:t xml:space="preserve"> </w:t>
      </w:r>
      <w:r w:rsidRPr="000C4C99">
        <w:rPr>
          <w:rtl/>
        </w:rPr>
        <w:t xml:space="preserve">ביחס לעבירה של החזקת סם שלא לצריכה עצמית </w:t>
      </w:r>
      <w:r>
        <w:rPr>
          <w:rFonts w:hint="cs"/>
          <w:rtl/>
        </w:rPr>
        <w:t xml:space="preserve">מבוססת בין היתר בסוג הסם </w:t>
      </w:r>
      <w:r w:rsidRPr="000C4C99">
        <w:rPr>
          <w:rtl/>
        </w:rPr>
        <w:t>בכמות</w:t>
      </w:r>
      <w:r>
        <w:rPr>
          <w:rtl/>
        </w:rPr>
        <w:t>,</w:t>
      </w:r>
      <w:r w:rsidRPr="000C4C99">
        <w:rPr>
          <w:rtl/>
        </w:rPr>
        <w:t xml:space="preserve"> ובנסיבותיו של הנאשם</w:t>
      </w:r>
      <w:r>
        <w:rPr>
          <w:rFonts w:hint="cs"/>
          <w:rtl/>
        </w:rPr>
        <w:t xml:space="preserve">. בעניין זה אפנה לפסקי דין הבאים: </w:t>
      </w:r>
      <w:r w:rsidRPr="00267B34">
        <w:rPr>
          <w:rtl/>
        </w:rPr>
        <w:t>לצורך בחינ</w:t>
      </w:r>
      <w:r>
        <w:rPr>
          <w:rtl/>
        </w:rPr>
        <w:t>ת מדיניות הענישה הנוהגת</w:t>
      </w:r>
      <w:r w:rsidRPr="00267B34">
        <w:rPr>
          <w:rtl/>
        </w:rPr>
        <w:t xml:space="preserve"> ניתן להפנות לפסקי הדין הבאים:</w:t>
      </w:r>
      <w:r>
        <w:rPr>
          <w:rFonts w:hint="cs"/>
          <w:rtl/>
        </w:rPr>
        <w:t xml:space="preserve"> </w:t>
      </w:r>
      <w:hyperlink r:id="rId42" w:history="1">
        <w:r w:rsidR="004C517F" w:rsidRPr="004C517F">
          <w:rPr>
            <w:color w:val="0000FF"/>
            <w:u w:val="single"/>
            <w:rtl/>
          </w:rPr>
          <w:t>רע"פ 747/14</w:t>
        </w:r>
      </w:hyperlink>
      <w:r w:rsidRPr="000D03D9">
        <w:rPr>
          <w:rtl/>
        </w:rPr>
        <w:t xml:space="preserve"> </w:t>
      </w:r>
      <w:r w:rsidRPr="00267B62">
        <w:rPr>
          <w:b/>
          <w:bCs/>
          <w:rtl/>
        </w:rPr>
        <w:t>אלי לוי נ' מדינת ישראל</w:t>
      </w:r>
      <w:r w:rsidRPr="000D03D9">
        <w:rPr>
          <w:rtl/>
        </w:rPr>
        <w:t xml:space="preserve"> (11.2.</w:t>
      </w:r>
      <w:r>
        <w:rPr>
          <w:rFonts w:hint="cs"/>
          <w:rtl/>
        </w:rPr>
        <w:t>14</w:t>
      </w:r>
      <w:r w:rsidRPr="000D03D9">
        <w:rPr>
          <w:rtl/>
        </w:rPr>
        <w:t xml:space="preserve">) </w:t>
      </w:r>
      <w:r>
        <w:rPr>
          <w:rFonts w:hint="cs"/>
          <w:rtl/>
        </w:rPr>
        <w:t>בו הורשע נאשם</w:t>
      </w:r>
      <w:r w:rsidRPr="000D03D9">
        <w:rPr>
          <w:rtl/>
        </w:rPr>
        <w:t xml:space="preserve"> בהחזקת</w:t>
      </w:r>
      <w:r>
        <w:rPr>
          <w:rFonts w:hint="cs"/>
          <w:rtl/>
        </w:rPr>
        <w:t xml:space="preserve"> סם מסוג הרואין במשקל של</w:t>
      </w:r>
      <w:r w:rsidRPr="000D03D9">
        <w:rPr>
          <w:rtl/>
        </w:rPr>
        <w:t xml:space="preserve"> 5 גרם ו-0.095 גרם</w:t>
      </w:r>
      <w:r>
        <w:rPr>
          <w:rFonts w:hint="cs"/>
          <w:rtl/>
        </w:rPr>
        <w:t xml:space="preserve"> ונגזרו עליו 8 חודשי מאסר בפועל; </w:t>
      </w:r>
      <w:hyperlink r:id="rId43" w:history="1">
        <w:r w:rsidR="004C517F" w:rsidRPr="004C517F">
          <w:rPr>
            <w:color w:val="0000FF"/>
            <w:u w:val="single"/>
            <w:rtl/>
          </w:rPr>
          <w:t>רע"פ 7572/12</w:t>
        </w:r>
      </w:hyperlink>
      <w:r w:rsidRPr="00980D7B">
        <w:rPr>
          <w:rtl/>
        </w:rPr>
        <w:t xml:space="preserve"> </w:t>
      </w:r>
      <w:r w:rsidRPr="00267B62">
        <w:rPr>
          <w:b/>
          <w:bCs/>
          <w:rtl/>
        </w:rPr>
        <w:t>הוזייל נ' מדינת ישראל</w:t>
      </w:r>
      <w:r w:rsidRPr="00980D7B">
        <w:rPr>
          <w:rtl/>
        </w:rPr>
        <w:t xml:space="preserve"> (23.10.</w:t>
      </w:r>
      <w:r>
        <w:rPr>
          <w:rFonts w:hint="cs"/>
          <w:rtl/>
        </w:rPr>
        <w:t>12</w:t>
      </w:r>
      <w:r w:rsidRPr="00980D7B">
        <w:rPr>
          <w:rtl/>
        </w:rPr>
        <w:t xml:space="preserve">) </w:t>
      </w:r>
      <w:r>
        <w:rPr>
          <w:rFonts w:hint="cs"/>
          <w:rtl/>
        </w:rPr>
        <w:t xml:space="preserve">בו </w:t>
      </w:r>
      <w:r w:rsidRPr="00980D7B">
        <w:rPr>
          <w:rtl/>
        </w:rPr>
        <w:t>הורשע</w:t>
      </w:r>
      <w:r>
        <w:rPr>
          <w:rFonts w:hint="cs"/>
          <w:rtl/>
        </w:rPr>
        <w:t xml:space="preserve"> נאשם</w:t>
      </w:r>
      <w:r w:rsidRPr="00980D7B">
        <w:rPr>
          <w:rtl/>
        </w:rPr>
        <w:t xml:space="preserve"> בעבירות של החזקת </w:t>
      </w:r>
      <w:r>
        <w:rPr>
          <w:rtl/>
        </w:rPr>
        <w:t>סם שלא לשימוש עצמי והפרעה לשוטר</w:t>
      </w:r>
      <w:r>
        <w:rPr>
          <w:rFonts w:hint="cs"/>
          <w:rtl/>
        </w:rPr>
        <w:t xml:space="preserve">, </w:t>
      </w:r>
      <w:r w:rsidRPr="00980D7B">
        <w:rPr>
          <w:rtl/>
        </w:rPr>
        <w:t>בכך שהחזיק 8 יחידות של סם מסוכן מסוג הרוא</w:t>
      </w:r>
      <w:r>
        <w:rPr>
          <w:rtl/>
        </w:rPr>
        <w:t>ין במשקל כולל של כ-5.3 גרם נטו</w:t>
      </w:r>
      <w:r>
        <w:rPr>
          <w:rFonts w:hint="cs"/>
          <w:rtl/>
        </w:rPr>
        <w:t xml:space="preserve"> ונגזרו עליו </w:t>
      </w:r>
      <w:r w:rsidRPr="00980D7B">
        <w:rPr>
          <w:rtl/>
        </w:rPr>
        <w:t xml:space="preserve">12 חודשי מאסר </w:t>
      </w:r>
      <w:r>
        <w:rPr>
          <w:rFonts w:hint="cs"/>
          <w:rtl/>
        </w:rPr>
        <w:t xml:space="preserve">בפועל; </w:t>
      </w:r>
      <w:hyperlink r:id="rId44" w:history="1">
        <w:r w:rsidR="004C517F" w:rsidRPr="004C517F">
          <w:rPr>
            <w:color w:val="0000FF"/>
            <w:u w:val="single"/>
            <w:rtl/>
          </w:rPr>
          <w:t>ע"פ 27588-07-16</w:t>
        </w:r>
      </w:hyperlink>
      <w:r w:rsidRPr="007C08BE">
        <w:rPr>
          <w:rtl/>
        </w:rPr>
        <w:t xml:space="preserve"> </w:t>
      </w:r>
      <w:r w:rsidRPr="00267B62">
        <w:rPr>
          <w:b/>
          <w:bCs/>
          <w:rtl/>
        </w:rPr>
        <w:t>מסארוה נ' מדינת ישראל</w:t>
      </w:r>
      <w:r>
        <w:rPr>
          <w:rFonts w:hint="cs"/>
          <w:rtl/>
        </w:rPr>
        <w:t xml:space="preserve"> (6.11.16) בו נידון עניינו של נאשם שהורשע בהחזקת 3.3 גרם של סם מסוג הרואין ונגזרו עליו 8 חודשי מאסר בפועל וכן הופעלו מאסרים מותנים כך שסה"כ ירצה 20 חודשי מאסר. ערכאת הערעור הקלה בעונשו באופן זה שחלק מהמאסרים המותנים הופעלו בחופף, ולא במצטבר כפי שנגזר עליו בבית משפא קמא; </w:t>
      </w:r>
      <w:hyperlink r:id="rId45" w:history="1">
        <w:r w:rsidR="004C517F" w:rsidRPr="004C517F">
          <w:rPr>
            <w:color w:val="0000FF"/>
            <w:u w:val="single"/>
            <w:rtl/>
          </w:rPr>
          <w:t>עפ"ג 42943-08-11</w:t>
        </w:r>
      </w:hyperlink>
      <w:r w:rsidRPr="00DA0D18">
        <w:rPr>
          <w:rtl/>
        </w:rPr>
        <w:t xml:space="preserve"> </w:t>
      </w:r>
      <w:r w:rsidRPr="00267B62">
        <w:rPr>
          <w:b/>
          <w:bCs/>
          <w:rtl/>
        </w:rPr>
        <w:t>בן שושה</w:t>
      </w:r>
      <w:r w:rsidRPr="00267B62">
        <w:rPr>
          <w:rFonts w:hint="cs"/>
          <w:b/>
          <w:bCs/>
          <w:rtl/>
        </w:rPr>
        <w:t xml:space="preserve"> </w:t>
      </w:r>
      <w:r w:rsidRPr="00267B62">
        <w:rPr>
          <w:b/>
          <w:bCs/>
          <w:rtl/>
        </w:rPr>
        <w:t>נ' מדינת ישראל</w:t>
      </w:r>
      <w:r>
        <w:rPr>
          <w:rFonts w:hint="cs"/>
          <w:rtl/>
        </w:rPr>
        <w:t xml:space="preserve"> (24.11.11) בו נידון עניינו של נאשם שהורשע בהחזקת כ-7</w:t>
      </w:r>
      <w:r w:rsidRPr="00DA0D18">
        <w:rPr>
          <w:rtl/>
        </w:rPr>
        <w:t xml:space="preserve"> גרם</w:t>
      </w:r>
      <w:r>
        <w:rPr>
          <w:rFonts w:hint="cs"/>
          <w:rtl/>
        </w:rPr>
        <w:t xml:space="preserve"> של סם מסוג הרואין ונגזרו עליו 18 חודשי מאסר בפועל; </w:t>
      </w:r>
      <w:hyperlink r:id="rId46" w:history="1">
        <w:r w:rsidR="004C517F" w:rsidRPr="004C517F">
          <w:rPr>
            <w:color w:val="0000FF"/>
            <w:u w:val="single"/>
            <w:rtl/>
          </w:rPr>
          <w:t>ת.פ 46051-06-15</w:t>
        </w:r>
      </w:hyperlink>
      <w:r>
        <w:rPr>
          <w:rtl/>
        </w:rPr>
        <w:t xml:space="preserve"> </w:t>
      </w:r>
      <w:r w:rsidRPr="00267B62">
        <w:rPr>
          <w:b/>
          <w:bCs/>
          <w:rtl/>
        </w:rPr>
        <w:t>מדינת ישראל נ' יוסי בג'רנו</w:t>
      </w:r>
      <w:r>
        <w:rPr>
          <w:rtl/>
        </w:rPr>
        <w:t xml:space="preserve"> (20.9.16) בו נידון נאשם שהחזיק 5 גרם קוקאין שלא לשימוש עצמי ונקבע מתחם ענישה הנע בין 4 חודשי מאסר בפועל ועד 18 חודשי מאסר.</w:t>
      </w:r>
    </w:p>
    <w:p w14:paraId="5B3407B0" w14:textId="77777777" w:rsidR="008B5534" w:rsidRPr="00DA0D18" w:rsidRDefault="008B5534" w:rsidP="008B5534">
      <w:pPr>
        <w:pStyle w:val="a9"/>
        <w:spacing w:line="360" w:lineRule="auto"/>
        <w:jc w:val="both"/>
      </w:pPr>
    </w:p>
    <w:p w14:paraId="7617C1ED" w14:textId="77777777" w:rsidR="008B5534" w:rsidRPr="00B110C9" w:rsidRDefault="008B5534" w:rsidP="008B5534">
      <w:pPr>
        <w:pStyle w:val="a9"/>
        <w:numPr>
          <w:ilvl w:val="0"/>
          <w:numId w:val="1"/>
        </w:numPr>
        <w:spacing w:line="360" w:lineRule="auto"/>
        <w:ind w:left="714" w:hanging="357"/>
        <w:jc w:val="both"/>
        <w:rPr>
          <w:rFonts w:ascii="Arial" w:hAnsi="Arial"/>
          <w:b/>
          <w:bCs/>
        </w:rPr>
      </w:pPr>
      <w:r w:rsidRPr="00B110C9">
        <w:rPr>
          <w:rFonts w:ascii="Arial" w:hAnsi="Arial" w:hint="cs"/>
          <w:b/>
          <w:bCs/>
          <w:rtl/>
        </w:rPr>
        <w:t xml:space="preserve">בנסיבות שאינן קשורות לביצוע העבירות אני סבורה שמתחם העונש ההולם באשר לאישום מספר 1 ואישום מספר 2 נע בין עונש של 8 חודשי מאסר ועד לעונש של 20 חודשי מאסר ברף העליון. באשר למתחם העונש ההולם את נסיבות ביצוע העבירה באישום השלישי אני סבורה שמתחם העונש ההולם נע בין עונש של מספר חודשי מאסר שניתן לשאת בדרך של עבודות שירות לבין עונש של 12  חודשי מאסר בפועל ברף העליון. </w:t>
      </w:r>
    </w:p>
    <w:p w14:paraId="08779CE2" w14:textId="77777777" w:rsidR="008B5534" w:rsidRPr="004A115A" w:rsidRDefault="008B5534" w:rsidP="008B5534">
      <w:pPr>
        <w:pStyle w:val="a9"/>
        <w:rPr>
          <w:rFonts w:ascii="Arial" w:hAnsi="Arial"/>
          <w:rtl/>
        </w:rPr>
      </w:pPr>
    </w:p>
    <w:p w14:paraId="6FCA4046" w14:textId="77777777" w:rsidR="008B5534" w:rsidRDefault="008B5534" w:rsidP="008B5534">
      <w:pPr>
        <w:pStyle w:val="a9"/>
        <w:numPr>
          <w:ilvl w:val="0"/>
          <w:numId w:val="1"/>
        </w:numPr>
        <w:spacing w:line="360" w:lineRule="auto"/>
        <w:ind w:left="714" w:hanging="357"/>
        <w:jc w:val="both"/>
        <w:rPr>
          <w:rFonts w:ascii="Arial" w:hAnsi="Arial"/>
        </w:rPr>
      </w:pPr>
      <w:r>
        <w:rPr>
          <w:rFonts w:ascii="Arial" w:hAnsi="Arial" w:hint="cs"/>
          <w:rtl/>
        </w:rPr>
        <w:t xml:space="preserve">באשר לעונשו של הנאשם, נתתי משקל לעובדה שהנאשם הודה בהזדמנות הראשונה וחסך את עדות המתלוננים. כמו כן אני נותנת משקל לנסיבותיו האישיות כעולה מטיעוני הסנגורית והראיות לעונש והעובדה שבת זוגו של הנאשם צפויה ללדת בקרוב.  לחומרה נתתי משקל בתוך מתחם העונש ההולם לעובדה שלנאשם עבר פלילי מכביד הכולל עבירות רכוש רבות ויש מקום לתת משקל לשיקולי הרתעה בתוך מתחם העונש ההולם. יחד עם זאת יש לציין כי הרשעתו האחרונה של הנאשם משנת 2015. </w:t>
      </w:r>
    </w:p>
    <w:p w14:paraId="3D10A3C8" w14:textId="77777777" w:rsidR="008B5534" w:rsidRPr="009267AD" w:rsidRDefault="008B5534" w:rsidP="008B5534">
      <w:pPr>
        <w:pStyle w:val="a9"/>
        <w:rPr>
          <w:rFonts w:ascii="Arial" w:hAnsi="Arial"/>
          <w:rtl/>
        </w:rPr>
      </w:pPr>
    </w:p>
    <w:p w14:paraId="42680E4A" w14:textId="77777777" w:rsidR="008B5534" w:rsidRPr="009267AD" w:rsidRDefault="008B5534" w:rsidP="008B5534">
      <w:pPr>
        <w:pStyle w:val="a9"/>
        <w:numPr>
          <w:ilvl w:val="0"/>
          <w:numId w:val="1"/>
        </w:numPr>
        <w:spacing w:line="360" w:lineRule="auto"/>
        <w:ind w:left="714" w:hanging="357"/>
        <w:jc w:val="both"/>
        <w:rPr>
          <w:rFonts w:ascii="Arial" w:hAnsi="Arial"/>
          <w:b/>
          <w:bCs/>
        </w:rPr>
      </w:pPr>
      <w:r w:rsidRPr="009267AD">
        <w:rPr>
          <w:rFonts w:ascii="Arial" w:hAnsi="Arial" w:hint="cs"/>
          <w:b/>
          <w:bCs/>
          <w:rtl/>
        </w:rPr>
        <w:t xml:space="preserve">סיכומו של דבר במכלול השיקולים לקולא ולחומרא  שאני גוזרת על הנאשם את העונשים הבאים: </w:t>
      </w:r>
    </w:p>
    <w:p w14:paraId="2CF91688" w14:textId="77777777" w:rsidR="008B5534" w:rsidRPr="009267AD" w:rsidRDefault="008B5534" w:rsidP="008B5534">
      <w:pPr>
        <w:pStyle w:val="a9"/>
        <w:rPr>
          <w:rFonts w:ascii="Arial" w:hAnsi="Arial"/>
          <w:b/>
          <w:bCs/>
          <w:rtl/>
        </w:rPr>
      </w:pPr>
    </w:p>
    <w:p w14:paraId="6AE23D97" w14:textId="77777777" w:rsidR="008B5534" w:rsidRPr="009267AD" w:rsidRDefault="008B5534" w:rsidP="008B5534">
      <w:pPr>
        <w:pStyle w:val="a9"/>
        <w:spacing w:line="360" w:lineRule="auto"/>
        <w:ind w:left="714"/>
        <w:jc w:val="both"/>
        <w:rPr>
          <w:rFonts w:ascii="Arial" w:hAnsi="Arial"/>
          <w:b/>
          <w:bCs/>
          <w:rtl/>
        </w:rPr>
      </w:pPr>
      <w:r>
        <w:rPr>
          <w:rFonts w:ascii="Arial" w:hAnsi="Arial" w:hint="cs"/>
          <w:b/>
          <w:bCs/>
          <w:rtl/>
        </w:rPr>
        <w:t xml:space="preserve">12 </w:t>
      </w:r>
      <w:r w:rsidRPr="009267AD">
        <w:rPr>
          <w:rFonts w:ascii="Arial" w:hAnsi="Arial" w:hint="cs"/>
          <w:b/>
          <w:bCs/>
          <w:rtl/>
        </w:rPr>
        <w:t xml:space="preserve">חודשי מאסר בפועל, בניכוי ימי מעצרו של הנאשם מיום 9.5.22 </w:t>
      </w:r>
    </w:p>
    <w:p w14:paraId="0461B010" w14:textId="77777777" w:rsidR="008B5534" w:rsidRPr="009267AD" w:rsidRDefault="008B5534" w:rsidP="008B5534">
      <w:pPr>
        <w:pStyle w:val="a9"/>
        <w:spacing w:line="360" w:lineRule="auto"/>
        <w:ind w:left="714"/>
        <w:jc w:val="both"/>
        <w:rPr>
          <w:rFonts w:ascii="Arial" w:hAnsi="Arial"/>
          <w:b/>
          <w:bCs/>
          <w:rtl/>
        </w:rPr>
      </w:pPr>
    </w:p>
    <w:p w14:paraId="32AC0000" w14:textId="77777777" w:rsidR="008B5534" w:rsidRPr="009267AD" w:rsidRDefault="008B5534" w:rsidP="008B5534">
      <w:pPr>
        <w:pStyle w:val="a9"/>
        <w:spacing w:line="360" w:lineRule="auto"/>
        <w:ind w:left="714"/>
        <w:jc w:val="both"/>
        <w:rPr>
          <w:rFonts w:ascii="Arial" w:hAnsi="Arial"/>
          <w:b/>
          <w:bCs/>
          <w:rtl/>
        </w:rPr>
      </w:pPr>
      <w:r w:rsidRPr="009267AD">
        <w:rPr>
          <w:rFonts w:ascii="Arial" w:hAnsi="Arial" w:hint="cs"/>
          <w:b/>
          <w:bCs/>
          <w:rtl/>
        </w:rPr>
        <w:t xml:space="preserve">5 חודשי מאסר על תנאי למשך שלוש שנים מיום שחרורו של הנאשם שלא יעבור עבירת רכוש למעט עבירה לפי </w:t>
      </w:r>
      <w:hyperlink r:id="rId47" w:history="1">
        <w:r w:rsidR="007D4107" w:rsidRPr="007D4107">
          <w:rPr>
            <w:rStyle w:val="Hyperlink"/>
            <w:rFonts w:ascii="Arial" w:hAnsi="Arial" w:hint="eastAsia"/>
            <w:b/>
            <w:bCs/>
            <w:rtl/>
          </w:rPr>
          <w:t>סעיף</w:t>
        </w:r>
        <w:r w:rsidR="007D4107" w:rsidRPr="007D4107">
          <w:rPr>
            <w:rStyle w:val="Hyperlink"/>
            <w:rFonts w:ascii="Arial" w:hAnsi="Arial"/>
            <w:b/>
            <w:bCs/>
            <w:rtl/>
          </w:rPr>
          <w:t xml:space="preserve"> 413</w:t>
        </w:r>
      </w:hyperlink>
      <w:r w:rsidRPr="009267AD">
        <w:rPr>
          <w:rFonts w:ascii="Arial" w:hAnsi="Arial" w:hint="cs"/>
          <w:b/>
          <w:bCs/>
          <w:rtl/>
        </w:rPr>
        <w:t xml:space="preserve"> ל</w:t>
      </w:r>
      <w:hyperlink r:id="rId48" w:history="1">
        <w:r w:rsidR="004C517F" w:rsidRPr="004C517F">
          <w:rPr>
            <w:rFonts w:ascii="Arial" w:hAnsi="Arial"/>
            <w:b/>
            <w:bCs/>
            <w:color w:val="0000FF"/>
            <w:u w:val="single"/>
            <w:rtl/>
          </w:rPr>
          <w:t>חוק העונשין</w:t>
        </w:r>
      </w:hyperlink>
      <w:r w:rsidRPr="009267AD">
        <w:rPr>
          <w:rFonts w:ascii="Arial" w:hAnsi="Arial" w:hint="cs"/>
          <w:b/>
          <w:bCs/>
          <w:rtl/>
        </w:rPr>
        <w:t xml:space="preserve"> </w:t>
      </w:r>
      <w:r w:rsidRPr="009267AD">
        <w:rPr>
          <w:rFonts w:ascii="Arial" w:hAnsi="Arial"/>
          <w:b/>
          <w:bCs/>
          <w:rtl/>
        </w:rPr>
        <w:t>–</w:t>
      </w:r>
      <w:r w:rsidRPr="009267AD">
        <w:rPr>
          <w:rFonts w:ascii="Arial" w:hAnsi="Arial" w:hint="cs"/>
          <w:b/>
          <w:bCs/>
          <w:rtl/>
        </w:rPr>
        <w:t xml:space="preserve"> החזקת נכס החשוד כגנוב. </w:t>
      </w:r>
    </w:p>
    <w:p w14:paraId="0B88BD98" w14:textId="77777777" w:rsidR="008B5534" w:rsidRPr="009267AD" w:rsidRDefault="008B5534" w:rsidP="008B5534">
      <w:pPr>
        <w:pStyle w:val="a9"/>
        <w:spacing w:line="360" w:lineRule="auto"/>
        <w:ind w:left="714"/>
        <w:jc w:val="both"/>
        <w:rPr>
          <w:rFonts w:ascii="Arial" w:hAnsi="Arial"/>
          <w:b/>
          <w:bCs/>
          <w:rtl/>
        </w:rPr>
      </w:pPr>
    </w:p>
    <w:p w14:paraId="17DE2F89" w14:textId="77777777" w:rsidR="008B5534" w:rsidRPr="009267AD" w:rsidRDefault="008B5534" w:rsidP="008B5534">
      <w:pPr>
        <w:pStyle w:val="a9"/>
        <w:spacing w:line="360" w:lineRule="auto"/>
        <w:ind w:left="714"/>
        <w:jc w:val="both"/>
        <w:rPr>
          <w:rFonts w:ascii="Arial" w:hAnsi="Arial"/>
          <w:b/>
          <w:bCs/>
        </w:rPr>
      </w:pPr>
      <w:r w:rsidRPr="009267AD">
        <w:rPr>
          <w:rFonts w:ascii="Arial" w:hAnsi="Arial" w:hint="cs"/>
          <w:b/>
          <w:bCs/>
          <w:rtl/>
        </w:rPr>
        <w:t xml:space="preserve">3 חודשי מאסר על תנאי למשך שלוש שנים מיום שחרורו של הנאשם שלא יעבור עבירת סמים מסוג פשע על פי פקודת הסמים ויורשע בה. </w:t>
      </w:r>
    </w:p>
    <w:p w14:paraId="41D260E7" w14:textId="77777777" w:rsidR="008B5534" w:rsidRPr="009267AD" w:rsidRDefault="008B5534" w:rsidP="008B5534">
      <w:pPr>
        <w:pStyle w:val="a9"/>
        <w:rPr>
          <w:rFonts w:ascii="Arial" w:hAnsi="Arial"/>
          <w:rtl/>
        </w:rPr>
      </w:pPr>
    </w:p>
    <w:p w14:paraId="3EDC585B" w14:textId="77777777" w:rsidR="008B5534" w:rsidRPr="00E14FBC" w:rsidRDefault="008B5534" w:rsidP="008B5534">
      <w:pPr>
        <w:pStyle w:val="a9"/>
        <w:spacing w:line="360" w:lineRule="auto"/>
        <w:ind w:left="714"/>
        <w:jc w:val="both"/>
        <w:rPr>
          <w:rFonts w:ascii="Arial" w:hAnsi="Arial"/>
          <w:b/>
          <w:bCs/>
          <w:rtl/>
        </w:rPr>
      </w:pPr>
      <w:r w:rsidRPr="00E14FBC">
        <w:rPr>
          <w:rFonts w:ascii="Arial" w:hAnsi="Arial" w:hint="cs"/>
          <w:b/>
          <w:bCs/>
          <w:rtl/>
        </w:rPr>
        <w:t xml:space="preserve">אני מחייבת את הנאשם בפיצוי כספי לכל אחד מהמתלוננים באישום 1 ובאישום 2 בסכום של 1,000 ₪ לכל אחד. הפיצוי ישולם בתוך 100 ימים. </w:t>
      </w:r>
    </w:p>
    <w:p w14:paraId="26367E1E" w14:textId="77777777" w:rsidR="008B5534" w:rsidRPr="00E14FBC" w:rsidRDefault="008B5534" w:rsidP="008B5534">
      <w:pPr>
        <w:pStyle w:val="a9"/>
        <w:spacing w:line="360" w:lineRule="auto"/>
        <w:ind w:left="714"/>
        <w:jc w:val="both"/>
        <w:rPr>
          <w:rFonts w:ascii="Arial" w:hAnsi="Arial"/>
          <w:b/>
          <w:bCs/>
          <w:rtl/>
        </w:rPr>
      </w:pPr>
      <w:r w:rsidRPr="00E14FBC">
        <w:rPr>
          <w:rFonts w:ascii="Arial" w:hAnsi="Arial" w:hint="cs"/>
          <w:b/>
          <w:bCs/>
          <w:rtl/>
        </w:rPr>
        <w:t xml:space="preserve">המאשימה תמציא פרטי המתלוננים למזכירות. </w:t>
      </w:r>
    </w:p>
    <w:p w14:paraId="1390FD53" w14:textId="77777777" w:rsidR="008B5534" w:rsidRPr="00E14FBC" w:rsidRDefault="008B5534" w:rsidP="008B5534">
      <w:pPr>
        <w:pStyle w:val="a9"/>
        <w:spacing w:line="360" w:lineRule="auto"/>
        <w:ind w:left="714"/>
        <w:jc w:val="both"/>
        <w:rPr>
          <w:rFonts w:ascii="Arial" w:hAnsi="Arial"/>
          <w:b/>
          <w:bCs/>
          <w:rtl/>
        </w:rPr>
      </w:pPr>
    </w:p>
    <w:p w14:paraId="3C530403" w14:textId="77777777" w:rsidR="008B5534" w:rsidRPr="00E14FBC" w:rsidRDefault="008B5534" w:rsidP="008B5534">
      <w:pPr>
        <w:pStyle w:val="a9"/>
        <w:spacing w:line="360" w:lineRule="auto"/>
        <w:ind w:left="714"/>
        <w:jc w:val="both"/>
        <w:rPr>
          <w:rFonts w:ascii="Arial" w:hAnsi="Arial"/>
          <w:b/>
          <w:bCs/>
          <w:rtl/>
        </w:rPr>
      </w:pPr>
      <w:r w:rsidRPr="00E14FBC">
        <w:rPr>
          <w:rFonts w:ascii="Arial" w:hAnsi="Arial" w:hint="cs"/>
          <w:b/>
          <w:bCs/>
          <w:rtl/>
        </w:rPr>
        <w:t>בנסיבות העניין אינני משיתה קנס כספי על הנאשם.</w:t>
      </w:r>
    </w:p>
    <w:p w14:paraId="57CDBD08" w14:textId="77777777" w:rsidR="008B5534" w:rsidRPr="00E14FBC" w:rsidRDefault="008B5534" w:rsidP="008B5534">
      <w:pPr>
        <w:pStyle w:val="a9"/>
        <w:spacing w:line="360" w:lineRule="auto"/>
        <w:ind w:left="714"/>
        <w:jc w:val="both"/>
        <w:rPr>
          <w:rFonts w:ascii="Arial" w:hAnsi="Arial"/>
          <w:b/>
          <w:bCs/>
          <w:rtl/>
        </w:rPr>
      </w:pPr>
      <w:r w:rsidRPr="00E14FBC">
        <w:rPr>
          <w:rFonts w:ascii="Arial" w:hAnsi="Arial" w:hint="cs"/>
          <w:b/>
          <w:bCs/>
          <w:rtl/>
        </w:rPr>
        <w:t xml:space="preserve">אני פוסלת את רישיון הנהיגה של הנאשם על תנאי למשך חודשיים לתקופה של שנתיים שלא יעבור כל עבירת סמים מסוג פשע על פי פקודת הסמים ויורשע בה. </w:t>
      </w:r>
    </w:p>
    <w:p w14:paraId="0AD9C2DC" w14:textId="77777777" w:rsidR="008B5534" w:rsidRDefault="008B5534" w:rsidP="008B5534">
      <w:pPr>
        <w:rPr>
          <w:rFonts w:ascii="Arial" w:hAnsi="Arial"/>
          <w:b/>
          <w:bCs/>
          <w:sz w:val="26"/>
          <w:szCs w:val="26"/>
          <w:rtl/>
        </w:rPr>
      </w:pPr>
    </w:p>
    <w:p w14:paraId="5F153B6D" w14:textId="77777777" w:rsidR="008B5534" w:rsidRDefault="008B5534" w:rsidP="008B5534">
      <w:pPr>
        <w:rPr>
          <w:rFonts w:ascii="Arial" w:hAnsi="Arial"/>
          <w:b/>
          <w:bCs/>
          <w:sz w:val="26"/>
          <w:szCs w:val="26"/>
          <w:rtl/>
        </w:rPr>
      </w:pPr>
      <w:r>
        <w:rPr>
          <w:rFonts w:ascii="Arial" w:hAnsi="Arial"/>
          <w:b/>
          <w:bCs/>
          <w:sz w:val="26"/>
          <w:szCs w:val="26"/>
          <w:rtl/>
        </w:rPr>
        <w:tab/>
      </w:r>
      <w:r>
        <w:rPr>
          <w:rFonts w:ascii="Arial" w:hAnsi="Arial" w:hint="cs"/>
          <w:b/>
          <w:bCs/>
          <w:sz w:val="26"/>
          <w:szCs w:val="26"/>
          <w:rtl/>
        </w:rPr>
        <w:t xml:space="preserve">ניתן בזאת צו להשמדת הסמים בתום תקופת הערעור. </w:t>
      </w:r>
    </w:p>
    <w:p w14:paraId="4C95A5B4" w14:textId="77777777" w:rsidR="008B5534" w:rsidRPr="004C517F" w:rsidRDefault="004C517F" w:rsidP="008B5534">
      <w:pPr>
        <w:rPr>
          <w:rFonts w:ascii="Arial" w:hAnsi="Arial"/>
          <w:b/>
          <w:bCs/>
          <w:color w:val="FFFFFF"/>
          <w:sz w:val="2"/>
          <w:szCs w:val="2"/>
          <w:rtl/>
        </w:rPr>
      </w:pPr>
      <w:r w:rsidRPr="004C517F">
        <w:rPr>
          <w:rFonts w:ascii="Arial" w:hAnsi="Arial"/>
          <w:b/>
          <w:bCs/>
          <w:color w:val="FFFFFF"/>
          <w:sz w:val="2"/>
          <w:szCs w:val="2"/>
          <w:rtl/>
        </w:rPr>
        <w:t>5129371</w:t>
      </w:r>
    </w:p>
    <w:p w14:paraId="2402D3D1" w14:textId="77777777" w:rsidR="008B5534" w:rsidRPr="00C90DB4" w:rsidRDefault="004C517F" w:rsidP="008B5534">
      <w:pPr>
        <w:rPr>
          <w:rFonts w:ascii="Arial" w:hAnsi="Arial"/>
          <w:b/>
          <w:bCs/>
          <w:sz w:val="26"/>
          <w:szCs w:val="26"/>
          <w:u w:val="single"/>
          <w:rtl/>
        </w:rPr>
      </w:pPr>
      <w:r w:rsidRPr="004C517F">
        <w:rPr>
          <w:rFonts w:ascii="Arial" w:hAnsi="Arial"/>
          <w:b/>
          <w:bCs/>
          <w:color w:val="FFFFFF"/>
          <w:sz w:val="2"/>
          <w:szCs w:val="2"/>
          <w:rtl/>
        </w:rPr>
        <w:t>54678313</w:t>
      </w:r>
      <w:r w:rsidR="008B5534">
        <w:rPr>
          <w:rFonts w:ascii="Arial" w:hAnsi="Arial"/>
          <w:b/>
          <w:bCs/>
          <w:sz w:val="26"/>
          <w:szCs w:val="26"/>
          <w:rtl/>
        </w:rPr>
        <w:tab/>
      </w:r>
      <w:r w:rsidR="008B5534" w:rsidRPr="00C90DB4">
        <w:rPr>
          <w:rFonts w:ascii="Arial" w:hAnsi="Arial" w:hint="cs"/>
          <w:b/>
          <w:bCs/>
          <w:sz w:val="26"/>
          <w:szCs w:val="26"/>
          <w:u w:val="single"/>
          <w:rtl/>
        </w:rPr>
        <w:t xml:space="preserve">זכות ערעור בתוך 45 יום לבית המשפט המחוזי </w:t>
      </w:r>
    </w:p>
    <w:p w14:paraId="1B84C235" w14:textId="77777777" w:rsidR="008B5534" w:rsidRPr="00E14FBC" w:rsidRDefault="008B5534" w:rsidP="008B5534">
      <w:pPr>
        <w:rPr>
          <w:rFonts w:ascii="Arial" w:hAnsi="Arial"/>
          <w:b/>
          <w:bCs/>
          <w:sz w:val="26"/>
          <w:szCs w:val="26"/>
          <w:rtl/>
        </w:rPr>
      </w:pPr>
    </w:p>
    <w:p w14:paraId="4F1B3775" w14:textId="77777777" w:rsidR="008B5534" w:rsidRPr="000F2247" w:rsidRDefault="004C517F" w:rsidP="008B5534">
      <w:pPr>
        <w:rPr>
          <w:rFonts w:ascii="Arial" w:hAnsi="Arial"/>
          <w:b/>
          <w:bCs/>
          <w:sz w:val="26"/>
          <w:szCs w:val="26"/>
          <w:rtl/>
        </w:rPr>
      </w:pPr>
      <w:bookmarkStart w:id="7" w:name="Nitan"/>
      <w:r>
        <w:rPr>
          <w:rFonts w:ascii="Arial" w:hAnsi="Arial"/>
          <w:b/>
          <w:bCs/>
          <w:sz w:val="26"/>
          <w:szCs w:val="26"/>
          <w:rtl/>
        </w:rPr>
        <w:t xml:space="preserve">ניתן היום,  כ"ב תמוז תשפ"ב, 21 יולי 2022, בנוכחות הצדדים. </w:t>
      </w:r>
      <w:bookmarkEnd w:id="7"/>
    </w:p>
    <w:p w14:paraId="622B52ED" w14:textId="77777777" w:rsidR="008B5534" w:rsidRPr="000F2247" w:rsidRDefault="008B5534" w:rsidP="004C517F">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3193C9E" w14:textId="77777777" w:rsidR="008B5534" w:rsidRPr="000F2247" w:rsidRDefault="008B5534" w:rsidP="008B5534">
      <w:pPr>
        <w:jc w:val="center"/>
        <w:rPr>
          <w:rFonts w:ascii="Arial" w:hAnsi="Arial"/>
          <w:b/>
          <w:bCs/>
          <w:sz w:val="26"/>
          <w:szCs w:val="26"/>
          <w:rtl/>
        </w:rPr>
      </w:pPr>
    </w:p>
    <w:p w14:paraId="6A37502A" w14:textId="77777777" w:rsidR="00D02FB7" w:rsidRPr="004C517F" w:rsidRDefault="00D02FB7" w:rsidP="004C517F">
      <w:pPr>
        <w:keepNext/>
        <w:rPr>
          <w:rFonts w:ascii="David" w:hAnsi="David"/>
          <w:color w:val="000000"/>
          <w:sz w:val="22"/>
          <w:szCs w:val="22"/>
          <w:rtl/>
        </w:rPr>
      </w:pPr>
    </w:p>
    <w:p w14:paraId="670B4222" w14:textId="77777777" w:rsidR="004C517F" w:rsidRPr="004C517F" w:rsidRDefault="004C517F" w:rsidP="004C517F">
      <w:pPr>
        <w:keepNext/>
        <w:rPr>
          <w:rFonts w:ascii="David" w:hAnsi="David"/>
          <w:color w:val="000000"/>
          <w:sz w:val="22"/>
          <w:szCs w:val="22"/>
          <w:rtl/>
        </w:rPr>
      </w:pPr>
      <w:r w:rsidRPr="004C517F">
        <w:rPr>
          <w:rFonts w:ascii="David" w:hAnsi="David"/>
          <w:color w:val="000000"/>
          <w:sz w:val="22"/>
          <w:szCs w:val="22"/>
          <w:rtl/>
        </w:rPr>
        <w:t>סימי פלג קימלוב 54678313</w:t>
      </w:r>
    </w:p>
    <w:p w14:paraId="35F4FB41" w14:textId="77777777" w:rsidR="004C517F" w:rsidRDefault="004C517F" w:rsidP="004C517F">
      <w:r w:rsidRPr="004C517F">
        <w:rPr>
          <w:color w:val="000000"/>
          <w:rtl/>
        </w:rPr>
        <w:t>נוסח מסמך זה כפוף לשינויי ניסוח ועריכה</w:t>
      </w:r>
    </w:p>
    <w:p w14:paraId="1257AB7B" w14:textId="77777777" w:rsidR="004C517F" w:rsidRDefault="004C517F" w:rsidP="004C517F">
      <w:pPr>
        <w:rPr>
          <w:rtl/>
        </w:rPr>
      </w:pPr>
    </w:p>
    <w:p w14:paraId="485A505F" w14:textId="77777777" w:rsidR="004C517F" w:rsidRDefault="004C517F" w:rsidP="004C517F">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4BCA1950" w14:textId="77777777" w:rsidR="004C517F" w:rsidRPr="004C517F" w:rsidRDefault="004C517F" w:rsidP="004C517F">
      <w:pPr>
        <w:jc w:val="center"/>
        <w:rPr>
          <w:color w:val="0000FF"/>
          <w:u w:val="single"/>
        </w:rPr>
      </w:pPr>
    </w:p>
    <w:sectPr w:rsidR="004C517F" w:rsidRPr="004C517F" w:rsidSect="004C517F">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9185F" w14:textId="77777777" w:rsidR="000C418B" w:rsidRDefault="000C418B" w:rsidP="0032403F">
      <w:r>
        <w:separator/>
      </w:r>
    </w:p>
  </w:endnote>
  <w:endnote w:type="continuationSeparator" w:id="0">
    <w:p w14:paraId="4D4A913A" w14:textId="77777777" w:rsidR="000C418B" w:rsidRDefault="000C418B" w:rsidP="00324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35F4B" w14:textId="77777777" w:rsidR="004C517F" w:rsidRDefault="004C517F" w:rsidP="004C517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69BB549" w14:textId="77777777" w:rsidR="00CD3D7E" w:rsidRPr="004C517F" w:rsidRDefault="004C517F" w:rsidP="004C517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4EC75" w14:textId="77777777" w:rsidR="004C517F" w:rsidRDefault="004C517F" w:rsidP="004C517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6F6F">
      <w:rPr>
        <w:rFonts w:ascii="FrankRuehl" w:hAnsi="FrankRuehl" w:cs="FrankRuehl"/>
        <w:noProof/>
        <w:rtl/>
      </w:rPr>
      <w:t>1</w:t>
    </w:r>
    <w:r>
      <w:rPr>
        <w:rFonts w:ascii="FrankRuehl" w:hAnsi="FrankRuehl" w:cs="FrankRuehl"/>
        <w:rtl/>
      </w:rPr>
      <w:fldChar w:fldCharType="end"/>
    </w:r>
  </w:p>
  <w:p w14:paraId="0CF027A3" w14:textId="77777777" w:rsidR="00CD3D7E" w:rsidRPr="004C517F" w:rsidRDefault="004C517F" w:rsidP="004C517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116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272291" w14:textId="77777777" w:rsidR="000C418B" w:rsidRDefault="000C418B" w:rsidP="0032403F">
      <w:r>
        <w:separator/>
      </w:r>
    </w:p>
  </w:footnote>
  <w:footnote w:type="continuationSeparator" w:id="0">
    <w:p w14:paraId="3CB971F9" w14:textId="77777777" w:rsidR="000C418B" w:rsidRDefault="000C418B" w:rsidP="00324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A1B11D" w14:textId="77777777" w:rsidR="004C517F" w:rsidRPr="004C517F" w:rsidRDefault="004C517F" w:rsidP="004C517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49210-05-22</w:t>
    </w:r>
    <w:r>
      <w:rPr>
        <w:rFonts w:ascii="David" w:hAnsi="David"/>
        <w:color w:val="000000"/>
        <w:sz w:val="22"/>
        <w:szCs w:val="22"/>
        <w:rtl/>
      </w:rPr>
      <w:tab/>
      <w:t xml:space="preserve"> מדינת ישראל נ' עידן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064E1" w14:textId="77777777" w:rsidR="004C517F" w:rsidRPr="004C517F" w:rsidRDefault="004C517F" w:rsidP="004C517F">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49210-05-22</w:t>
    </w:r>
    <w:r>
      <w:rPr>
        <w:rFonts w:ascii="David" w:hAnsi="David"/>
        <w:color w:val="000000"/>
        <w:sz w:val="22"/>
        <w:szCs w:val="22"/>
        <w:rtl/>
      </w:rPr>
      <w:tab/>
      <w:t xml:space="preserve"> מדינת ישראל נ' עידן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C270BD"/>
    <w:multiLevelType w:val="hybridMultilevel"/>
    <w:tmpl w:val="0A8C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298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B5534"/>
    <w:rsid w:val="000B4023"/>
    <w:rsid w:val="000C418B"/>
    <w:rsid w:val="001B5A3B"/>
    <w:rsid w:val="0032403F"/>
    <w:rsid w:val="00455C2D"/>
    <w:rsid w:val="00474B3B"/>
    <w:rsid w:val="004C517F"/>
    <w:rsid w:val="005547FE"/>
    <w:rsid w:val="007D4107"/>
    <w:rsid w:val="008B5534"/>
    <w:rsid w:val="00942845"/>
    <w:rsid w:val="00CD3D7E"/>
    <w:rsid w:val="00D02FB7"/>
    <w:rsid w:val="00E80750"/>
    <w:rsid w:val="00F26F6F"/>
    <w:rsid w:val="00F338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58F7EC4"/>
  <w15:chartTrackingRefBased/>
  <w15:docId w15:val="{11EF3303-2C75-4065-B64E-9DAA5D87E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B553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B5534"/>
    <w:pPr>
      <w:tabs>
        <w:tab w:val="center" w:pos="4153"/>
        <w:tab w:val="right" w:pos="8306"/>
      </w:tabs>
    </w:pPr>
  </w:style>
  <w:style w:type="character" w:customStyle="1" w:styleId="a4">
    <w:name w:val="כותרת עליונה תו"/>
    <w:link w:val="a3"/>
    <w:rsid w:val="008B5534"/>
    <w:rPr>
      <w:rFonts w:ascii="Times New Roman" w:eastAsia="Times New Roman" w:hAnsi="Times New Roman" w:cs="David"/>
      <w:sz w:val="24"/>
      <w:szCs w:val="24"/>
    </w:rPr>
  </w:style>
  <w:style w:type="paragraph" w:styleId="a5">
    <w:name w:val="footer"/>
    <w:basedOn w:val="a"/>
    <w:link w:val="a6"/>
    <w:rsid w:val="008B5534"/>
    <w:pPr>
      <w:tabs>
        <w:tab w:val="center" w:pos="4153"/>
        <w:tab w:val="right" w:pos="8306"/>
      </w:tabs>
    </w:pPr>
  </w:style>
  <w:style w:type="character" w:customStyle="1" w:styleId="a6">
    <w:name w:val="כותרת תחתונה תו"/>
    <w:link w:val="a5"/>
    <w:rsid w:val="008B5534"/>
    <w:rPr>
      <w:rFonts w:ascii="Times New Roman" w:eastAsia="Times New Roman" w:hAnsi="Times New Roman" w:cs="David"/>
      <w:sz w:val="24"/>
      <w:szCs w:val="24"/>
    </w:rPr>
  </w:style>
  <w:style w:type="table" w:styleId="a7">
    <w:name w:val="Table Grid"/>
    <w:basedOn w:val="a1"/>
    <w:rsid w:val="008B553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B5534"/>
  </w:style>
  <w:style w:type="paragraph" w:styleId="a9">
    <w:name w:val="List Paragraph"/>
    <w:basedOn w:val="a"/>
    <w:link w:val="aa"/>
    <w:qFormat/>
    <w:rsid w:val="008B5534"/>
    <w:pPr>
      <w:ind w:left="720"/>
      <w:contextualSpacing/>
    </w:pPr>
  </w:style>
  <w:style w:type="character" w:styleId="Hyperlink">
    <w:name w:val="Hyperlink"/>
    <w:rsid w:val="008B5534"/>
    <w:rPr>
      <w:color w:val="0000FF"/>
      <w:u w:val="single"/>
    </w:rPr>
  </w:style>
  <w:style w:type="character" w:customStyle="1" w:styleId="aa">
    <w:name w:val="פיסקת רשימה תו"/>
    <w:link w:val="a9"/>
    <w:locked/>
    <w:rsid w:val="008B5534"/>
    <w:rPr>
      <w:rFonts w:ascii="Times New Roman" w:eastAsia="Times New Roman" w:hAnsi="Times New Roman"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13093721" TargetMode="External"/><Relationship Id="rId39" Type="http://schemas.openxmlformats.org/officeDocument/2006/relationships/hyperlink" Target="http://www.nevo.co.il/case/18757725" TargetMode="External"/><Relationship Id="rId21" Type="http://schemas.openxmlformats.org/officeDocument/2006/relationships/hyperlink" Target="http://www.nevo.co.il/law/4216" TargetMode="External"/><Relationship Id="rId34" Type="http://schemas.openxmlformats.org/officeDocument/2006/relationships/hyperlink" Target="http://www.nevo.co.il/case/22760008" TargetMode="External"/><Relationship Id="rId42" Type="http://schemas.openxmlformats.org/officeDocument/2006/relationships/hyperlink" Target="http://www.nevo.co.il/case/11279208" TargetMode="External"/><Relationship Id="rId47" Type="http://schemas.openxmlformats.org/officeDocument/2006/relationships/hyperlink" Target="http://www.nevo.co.il/law/70301/413"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241434" TargetMode="External"/><Relationship Id="rId11" Type="http://schemas.openxmlformats.org/officeDocument/2006/relationships/hyperlink" Target="http://www.nevo.co.il/law/70301/413" TargetMode="External"/><Relationship Id="rId24" Type="http://schemas.openxmlformats.org/officeDocument/2006/relationships/hyperlink" Target="http://www.nevo.co.il/law/70301/40ja" TargetMode="External"/><Relationship Id="rId32" Type="http://schemas.openxmlformats.org/officeDocument/2006/relationships/hyperlink" Target="http://www.nevo.co.il/case/5583835" TargetMode="External"/><Relationship Id="rId37" Type="http://schemas.openxmlformats.org/officeDocument/2006/relationships/hyperlink" Target="http://www.nevo.co.il/case/23644613" TargetMode="External"/><Relationship Id="rId40" Type="http://schemas.openxmlformats.org/officeDocument/2006/relationships/hyperlink" Target="http://www.nevo.co.il/case/20351928" TargetMode="External"/><Relationship Id="rId45" Type="http://schemas.openxmlformats.org/officeDocument/2006/relationships/hyperlink" Target="http://www.nevo.co.il/case/4553790" TargetMode="External"/><Relationship Id="rId53"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nevo.co.il/law/70301/40ja"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6166988" TargetMode="External"/><Relationship Id="rId44" Type="http://schemas.openxmlformats.org/officeDocument/2006/relationships/hyperlink" Target="http://www.nevo.co.il/case/21935366" TargetMode="External"/><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70301/384"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40i" TargetMode="External"/><Relationship Id="rId27" Type="http://schemas.openxmlformats.org/officeDocument/2006/relationships/hyperlink" Target="http://www.nevo.co.il/case/18739556" TargetMode="External"/><Relationship Id="rId30" Type="http://schemas.openxmlformats.org/officeDocument/2006/relationships/hyperlink" Target="http://www.nevo.co.il/case/5753269" TargetMode="External"/><Relationship Id="rId35" Type="http://schemas.openxmlformats.org/officeDocument/2006/relationships/hyperlink" Target="http://www.nevo.co.il/case/18010955" TargetMode="External"/><Relationship Id="rId43" Type="http://schemas.openxmlformats.org/officeDocument/2006/relationships/hyperlink" Target="http://www.nevo.co.il/case/5601732" TargetMode="External"/><Relationship Id="rId48" Type="http://schemas.openxmlformats.org/officeDocument/2006/relationships/hyperlink" Target="http://www.nevo.co.il/law/70301" TargetMode="External"/><Relationship Id="rId8" Type="http://schemas.openxmlformats.org/officeDocument/2006/relationships/hyperlink" Target="http://www.nevo.co.il/law/70301/40i" TargetMode="External"/><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384" TargetMode="External"/><Relationship Id="rId25" Type="http://schemas.openxmlformats.org/officeDocument/2006/relationships/hyperlink" Target="http://www.nevo.co.il/case/13104267" TargetMode="External"/><Relationship Id="rId33" Type="http://schemas.openxmlformats.org/officeDocument/2006/relationships/hyperlink" Target="http://www.nevo.co.il/case/5605484" TargetMode="External"/><Relationship Id="rId38" Type="http://schemas.openxmlformats.org/officeDocument/2006/relationships/hyperlink" Target="http://www.nevo.co.il/case/8245018" TargetMode="External"/><Relationship Id="rId46" Type="http://schemas.openxmlformats.org/officeDocument/2006/relationships/hyperlink" Target="http://www.nevo.co.il/case/20374629" TargetMode="External"/><Relationship Id="rId20" Type="http://schemas.openxmlformats.org/officeDocument/2006/relationships/hyperlink" Target="http://www.nevo.co.il/law/4216/7.c" TargetMode="External"/><Relationship Id="rId41" Type="http://schemas.openxmlformats.org/officeDocument/2006/relationships/hyperlink" Target="http://www.nevo.co.il/case/24345650"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4"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8245018" TargetMode="External"/><Relationship Id="rId36" Type="http://schemas.openxmlformats.org/officeDocument/2006/relationships/hyperlink" Target="http://www.nevo.co.il/case/20423048"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2430</Words>
  <Characters>12150</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14551</CharactersWithSpaces>
  <SharedDoc>false</SharedDoc>
  <HLinks>
    <vt:vector size="258" baseType="variant">
      <vt:variant>
        <vt:i4>393283</vt:i4>
      </vt:variant>
      <vt:variant>
        <vt:i4>132</vt:i4>
      </vt:variant>
      <vt:variant>
        <vt:i4>0</vt:i4>
      </vt:variant>
      <vt:variant>
        <vt:i4>5</vt:i4>
      </vt:variant>
      <vt:variant>
        <vt:lpwstr>http://www.nevo.co.il/advertisements/nevo-100.doc</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6553697</vt:i4>
      </vt:variant>
      <vt:variant>
        <vt:i4>126</vt:i4>
      </vt:variant>
      <vt:variant>
        <vt:i4>0</vt:i4>
      </vt:variant>
      <vt:variant>
        <vt:i4>5</vt:i4>
      </vt:variant>
      <vt:variant>
        <vt:lpwstr>http://www.nevo.co.il/law/70301/413</vt:lpwstr>
      </vt:variant>
      <vt:variant>
        <vt:lpwstr/>
      </vt:variant>
      <vt:variant>
        <vt:i4>3604597</vt:i4>
      </vt:variant>
      <vt:variant>
        <vt:i4>123</vt:i4>
      </vt:variant>
      <vt:variant>
        <vt:i4>0</vt:i4>
      </vt:variant>
      <vt:variant>
        <vt:i4>5</vt:i4>
      </vt:variant>
      <vt:variant>
        <vt:lpwstr>http://www.nevo.co.il/case/20374629</vt:lpwstr>
      </vt:variant>
      <vt:variant>
        <vt:lpwstr/>
      </vt:variant>
      <vt:variant>
        <vt:i4>3539067</vt:i4>
      </vt:variant>
      <vt:variant>
        <vt:i4>120</vt:i4>
      </vt:variant>
      <vt:variant>
        <vt:i4>0</vt:i4>
      </vt:variant>
      <vt:variant>
        <vt:i4>5</vt:i4>
      </vt:variant>
      <vt:variant>
        <vt:lpwstr>http://www.nevo.co.il/case/4553790</vt:lpwstr>
      </vt:variant>
      <vt:variant>
        <vt:lpwstr/>
      </vt:variant>
      <vt:variant>
        <vt:i4>3670133</vt:i4>
      </vt:variant>
      <vt:variant>
        <vt:i4>117</vt:i4>
      </vt:variant>
      <vt:variant>
        <vt:i4>0</vt:i4>
      </vt:variant>
      <vt:variant>
        <vt:i4>5</vt:i4>
      </vt:variant>
      <vt:variant>
        <vt:lpwstr>http://www.nevo.co.il/case/21935366</vt:lpwstr>
      </vt:variant>
      <vt:variant>
        <vt:lpwstr/>
      </vt:variant>
      <vt:variant>
        <vt:i4>3145840</vt:i4>
      </vt:variant>
      <vt:variant>
        <vt:i4>114</vt:i4>
      </vt:variant>
      <vt:variant>
        <vt:i4>0</vt:i4>
      </vt:variant>
      <vt:variant>
        <vt:i4>5</vt:i4>
      </vt:variant>
      <vt:variant>
        <vt:lpwstr>http://www.nevo.co.il/case/5601732</vt:lpwstr>
      </vt:variant>
      <vt:variant>
        <vt:lpwstr/>
      </vt:variant>
      <vt:variant>
        <vt:i4>3801200</vt:i4>
      </vt:variant>
      <vt:variant>
        <vt:i4>111</vt:i4>
      </vt:variant>
      <vt:variant>
        <vt:i4>0</vt:i4>
      </vt:variant>
      <vt:variant>
        <vt:i4>5</vt:i4>
      </vt:variant>
      <vt:variant>
        <vt:lpwstr>http://www.nevo.co.il/case/11279208</vt:lpwstr>
      </vt:variant>
      <vt:variant>
        <vt:lpwstr/>
      </vt:variant>
      <vt:variant>
        <vt:i4>3211378</vt:i4>
      </vt:variant>
      <vt:variant>
        <vt:i4>108</vt:i4>
      </vt:variant>
      <vt:variant>
        <vt:i4>0</vt:i4>
      </vt:variant>
      <vt:variant>
        <vt:i4>5</vt:i4>
      </vt:variant>
      <vt:variant>
        <vt:lpwstr>http://www.nevo.co.il/case/24345650</vt:lpwstr>
      </vt:variant>
      <vt:variant>
        <vt:lpwstr/>
      </vt:variant>
      <vt:variant>
        <vt:i4>3276920</vt:i4>
      </vt:variant>
      <vt:variant>
        <vt:i4>105</vt:i4>
      </vt:variant>
      <vt:variant>
        <vt:i4>0</vt:i4>
      </vt:variant>
      <vt:variant>
        <vt:i4>5</vt:i4>
      </vt:variant>
      <vt:variant>
        <vt:lpwstr>http://www.nevo.co.il/case/20351928</vt:lpwstr>
      </vt:variant>
      <vt:variant>
        <vt:lpwstr/>
      </vt:variant>
      <vt:variant>
        <vt:i4>3342462</vt:i4>
      </vt:variant>
      <vt:variant>
        <vt:i4>102</vt:i4>
      </vt:variant>
      <vt:variant>
        <vt:i4>0</vt:i4>
      </vt:variant>
      <vt:variant>
        <vt:i4>5</vt:i4>
      </vt:variant>
      <vt:variant>
        <vt:lpwstr>http://www.nevo.co.il/case/18757725</vt:lpwstr>
      </vt:variant>
      <vt:variant>
        <vt:lpwstr/>
      </vt:variant>
      <vt:variant>
        <vt:i4>3407986</vt:i4>
      </vt:variant>
      <vt:variant>
        <vt:i4>99</vt:i4>
      </vt:variant>
      <vt:variant>
        <vt:i4>0</vt:i4>
      </vt:variant>
      <vt:variant>
        <vt:i4>5</vt:i4>
      </vt:variant>
      <vt:variant>
        <vt:lpwstr>http://www.nevo.co.il/case/8245018</vt:lpwstr>
      </vt:variant>
      <vt:variant>
        <vt:lpwstr/>
      </vt:variant>
      <vt:variant>
        <vt:i4>3211381</vt:i4>
      </vt:variant>
      <vt:variant>
        <vt:i4>96</vt:i4>
      </vt:variant>
      <vt:variant>
        <vt:i4>0</vt:i4>
      </vt:variant>
      <vt:variant>
        <vt:i4>5</vt:i4>
      </vt:variant>
      <vt:variant>
        <vt:lpwstr>http://www.nevo.co.il/case/23644613</vt:lpwstr>
      </vt:variant>
      <vt:variant>
        <vt:lpwstr/>
      </vt:variant>
      <vt:variant>
        <vt:i4>3211382</vt:i4>
      </vt:variant>
      <vt:variant>
        <vt:i4>87</vt:i4>
      </vt:variant>
      <vt:variant>
        <vt:i4>0</vt:i4>
      </vt:variant>
      <vt:variant>
        <vt:i4>5</vt:i4>
      </vt:variant>
      <vt:variant>
        <vt:lpwstr>http://www.nevo.co.il/case/20423048</vt:lpwstr>
      </vt:variant>
      <vt:variant>
        <vt:lpwstr/>
      </vt:variant>
      <vt:variant>
        <vt:i4>3407988</vt:i4>
      </vt:variant>
      <vt:variant>
        <vt:i4>84</vt:i4>
      </vt:variant>
      <vt:variant>
        <vt:i4>0</vt:i4>
      </vt:variant>
      <vt:variant>
        <vt:i4>5</vt:i4>
      </vt:variant>
      <vt:variant>
        <vt:lpwstr>http://www.nevo.co.il/case/18010955</vt:lpwstr>
      </vt:variant>
      <vt:variant>
        <vt:lpwstr/>
      </vt:variant>
      <vt:variant>
        <vt:i4>3473520</vt:i4>
      </vt:variant>
      <vt:variant>
        <vt:i4>81</vt:i4>
      </vt:variant>
      <vt:variant>
        <vt:i4>0</vt:i4>
      </vt:variant>
      <vt:variant>
        <vt:i4>5</vt:i4>
      </vt:variant>
      <vt:variant>
        <vt:lpwstr>http://www.nevo.co.il/case/22760008</vt:lpwstr>
      </vt:variant>
      <vt:variant>
        <vt:lpwstr/>
      </vt:variant>
      <vt:variant>
        <vt:i4>3473535</vt:i4>
      </vt:variant>
      <vt:variant>
        <vt:i4>78</vt:i4>
      </vt:variant>
      <vt:variant>
        <vt:i4>0</vt:i4>
      </vt:variant>
      <vt:variant>
        <vt:i4>5</vt:i4>
      </vt:variant>
      <vt:variant>
        <vt:lpwstr>http://www.nevo.co.il/case/5605484</vt:lpwstr>
      </vt:variant>
      <vt:variant>
        <vt:lpwstr/>
      </vt:variant>
      <vt:variant>
        <vt:i4>3145841</vt:i4>
      </vt:variant>
      <vt:variant>
        <vt:i4>75</vt:i4>
      </vt:variant>
      <vt:variant>
        <vt:i4>0</vt:i4>
      </vt:variant>
      <vt:variant>
        <vt:i4>5</vt:i4>
      </vt:variant>
      <vt:variant>
        <vt:lpwstr>http://www.nevo.co.il/case/5583835</vt:lpwstr>
      </vt:variant>
      <vt:variant>
        <vt:lpwstr/>
      </vt:variant>
      <vt:variant>
        <vt:i4>3211387</vt:i4>
      </vt:variant>
      <vt:variant>
        <vt:i4>72</vt:i4>
      </vt:variant>
      <vt:variant>
        <vt:i4>0</vt:i4>
      </vt:variant>
      <vt:variant>
        <vt:i4>5</vt:i4>
      </vt:variant>
      <vt:variant>
        <vt:lpwstr>http://www.nevo.co.il/case/6166988</vt:lpwstr>
      </vt:variant>
      <vt:variant>
        <vt:lpwstr/>
      </vt:variant>
      <vt:variant>
        <vt:i4>3866742</vt:i4>
      </vt:variant>
      <vt:variant>
        <vt:i4>69</vt:i4>
      </vt:variant>
      <vt:variant>
        <vt:i4>0</vt:i4>
      </vt:variant>
      <vt:variant>
        <vt:i4>5</vt:i4>
      </vt:variant>
      <vt:variant>
        <vt:lpwstr>http://www.nevo.co.il/case/5753269</vt:lpwstr>
      </vt:variant>
      <vt:variant>
        <vt:lpwstr/>
      </vt:variant>
      <vt:variant>
        <vt:i4>3276916</vt:i4>
      </vt:variant>
      <vt:variant>
        <vt:i4>66</vt:i4>
      </vt:variant>
      <vt:variant>
        <vt:i4>0</vt:i4>
      </vt:variant>
      <vt:variant>
        <vt:i4>5</vt:i4>
      </vt:variant>
      <vt:variant>
        <vt:lpwstr>http://www.nevo.co.il/case/6241434</vt:lpwstr>
      </vt:variant>
      <vt:variant>
        <vt:lpwstr/>
      </vt:variant>
      <vt:variant>
        <vt:i4>3407986</vt:i4>
      </vt:variant>
      <vt:variant>
        <vt:i4>63</vt:i4>
      </vt:variant>
      <vt:variant>
        <vt:i4>0</vt:i4>
      </vt:variant>
      <vt:variant>
        <vt:i4>5</vt:i4>
      </vt:variant>
      <vt:variant>
        <vt:lpwstr>http://www.nevo.co.il/case/8245018</vt:lpwstr>
      </vt:variant>
      <vt:variant>
        <vt:lpwstr/>
      </vt:variant>
      <vt:variant>
        <vt:i4>3801210</vt:i4>
      </vt:variant>
      <vt:variant>
        <vt:i4>60</vt:i4>
      </vt:variant>
      <vt:variant>
        <vt:i4>0</vt:i4>
      </vt:variant>
      <vt:variant>
        <vt:i4>5</vt:i4>
      </vt:variant>
      <vt:variant>
        <vt:lpwstr>http://www.nevo.co.il/case/18739556</vt:lpwstr>
      </vt:variant>
      <vt:variant>
        <vt:lpwstr/>
      </vt:variant>
      <vt:variant>
        <vt:i4>3145849</vt:i4>
      </vt:variant>
      <vt:variant>
        <vt:i4>57</vt:i4>
      </vt:variant>
      <vt:variant>
        <vt:i4>0</vt:i4>
      </vt:variant>
      <vt:variant>
        <vt:i4>5</vt:i4>
      </vt:variant>
      <vt:variant>
        <vt:lpwstr>http://www.nevo.co.il/case/13093721</vt:lpwstr>
      </vt:variant>
      <vt:variant>
        <vt:lpwstr/>
      </vt:variant>
      <vt:variant>
        <vt:i4>3276917</vt:i4>
      </vt:variant>
      <vt:variant>
        <vt:i4>54</vt:i4>
      </vt:variant>
      <vt:variant>
        <vt:i4>0</vt:i4>
      </vt:variant>
      <vt:variant>
        <vt:i4>5</vt:i4>
      </vt:variant>
      <vt:variant>
        <vt:lpwstr>http://www.nevo.co.il/case/13104267</vt:lpwstr>
      </vt:variant>
      <vt:variant>
        <vt:lpwstr/>
      </vt:variant>
      <vt:variant>
        <vt:i4>262155</vt:i4>
      </vt:variant>
      <vt:variant>
        <vt:i4>51</vt:i4>
      </vt:variant>
      <vt:variant>
        <vt:i4>0</vt:i4>
      </vt:variant>
      <vt:variant>
        <vt:i4>5</vt:i4>
      </vt:variant>
      <vt:variant>
        <vt:lpwstr>http://www.nevo.co.il/law/70301/40ja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6619233</vt:i4>
      </vt:variant>
      <vt:variant>
        <vt:i4>45</vt:i4>
      </vt:variant>
      <vt:variant>
        <vt:i4>0</vt:i4>
      </vt:variant>
      <vt:variant>
        <vt:i4>5</vt:i4>
      </vt:variant>
      <vt:variant>
        <vt:lpwstr>http://www.nevo.co.il/law/70301/40i</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7995492</vt:i4>
      </vt:variant>
      <vt:variant>
        <vt:i4>33</vt:i4>
      </vt:variant>
      <vt:variant>
        <vt:i4>0</vt:i4>
      </vt:variant>
      <vt:variant>
        <vt:i4>5</vt:i4>
      </vt:variant>
      <vt:variant>
        <vt:lpwstr>http://www.nevo.co.il/law/70301</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7995492</vt:i4>
      </vt:variant>
      <vt:variant>
        <vt:i4>27</vt:i4>
      </vt:variant>
      <vt:variant>
        <vt:i4>0</vt:i4>
      </vt:variant>
      <vt:variant>
        <vt:i4>5</vt:i4>
      </vt:variant>
      <vt:variant>
        <vt:lpwstr>http://www.nevo.co.il/law/70301</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6553697</vt:i4>
      </vt:variant>
      <vt:variant>
        <vt:i4>12</vt:i4>
      </vt:variant>
      <vt:variant>
        <vt:i4>0</vt:i4>
      </vt:variant>
      <vt:variant>
        <vt:i4>5</vt:i4>
      </vt:variant>
      <vt:variant>
        <vt:lpwstr>http://www.nevo.co.il/law/70301/413</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6619233</vt:i4>
      </vt:variant>
      <vt:variant>
        <vt:i4>3</vt:i4>
      </vt:variant>
      <vt:variant>
        <vt:i4>0</vt:i4>
      </vt:variant>
      <vt:variant>
        <vt:i4>5</vt:i4>
      </vt:variant>
      <vt:variant>
        <vt:lpwstr>http://www.nevo.co.il/law/70301/40i</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2025-04-23T01:28:00Z</dcterms:created>
  <dcterms:modified xsi:type="dcterms:W3CDTF">2025-04-23T01:28:00Z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49210</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עידן לוי</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20220721</vt:lpwstr>
  </property>
  <property fmtid="{D5CDD505-2E9C-101B-9397-08002B2CF9AE}" pid="13" name="TYPE_N_DATE">
    <vt:lpwstr>38020220721</vt:lpwstr>
  </property>
  <property fmtid="{D5CDD505-2E9C-101B-9397-08002B2CF9AE}" pid="14" name="WORDNUMPAGES">
    <vt:lpwstr>8</vt:lpwstr>
  </property>
  <property fmtid="{D5CDD505-2E9C-101B-9397-08002B2CF9AE}" pid="15" name="TYPE_ABS_DATE">
    <vt:lpwstr>380020220721</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13104267;13093721;18739556;8245018:2;6241434;5753269;6166988;5583835;5605484;22760008;18010955;20423048;23644613;18757725;20351928;24345650;11279208;5601732;21935366;4553790;20374629</vt:lpwstr>
  </property>
  <property fmtid="{D5CDD505-2E9C-101B-9397-08002B2CF9AE}" pid="36" name="LAWLISTTMP1">
    <vt:lpwstr>70301/384:2;040i;40ja;413</vt:lpwstr>
  </property>
  <property fmtid="{D5CDD505-2E9C-101B-9397-08002B2CF9AE}" pid="37" name="LAWLISTTMP2">
    <vt:lpwstr>4216/007.a;007.c</vt:lpwstr>
  </property>
</Properties>
</file>