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5F3612" w:rsidRPr="006E79FD" w14:paraId="7E524446" w14:textId="77777777" w:rsidTr="00767BB6">
        <w:trPr>
          <w:trHeight w:hRule="exact" w:val="704"/>
          <w:jc w:val="center"/>
        </w:trPr>
        <w:tc>
          <w:tcPr>
            <w:tcW w:w="8721" w:type="dxa"/>
            <w:gridSpan w:val="2"/>
          </w:tcPr>
          <w:p w14:paraId="08831DF7" w14:textId="77777777" w:rsidR="005F3612" w:rsidRPr="006E79FD" w:rsidRDefault="005F3612" w:rsidP="00767BB6">
            <w:pPr>
              <w:pStyle w:val="a3"/>
              <w:jc w:val="center"/>
              <w:rPr>
                <w:rFonts w:ascii="Tahoma" w:hAnsi="Tahoma" w:cs="Tahoma"/>
                <w:b/>
                <w:bCs/>
                <w:color w:val="000080"/>
                <w:rtl/>
              </w:rPr>
            </w:pPr>
            <w:bookmarkStart w:id="0" w:name="LastJudge"/>
            <w:r w:rsidRPr="006E79FD">
              <w:rPr>
                <w:rFonts w:ascii="Tahoma" w:hAnsi="Tahoma" w:cs="Tahoma"/>
                <w:b/>
                <w:bCs/>
                <w:color w:val="000080"/>
                <w:rtl/>
              </w:rPr>
              <w:t>בית משפט השלום בבאר שבע</w:t>
            </w:r>
          </w:p>
          <w:p w14:paraId="292151F7" w14:textId="77777777" w:rsidR="005F3612" w:rsidRPr="006E79FD" w:rsidRDefault="005F3612" w:rsidP="00767BB6">
            <w:pPr>
              <w:pStyle w:val="a3"/>
              <w:jc w:val="center"/>
              <w:rPr>
                <w:rFonts w:ascii="Tahoma" w:hAnsi="Tahoma" w:cs="Tahoma"/>
                <w:color w:val="000080"/>
                <w:rtl/>
              </w:rPr>
            </w:pPr>
          </w:p>
        </w:tc>
      </w:tr>
      <w:tr w:rsidR="005F3612" w:rsidRPr="006E79FD" w14:paraId="588A16AD" w14:textId="77777777" w:rsidTr="00767BB6">
        <w:trPr>
          <w:trHeight w:val="337"/>
          <w:jc w:val="center"/>
        </w:trPr>
        <w:tc>
          <w:tcPr>
            <w:tcW w:w="4473" w:type="dxa"/>
          </w:tcPr>
          <w:p w14:paraId="35121F93" w14:textId="77777777" w:rsidR="005F3612" w:rsidRPr="006E79FD" w:rsidRDefault="005F3612" w:rsidP="00767BB6">
            <w:pPr>
              <w:rPr>
                <w:b/>
                <w:bCs/>
                <w:sz w:val="26"/>
                <w:szCs w:val="26"/>
                <w:rtl/>
              </w:rPr>
            </w:pPr>
          </w:p>
        </w:tc>
        <w:tc>
          <w:tcPr>
            <w:tcW w:w="4248" w:type="dxa"/>
          </w:tcPr>
          <w:p w14:paraId="135224D8" w14:textId="77777777" w:rsidR="005F3612" w:rsidRPr="006E79FD" w:rsidRDefault="005F3612" w:rsidP="00767BB6">
            <w:pPr>
              <w:pStyle w:val="a3"/>
              <w:jc w:val="right"/>
              <w:rPr>
                <w:b/>
                <w:bCs/>
                <w:sz w:val="26"/>
                <w:szCs w:val="26"/>
                <w:rtl/>
              </w:rPr>
            </w:pPr>
            <w:r w:rsidRPr="006E79FD">
              <w:rPr>
                <w:rFonts w:hint="cs"/>
                <w:b/>
                <w:bCs/>
                <w:sz w:val="26"/>
                <w:szCs w:val="26"/>
                <w:rtl/>
              </w:rPr>
              <w:t>י"ז תמוז תשפ"ג</w:t>
            </w:r>
          </w:p>
          <w:p w14:paraId="515C2F29" w14:textId="77777777" w:rsidR="005F3612" w:rsidRPr="006E79FD" w:rsidRDefault="005F3612" w:rsidP="00767BB6">
            <w:pPr>
              <w:pStyle w:val="a3"/>
              <w:jc w:val="right"/>
              <w:rPr>
                <w:b/>
                <w:bCs/>
                <w:sz w:val="26"/>
                <w:szCs w:val="26"/>
                <w:rtl/>
              </w:rPr>
            </w:pPr>
            <w:r w:rsidRPr="006E79FD">
              <w:rPr>
                <w:b/>
                <w:bCs/>
                <w:sz w:val="26"/>
                <w:szCs w:val="26"/>
                <w:rtl/>
              </w:rPr>
              <w:t>06 יולי 2023</w:t>
            </w:r>
          </w:p>
        </w:tc>
      </w:tr>
      <w:tr w:rsidR="005F3612" w:rsidRPr="006E79FD" w14:paraId="6126F389" w14:textId="77777777" w:rsidTr="00767BB6">
        <w:trPr>
          <w:trHeight w:val="337"/>
          <w:jc w:val="center"/>
        </w:trPr>
        <w:tc>
          <w:tcPr>
            <w:tcW w:w="8721" w:type="dxa"/>
            <w:gridSpan w:val="2"/>
          </w:tcPr>
          <w:p w14:paraId="4494E26F" w14:textId="77777777" w:rsidR="005F3612" w:rsidRPr="006E79FD" w:rsidRDefault="006E79FD" w:rsidP="00767BB6">
            <w:pPr>
              <w:rPr>
                <w:b/>
                <w:bCs/>
                <w:sz w:val="26"/>
                <w:szCs w:val="26"/>
                <w:rtl/>
              </w:rPr>
            </w:pPr>
            <w:hyperlink r:id="rId7" w:history="1">
              <w:r w:rsidRPr="006E79FD">
                <w:rPr>
                  <w:b/>
                  <w:bCs/>
                  <w:color w:val="0000FF"/>
                  <w:sz w:val="26"/>
                  <w:szCs w:val="26"/>
                  <w:u w:val="single"/>
                  <w:rtl/>
                </w:rPr>
                <w:t>ת"פ 64772-05-22</w:t>
              </w:r>
            </w:hyperlink>
            <w:r w:rsidR="005F3612" w:rsidRPr="006E79FD">
              <w:rPr>
                <w:b/>
                <w:bCs/>
                <w:sz w:val="26"/>
                <w:szCs w:val="26"/>
                <w:rtl/>
              </w:rPr>
              <w:t xml:space="preserve"> מדינת ישראל נ' אבו בלאל</w:t>
            </w:r>
          </w:p>
          <w:p w14:paraId="1EBF9245" w14:textId="77777777" w:rsidR="005F3612" w:rsidRPr="006E79FD" w:rsidRDefault="005F3612" w:rsidP="00767BB6">
            <w:pPr>
              <w:rPr>
                <w:rtl/>
              </w:rPr>
            </w:pPr>
          </w:p>
          <w:p w14:paraId="365B21A8" w14:textId="77777777" w:rsidR="005F3612" w:rsidRPr="006E79FD" w:rsidRDefault="005F3612" w:rsidP="00767BB6">
            <w:pPr>
              <w:rPr>
                <w:rtl/>
              </w:rPr>
            </w:pPr>
            <w:r w:rsidRPr="006E79FD">
              <w:rPr>
                <w:rFonts w:hint="cs"/>
                <w:sz w:val="20"/>
                <w:szCs w:val="20"/>
                <w:rtl/>
              </w:rPr>
              <w:t>תיק חיצוני</w:t>
            </w:r>
            <w:r w:rsidRPr="006E79FD">
              <w:rPr>
                <w:rFonts w:hint="cs"/>
                <w:rtl/>
              </w:rPr>
              <w:t xml:space="preserve">: </w:t>
            </w:r>
            <w:r w:rsidRPr="006E79FD">
              <w:rPr>
                <w:sz w:val="20"/>
                <w:szCs w:val="20"/>
              </w:rPr>
              <w:t>248195/2022</w:t>
            </w:r>
          </w:p>
        </w:tc>
      </w:tr>
    </w:tbl>
    <w:p w14:paraId="2E59AFE1" w14:textId="77777777" w:rsidR="005F3612" w:rsidRPr="006E79FD" w:rsidRDefault="005F3612" w:rsidP="005F3612">
      <w:pPr>
        <w:pStyle w:val="a3"/>
        <w:rPr>
          <w:rtl/>
        </w:rPr>
      </w:pPr>
      <w:r w:rsidRPr="006E79FD">
        <w:rPr>
          <w:rtl/>
        </w:rPr>
        <w:t xml:space="preserve"> </w:t>
      </w:r>
    </w:p>
    <w:p w14:paraId="41BD0DCD" w14:textId="77777777" w:rsidR="005F3612" w:rsidRPr="006E79FD" w:rsidRDefault="005F3612" w:rsidP="005F3612">
      <w:pPr>
        <w:suppressLineNumbers/>
        <w:rPr>
          <w:rtl/>
        </w:rPr>
      </w:pPr>
    </w:p>
    <w:p w14:paraId="0CC73AC2" w14:textId="77777777" w:rsidR="005F3612" w:rsidRPr="006E79FD" w:rsidRDefault="005F3612" w:rsidP="005F3612">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5F3612" w:rsidRPr="006E79FD" w14:paraId="177C0E77" w14:textId="77777777" w:rsidTr="005F3612">
        <w:trPr>
          <w:jc w:val="center"/>
        </w:trPr>
        <w:tc>
          <w:tcPr>
            <w:tcW w:w="743" w:type="dxa"/>
            <w:shd w:val="clear" w:color="auto" w:fill="auto"/>
          </w:tcPr>
          <w:p w14:paraId="5225CA51" w14:textId="77777777" w:rsidR="005F3612" w:rsidRPr="006E79FD" w:rsidRDefault="005F3612" w:rsidP="005F3612">
            <w:pPr>
              <w:jc w:val="both"/>
              <w:rPr>
                <w:rFonts w:ascii="Arial" w:hAnsi="Arial"/>
                <w:b/>
                <w:bCs/>
              </w:rPr>
            </w:pPr>
            <w:r w:rsidRPr="006E79FD">
              <w:rPr>
                <w:rFonts w:ascii="Arial" w:hAnsi="Arial" w:hint="cs"/>
                <w:b/>
                <w:bCs/>
                <w:rtl/>
              </w:rPr>
              <w:t>לפני</w:t>
            </w:r>
          </w:p>
        </w:tc>
        <w:tc>
          <w:tcPr>
            <w:tcW w:w="8077" w:type="dxa"/>
            <w:gridSpan w:val="2"/>
            <w:shd w:val="clear" w:color="auto" w:fill="auto"/>
          </w:tcPr>
          <w:p w14:paraId="0ECF54DA" w14:textId="77777777" w:rsidR="005F3612" w:rsidRPr="006E79FD" w:rsidRDefault="005F3612" w:rsidP="00767BB6">
            <w:pPr>
              <w:rPr>
                <w:rFonts w:ascii="Arial" w:hAnsi="Arial"/>
                <w:b/>
                <w:bCs/>
                <w:rtl/>
              </w:rPr>
            </w:pPr>
            <w:r w:rsidRPr="006E79FD">
              <w:rPr>
                <w:rFonts w:ascii="Arial" w:hAnsi="Arial" w:hint="cs"/>
                <w:b/>
                <w:bCs/>
                <w:rtl/>
              </w:rPr>
              <w:t>כב' ה</w:t>
            </w:r>
            <w:r w:rsidRPr="006E79FD">
              <w:rPr>
                <w:rFonts w:ascii="Arial" w:hAnsi="Arial"/>
                <w:b/>
                <w:bCs/>
                <w:rtl/>
              </w:rPr>
              <w:t>שופט</w:t>
            </w:r>
            <w:r w:rsidRPr="006E79FD">
              <w:rPr>
                <w:rFonts w:ascii="Arial" w:hAnsi="Arial" w:hint="cs"/>
                <w:b/>
                <w:bCs/>
                <w:rtl/>
              </w:rPr>
              <w:t xml:space="preserve">  </w:t>
            </w:r>
            <w:r w:rsidRPr="006E79FD">
              <w:rPr>
                <w:rFonts w:ascii="Arial" w:hAnsi="Arial"/>
                <w:b/>
                <w:bCs/>
                <w:rtl/>
              </w:rPr>
              <w:t>רון סולקין</w:t>
            </w:r>
          </w:p>
          <w:p w14:paraId="42F6F75A" w14:textId="77777777" w:rsidR="005F3612" w:rsidRPr="006E79FD" w:rsidRDefault="005F3612" w:rsidP="00767BB6">
            <w:pPr>
              <w:rPr>
                <w:rFonts w:ascii="Arial" w:hAnsi="Arial" w:cs="FrankRuehl"/>
                <w:sz w:val="28"/>
                <w:szCs w:val="28"/>
                <w:highlight w:val="yellow"/>
              </w:rPr>
            </w:pPr>
          </w:p>
        </w:tc>
      </w:tr>
      <w:tr w:rsidR="005F3612" w:rsidRPr="006E79FD" w14:paraId="4550B255" w14:textId="77777777" w:rsidTr="005F3612">
        <w:trPr>
          <w:jc w:val="center"/>
        </w:trPr>
        <w:tc>
          <w:tcPr>
            <w:tcW w:w="3249" w:type="dxa"/>
            <w:gridSpan w:val="2"/>
            <w:shd w:val="clear" w:color="auto" w:fill="auto"/>
          </w:tcPr>
          <w:p w14:paraId="0D43ABBF" w14:textId="77777777" w:rsidR="005F3612" w:rsidRPr="006E79FD" w:rsidRDefault="005F3612" w:rsidP="005F3612">
            <w:pPr>
              <w:bidi w:val="0"/>
              <w:jc w:val="right"/>
              <w:rPr>
                <w:rFonts w:ascii="Arial" w:hAnsi="Arial"/>
                <w:b/>
                <w:bCs/>
                <w:sz w:val="26"/>
                <w:szCs w:val="26"/>
              </w:rPr>
            </w:pPr>
            <w:bookmarkStart w:id="1" w:name="FirstAppellant"/>
            <w:bookmarkStart w:id="2" w:name="FirstLawyer"/>
          </w:p>
          <w:p w14:paraId="782080EC" w14:textId="77777777" w:rsidR="005F3612" w:rsidRPr="006E79FD" w:rsidRDefault="005F3612" w:rsidP="005F3612">
            <w:pPr>
              <w:bidi w:val="0"/>
              <w:jc w:val="right"/>
              <w:rPr>
                <w:rFonts w:ascii="Arial" w:hAnsi="Arial"/>
                <w:b/>
                <w:bCs/>
                <w:sz w:val="26"/>
                <w:szCs w:val="26"/>
                <w:rtl/>
              </w:rPr>
            </w:pPr>
            <w:r w:rsidRPr="006E79FD">
              <w:rPr>
                <w:rFonts w:ascii="Arial" w:hAnsi="Arial" w:hint="cs"/>
                <w:b/>
                <w:bCs/>
                <w:sz w:val="26"/>
                <w:szCs w:val="26"/>
                <w:rtl/>
              </w:rPr>
              <w:t>המאשימה</w:t>
            </w:r>
          </w:p>
        </w:tc>
        <w:tc>
          <w:tcPr>
            <w:tcW w:w="5571" w:type="dxa"/>
            <w:shd w:val="clear" w:color="auto" w:fill="auto"/>
          </w:tcPr>
          <w:p w14:paraId="11FEC2F7" w14:textId="77777777" w:rsidR="005F3612" w:rsidRPr="006E79FD" w:rsidRDefault="005F3612" w:rsidP="00767BB6">
            <w:pPr>
              <w:rPr>
                <w:rFonts w:ascii="Arial" w:hAnsi="Arial"/>
                <w:b/>
                <w:bCs/>
                <w:sz w:val="26"/>
                <w:szCs w:val="26"/>
                <w:rtl/>
              </w:rPr>
            </w:pPr>
          </w:p>
          <w:p w14:paraId="758A407D" w14:textId="77777777" w:rsidR="005F3612" w:rsidRPr="006E79FD" w:rsidRDefault="005F3612" w:rsidP="00767BB6">
            <w:pPr>
              <w:rPr>
                <w:b/>
                <w:bCs/>
                <w:sz w:val="26"/>
                <w:szCs w:val="26"/>
                <w:rtl/>
              </w:rPr>
            </w:pPr>
            <w:r w:rsidRPr="006E79FD">
              <w:rPr>
                <w:rFonts w:ascii="Arial" w:hAnsi="Arial"/>
                <w:b/>
                <w:bCs/>
                <w:sz w:val="26"/>
                <w:szCs w:val="26"/>
                <w:rtl/>
              </w:rPr>
              <w:t>מדינת ישרא</w:t>
            </w:r>
            <w:r w:rsidRPr="006E79FD">
              <w:rPr>
                <w:rFonts w:ascii="Arial" w:hAnsi="Arial" w:hint="cs"/>
                <w:b/>
                <w:bCs/>
                <w:sz w:val="26"/>
                <w:szCs w:val="26"/>
                <w:rtl/>
              </w:rPr>
              <w:t xml:space="preserve">ל </w:t>
            </w:r>
            <w:r w:rsidRPr="006E79FD">
              <w:rPr>
                <w:rFonts w:ascii="Arial" w:hAnsi="Arial"/>
                <w:b/>
                <w:bCs/>
                <w:sz w:val="26"/>
                <w:szCs w:val="26"/>
                <w:rtl/>
              </w:rPr>
              <w:t>–</w:t>
            </w:r>
            <w:r w:rsidRPr="006E79FD">
              <w:rPr>
                <w:rFonts w:ascii="Arial" w:hAnsi="Arial" w:hint="cs"/>
                <w:b/>
                <w:bCs/>
                <w:sz w:val="26"/>
                <w:szCs w:val="26"/>
                <w:rtl/>
              </w:rPr>
              <w:t xml:space="preserve"> תביעות נגב</w:t>
            </w:r>
          </w:p>
          <w:p w14:paraId="53D8F58B" w14:textId="77777777" w:rsidR="005F3612" w:rsidRPr="006E79FD" w:rsidRDefault="005F3612" w:rsidP="00767BB6">
            <w:pPr>
              <w:rPr>
                <w:sz w:val="26"/>
                <w:szCs w:val="26"/>
              </w:rPr>
            </w:pPr>
            <w:r w:rsidRPr="006E79FD">
              <w:rPr>
                <w:rFonts w:hint="cs"/>
                <w:sz w:val="26"/>
                <w:szCs w:val="26"/>
                <w:rtl/>
              </w:rPr>
              <w:t>ע"י ב"כ עו"ד עדי יזרעאלי ועו"ד גנית אטיאס</w:t>
            </w:r>
          </w:p>
        </w:tc>
      </w:tr>
      <w:bookmarkEnd w:id="1"/>
      <w:bookmarkEnd w:id="2"/>
      <w:tr w:rsidR="005F3612" w:rsidRPr="006E79FD" w14:paraId="5CA0B4AB" w14:textId="77777777" w:rsidTr="005F3612">
        <w:trPr>
          <w:jc w:val="center"/>
        </w:trPr>
        <w:tc>
          <w:tcPr>
            <w:tcW w:w="8820" w:type="dxa"/>
            <w:gridSpan w:val="3"/>
            <w:shd w:val="clear" w:color="auto" w:fill="auto"/>
          </w:tcPr>
          <w:p w14:paraId="43D642BE" w14:textId="77777777" w:rsidR="005F3612" w:rsidRPr="006E79FD" w:rsidRDefault="005F3612" w:rsidP="00767BB6">
            <w:pPr>
              <w:rPr>
                <w:rFonts w:ascii="Arial" w:hAnsi="Arial"/>
                <w:b/>
                <w:bCs/>
                <w:sz w:val="26"/>
                <w:szCs w:val="26"/>
                <w:rtl/>
              </w:rPr>
            </w:pPr>
          </w:p>
          <w:p w14:paraId="0DCB4107" w14:textId="77777777" w:rsidR="005F3612" w:rsidRPr="006E79FD" w:rsidRDefault="005F3612" w:rsidP="005F3612">
            <w:pPr>
              <w:jc w:val="center"/>
              <w:rPr>
                <w:rFonts w:ascii="Arial" w:hAnsi="Arial"/>
                <w:b/>
                <w:bCs/>
                <w:sz w:val="26"/>
                <w:szCs w:val="26"/>
                <w:rtl/>
              </w:rPr>
            </w:pPr>
            <w:r w:rsidRPr="006E79FD">
              <w:rPr>
                <w:rFonts w:ascii="Arial" w:hAnsi="Arial"/>
                <w:b/>
                <w:bCs/>
                <w:sz w:val="26"/>
                <w:szCs w:val="26"/>
                <w:rtl/>
              </w:rPr>
              <w:t>נגד</w:t>
            </w:r>
          </w:p>
          <w:p w14:paraId="498A6064" w14:textId="77777777" w:rsidR="005F3612" w:rsidRPr="006E79FD" w:rsidRDefault="005F3612" w:rsidP="00767BB6">
            <w:pPr>
              <w:rPr>
                <w:rFonts w:ascii="Arial" w:hAnsi="Arial"/>
                <w:b/>
                <w:bCs/>
                <w:sz w:val="26"/>
                <w:szCs w:val="26"/>
              </w:rPr>
            </w:pPr>
          </w:p>
        </w:tc>
      </w:tr>
      <w:tr w:rsidR="005F3612" w:rsidRPr="006E79FD" w14:paraId="4723816C" w14:textId="77777777" w:rsidTr="005F3612">
        <w:trPr>
          <w:jc w:val="center"/>
        </w:trPr>
        <w:tc>
          <w:tcPr>
            <w:tcW w:w="3249" w:type="dxa"/>
            <w:gridSpan w:val="2"/>
            <w:shd w:val="clear" w:color="auto" w:fill="auto"/>
          </w:tcPr>
          <w:p w14:paraId="1C3FE3E2" w14:textId="77777777" w:rsidR="005F3612" w:rsidRPr="006E79FD" w:rsidRDefault="005F3612" w:rsidP="00767BB6">
            <w:pPr>
              <w:rPr>
                <w:rFonts w:ascii="Arial" w:hAnsi="Arial"/>
                <w:b/>
                <w:bCs/>
                <w:sz w:val="26"/>
                <w:szCs w:val="26"/>
              </w:rPr>
            </w:pPr>
            <w:r w:rsidRPr="006E79FD">
              <w:rPr>
                <w:rFonts w:ascii="Arial" w:hAnsi="Arial" w:hint="cs"/>
                <w:b/>
                <w:bCs/>
                <w:sz w:val="26"/>
                <w:szCs w:val="26"/>
                <w:rtl/>
              </w:rPr>
              <w:t>הנאשם</w:t>
            </w:r>
          </w:p>
        </w:tc>
        <w:tc>
          <w:tcPr>
            <w:tcW w:w="5571" w:type="dxa"/>
            <w:shd w:val="clear" w:color="auto" w:fill="auto"/>
          </w:tcPr>
          <w:p w14:paraId="5A160DD2" w14:textId="77777777" w:rsidR="005F3612" w:rsidRPr="006E79FD" w:rsidRDefault="005F3612" w:rsidP="00767BB6">
            <w:pPr>
              <w:rPr>
                <w:b/>
                <w:bCs/>
                <w:sz w:val="26"/>
                <w:szCs w:val="26"/>
                <w:rtl/>
              </w:rPr>
            </w:pPr>
            <w:r w:rsidRPr="006E79FD">
              <w:rPr>
                <w:rFonts w:ascii="Arial" w:hAnsi="Arial"/>
                <w:b/>
                <w:bCs/>
                <w:sz w:val="26"/>
                <w:szCs w:val="26"/>
                <w:rtl/>
              </w:rPr>
              <w:t>אדיב אבו בלאל</w:t>
            </w:r>
          </w:p>
          <w:p w14:paraId="1B1D1E63" w14:textId="77777777" w:rsidR="005F3612" w:rsidRPr="006E79FD" w:rsidRDefault="005F3612" w:rsidP="00767BB6">
            <w:pPr>
              <w:rPr>
                <w:sz w:val="26"/>
                <w:szCs w:val="26"/>
                <w:rtl/>
              </w:rPr>
            </w:pPr>
            <w:r w:rsidRPr="006E79FD">
              <w:rPr>
                <w:rFonts w:hint="cs"/>
                <w:sz w:val="26"/>
                <w:szCs w:val="26"/>
                <w:rtl/>
              </w:rPr>
              <w:t>ע"י ב"כ עו"ד שני מורן</w:t>
            </w:r>
          </w:p>
        </w:tc>
      </w:tr>
    </w:tbl>
    <w:p w14:paraId="3828F4AF" w14:textId="77777777" w:rsidR="006E79FD" w:rsidRPr="006E79FD" w:rsidRDefault="006E79FD" w:rsidP="006E79FD">
      <w:pPr>
        <w:spacing w:before="120" w:after="120" w:line="240" w:lineRule="exact"/>
        <w:ind w:left="283" w:hanging="283"/>
        <w:jc w:val="both"/>
        <w:rPr>
          <w:rFonts w:ascii="FrankRuehl" w:hAnsi="FrankRuehl" w:cs="FrankRuehl"/>
          <w:rtl/>
        </w:rPr>
      </w:pPr>
    </w:p>
    <w:p w14:paraId="163FBF5C" w14:textId="77777777" w:rsidR="006E79FD" w:rsidRPr="006E79FD" w:rsidRDefault="006E79FD" w:rsidP="006E79FD">
      <w:pPr>
        <w:spacing w:line="360" w:lineRule="auto"/>
        <w:jc w:val="both"/>
        <w:rPr>
          <w:rFonts w:ascii="Arial" w:hAnsi="Arial"/>
          <w:rtl/>
        </w:rPr>
      </w:pPr>
    </w:p>
    <w:p w14:paraId="269CE179" w14:textId="77777777" w:rsidR="00B509DF" w:rsidRPr="00B509DF" w:rsidRDefault="00B509DF" w:rsidP="00B509DF">
      <w:pPr>
        <w:spacing w:before="120" w:after="120" w:line="240" w:lineRule="exact"/>
        <w:ind w:left="283" w:hanging="283"/>
        <w:jc w:val="both"/>
        <w:rPr>
          <w:rFonts w:ascii="FrankRuehl" w:hAnsi="FrankRuehl" w:cs="FrankRuehl"/>
          <w:rtl/>
        </w:rPr>
      </w:pPr>
    </w:p>
    <w:p w14:paraId="6B82A982" w14:textId="77777777" w:rsidR="00310D0E" w:rsidRPr="00310D0E" w:rsidRDefault="00310D0E" w:rsidP="00310D0E">
      <w:pPr>
        <w:spacing w:before="120" w:after="120" w:line="240" w:lineRule="exact"/>
        <w:ind w:left="283" w:hanging="283"/>
        <w:jc w:val="both"/>
        <w:rPr>
          <w:rFonts w:ascii="FrankRuehl" w:hAnsi="FrankRuehl" w:cs="FrankRuehl"/>
          <w:rtl/>
        </w:rPr>
      </w:pPr>
    </w:p>
    <w:p w14:paraId="0EADD62B" w14:textId="77777777" w:rsidR="00E719FB" w:rsidRDefault="00E719FB" w:rsidP="00E719FB">
      <w:pPr>
        <w:spacing w:line="360" w:lineRule="auto"/>
        <w:jc w:val="both"/>
        <w:rPr>
          <w:rFonts w:ascii="Arial" w:hAnsi="Arial"/>
          <w:rtl/>
        </w:rPr>
      </w:pPr>
      <w:bookmarkStart w:id="3" w:name="LawTable"/>
      <w:bookmarkEnd w:id="3"/>
    </w:p>
    <w:p w14:paraId="3DFDDF80" w14:textId="77777777" w:rsidR="00E719FB" w:rsidRPr="00E719FB" w:rsidRDefault="00E719FB" w:rsidP="00E719FB">
      <w:pPr>
        <w:spacing w:before="120" w:after="120" w:line="240" w:lineRule="exact"/>
        <w:ind w:left="283" w:hanging="283"/>
        <w:jc w:val="both"/>
        <w:rPr>
          <w:rFonts w:ascii="FrankRuehl" w:hAnsi="FrankRuehl" w:cs="FrankRuehl"/>
          <w:rtl/>
        </w:rPr>
      </w:pPr>
    </w:p>
    <w:p w14:paraId="4F740DF6" w14:textId="77777777" w:rsidR="00E719FB" w:rsidRPr="00E719FB" w:rsidRDefault="00E719FB" w:rsidP="00E719FB">
      <w:pPr>
        <w:spacing w:before="120" w:after="120" w:line="240" w:lineRule="exact"/>
        <w:ind w:left="283" w:hanging="283"/>
        <w:jc w:val="both"/>
        <w:rPr>
          <w:rFonts w:ascii="FrankRuehl" w:hAnsi="FrankRuehl" w:cs="FrankRuehl"/>
          <w:rtl/>
        </w:rPr>
      </w:pPr>
    </w:p>
    <w:p w14:paraId="324875C1" w14:textId="77777777" w:rsidR="00E719FB" w:rsidRPr="00E719FB" w:rsidRDefault="00E719FB" w:rsidP="00E719FB">
      <w:pPr>
        <w:spacing w:before="120" w:after="120" w:line="240" w:lineRule="exact"/>
        <w:ind w:left="283" w:hanging="283"/>
        <w:jc w:val="both"/>
        <w:rPr>
          <w:rFonts w:ascii="FrankRuehl" w:hAnsi="FrankRuehl" w:cs="FrankRuehl"/>
          <w:rtl/>
        </w:rPr>
      </w:pPr>
      <w:r w:rsidRPr="00E719FB">
        <w:rPr>
          <w:rFonts w:ascii="FrankRuehl" w:hAnsi="FrankRuehl" w:cs="FrankRuehl"/>
          <w:rtl/>
        </w:rPr>
        <w:t xml:space="preserve">חקיקה שאוזכרה: </w:t>
      </w:r>
    </w:p>
    <w:p w14:paraId="20DA295C" w14:textId="77777777" w:rsidR="00E719FB" w:rsidRPr="00E719FB" w:rsidRDefault="00E719FB" w:rsidP="00E719FB">
      <w:pPr>
        <w:spacing w:before="120" w:after="120" w:line="240" w:lineRule="exact"/>
        <w:ind w:left="283" w:hanging="283"/>
        <w:jc w:val="both"/>
        <w:rPr>
          <w:rFonts w:ascii="FrankRuehl" w:hAnsi="FrankRuehl" w:cs="FrankRuehl"/>
          <w:rtl/>
        </w:rPr>
      </w:pPr>
      <w:hyperlink r:id="rId8" w:history="1">
        <w:r w:rsidRPr="00E719FB">
          <w:rPr>
            <w:rFonts w:ascii="FrankRuehl" w:hAnsi="FrankRuehl" w:cs="FrankRuehl"/>
            <w:color w:val="0000FF"/>
            <w:rtl/>
          </w:rPr>
          <w:t>פקודת הסמים המסוכנים [נוסח חדש], תשל"ג-1973</w:t>
        </w:r>
      </w:hyperlink>
      <w:r w:rsidRPr="00E719FB">
        <w:rPr>
          <w:rFonts w:ascii="FrankRuehl" w:hAnsi="FrankRuehl" w:cs="FrankRuehl"/>
          <w:rtl/>
        </w:rPr>
        <w:t xml:space="preserve">: סע'  </w:t>
      </w:r>
      <w:hyperlink r:id="rId9" w:history="1">
        <w:r w:rsidRPr="00E719FB">
          <w:rPr>
            <w:rFonts w:ascii="FrankRuehl" w:hAnsi="FrankRuehl" w:cs="FrankRuehl"/>
            <w:color w:val="0000FF"/>
            <w:rtl/>
          </w:rPr>
          <w:t>13</w:t>
        </w:r>
      </w:hyperlink>
      <w:r w:rsidRPr="00E719FB">
        <w:rPr>
          <w:rFonts w:ascii="FrankRuehl" w:hAnsi="FrankRuehl" w:cs="FrankRuehl"/>
          <w:rtl/>
        </w:rPr>
        <w:t xml:space="preserve">, </w:t>
      </w:r>
      <w:hyperlink r:id="rId10" w:history="1">
        <w:r w:rsidRPr="00E719FB">
          <w:rPr>
            <w:rFonts w:ascii="FrankRuehl" w:hAnsi="FrankRuehl" w:cs="FrankRuehl"/>
            <w:color w:val="0000FF"/>
            <w:rtl/>
          </w:rPr>
          <w:t>19א'</w:t>
        </w:r>
      </w:hyperlink>
      <w:r w:rsidRPr="00E719FB">
        <w:rPr>
          <w:rFonts w:ascii="FrankRuehl" w:hAnsi="FrankRuehl" w:cs="FrankRuehl"/>
          <w:rtl/>
        </w:rPr>
        <w:t xml:space="preserve">, </w:t>
      </w:r>
      <w:hyperlink r:id="rId11" w:history="1">
        <w:r w:rsidRPr="00E719FB">
          <w:rPr>
            <w:rFonts w:ascii="FrankRuehl" w:hAnsi="FrankRuehl" w:cs="FrankRuehl"/>
            <w:color w:val="0000FF"/>
            <w:rtl/>
          </w:rPr>
          <w:t>36א(א)(1)</w:t>
        </w:r>
      </w:hyperlink>
    </w:p>
    <w:p w14:paraId="6C716365" w14:textId="77777777" w:rsidR="00E719FB" w:rsidRPr="00E719FB" w:rsidRDefault="00E719FB" w:rsidP="00E719FB">
      <w:pPr>
        <w:spacing w:before="120" w:after="120" w:line="240" w:lineRule="exact"/>
        <w:ind w:left="283" w:hanging="283"/>
        <w:jc w:val="both"/>
        <w:rPr>
          <w:rFonts w:ascii="FrankRuehl" w:hAnsi="FrankRuehl" w:cs="FrankRuehl"/>
          <w:rtl/>
        </w:rPr>
      </w:pPr>
      <w:hyperlink r:id="rId12" w:history="1">
        <w:r w:rsidRPr="00E719FB">
          <w:rPr>
            <w:rFonts w:ascii="FrankRuehl" w:hAnsi="FrankRuehl" w:cs="FrankRuehl"/>
            <w:color w:val="0000FF"/>
            <w:rtl/>
          </w:rPr>
          <w:t>חוק העונשין, תשל"ז-1977</w:t>
        </w:r>
      </w:hyperlink>
      <w:r w:rsidRPr="00E719FB">
        <w:rPr>
          <w:rFonts w:ascii="FrankRuehl" w:hAnsi="FrankRuehl" w:cs="FrankRuehl"/>
          <w:rtl/>
        </w:rPr>
        <w:t xml:space="preserve">: סע'  </w:t>
      </w:r>
      <w:hyperlink r:id="rId13" w:history="1">
        <w:r w:rsidRPr="00E719FB">
          <w:rPr>
            <w:rFonts w:ascii="FrankRuehl" w:hAnsi="FrankRuehl" w:cs="FrankRuehl"/>
            <w:color w:val="0000FF"/>
            <w:rtl/>
          </w:rPr>
          <w:t>25</w:t>
        </w:r>
      </w:hyperlink>
      <w:r w:rsidRPr="00E719FB">
        <w:rPr>
          <w:rFonts w:ascii="FrankRuehl" w:hAnsi="FrankRuehl" w:cs="FrankRuehl"/>
          <w:rtl/>
        </w:rPr>
        <w:t xml:space="preserve">, </w:t>
      </w:r>
      <w:hyperlink r:id="rId14" w:history="1">
        <w:r w:rsidRPr="00E719FB">
          <w:rPr>
            <w:rFonts w:ascii="FrankRuehl" w:hAnsi="FrankRuehl" w:cs="FrankRuehl"/>
            <w:color w:val="0000FF"/>
            <w:rtl/>
          </w:rPr>
          <w:t>40ט'</w:t>
        </w:r>
      </w:hyperlink>
    </w:p>
    <w:p w14:paraId="54FF03A4" w14:textId="77777777" w:rsidR="00E719FB" w:rsidRPr="00E719FB" w:rsidRDefault="00E719FB" w:rsidP="00E719FB">
      <w:pPr>
        <w:spacing w:before="120" w:after="120" w:line="240" w:lineRule="exact"/>
        <w:ind w:left="283" w:hanging="283"/>
        <w:jc w:val="both"/>
        <w:rPr>
          <w:rFonts w:ascii="FrankRuehl" w:hAnsi="FrankRuehl" w:cs="FrankRuehl"/>
          <w:rtl/>
        </w:rPr>
      </w:pPr>
      <w:hyperlink r:id="rId15" w:history="1">
        <w:r w:rsidRPr="00E719FB">
          <w:rPr>
            <w:rFonts w:ascii="FrankRuehl" w:hAnsi="FrankRuehl" w:cs="FrankRuehl"/>
            <w:color w:val="0000FF"/>
            <w:rtl/>
          </w:rPr>
          <w:t>חוק המאבק בתופעת השימוש בחומרים מסכנים, תשע"ג-2013</w:t>
        </w:r>
      </w:hyperlink>
    </w:p>
    <w:p w14:paraId="563B7E6C" w14:textId="77777777" w:rsidR="00E719FB" w:rsidRPr="00E719FB" w:rsidRDefault="00E719FB" w:rsidP="00E719FB">
      <w:pPr>
        <w:spacing w:line="360" w:lineRule="auto"/>
        <w:jc w:val="both"/>
        <w:rPr>
          <w:rFonts w:ascii="Arial" w:hAnsi="Arial"/>
          <w:rtl/>
        </w:rPr>
      </w:pPr>
      <w:bookmarkStart w:id="4" w:name="LawTable_End"/>
      <w:bookmarkEnd w:id="4"/>
    </w:p>
    <w:p w14:paraId="436DD8E4" w14:textId="77777777" w:rsidR="005F3612" w:rsidRPr="00310D0E" w:rsidRDefault="005F3612" w:rsidP="00310D0E">
      <w:pPr>
        <w:spacing w:line="36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5F3612" w14:paraId="31CF2989" w14:textId="77777777" w:rsidTr="005F3612">
        <w:trPr>
          <w:jc w:val="center"/>
        </w:trPr>
        <w:tc>
          <w:tcPr>
            <w:tcW w:w="8820" w:type="dxa"/>
            <w:shd w:val="clear" w:color="auto" w:fill="auto"/>
          </w:tcPr>
          <w:p w14:paraId="68266CA1" w14:textId="77777777" w:rsidR="006E79FD" w:rsidRPr="006E79FD" w:rsidRDefault="006E79FD" w:rsidP="006E79FD">
            <w:pPr>
              <w:bidi w:val="0"/>
              <w:jc w:val="center"/>
              <w:rPr>
                <w:rFonts w:ascii="Arial" w:hAnsi="Arial"/>
                <w:b/>
                <w:bCs/>
                <w:sz w:val="28"/>
                <w:szCs w:val="28"/>
                <w:u w:val="single"/>
              </w:rPr>
            </w:pPr>
            <w:bookmarkStart w:id="5" w:name="PsakDin" w:colFirst="0" w:colLast="0"/>
            <w:bookmarkEnd w:id="0"/>
            <w:r w:rsidRPr="006E79FD">
              <w:rPr>
                <w:rFonts w:ascii="Arial" w:hAnsi="Arial"/>
                <w:b/>
                <w:bCs/>
                <w:sz w:val="28"/>
                <w:szCs w:val="28"/>
                <w:u w:val="single"/>
                <w:rtl/>
              </w:rPr>
              <w:t>גזר דין</w:t>
            </w:r>
          </w:p>
          <w:p w14:paraId="25225978" w14:textId="77777777" w:rsidR="005F3612" w:rsidRPr="006E79FD" w:rsidRDefault="005F3612" w:rsidP="006E79FD">
            <w:pPr>
              <w:bidi w:val="0"/>
              <w:jc w:val="center"/>
              <w:rPr>
                <w:rFonts w:ascii="Arial" w:hAnsi="Arial"/>
                <w:b/>
                <w:bCs/>
                <w:sz w:val="28"/>
                <w:szCs w:val="28"/>
                <w:u w:val="single"/>
              </w:rPr>
            </w:pPr>
          </w:p>
        </w:tc>
      </w:tr>
      <w:bookmarkEnd w:id="5"/>
    </w:tbl>
    <w:p w14:paraId="7379378C" w14:textId="77777777" w:rsidR="005F3612" w:rsidRDefault="005F3612" w:rsidP="005F3612">
      <w:pPr>
        <w:spacing w:line="360" w:lineRule="auto"/>
        <w:jc w:val="both"/>
        <w:rPr>
          <w:rFonts w:ascii="Arial" w:hAnsi="Arial"/>
          <w:rtl/>
        </w:rPr>
      </w:pPr>
    </w:p>
    <w:p w14:paraId="0C54DA57" w14:textId="77777777" w:rsidR="005F3612" w:rsidRDefault="005F3612" w:rsidP="005F3612">
      <w:pPr>
        <w:spacing w:line="360" w:lineRule="auto"/>
        <w:jc w:val="both"/>
        <w:rPr>
          <w:rFonts w:ascii="Arial" w:hAnsi="Arial"/>
          <w:rtl/>
        </w:rPr>
      </w:pPr>
      <w:r>
        <w:rPr>
          <w:rFonts w:ascii="Arial" w:hAnsi="Arial" w:hint="cs"/>
          <w:b/>
          <w:bCs/>
          <w:rtl/>
        </w:rPr>
        <w:t>כתב האישום והסדר הטיעון</w:t>
      </w:r>
    </w:p>
    <w:p w14:paraId="2E490569" w14:textId="77777777" w:rsidR="005F3612" w:rsidRPr="007B3580" w:rsidRDefault="005F3612" w:rsidP="005F3612">
      <w:pPr>
        <w:spacing w:line="360" w:lineRule="auto"/>
        <w:jc w:val="both"/>
        <w:rPr>
          <w:rFonts w:ascii="Arial" w:hAnsi="Arial"/>
          <w:rtl/>
        </w:rPr>
      </w:pPr>
      <w:bookmarkStart w:id="6" w:name="ABSTRACT_START"/>
      <w:bookmarkEnd w:id="6"/>
    </w:p>
    <w:p w14:paraId="426163C3" w14:textId="77777777" w:rsidR="005F3612" w:rsidRDefault="005F3612" w:rsidP="005F3612">
      <w:pPr>
        <w:spacing w:line="360" w:lineRule="auto"/>
        <w:jc w:val="both"/>
        <w:rPr>
          <w:rtl/>
        </w:rPr>
      </w:pPr>
      <w:r>
        <w:rPr>
          <w:rFonts w:ascii="Arial" w:hAnsi="Arial" w:hint="cs"/>
          <w:rtl/>
        </w:rPr>
        <w:t xml:space="preserve">הנאשם שלפני נותן את הדין בגין עבירה של </w:t>
      </w:r>
      <w:r>
        <w:rPr>
          <w:rFonts w:hint="cs"/>
          <w:rtl/>
        </w:rPr>
        <w:t>נסיון לסחר בסמים מסוכנים</w:t>
      </w:r>
      <w:r>
        <w:rPr>
          <w:rtl/>
        </w:rPr>
        <w:t xml:space="preserve">, בניגוד </w:t>
      </w:r>
      <w:hyperlink r:id="rId16" w:history="1">
        <w:r w:rsidR="00B509DF" w:rsidRPr="00B509DF">
          <w:rPr>
            <w:rStyle w:val="Hyperlink"/>
            <w:rFonts w:hint="eastAsia"/>
            <w:rtl/>
          </w:rPr>
          <w:t>לסעיף</w:t>
        </w:r>
        <w:r w:rsidR="00B509DF" w:rsidRPr="00B509DF">
          <w:rPr>
            <w:rStyle w:val="Hyperlink"/>
            <w:rtl/>
          </w:rPr>
          <w:t xml:space="preserve"> 13</w:t>
        </w:r>
      </w:hyperlink>
      <w:r>
        <w:rPr>
          <w:rFonts w:hint="cs"/>
          <w:rtl/>
        </w:rPr>
        <w:t xml:space="preserve"> ו- </w:t>
      </w:r>
      <w:hyperlink r:id="rId17" w:history="1">
        <w:r w:rsidR="00B509DF" w:rsidRPr="00B509DF">
          <w:rPr>
            <w:rStyle w:val="Hyperlink"/>
            <w:rtl/>
          </w:rPr>
          <w:t>19א'</w:t>
        </w:r>
      </w:hyperlink>
      <w:r>
        <w:rPr>
          <w:rtl/>
        </w:rPr>
        <w:t xml:space="preserve"> ל</w:t>
      </w:r>
      <w:hyperlink r:id="rId18" w:history="1">
        <w:r w:rsidR="006E79FD" w:rsidRPr="006E79FD">
          <w:rPr>
            <w:color w:val="0000FF"/>
            <w:u w:val="single"/>
            <w:rtl/>
          </w:rPr>
          <w:t>פקודת הסמים המסוכנים</w:t>
        </w:r>
      </w:hyperlink>
      <w:r>
        <w:rPr>
          <w:rtl/>
        </w:rPr>
        <w:t xml:space="preserve"> [נוסח חדש], תשל"ג – 1973</w:t>
      </w:r>
      <w:r>
        <w:rPr>
          <w:rFonts w:hint="cs"/>
          <w:rtl/>
        </w:rPr>
        <w:t xml:space="preserve"> </w:t>
      </w:r>
      <w:hyperlink r:id="rId19" w:history="1">
        <w:r w:rsidR="00B509DF" w:rsidRPr="00B509DF">
          <w:rPr>
            <w:rStyle w:val="Hyperlink"/>
            <w:rFonts w:hint="eastAsia"/>
            <w:rtl/>
          </w:rPr>
          <w:t>וסעיף</w:t>
        </w:r>
        <w:r w:rsidR="00B509DF" w:rsidRPr="00B509DF">
          <w:rPr>
            <w:rStyle w:val="Hyperlink"/>
            <w:rtl/>
          </w:rPr>
          <w:t xml:space="preserve"> 25</w:t>
        </w:r>
      </w:hyperlink>
      <w:r>
        <w:rPr>
          <w:rFonts w:hint="cs"/>
          <w:rtl/>
        </w:rPr>
        <w:t xml:space="preserve"> ל</w:t>
      </w:r>
      <w:hyperlink r:id="rId20" w:history="1">
        <w:r w:rsidR="006E79FD" w:rsidRPr="006E79FD">
          <w:rPr>
            <w:color w:val="0000FF"/>
            <w:u w:val="single"/>
            <w:rtl/>
          </w:rPr>
          <w:t>חוק העונשין</w:t>
        </w:r>
      </w:hyperlink>
      <w:r>
        <w:rPr>
          <w:rFonts w:hint="cs"/>
          <w:rtl/>
        </w:rPr>
        <w:t xml:space="preserve">, תשל"ז – 1977. </w:t>
      </w:r>
    </w:p>
    <w:p w14:paraId="2D3D08C8" w14:textId="77777777" w:rsidR="005F3612" w:rsidRDefault="005F3612" w:rsidP="005F3612">
      <w:pPr>
        <w:spacing w:line="360" w:lineRule="auto"/>
        <w:jc w:val="both"/>
        <w:rPr>
          <w:rtl/>
        </w:rPr>
      </w:pPr>
      <w:bookmarkStart w:id="7" w:name="ABSTRACT_END"/>
      <w:bookmarkEnd w:id="7"/>
    </w:p>
    <w:p w14:paraId="1986AB70" w14:textId="77777777" w:rsidR="005F3612" w:rsidRDefault="005F3612" w:rsidP="005F3612">
      <w:pPr>
        <w:spacing w:line="360" w:lineRule="auto"/>
        <w:jc w:val="both"/>
        <w:rPr>
          <w:rtl/>
        </w:rPr>
      </w:pPr>
      <w:r>
        <w:rPr>
          <w:rFonts w:hint="cs"/>
          <w:rtl/>
        </w:rPr>
        <w:t xml:space="preserve">בתאריך 23.05.22, בסמוך לשעה 21:00 בישוב רהט, ניסה הנאשם לסחור בסם מסוכן בכך, שניסה למכור לסוכן שוטר סם מסוכן מסוג קנבוס במשקל נטו של 850 גרם (להלן: "הסם המסוכן"), תמורת כסף מזומן בסך של 7,500 ₪ ונעצר בטרם השלמת העסקה, כשהוא נוהג ברכב מסוג טויוטה מ.ר </w:t>
      </w:r>
      <w:r>
        <w:rPr>
          <w:rtl/>
        </w:rPr>
        <w:t>–</w:t>
      </w:r>
      <w:r>
        <w:rPr>
          <w:rFonts w:hint="cs"/>
          <w:rtl/>
        </w:rPr>
        <w:t xml:space="preserve"> 80-801-79 (להלן: "הרכב"), בכביש 40 לכיוון צפון, אחרי צומת גורל, כשהסם המסוכן מוחזק ברכב וזאת עשה ללא היתר כדין או ברישיון מאת המנהל.</w:t>
      </w:r>
    </w:p>
    <w:p w14:paraId="5E6BA5CD" w14:textId="77777777" w:rsidR="005F3612" w:rsidRDefault="005F3612" w:rsidP="005F3612">
      <w:pPr>
        <w:spacing w:line="360" w:lineRule="auto"/>
        <w:jc w:val="both"/>
        <w:rPr>
          <w:rtl/>
        </w:rPr>
      </w:pPr>
    </w:p>
    <w:p w14:paraId="62C49990" w14:textId="77777777" w:rsidR="005F3612" w:rsidRDefault="005F3612" w:rsidP="005F3612">
      <w:pPr>
        <w:spacing w:line="360" w:lineRule="auto"/>
        <w:jc w:val="both"/>
        <w:rPr>
          <w:rtl/>
        </w:rPr>
      </w:pPr>
      <w:r>
        <w:rPr>
          <w:rFonts w:hint="cs"/>
          <w:rtl/>
        </w:rPr>
        <w:t>בין הצדדים נערך הסדר טיעון, במסגרתו תוקן כתב האישום, והנאשם הודה והורשע בעובדות ובעבירה שבכתב האישום המתוקן.</w:t>
      </w:r>
    </w:p>
    <w:p w14:paraId="2B441F53" w14:textId="77777777" w:rsidR="005F3612" w:rsidRDefault="005F3612" w:rsidP="005F3612">
      <w:pPr>
        <w:spacing w:line="360" w:lineRule="auto"/>
        <w:jc w:val="both"/>
        <w:rPr>
          <w:rtl/>
        </w:rPr>
      </w:pPr>
    </w:p>
    <w:p w14:paraId="6F729036" w14:textId="77777777" w:rsidR="005F3612" w:rsidRDefault="005F3612" w:rsidP="005F3612">
      <w:pPr>
        <w:spacing w:line="360" w:lineRule="auto"/>
        <w:jc w:val="both"/>
        <w:rPr>
          <w:rtl/>
        </w:rPr>
      </w:pPr>
      <w:r>
        <w:rPr>
          <w:rFonts w:hint="cs"/>
          <w:rtl/>
        </w:rPr>
        <w:t>הסדר הטיעון לא כלל הסכמה לענין העונש, ולבקשת ההגנה, נשלח הנאשם להערכת שירות המבחן למבוגרים.</w:t>
      </w:r>
    </w:p>
    <w:p w14:paraId="19135863" w14:textId="77777777" w:rsidR="005F3612" w:rsidRDefault="005F3612" w:rsidP="005F3612">
      <w:pPr>
        <w:spacing w:line="360" w:lineRule="auto"/>
        <w:jc w:val="both"/>
        <w:rPr>
          <w:rtl/>
        </w:rPr>
      </w:pPr>
    </w:p>
    <w:p w14:paraId="16328FAE" w14:textId="77777777" w:rsidR="005F3612" w:rsidRDefault="005F3612" w:rsidP="005F3612">
      <w:pPr>
        <w:spacing w:line="360" w:lineRule="auto"/>
        <w:jc w:val="both"/>
        <w:rPr>
          <w:rtl/>
        </w:rPr>
      </w:pPr>
      <w:r>
        <w:rPr>
          <w:rFonts w:hint="cs"/>
          <w:rtl/>
        </w:rPr>
        <w:t xml:space="preserve">לאחר קבלת התסקיר, טענו הצדדים לעונש, ומכאן </w:t>
      </w:r>
      <w:r>
        <w:rPr>
          <w:rtl/>
        </w:rPr>
        <w:t>–</w:t>
      </w:r>
      <w:r>
        <w:rPr>
          <w:rFonts w:hint="cs"/>
          <w:rtl/>
        </w:rPr>
        <w:t xml:space="preserve"> גזר דין זה.</w:t>
      </w:r>
    </w:p>
    <w:p w14:paraId="2CBEC527" w14:textId="77777777" w:rsidR="005F3612" w:rsidRDefault="005F3612" w:rsidP="005F3612">
      <w:pPr>
        <w:spacing w:line="360" w:lineRule="auto"/>
        <w:jc w:val="both"/>
        <w:rPr>
          <w:rtl/>
        </w:rPr>
      </w:pPr>
    </w:p>
    <w:p w14:paraId="2D9E32D3" w14:textId="77777777" w:rsidR="005F3612" w:rsidRDefault="005F3612" w:rsidP="005F3612">
      <w:pPr>
        <w:spacing w:line="360" w:lineRule="auto"/>
        <w:jc w:val="both"/>
        <w:rPr>
          <w:rtl/>
        </w:rPr>
      </w:pPr>
      <w:r>
        <w:rPr>
          <w:rFonts w:hint="cs"/>
          <w:b/>
          <w:bCs/>
          <w:rtl/>
        </w:rPr>
        <w:t>ראיות לעונש</w:t>
      </w:r>
    </w:p>
    <w:p w14:paraId="29109156" w14:textId="77777777" w:rsidR="005F3612" w:rsidRDefault="005F3612" w:rsidP="005F3612">
      <w:pPr>
        <w:spacing w:line="360" w:lineRule="auto"/>
        <w:jc w:val="both"/>
        <w:rPr>
          <w:rtl/>
        </w:rPr>
      </w:pPr>
    </w:p>
    <w:p w14:paraId="7BA44B0F" w14:textId="77777777" w:rsidR="005F3612" w:rsidRDefault="005F3612" w:rsidP="005F3612">
      <w:pPr>
        <w:spacing w:line="360" w:lineRule="auto"/>
        <w:jc w:val="both"/>
        <w:rPr>
          <w:rtl/>
        </w:rPr>
      </w:pPr>
      <w:r>
        <w:rPr>
          <w:rFonts w:hint="cs"/>
          <w:u w:val="single"/>
          <w:rtl/>
        </w:rPr>
        <w:t>התביעה</w:t>
      </w:r>
      <w:r>
        <w:rPr>
          <w:rFonts w:hint="cs"/>
          <w:rtl/>
        </w:rPr>
        <w:t xml:space="preserve"> הגישה, לענין העונש, ראיות כדלקמן:</w:t>
      </w:r>
    </w:p>
    <w:p w14:paraId="68E06ED7" w14:textId="77777777" w:rsidR="005F3612" w:rsidRDefault="005F3612" w:rsidP="005F3612">
      <w:pPr>
        <w:pStyle w:val="a9"/>
        <w:numPr>
          <w:ilvl w:val="0"/>
          <w:numId w:val="1"/>
        </w:numPr>
        <w:spacing w:line="360" w:lineRule="auto"/>
        <w:jc w:val="both"/>
      </w:pPr>
      <w:r>
        <w:rPr>
          <w:rFonts w:hint="cs"/>
          <w:rtl/>
        </w:rPr>
        <w:t xml:space="preserve">גיליון רישום תעבורתי של הנאשם (ת/1) </w:t>
      </w:r>
      <w:r>
        <w:rPr>
          <w:rtl/>
        </w:rPr>
        <w:t>–</w:t>
      </w:r>
      <w:r>
        <w:rPr>
          <w:rFonts w:hint="cs"/>
          <w:rtl/>
        </w:rPr>
        <w:t xml:space="preserve"> לחובת הנאשם, הרשעות בעבירות של העמדת הרכב או חלקו על המדרכה.</w:t>
      </w:r>
    </w:p>
    <w:p w14:paraId="050919A2" w14:textId="77777777" w:rsidR="005F3612" w:rsidRDefault="005F3612" w:rsidP="005F3612">
      <w:pPr>
        <w:pStyle w:val="a9"/>
        <w:numPr>
          <w:ilvl w:val="0"/>
          <w:numId w:val="1"/>
        </w:numPr>
        <w:spacing w:line="360" w:lineRule="auto"/>
        <w:jc w:val="both"/>
      </w:pPr>
      <w:r>
        <w:rPr>
          <w:rFonts w:hint="cs"/>
          <w:rtl/>
        </w:rPr>
        <w:t xml:space="preserve">אישור בעלות ברכב (ת/2) </w:t>
      </w:r>
      <w:r>
        <w:rPr>
          <w:rtl/>
        </w:rPr>
        <w:t>–</w:t>
      </w:r>
      <w:r>
        <w:rPr>
          <w:rFonts w:hint="cs"/>
          <w:rtl/>
        </w:rPr>
        <w:t xml:space="preserve"> הנאשם הינו הבעלים הרשום של הרכב.</w:t>
      </w:r>
    </w:p>
    <w:p w14:paraId="49290211" w14:textId="77777777" w:rsidR="005F3612" w:rsidRDefault="005F3612" w:rsidP="005F3612">
      <w:pPr>
        <w:spacing w:line="360" w:lineRule="auto"/>
        <w:jc w:val="both"/>
        <w:rPr>
          <w:rtl/>
        </w:rPr>
      </w:pPr>
    </w:p>
    <w:p w14:paraId="45411214" w14:textId="77777777" w:rsidR="005F3612" w:rsidRDefault="005F3612" w:rsidP="005F3612">
      <w:pPr>
        <w:spacing w:line="360" w:lineRule="auto"/>
        <w:jc w:val="both"/>
        <w:rPr>
          <w:rtl/>
        </w:rPr>
      </w:pPr>
      <w:r>
        <w:rPr>
          <w:rFonts w:hint="cs"/>
          <w:u w:val="single"/>
          <w:rtl/>
        </w:rPr>
        <w:t>ההגנה</w:t>
      </w:r>
      <w:r>
        <w:rPr>
          <w:rFonts w:hint="cs"/>
          <w:rtl/>
        </w:rPr>
        <w:t xml:space="preserve"> הגישה, לענין העונש, תלושי שכר של הנאשם (נ/1)</w:t>
      </w:r>
    </w:p>
    <w:p w14:paraId="6C5F632D" w14:textId="77777777" w:rsidR="005F3612" w:rsidRDefault="005F3612" w:rsidP="005F3612">
      <w:pPr>
        <w:spacing w:line="360" w:lineRule="auto"/>
        <w:jc w:val="both"/>
        <w:rPr>
          <w:rtl/>
        </w:rPr>
      </w:pPr>
    </w:p>
    <w:p w14:paraId="226CB45A" w14:textId="77777777" w:rsidR="005F3612" w:rsidRDefault="005F3612" w:rsidP="005F3612">
      <w:pPr>
        <w:spacing w:line="360" w:lineRule="auto"/>
        <w:jc w:val="both"/>
        <w:rPr>
          <w:rtl/>
        </w:rPr>
      </w:pPr>
    </w:p>
    <w:p w14:paraId="3F4FB60A" w14:textId="77777777" w:rsidR="005F3612" w:rsidRDefault="005F3612" w:rsidP="005F3612">
      <w:pPr>
        <w:spacing w:line="360" w:lineRule="auto"/>
        <w:jc w:val="both"/>
        <w:rPr>
          <w:rtl/>
        </w:rPr>
      </w:pPr>
      <w:r>
        <w:rPr>
          <w:rFonts w:hint="cs"/>
          <w:b/>
          <w:bCs/>
          <w:rtl/>
        </w:rPr>
        <w:t>הערכת שירות המבחן למבוגרים</w:t>
      </w:r>
    </w:p>
    <w:p w14:paraId="70077333" w14:textId="77777777" w:rsidR="005F3612" w:rsidRDefault="005F3612" w:rsidP="005F3612">
      <w:pPr>
        <w:spacing w:line="360" w:lineRule="auto"/>
        <w:jc w:val="both"/>
        <w:rPr>
          <w:rtl/>
        </w:rPr>
      </w:pPr>
    </w:p>
    <w:p w14:paraId="68DB5600" w14:textId="77777777" w:rsidR="005F3612" w:rsidRDefault="005F3612" w:rsidP="005F3612">
      <w:pPr>
        <w:spacing w:line="360" w:lineRule="auto"/>
        <w:jc w:val="both"/>
        <w:rPr>
          <w:rtl/>
        </w:rPr>
      </w:pPr>
      <w:r>
        <w:rPr>
          <w:rFonts w:hint="cs"/>
          <w:rtl/>
        </w:rPr>
        <w:t>בענינו של הנאשם הוגשו תסקירים המפרטים את נסיבותיו האישיות, כבן 24, רווק, טרם מעצרו התגורר עם משפחתו ביישוב שגב שלום ועבד במפעל "עוף עוז" במשך כ-6 שנים, עד מעצרו.</w:t>
      </w:r>
    </w:p>
    <w:p w14:paraId="417F1C2F" w14:textId="77777777" w:rsidR="005F3612" w:rsidRDefault="005F3612" w:rsidP="005F3612">
      <w:pPr>
        <w:spacing w:line="360" w:lineRule="auto"/>
        <w:jc w:val="both"/>
        <w:rPr>
          <w:rtl/>
        </w:rPr>
      </w:pPr>
    </w:p>
    <w:p w14:paraId="44691D47" w14:textId="77777777" w:rsidR="005F3612" w:rsidRDefault="005F3612" w:rsidP="005F3612">
      <w:pPr>
        <w:spacing w:line="360" w:lineRule="auto"/>
        <w:jc w:val="both"/>
        <w:rPr>
          <w:rtl/>
        </w:rPr>
      </w:pPr>
      <w:r>
        <w:rPr>
          <w:rFonts w:hint="cs"/>
          <w:rtl/>
        </w:rPr>
        <w:t xml:space="preserve">הנאשם סיים 10 שנות לימוד, ללא בעיות התנהגות וללא קשיים לימודיים וחברתיים. </w:t>
      </w:r>
    </w:p>
    <w:p w14:paraId="0F94FD58" w14:textId="77777777" w:rsidR="005F3612" w:rsidRDefault="005F3612" w:rsidP="005F3612">
      <w:pPr>
        <w:spacing w:line="360" w:lineRule="auto"/>
        <w:jc w:val="both"/>
        <w:rPr>
          <w:rtl/>
        </w:rPr>
      </w:pPr>
    </w:p>
    <w:p w14:paraId="61C7D68F" w14:textId="77777777" w:rsidR="005F3612" w:rsidRDefault="005F3612" w:rsidP="005F3612">
      <w:pPr>
        <w:spacing w:line="360" w:lineRule="auto"/>
        <w:jc w:val="both"/>
        <w:rPr>
          <w:rtl/>
        </w:rPr>
      </w:pPr>
      <w:r>
        <w:rPr>
          <w:rFonts w:hint="cs"/>
          <w:rtl/>
        </w:rPr>
        <w:t>לדבריו, היה קשוב למוריו, אך עזב את המסגרת החינוכית כי מאס בה.</w:t>
      </w:r>
    </w:p>
    <w:p w14:paraId="4A7F11A0" w14:textId="77777777" w:rsidR="005F3612" w:rsidRDefault="005F3612" w:rsidP="005F3612">
      <w:pPr>
        <w:spacing w:line="360" w:lineRule="auto"/>
        <w:jc w:val="both"/>
        <w:rPr>
          <w:rtl/>
        </w:rPr>
      </w:pPr>
    </w:p>
    <w:p w14:paraId="07D413A0" w14:textId="77777777" w:rsidR="005F3612" w:rsidRDefault="005F3612" w:rsidP="005F3612">
      <w:pPr>
        <w:spacing w:line="360" w:lineRule="auto"/>
        <w:jc w:val="both"/>
        <w:rPr>
          <w:rtl/>
        </w:rPr>
      </w:pPr>
      <w:r>
        <w:rPr>
          <w:rFonts w:hint="cs"/>
          <w:rtl/>
        </w:rPr>
        <w:t>הנאשם נעדר הרשעות קודמות.</w:t>
      </w:r>
    </w:p>
    <w:p w14:paraId="6E019533" w14:textId="77777777" w:rsidR="005F3612" w:rsidRDefault="005F3612" w:rsidP="005F3612">
      <w:pPr>
        <w:spacing w:line="360" w:lineRule="auto"/>
        <w:jc w:val="both"/>
        <w:rPr>
          <w:rtl/>
        </w:rPr>
      </w:pPr>
    </w:p>
    <w:p w14:paraId="4DC5A895" w14:textId="77777777" w:rsidR="005F3612" w:rsidRDefault="005F3612" w:rsidP="005F3612">
      <w:pPr>
        <w:spacing w:line="360" w:lineRule="auto"/>
        <w:jc w:val="both"/>
        <w:rPr>
          <w:rtl/>
        </w:rPr>
      </w:pPr>
      <w:r>
        <w:rPr>
          <w:rFonts w:hint="cs"/>
          <w:rtl/>
        </w:rPr>
        <w:t>הנאשם שלל שימוש בחומרים ממכרים או בצריכת אלכוהול, אך מתוך 4 בדיקות לאיתור שרידי סם שמסר, רק שתיים יצאו נקיות. שירות המבחן ניסה לברר עם הנאשם אודות שרידי הסם שנמצאו בבדיקתו, אך הוא המשיך לשלול שימוש בסמים ושלל נזקקות טיפולית בתחום זה.</w:t>
      </w:r>
    </w:p>
    <w:p w14:paraId="32E13B10" w14:textId="77777777" w:rsidR="005F3612" w:rsidRDefault="005F3612" w:rsidP="005F3612">
      <w:pPr>
        <w:spacing w:line="360" w:lineRule="auto"/>
        <w:jc w:val="both"/>
        <w:rPr>
          <w:rtl/>
        </w:rPr>
      </w:pPr>
    </w:p>
    <w:p w14:paraId="05A3B3FA" w14:textId="77777777" w:rsidR="005F3612" w:rsidRDefault="005F3612" w:rsidP="005F3612">
      <w:pPr>
        <w:spacing w:line="360" w:lineRule="auto"/>
        <w:jc w:val="both"/>
        <w:rPr>
          <w:rtl/>
        </w:rPr>
      </w:pPr>
      <w:r>
        <w:rPr>
          <w:rFonts w:hint="cs"/>
          <w:rtl/>
        </w:rPr>
        <w:t xml:space="preserve">הנאשם הודה בעבירה הנוכחית. לדבריו, הוא אינו מעורב בעולם הסמים, אך חברו מהעבודה מעורב בסמים. בעת שישב עם חברו, קיבל שיחת טלפון, בה התבקש לספק סמים לאדם בצד השני של הקו, תמורת 8,000 ₪. </w:t>
      </w:r>
    </w:p>
    <w:p w14:paraId="743C2528" w14:textId="77777777" w:rsidR="005F3612" w:rsidRDefault="005F3612" w:rsidP="005F3612">
      <w:pPr>
        <w:spacing w:line="360" w:lineRule="auto"/>
        <w:jc w:val="both"/>
        <w:rPr>
          <w:rtl/>
        </w:rPr>
      </w:pPr>
    </w:p>
    <w:p w14:paraId="426A573B" w14:textId="77777777" w:rsidR="005F3612" w:rsidRDefault="005F3612" w:rsidP="005F3612">
      <w:pPr>
        <w:spacing w:line="360" w:lineRule="auto"/>
        <w:jc w:val="both"/>
        <w:rPr>
          <w:rtl/>
        </w:rPr>
      </w:pPr>
      <w:r>
        <w:rPr>
          <w:rFonts w:hint="cs"/>
          <w:rtl/>
        </w:rPr>
        <w:t>לדברי הנאשם, ניסה לברר מול המתקשר מהיכן קיבל את מספר הטלפון שלו, אך ללא הצלחה, וכאשר הציע המתקשר סך בן 8,000 ₪, הסכים הנאשם לספק לו סמים.</w:t>
      </w:r>
    </w:p>
    <w:p w14:paraId="04A15B43" w14:textId="77777777" w:rsidR="005F3612" w:rsidRDefault="005F3612" w:rsidP="005F3612">
      <w:pPr>
        <w:spacing w:line="360" w:lineRule="auto"/>
        <w:jc w:val="both"/>
        <w:rPr>
          <w:rtl/>
        </w:rPr>
      </w:pPr>
    </w:p>
    <w:p w14:paraId="3D36D13D" w14:textId="77777777" w:rsidR="005F3612" w:rsidRDefault="005F3612" w:rsidP="005F3612">
      <w:pPr>
        <w:spacing w:line="360" w:lineRule="auto"/>
        <w:jc w:val="both"/>
        <w:rPr>
          <w:rtl/>
        </w:rPr>
      </w:pPr>
      <w:r>
        <w:rPr>
          <w:rFonts w:hint="cs"/>
          <w:rtl/>
        </w:rPr>
        <w:t>הנאשם מסר, כי חברו סיפק לו את הסם והם נסעו יחד למקום המסירה, עד שנעצרו במחסום באמצע הדרך.</w:t>
      </w:r>
    </w:p>
    <w:p w14:paraId="7B05D7F7" w14:textId="77777777" w:rsidR="005F3612" w:rsidRDefault="005F3612" w:rsidP="005F3612">
      <w:pPr>
        <w:spacing w:line="360" w:lineRule="auto"/>
        <w:jc w:val="both"/>
        <w:rPr>
          <w:rtl/>
        </w:rPr>
      </w:pPr>
    </w:p>
    <w:p w14:paraId="2A3B1186" w14:textId="77777777" w:rsidR="005F3612" w:rsidRDefault="005F3612" w:rsidP="005F3612">
      <w:pPr>
        <w:spacing w:line="360" w:lineRule="auto"/>
        <w:jc w:val="both"/>
        <w:rPr>
          <w:rtl/>
        </w:rPr>
      </w:pPr>
      <w:r>
        <w:rPr>
          <w:rFonts w:hint="cs"/>
          <w:rtl/>
        </w:rPr>
        <w:t>הנאשם מסר, כי הוא מצטער על הטעות שלו ולא ישוב עליה.</w:t>
      </w:r>
    </w:p>
    <w:p w14:paraId="371BFFA5" w14:textId="77777777" w:rsidR="005F3612" w:rsidRDefault="005F3612" w:rsidP="005F3612">
      <w:pPr>
        <w:spacing w:line="360" w:lineRule="auto"/>
        <w:jc w:val="both"/>
        <w:rPr>
          <w:rtl/>
        </w:rPr>
      </w:pPr>
    </w:p>
    <w:p w14:paraId="482B3F19" w14:textId="77777777" w:rsidR="005F3612" w:rsidRDefault="005F3612" w:rsidP="005F3612">
      <w:pPr>
        <w:spacing w:line="360" w:lineRule="auto"/>
        <w:jc w:val="both"/>
        <w:rPr>
          <w:rtl/>
        </w:rPr>
      </w:pPr>
      <w:r>
        <w:rPr>
          <w:rFonts w:hint="cs"/>
          <w:rtl/>
        </w:rPr>
        <w:t>הנאשם לא ידע להסביר, כיצד נענה בחיוב להצעת השוטר, שעה שאינו מתעסק עם סמים ומדוע המשיך להתערות בסביבה לה קשר לסמים.</w:t>
      </w:r>
    </w:p>
    <w:p w14:paraId="3E2079F9" w14:textId="77777777" w:rsidR="005F3612" w:rsidRDefault="005F3612" w:rsidP="005F3612">
      <w:pPr>
        <w:spacing w:line="360" w:lineRule="auto"/>
        <w:jc w:val="both"/>
        <w:rPr>
          <w:rtl/>
        </w:rPr>
      </w:pPr>
    </w:p>
    <w:p w14:paraId="7EF421C4" w14:textId="77777777" w:rsidR="005F3612" w:rsidRDefault="005F3612" w:rsidP="005F3612">
      <w:pPr>
        <w:spacing w:line="360" w:lineRule="auto"/>
        <w:jc w:val="both"/>
        <w:rPr>
          <w:rtl/>
        </w:rPr>
      </w:pPr>
      <w:r>
        <w:rPr>
          <w:rFonts w:hint="cs"/>
          <w:rtl/>
        </w:rPr>
        <w:t>שירות המבחן בחן עם הנאשם נזקקות טיפולית, והנאשם הסכים להשתלב במסגרת טיפולית.</w:t>
      </w:r>
    </w:p>
    <w:p w14:paraId="76C05403" w14:textId="77777777" w:rsidR="005F3612" w:rsidRDefault="005F3612" w:rsidP="005F3612">
      <w:pPr>
        <w:spacing w:line="360" w:lineRule="auto"/>
        <w:jc w:val="both"/>
        <w:rPr>
          <w:rtl/>
        </w:rPr>
      </w:pPr>
    </w:p>
    <w:p w14:paraId="4B63E203" w14:textId="77777777" w:rsidR="005F3612" w:rsidRDefault="005F3612" w:rsidP="005F3612">
      <w:pPr>
        <w:spacing w:line="360" w:lineRule="auto"/>
        <w:jc w:val="both"/>
        <w:rPr>
          <w:rtl/>
        </w:rPr>
      </w:pPr>
      <w:r>
        <w:rPr>
          <w:rFonts w:hint="cs"/>
          <w:rtl/>
        </w:rPr>
        <w:t>עם זאת, לאור קשיי הנאשם להפנים באופן מעמיק את מעשיו והקושי בלבטא את עצמו באשר לבחינת הדפוסים שהביאו אותו לעבור את העבירות, סבר שירות המבחן, כי יש לשלבו בסדנת הכנה לטיפול ולאחר מכן, יבחנו את התאמתו להליך טיפולי.</w:t>
      </w:r>
    </w:p>
    <w:p w14:paraId="51E26EB8" w14:textId="77777777" w:rsidR="005F3612" w:rsidRDefault="005F3612" w:rsidP="005F3612">
      <w:pPr>
        <w:spacing w:line="360" w:lineRule="auto"/>
        <w:jc w:val="both"/>
        <w:rPr>
          <w:rtl/>
        </w:rPr>
      </w:pPr>
    </w:p>
    <w:p w14:paraId="76BE7CAE" w14:textId="77777777" w:rsidR="005F3612" w:rsidRDefault="005F3612" w:rsidP="005F3612">
      <w:pPr>
        <w:spacing w:line="360" w:lineRule="auto"/>
        <w:jc w:val="both"/>
        <w:rPr>
          <w:rtl/>
        </w:rPr>
      </w:pPr>
      <w:r>
        <w:rPr>
          <w:rFonts w:hint="cs"/>
          <w:rtl/>
        </w:rPr>
        <w:t>אלא, שהנאשם הגיע באיחור למפגש ההכנה, ולכן לא התאפשרה השתתפותו.</w:t>
      </w:r>
    </w:p>
    <w:p w14:paraId="04C21860" w14:textId="77777777" w:rsidR="005F3612" w:rsidRDefault="005F3612" w:rsidP="005F3612">
      <w:pPr>
        <w:spacing w:line="360" w:lineRule="auto"/>
        <w:jc w:val="both"/>
        <w:rPr>
          <w:rtl/>
        </w:rPr>
      </w:pPr>
    </w:p>
    <w:p w14:paraId="252DC36A" w14:textId="77777777" w:rsidR="005F3612" w:rsidRDefault="005F3612" w:rsidP="005F3612">
      <w:pPr>
        <w:spacing w:line="360" w:lineRule="auto"/>
        <w:jc w:val="both"/>
        <w:rPr>
          <w:rtl/>
        </w:rPr>
      </w:pPr>
      <w:r>
        <w:rPr>
          <w:rFonts w:hint="cs"/>
          <w:rtl/>
        </w:rPr>
        <w:t>שירות המבחן שיקף לו את התנהלותו ואת החשיבות בשיתוף פעולה עמם, ולאחר מכן, יצר הנאשם קשר מיוזמתו עם שירות המבחן, הוזמן לפגישה והגיע אליה בזמן.</w:t>
      </w:r>
    </w:p>
    <w:p w14:paraId="67AE773F" w14:textId="77777777" w:rsidR="005F3612" w:rsidRDefault="005F3612" w:rsidP="005F3612">
      <w:pPr>
        <w:spacing w:line="360" w:lineRule="auto"/>
        <w:jc w:val="both"/>
        <w:rPr>
          <w:rtl/>
        </w:rPr>
      </w:pPr>
    </w:p>
    <w:p w14:paraId="2B219F81" w14:textId="77777777" w:rsidR="005F3612" w:rsidRDefault="005F3612" w:rsidP="005F3612">
      <w:pPr>
        <w:spacing w:line="360" w:lineRule="auto"/>
        <w:jc w:val="both"/>
        <w:rPr>
          <w:rtl/>
        </w:rPr>
      </w:pPr>
      <w:r>
        <w:rPr>
          <w:rFonts w:hint="cs"/>
          <w:rtl/>
        </w:rPr>
        <w:t>הנאשם מסר, כי השתלבותו בסדנה היתה טובה, אך הוא חש ספקות בנוגע להשתלבותו בקבוצה טיפולית, שכן, הוא סבור שתקופת הטיפול הינה ארוכה.</w:t>
      </w:r>
    </w:p>
    <w:p w14:paraId="43F0D5C1" w14:textId="77777777" w:rsidR="005F3612" w:rsidRDefault="005F3612" w:rsidP="005F3612">
      <w:pPr>
        <w:spacing w:line="360" w:lineRule="auto"/>
        <w:jc w:val="both"/>
        <w:rPr>
          <w:rtl/>
        </w:rPr>
      </w:pPr>
    </w:p>
    <w:p w14:paraId="0945284E" w14:textId="77777777" w:rsidR="005F3612" w:rsidRDefault="005F3612" w:rsidP="005F3612">
      <w:pPr>
        <w:spacing w:line="360" w:lineRule="auto"/>
        <w:jc w:val="both"/>
        <w:rPr>
          <w:rtl/>
        </w:rPr>
      </w:pPr>
      <w:r>
        <w:rPr>
          <w:rFonts w:hint="cs"/>
          <w:rtl/>
        </w:rPr>
        <w:t>שירות המבחן הסביר לנאשם את משמעות ההליך הטיפולי ואת האחריות והמחויבות המוטלים עליו.</w:t>
      </w:r>
    </w:p>
    <w:p w14:paraId="3D27EDFC" w14:textId="77777777" w:rsidR="005F3612" w:rsidRDefault="005F3612" w:rsidP="005F3612">
      <w:pPr>
        <w:spacing w:line="360" w:lineRule="auto"/>
        <w:jc w:val="both"/>
        <w:rPr>
          <w:rtl/>
        </w:rPr>
      </w:pPr>
    </w:p>
    <w:p w14:paraId="3FE1B87C" w14:textId="77777777" w:rsidR="005F3612" w:rsidRDefault="005F3612" w:rsidP="005F3612">
      <w:pPr>
        <w:spacing w:line="360" w:lineRule="auto"/>
        <w:jc w:val="both"/>
        <w:rPr>
          <w:rtl/>
        </w:rPr>
      </w:pPr>
      <w:r>
        <w:rPr>
          <w:rFonts w:hint="cs"/>
          <w:rtl/>
        </w:rPr>
        <w:t>שירות המבחן המליץ על דחיית הדיון על מנת לאפשר לנאשם להשתלב בקבוצה טיפולית.</w:t>
      </w:r>
    </w:p>
    <w:p w14:paraId="516F4204" w14:textId="77777777" w:rsidR="005F3612" w:rsidRDefault="005F3612" w:rsidP="005F3612">
      <w:pPr>
        <w:spacing w:line="360" w:lineRule="auto"/>
        <w:jc w:val="both"/>
        <w:rPr>
          <w:rtl/>
        </w:rPr>
      </w:pPr>
    </w:p>
    <w:p w14:paraId="34446C8B" w14:textId="77777777" w:rsidR="005F3612" w:rsidRDefault="005F3612" w:rsidP="005F3612">
      <w:pPr>
        <w:spacing w:line="360" w:lineRule="auto"/>
        <w:jc w:val="both"/>
        <w:rPr>
          <w:rtl/>
        </w:rPr>
      </w:pPr>
      <w:r>
        <w:rPr>
          <w:rFonts w:hint="cs"/>
          <w:rtl/>
        </w:rPr>
        <w:t>במהלך תקופת הדחיה, השתלב הנאשם בקבוצה טיפולית ונכח בחמשת המפגשים שהתקיימו.</w:t>
      </w:r>
    </w:p>
    <w:p w14:paraId="4004E936" w14:textId="77777777" w:rsidR="005F3612" w:rsidRDefault="005F3612" w:rsidP="005F3612">
      <w:pPr>
        <w:spacing w:line="360" w:lineRule="auto"/>
        <w:jc w:val="both"/>
        <w:rPr>
          <w:rtl/>
        </w:rPr>
      </w:pPr>
    </w:p>
    <w:p w14:paraId="177398DB" w14:textId="77777777" w:rsidR="005F3612" w:rsidRDefault="005F3612" w:rsidP="005F3612">
      <w:pPr>
        <w:spacing w:line="360" w:lineRule="auto"/>
        <w:jc w:val="both"/>
        <w:rPr>
          <w:rtl/>
        </w:rPr>
      </w:pPr>
      <w:r>
        <w:rPr>
          <w:rFonts w:hint="cs"/>
          <w:rtl/>
        </w:rPr>
        <w:t>מנחות הקבוצה התרשמו, כי הנאשם מעט ביישן, אך נוטל חלק פעיל בשיח הקבוצתי וקשוב לחברי הקבוצה.</w:t>
      </w:r>
    </w:p>
    <w:p w14:paraId="48BBD40A" w14:textId="77777777" w:rsidR="005F3612" w:rsidRDefault="005F3612" w:rsidP="005F3612">
      <w:pPr>
        <w:spacing w:line="360" w:lineRule="auto"/>
        <w:jc w:val="both"/>
        <w:rPr>
          <w:rtl/>
        </w:rPr>
      </w:pPr>
    </w:p>
    <w:p w14:paraId="68C24C3C" w14:textId="77777777" w:rsidR="005F3612" w:rsidRDefault="005F3612" w:rsidP="005F3612">
      <w:pPr>
        <w:spacing w:line="360" w:lineRule="auto"/>
        <w:jc w:val="both"/>
        <w:rPr>
          <w:rtl/>
        </w:rPr>
      </w:pPr>
      <w:r>
        <w:rPr>
          <w:rFonts w:hint="cs"/>
          <w:rtl/>
        </w:rPr>
        <w:t>מנחות הקבוצה מסרו, כי טרם ניתן לדעת האם הנאשם נתרם מההליך הטיפולי, כיוון שמצוי בראשיתו, אך ניכר, כי הוא עושה מאמצים להיפתח ולשתף מעולמו הפנימי.</w:t>
      </w:r>
    </w:p>
    <w:p w14:paraId="00F39A61" w14:textId="77777777" w:rsidR="005F3612" w:rsidRDefault="005F3612" w:rsidP="005F3612">
      <w:pPr>
        <w:spacing w:line="360" w:lineRule="auto"/>
        <w:jc w:val="both"/>
        <w:rPr>
          <w:rtl/>
        </w:rPr>
      </w:pPr>
    </w:p>
    <w:p w14:paraId="1C762307" w14:textId="77777777" w:rsidR="005F3612" w:rsidRDefault="005F3612" w:rsidP="005F3612">
      <w:pPr>
        <w:spacing w:line="360" w:lineRule="auto"/>
        <w:jc w:val="both"/>
        <w:rPr>
          <w:rtl/>
        </w:rPr>
      </w:pPr>
      <w:r>
        <w:rPr>
          <w:rFonts w:hint="cs"/>
          <w:rtl/>
        </w:rPr>
        <w:t>שירות המבחן שוחח עם הנאשם, אשר מסר, כי מרגיש שהקבוצה מיטיבה עמו והביע רצון להמשיך בה.</w:t>
      </w:r>
    </w:p>
    <w:p w14:paraId="7B2A8853" w14:textId="77777777" w:rsidR="005F3612" w:rsidRDefault="005F3612" w:rsidP="005F3612">
      <w:pPr>
        <w:spacing w:line="360" w:lineRule="auto"/>
        <w:jc w:val="both"/>
        <w:rPr>
          <w:rtl/>
        </w:rPr>
      </w:pPr>
    </w:p>
    <w:p w14:paraId="29BCDA1E" w14:textId="77777777" w:rsidR="005F3612" w:rsidRDefault="005F3612" w:rsidP="005F3612">
      <w:pPr>
        <w:spacing w:line="360" w:lineRule="auto"/>
        <w:jc w:val="both"/>
        <w:rPr>
          <w:rtl/>
        </w:rPr>
      </w:pPr>
      <w:r>
        <w:rPr>
          <w:rFonts w:hint="cs"/>
          <w:rtl/>
        </w:rPr>
        <w:t>בדיקות נוספות לאיתור שרידי סם שמסר הנאשם, נמצאו נקיות משרידים.</w:t>
      </w:r>
    </w:p>
    <w:p w14:paraId="4D0879CE" w14:textId="77777777" w:rsidR="005F3612" w:rsidRDefault="005F3612" w:rsidP="005F3612">
      <w:pPr>
        <w:spacing w:line="360" w:lineRule="auto"/>
        <w:jc w:val="both"/>
        <w:rPr>
          <w:rtl/>
        </w:rPr>
      </w:pPr>
    </w:p>
    <w:p w14:paraId="5935A38F" w14:textId="77777777" w:rsidR="005F3612" w:rsidRDefault="005F3612" w:rsidP="005F3612">
      <w:pPr>
        <w:spacing w:line="360" w:lineRule="auto"/>
        <w:jc w:val="both"/>
        <w:rPr>
          <w:rtl/>
        </w:rPr>
      </w:pPr>
      <w:r>
        <w:rPr>
          <w:rFonts w:hint="cs"/>
          <w:rtl/>
        </w:rPr>
        <w:t>שירות המבחן התרשם, כי במקרה דנן, יש מקום להטיל ענישה שיקומית, והמליץ על צו של"צ בהיקף 300 שעות.</w:t>
      </w:r>
    </w:p>
    <w:p w14:paraId="79D088FA" w14:textId="77777777" w:rsidR="005F3612" w:rsidRDefault="005F3612" w:rsidP="005F3612">
      <w:pPr>
        <w:spacing w:line="360" w:lineRule="auto"/>
        <w:jc w:val="both"/>
        <w:rPr>
          <w:rtl/>
        </w:rPr>
      </w:pPr>
    </w:p>
    <w:p w14:paraId="5023CB77" w14:textId="77777777" w:rsidR="005F3612" w:rsidRDefault="005F3612" w:rsidP="005F3612">
      <w:pPr>
        <w:spacing w:line="360" w:lineRule="auto"/>
        <w:jc w:val="both"/>
        <w:rPr>
          <w:rtl/>
        </w:rPr>
      </w:pPr>
      <w:r>
        <w:rPr>
          <w:rFonts w:hint="cs"/>
          <w:rtl/>
        </w:rPr>
        <w:t>שירות המבחן המליץ להעמיד את הנאשם תחת צו מבחן למשך שנה, במהלכה ימשיך השתלבותו בקבוצה הטיפולית.</w:t>
      </w:r>
    </w:p>
    <w:p w14:paraId="08417CC2" w14:textId="77777777" w:rsidR="005F3612" w:rsidRDefault="005F3612" w:rsidP="005F3612">
      <w:pPr>
        <w:spacing w:line="360" w:lineRule="auto"/>
        <w:jc w:val="both"/>
        <w:rPr>
          <w:rtl/>
        </w:rPr>
      </w:pPr>
    </w:p>
    <w:p w14:paraId="535BE0DD" w14:textId="77777777" w:rsidR="005F3612" w:rsidRDefault="005F3612" w:rsidP="005F3612">
      <w:pPr>
        <w:spacing w:line="360" w:lineRule="auto"/>
        <w:jc w:val="both"/>
        <w:rPr>
          <w:rtl/>
        </w:rPr>
      </w:pPr>
    </w:p>
    <w:p w14:paraId="06CE5595" w14:textId="77777777" w:rsidR="005F3612" w:rsidRDefault="005F3612" w:rsidP="005F3612">
      <w:pPr>
        <w:spacing w:line="360" w:lineRule="auto"/>
        <w:jc w:val="both"/>
        <w:rPr>
          <w:rtl/>
        </w:rPr>
      </w:pPr>
      <w:r>
        <w:rPr>
          <w:rFonts w:hint="cs"/>
          <w:b/>
          <w:bCs/>
          <w:rtl/>
        </w:rPr>
        <w:t>טענות הצדדים</w:t>
      </w:r>
    </w:p>
    <w:p w14:paraId="34B5D9B2" w14:textId="77777777" w:rsidR="005F3612" w:rsidRDefault="005F3612" w:rsidP="005F3612">
      <w:pPr>
        <w:spacing w:line="360" w:lineRule="auto"/>
        <w:jc w:val="both"/>
        <w:rPr>
          <w:rtl/>
        </w:rPr>
      </w:pPr>
    </w:p>
    <w:p w14:paraId="3F6D4DB7" w14:textId="77777777" w:rsidR="005F3612" w:rsidRDefault="005F3612" w:rsidP="005F3612">
      <w:pPr>
        <w:spacing w:line="360" w:lineRule="auto"/>
        <w:jc w:val="both"/>
        <w:rPr>
          <w:rtl/>
        </w:rPr>
      </w:pPr>
      <w:r>
        <w:rPr>
          <w:rFonts w:hint="cs"/>
          <w:u w:val="single"/>
          <w:rtl/>
        </w:rPr>
        <w:t>התביעה</w:t>
      </w:r>
      <w:r>
        <w:rPr>
          <w:rFonts w:hint="cs"/>
          <w:rtl/>
        </w:rPr>
        <w:t xml:space="preserve"> הגישה טיעוניה בכתב (ת/3) והשלימה אותן על פה.</w:t>
      </w:r>
    </w:p>
    <w:p w14:paraId="5F4B4D54" w14:textId="77777777" w:rsidR="005F3612" w:rsidRDefault="005F3612" w:rsidP="005F3612">
      <w:pPr>
        <w:spacing w:line="360" w:lineRule="auto"/>
        <w:jc w:val="both"/>
        <w:rPr>
          <w:rtl/>
        </w:rPr>
      </w:pPr>
    </w:p>
    <w:p w14:paraId="66E28646" w14:textId="77777777" w:rsidR="005F3612" w:rsidRDefault="005F3612" w:rsidP="005F3612">
      <w:pPr>
        <w:spacing w:line="360" w:lineRule="auto"/>
        <w:jc w:val="both"/>
        <w:rPr>
          <w:rtl/>
        </w:rPr>
      </w:pPr>
      <w:r>
        <w:rPr>
          <w:rFonts w:hint="cs"/>
          <w:rtl/>
        </w:rPr>
        <w:t>התביעה טענה, כי עבירות הסמים פוגעות בשמירה על בריאות הציבור ושלומו, במובן הרחב, כיוון שנגע הסמים עלול להוביל לפגיעות ברכוש ולעבירות נלוות על מנת שצרכן הסם יוכל לרכוש סמים.</w:t>
      </w:r>
    </w:p>
    <w:p w14:paraId="1B4627D0" w14:textId="77777777" w:rsidR="005F3612" w:rsidRDefault="005F3612" w:rsidP="005F3612">
      <w:pPr>
        <w:spacing w:line="360" w:lineRule="auto"/>
        <w:jc w:val="both"/>
        <w:rPr>
          <w:rtl/>
        </w:rPr>
      </w:pPr>
    </w:p>
    <w:p w14:paraId="6D721E1E" w14:textId="77777777" w:rsidR="005F3612" w:rsidRDefault="005F3612" w:rsidP="005F3612">
      <w:pPr>
        <w:spacing w:line="360" w:lineRule="auto"/>
        <w:jc w:val="both"/>
        <w:rPr>
          <w:rtl/>
        </w:rPr>
      </w:pPr>
      <w:r>
        <w:rPr>
          <w:rFonts w:hint="cs"/>
          <w:rtl/>
        </w:rPr>
        <w:t>התביעה טענה, כי מידת הפגיעה בערכים המוגנים הינה משמעותית, לאור טיב הסם; כמות הסם; וסכום הכסף שהיה הנאשם עתיד לקבל תמורתו.</w:t>
      </w:r>
    </w:p>
    <w:p w14:paraId="4DFA50A5" w14:textId="77777777" w:rsidR="005F3612" w:rsidRDefault="005F3612" w:rsidP="005F3612">
      <w:pPr>
        <w:spacing w:line="360" w:lineRule="auto"/>
        <w:jc w:val="both"/>
        <w:rPr>
          <w:rtl/>
        </w:rPr>
      </w:pPr>
    </w:p>
    <w:p w14:paraId="16F4AB93" w14:textId="77777777" w:rsidR="005F3612" w:rsidRDefault="005F3612" w:rsidP="005F3612">
      <w:pPr>
        <w:spacing w:line="360" w:lineRule="auto"/>
        <w:jc w:val="both"/>
        <w:rPr>
          <w:rtl/>
        </w:rPr>
      </w:pPr>
      <w:r>
        <w:rPr>
          <w:rFonts w:hint="cs"/>
          <w:rtl/>
        </w:rPr>
        <w:t xml:space="preserve">התביעה טענה, כי לא בכדי, העונש על ניסיון לסחר בסמים הינו זהה לעונש על עבירה מוגמרת של סחר, קרי </w:t>
      </w:r>
      <w:r>
        <w:rPr>
          <w:rtl/>
        </w:rPr>
        <w:t>–</w:t>
      </w:r>
      <w:r>
        <w:rPr>
          <w:rFonts w:hint="cs"/>
          <w:rtl/>
        </w:rPr>
        <w:t xml:space="preserve"> 20 שנים.</w:t>
      </w:r>
    </w:p>
    <w:p w14:paraId="4366F3E1" w14:textId="77777777" w:rsidR="005F3612" w:rsidRDefault="005F3612" w:rsidP="005F3612">
      <w:pPr>
        <w:spacing w:line="360" w:lineRule="auto"/>
        <w:jc w:val="both"/>
        <w:rPr>
          <w:rtl/>
        </w:rPr>
      </w:pPr>
    </w:p>
    <w:p w14:paraId="5FA6D188" w14:textId="77777777" w:rsidR="005F3612" w:rsidRDefault="005F3612" w:rsidP="005F3612">
      <w:pPr>
        <w:spacing w:line="360" w:lineRule="auto"/>
        <w:jc w:val="both"/>
        <w:rPr>
          <w:rtl/>
        </w:rPr>
      </w:pPr>
      <w:r>
        <w:rPr>
          <w:rFonts w:hint="cs"/>
          <w:rtl/>
        </w:rPr>
        <w:t>התביעה עתרה למתחם ענישה הנע בין 10 ועד 20 חודשי מאסר.</w:t>
      </w:r>
    </w:p>
    <w:p w14:paraId="1DC14399" w14:textId="77777777" w:rsidR="005F3612" w:rsidRDefault="005F3612" w:rsidP="005F3612">
      <w:pPr>
        <w:spacing w:line="360" w:lineRule="auto"/>
        <w:jc w:val="both"/>
        <w:rPr>
          <w:rtl/>
        </w:rPr>
      </w:pPr>
    </w:p>
    <w:p w14:paraId="1A4AFB5B" w14:textId="77777777" w:rsidR="005F3612" w:rsidRDefault="005F3612" w:rsidP="005F3612">
      <w:pPr>
        <w:spacing w:line="360" w:lineRule="auto"/>
        <w:jc w:val="both"/>
        <w:rPr>
          <w:rtl/>
        </w:rPr>
      </w:pPr>
      <w:r>
        <w:rPr>
          <w:rFonts w:hint="cs"/>
          <w:rtl/>
        </w:rPr>
        <w:t>התביעה הפנתה לתסקירי שירות המבחן למבוגרים וטענה, כי למעשה, לא השתלב הנאשם בהליך טיפולי מעמיק, אשר מצדיק חריגה ממתחם העונש ההולם, ואף נמצאו שרידי סם באחת מבדיקותיו, כאשר לנאשם אין הסבר מניח את הדעת בנוגע לכך.</w:t>
      </w:r>
    </w:p>
    <w:p w14:paraId="4999A36E" w14:textId="77777777" w:rsidR="005F3612" w:rsidRDefault="005F3612" w:rsidP="005F3612">
      <w:pPr>
        <w:spacing w:line="360" w:lineRule="auto"/>
        <w:jc w:val="both"/>
        <w:rPr>
          <w:rtl/>
        </w:rPr>
      </w:pPr>
    </w:p>
    <w:p w14:paraId="261F96D8" w14:textId="77777777" w:rsidR="005F3612" w:rsidRDefault="005F3612" w:rsidP="005F3612">
      <w:pPr>
        <w:spacing w:line="360" w:lineRule="auto"/>
        <w:jc w:val="both"/>
        <w:rPr>
          <w:rtl/>
        </w:rPr>
      </w:pPr>
      <w:r>
        <w:rPr>
          <w:rFonts w:hint="cs"/>
          <w:rtl/>
        </w:rPr>
        <w:t>התביעה ביקשה לקחת בחשבון, כי הנאשם עבר את העבירה תוך שימוש ברכב מנועי, ועתרה לחילוט הרכב.</w:t>
      </w:r>
    </w:p>
    <w:p w14:paraId="24EA94D1" w14:textId="77777777" w:rsidR="005F3612" w:rsidRDefault="005F3612" w:rsidP="005F3612">
      <w:pPr>
        <w:spacing w:line="360" w:lineRule="auto"/>
        <w:jc w:val="both"/>
        <w:rPr>
          <w:rtl/>
        </w:rPr>
      </w:pPr>
    </w:p>
    <w:p w14:paraId="565BE02E" w14:textId="77777777" w:rsidR="005F3612" w:rsidRDefault="005F3612" w:rsidP="005F3612">
      <w:pPr>
        <w:spacing w:line="360" w:lineRule="auto"/>
        <w:jc w:val="both"/>
        <w:rPr>
          <w:rtl/>
        </w:rPr>
      </w:pPr>
      <w:r>
        <w:rPr>
          <w:rFonts w:hint="cs"/>
          <w:rtl/>
        </w:rPr>
        <w:t>לאור היעדר הרשעות קודמות ולאור הודאת הנאשם באשמה, עתרה התביעה לגזור את עונשו של הנאשם בתחתית מתחם הענישה אליו עתרה.</w:t>
      </w:r>
    </w:p>
    <w:p w14:paraId="1DB41EC7" w14:textId="77777777" w:rsidR="005F3612" w:rsidRDefault="005F3612" w:rsidP="005F3612">
      <w:pPr>
        <w:spacing w:line="360" w:lineRule="auto"/>
        <w:jc w:val="both"/>
        <w:rPr>
          <w:rtl/>
        </w:rPr>
      </w:pPr>
    </w:p>
    <w:p w14:paraId="220D7882" w14:textId="77777777" w:rsidR="005F3612" w:rsidRDefault="005F3612" w:rsidP="005F3612">
      <w:pPr>
        <w:spacing w:line="360" w:lineRule="auto"/>
        <w:jc w:val="both"/>
        <w:rPr>
          <w:rtl/>
        </w:rPr>
      </w:pPr>
      <w:r>
        <w:rPr>
          <w:rFonts w:hint="cs"/>
          <w:rtl/>
        </w:rPr>
        <w:t>התביעה ביקשה להשית על הנאשם מאסרים מותנים מרתיעים; קנס; פסילת רישיון נהיגה בפועל ועל תנאי; התחייבות להימנע מעבירה; חילוט רכב.</w:t>
      </w:r>
    </w:p>
    <w:p w14:paraId="79D4E040" w14:textId="77777777" w:rsidR="005F3612" w:rsidRDefault="005F3612" w:rsidP="005F3612">
      <w:pPr>
        <w:spacing w:line="360" w:lineRule="auto"/>
        <w:jc w:val="both"/>
        <w:rPr>
          <w:rtl/>
        </w:rPr>
      </w:pPr>
    </w:p>
    <w:p w14:paraId="76ABECF6" w14:textId="77777777" w:rsidR="005F3612" w:rsidRDefault="005F3612" w:rsidP="005F3612">
      <w:pPr>
        <w:spacing w:line="360" w:lineRule="auto"/>
        <w:jc w:val="both"/>
        <w:rPr>
          <w:rtl/>
        </w:rPr>
      </w:pPr>
      <w:r>
        <w:rPr>
          <w:rFonts w:hint="cs"/>
          <w:u w:val="single"/>
          <w:rtl/>
        </w:rPr>
        <w:t>ההגנה</w:t>
      </w:r>
      <w:r>
        <w:rPr>
          <w:rFonts w:hint="cs"/>
          <w:rtl/>
        </w:rPr>
        <w:t xml:space="preserve"> טענה, כי מדובר באדם צעיר, ללא הרשעות קודמות, אשר הודה במיוחס לו ונטל אחריות בשלב מוקדם של ההליך.</w:t>
      </w:r>
    </w:p>
    <w:p w14:paraId="3CAE80FE" w14:textId="77777777" w:rsidR="005F3612" w:rsidRDefault="005F3612" w:rsidP="005F3612">
      <w:pPr>
        <w:spacing w:line="360" w:lineRule="auto"/>
        <w:jc w:val="both"/>
        <w:rPr>
          <w:rtl/>
        </w:rPr>
      </w:pPr>
    </w:p>
    <w:p w14:paraId="0D977235" w14:textId="77777777" w:rsidR="005F3612" w:rsidRDefault="005F3612" w:rsidP="005F3612">
      <w:pPr>
        <w:spacing w:line="360" w:lineRule="auto"/>
        <w:jc w:val="both"/>
        <w:rPr>
          <w:rtl/>
        </w:rPr>
      </w:pPr>
      <w:r>
        <w:rPr>
          <w:rFonts w:hint="cs"/>
          <w:rtl/>
        </w:rPr>
        <w:t>ההגנה הפנתה לתסקירי שירות המבחן למבוגרים וטענה, כי הם מלמדים על דרך שהנאשם עבר והתקדם, תוך שיתוף פעולה מלא עם גורמי הטיפול והבעת מוטיבציה להמשיך במסגרת הטיפולית, כאשר לבסוף, שירות המבחן ממליץ על ענישה שיקומית.</w:t>
      </w:r>
    </w:p>
    <w:p w14:paraId="06051E3E" w14:textId="77777777" w:rsidR="005F3612" w:rsidRDefault="005F3612" w:rsidP="005F3612">
      <w:pPr>
        <w:spacing w:line="360" w:lineRule="auto"/>
        <w:jc w:val="both"/>
        <w:rPr>
          <w:rtl/>
        </w:rPr>
      </w:pPr>
    </w:p>
    <w:p w14:paraId="0D65F2D7" w14:textId="77777777" w:rsidR="005F3612" w:rsidRDefault="005F3612" w:rsidP="005F3612">
      <w:pPr>
        <w:spacing w:line="360" w:lineRule="auto"/>
        <w:jc w:val="both"/>
        <w:rPr>
          <w:rtl/>
        </w:rPr>
      </w:pPr>
      <w:r>
        <w:rPr>
          <w:rFonts w:hint="cs"/>
          <w:rtl/>
        </w:rPr>
        <w:t>ההגנה טענה, כי הנאשם אינו צורך סמים ולמעשה, רק בדיקה אחת היתה חיובית לשרידי סם.</w:t>
      </w:r>
    </w:p>
    <w:p w14:paraId="1B21CC11" w14:textId="77777777" w:rsidR="005F3612" w:rsidRDefault="005F3612" w:rsidP="005F3612">
      <w:pPr>
        <w:spacing w:line="360" w:lineRule="auto"/>
        <w:jc w:val="both"/>
        <w:rPr>
          <w:rtl/>
        </w:rPr>
      </w:pPr>
    </w:p>
    <w:p w14:paraId="7A9E7739" w14:textId="77777777" w:rsidR="005F3612" w:rsidRDefault="005F3612" w:rsidP="005F3612">
      <w:pPr>
        <w:spacing w:line="360" w:lineRule="auto"/>
        <w:jc w:val="both"/>
        <w:rPr>
          <w:rtl/>
        </w:rPr>
      </w:pPr>
      <w:r>
        <w:rPr>
          <w:rFonts w:hint="cs"/>
          <w:rtl/>
        </w:rPr>
        <w:t>ההגנה ביקשה לקחת בחשבון, כי לנאשם יציבות תעסוקתית, ואף חזר למקום עבודתו לאחר שחרורו ממעצר.</w:t>
      </w:r>
    </w:p>
    <w:p w14:paraId="2C50B7C0" w14:textId="77777777" w:rsidR="005F3612" w:rsidRDefault="005F3612" w:rsidP="005F3612">
      <w:pPr>
        <w:spacing w:line="360" w:lineRule="auto"/>
        <w:jc w:val="both"/>
        <w:rPr>
          <w:rtl/>
        </w:rPr>
      </w:pPr>
    </w:p>
    <w:p w14:paraId="2FA605E9" w14:textId="77777777" w:rsidR="005F3612" w:rsidRDefault="005F3612" w:rsidP="005F3612">
      <w:pPr>
        <w:spacing w:line="360" w:lineRule="auto"/>
        <w:jc w:val="both"/>
        <w:rPr>
          <w:rtl/>
        </w:rPr>
      </w:pPr>
      <w:r>
        <w:rPr>
          <w:rFonts w:hint="cs"/>
          <w:rtl/>
        </w:rPr>
        <w:t>ההגנה ביקשה לקחת בחשבון, כי נגד הנאשם לא נפתחו תיקים נוספים.</w:t>
      </w:r>
    </w:p>
    <w:p w14:paraId="0F3D8839" w14:textId="77777777" w:rsidR="005F3612" w:rsidRDefault="005F3612" w:rsidP="005F3612">
      <w:pPr>
        <w:spacing w:line="360" w:lineRule="auto"/>
        <w:jc w:val="both"/>
        <w:rPr>
          <w:rtl/>
        </w:rPr>
      </w:pPr>
    </w:p>
    <w:p w14:paraId="469FBE9C" w14:textId="77777777" w:rsidR="005F3612" w:rsidRDefault="005F3612" w:rsidP="005F3612">
      <w:pPr>
        <w:spacing w:line="360" w:lineRule="auto"/>
        <w:jc w:val="both"/>
        <w:rPr>
          <w:rtl/>
        </w:rPr>
      </w:pPr>
      <w:r>
        <w:rPr>
          <w:rFonts w:hint="cs"/>
          <w:rtl/>
        </w:rPr>
        <w:t>ההגנה טענה, כי עונש מאסר בפועל יביא לחשיפת הנאשם לגורמים עברייניים ויפגע בעתידו ובפרנסתו.</w:t>
      </w:r>
    </w:p>
    <w:p w14:paraId="79604095" w14:textId="77777777" w:rsidR="005F3612" w:rsidRDefault="005F3612" w:rsidP="005F3612">
      <w:pPr>
        <w:spacing w:line="360" w:lineRule="auto"/>
        <w:jc w:val="both"/>
        <w:rPr>
          <w:rtl/>
        </w:rPr>
      </w:pPr>
    </w:p>
    <w:p w14:paraId="7C9A9321" w14:textId="77777777" w:rsidR="005F3612" w:rsidRDefault="005F3612" w:rsidP="005F3612">
      <w:pPr>
        <w:spacing w:line="360" w:lineRule="auto"/>
        <w:jc w:val="both"/>
        <w:rPr>
          <w:rtl/>
        </w:rPr>
      </w:pPr>
      <w:r>
        <w:rPr>
          <w:rFonts w:hint="cs"/>
          <w:rtl/>
        </w:rPr>
        <w:t>ההגנה ביקשה להתחשב בנאשם בנוגע לרכיב הקנס, לאור גילו הצעיר.</w:t>
      </w:r>
    </w:p>
    <w:p w14:paraId="510B54B2" w14:textId="77777777" w:rsidR="005F3612" w:rsidRDefault="005F3612" w:rsidP="005F3612">
      <w:pPr>
        <w:spacing w:line="360" w:lineRule="auto"/>
        <w:jc w:val="both"/>
        <w:rPr>
          <w:rtl/>
        </w:rPr>
      </w:pPr>
    </w:p>
    <w:p w14:paraId="3ABD064F" w14:textId="77777777" w:rsidR="005F3612" w:rsidRDefault="005F3612" w:rsidP="005F3612">
      <w:pPr>
        <w:spacing w:line="360" w:lineRule="auto"/>
        <w:jc w:val="both"/>
        <w:rPr>
          <w:rtl/>
        </w:rPr>
      </w:pPr>
      <w:r>
        <w:rPr>
          <w:rFonts w:hint="cs"/>
          <w:rtl/>
        </w:rPr>
        <w:t xml:space="preserve">אשר לחילוט הרכב, טענה ההגנה, כי הנאשם רכש אותו כחצי שנה לפני העבירה וחסך כל שקל על מנת לרכוש אותו. </w:t>
      </w:r>
    </w:p>
    <w:p w14:paraId="00A7CFC8" w14:textId="77777777" w:rsidR="005F3612" w:rsidRDefault="005F3612" w:rsidP="005F3612">
      <w:pPr>
        <w:spacing w:line="360" w:lineRule="auto"/>
        <w:jc w:val="both"/>
        <w:rPr>
          <w:rtl/>
        </w:rPr>
      </w:pPr>
    </w:p>
    <w:p w14:paraId="40DADF48" w14:textId="77777777" w:rsidR="005F3612" w:rsidRDefault="005F3612" w:rsidP="005F3612">
      <w:pPr>
        <w:spacing w:line="360" w:lineRule="auto"/>
        <w:jc w:val="both"/>
        <w:rPr>
          <w:rtl/>
        </w:rPr>
      </w:pPr>
      <w:r>
        <w:rPr>
          <w:rFonts w:hint="cs"/>
          <w:rtl/>
        </w:rPr>
        <w:t>ההגנה טענה, כי סחר בסמים אינו משלח ידו של הנאשם והוא אינו מתעסק עם סמים למעט האירוע דנן, לכן עתרה ההגנה להימנע מחילוט הרכב.</w:t>
      </w:r>
    </w:p>
    <w:p w14:paraId="27B4ACC5" w14:textId="77777777" w:rsidR="005F3612" w:rsidRDefault="005F3612" w:rsidP="005F3612">
      <w:pPr>
        <w:spacing w:line="360" w:lineRule="auto"/>
        <w:jc w:val="both"/>
        <w:rPr>
          <w:rtl/>
        </w:rPr>
      </w:pPr>
    </w:p>
    <w:p w14:paraId="5954B7D0" w14:textId="77777777" w:rsidR="005F3612" w:rsidRDefault="005F3612" w:rsidP="005F3612">
      <w:pPr>
        <w:spacing w:line="360" w:lineRule="auto"/>
        <w:jc w:val="both"/>
        <w:rPr>
          <w:rtl/>
        </w:rPr>
      </w:pPr>
      <w:r>
        <w:rPr>
          <w:rFonts w:hint="cs"/>
          <w:rtl/>
        </w:rPr>
        <w:t>ההגנה טענה, כי מתחם העונש ההולם הוא עבודות שירות, ועתרה לקבל את המלצת שירות המבחן למבוגרים.</w:t>
      </w:r>
    </w:p>
    <w:p w14:paraId="221C93E3" w14:textId="77777777" w:rsidR="005F3612" w:rsidRDefault="005F3612" w:rsidP="005F3612">
      <w:pPr>
        <w:spacing w:line="360" w:lineRule="auto"/>
        <w:jc w:val="both"/>
        <w:rPr>
          <w:rtl/>
        </w:rPr>
      </w:pPr>
    </w:p>
    <w:p w14:paraId="3D621F77" w14:textId="77777777" w:rsidR="005F3612" w:rsidRPr="0005550B" w:rsidRDefault="005F3612" w:rsidP="005F3612">
      <w:pPr>
        <w:spacing w:line="360" w:lineRule="auto"/>
        <w:jc w:val="both"/>
        <w:rPr>
          <w:rtl/>
        </w:rPr>
      </w:pPr>
      <w:r>
        <w:rPr>
          <w:rFonts w:hint="cs"/>
          <w:u w:val="single"/>
          <w:rtl/>
        </w:rPr>
        <w:t>בדברו האחרון של הנאשם</w:t>
      </w:r>
      <w:r>
        <w:rPr>
          <w:rFonts w:hint="cs"/>
          <w:rtl/>
        </w:rPr>
        <w:t xml:space="preserve"> מסר, כי הוא מצטער על מעשיו ולמד מהטעות שעשה. הנאשם מסר, כי הוא נתרם מההליך הטיפולי והפיק לקחים כך שלא יחזור שוב על מעשים כאלו ויעבור על החוק.</w:t>
      </w:r>
    </w:p>
    <w:p w14:paraId="785DF450" w14:textId="77777777" w:rsidR="005F3612" w:rsidRDefault="005F3612" w:rsidP="005F3612">
      <w:pPr>
        <w:spacing w:line="360" w:lineRule="auto"/>
        <w:jc w:val="both"/>
        <w:rPr>
          <w:rtl/>
        </w:rPr>
      </w:pPr>
    </w:p>
    <w:p w14:paraId="4772AA55" w14:textId="77777777" w:rsidR="005F3612" w:rsidRDefault="005F3612" w:rsidP="005F3612">
      <w:pPr>
        <w:spacing w:line="360" w:lineRule="auto"/>
        <w:jc w:val="both"/>
        <w:rPr>
          <w:rtl/>
        </w:rPr>
      </w:pPr>
    </w:p>
    <w:p w14:paraId="14FD4FBB" w14:textId="77777777" w:rsidR="005F3612" w:rsidRDefault="005F3612" w:rsidP="005F3612">
      <w:pPr>
        <w:spacing w:line="360" w:lineRule="auto"/>
        <w:jc w:val="both"/>
        <w:rPr>
          <w:rtl/>
        </w:rPr>
      </w:pPr>
      <w:r>
        <w:rPr>
          <w:rFonts w:hint="cs"/>
          <w:b/>
          <w:bCs/>
          <w:rtl/>
        </w:rPr>
        <w:t>דיון והכרעה</w:t>
      </w:r>
    </w:p>
    <w:p w14:paraId="54E86C09" w14:textId="77777777" w:rsidR="005F3612" w:rsidRPr="0005550B" w:rsidRDefault="005F3612" w:rsidP="005F3612">
      <w:pPr>
        <w:spacing w:line="360" w:lineRule="auto"/>
        <w:jc w:val="both"/>
      </w:pPr>
    </w:p>
    <w:p w14:paraId="73856A76" w14:textId="77777777" w:rsidR="005F3612" w:rsidRDefault="005F3612" w:rsidP="005F3612">
      <w:pPr>
        <w:spacing w:line="360" w:lineRule="auto"/>
        <w:jc w:val="both"/>
        <w:rPr>
          <w:rFonts w:ascii="Arial" w:hAnsi="Arial"/>
        </w:rPr>
      </w:pPr>
      <w:r>
        <w:rPr>
          <w:rFonts w:ascii="Arial" w:hAnsi="Arial"/>
          <w:rtl/>
        </w:rPr>
        <w:t>העבירה שעבר הנאשם חמור</w:t>
      </w:r>
      <w:r>
        <w:rPr>
          <w:rFonts w:ascii="Arial" w:hAnsi="Arial" w:hint="cs"/>
          <w:rtl/>
        </w:rPr>
        <w:t>ה</w:t>
      </w:r>
      <w:r>
        <w:rPr>
          <w:rFonts w:ascii="Arial" w:hAnsi="Arial"/>
          <w:rtl/>
        </w:rPr>
        <w:t>.</w:t>
      </w:r>
    </w:p>
    <w:p w14:paraId="60521EDC" w14:textId="77777777" w:rsidR="005F3612" w:rsidRDefault="005F3612" w:rsidP="005F3612">
      <w:pPr>
        <w:spacing w:line="360" w:lineRule="auto"/>
        <w:jc w:val="both"/>
        <w:rPr>
          <w:rFonts w:ascii="Arial" w:hAnsi="Arial"/>
        </w:rPr>
      </w:pPr>
    </w:p>
    <w:p w14:paraId="4976D0A3" w14:textId="77777777" w:rsidR="005F3612" w:rsidRDefault="005F3612" w:rsidP="005F3612">
      <w:pPr>
        <w:spacing w:line="360" w:lineRule="auto"/>
        <w:jc w:val="both"/>
        <w:rPr>
          <w:rFonts w:ascii="Arial" w:hAnsi="Arial"/>
          <w:rtl/>
        </w:rPr>
      </w:pPr>
      <w:r>
        <w:rPr>
          <w:rFonts w:ascii="Arial" w:hAnsi="Arial"/>
          <w:rtl/>
        </w:rPr>
        <w:t>עבירות הסמים נושאות בחובן פוטנציאל לפגיעה משמעותית בחברה.</w:t>
      </w:r>
    </w:p>
    <w:p w14:paraId="6E2EDA93" w14:textId="77777777" w:rsidR="005F3612" w:rsidRDefault="005F3612" w:rsidP="005F3612">
      <w:pPr>
        <w:spacing w:line="360" w:lineRule="auto"/>
        <w:jc w:val="both"/>
        <w:rPr>
          <w:rFonts w:ascii="Arial" w:hAnsi="Arial"/>
          <w:rtl/>
        </w:rPr>
      </w:pPr>
    </w:p>
    <w:p w14:paraId="16841FAF" w14:textId="77777777" w:rsidR="005F3612" w:rsidRDefault="005F3612" w:rsidP="005F3612">
      <w:pPr>
        <w:spacing w:line="360" w:lineRule="auto"/>
        <w:jc w:val="both"/>
        <w:rPr>
          <w:rFonts w:ascii="Arial" w:hAnsi="Arial"/>
        </w:rPr>
      </w:pPr>
      <w:r>
        <w:rPr>
          <w:rFonts w:ascii="Arial" w:hAnsi="Arial"/>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65C02DCD" w14:textId="77777777" w:rsidR="005F3612" w:rsidRDefault="005F3612" w:rsidP="005F3612">
      <w:pPr>
        <w:spacing w:line="360" w:lineRule="auto"/>
        <w:jc w:val="both"/>
        <w:rPr>
          <w:rFonts w:ascii="Arial" w:hAnsi="Arial"/>
        </w:rPr>
      </w:pPr>
    </w:p>
    <w:p w14:paraId="18A9F847" w14:textId="77777777" w:rsidR="005F3612" w:rsidRDefault="005F3612" w:rsidP="005F3612">
      <w:pPr>
        <w:spacing w:line="360" w:lineRule="auto"/>
        <w:jc w:val="both"/>
        <w:rPr>
          <w:rFonts w:ascii="Arial" w:hAnsi="Arial"/>
          <w:rtl/>
        </w:rPr>
      </w:pPr>
      <w:r>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4BA6775C" w14:textId="77777777" w:rsidR="005F3612" w:rsidRDefault="005F3612" w:rsidP="005F3612">
      <w:pPr>
        <w:spacing w:line="360" w:lineRule="auto"/>
        <w:jc w:val="both"/>
        <w:rPr>
          <w:rFonts w:ascii="Arial" w:hAnsi="Arial"/>
          <w:rtl/>
        </w:rPr>
      </w:pPr>
    </w:p>
    <w:p w14:paraId="4C3DEDC5" w14:textId="77777777" w:rsidR="005F3612" w:rsidRDefault="005F3612" w:rsidP="005F3612">
      <w:pPr>
        <w:spacing w:line="360" w:lineRule="auto"/>
        <w:jc w:val="both"/>
        <w:rPr>
          <w:rFonts w:ascii="Arial" w:hAnsi="Arial"/>
        </w:rPr>
      </w:pPr>
      <w:r>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14:paraId="7ED7873D" w14:textId="77777777" w:rsidR="005F3612" w:rsidRDefault="005F3612" w:rsidP="005F3612">
      <w:pPr>
        <w:spacing w:line="360" w:lineRule="auto"/>
        <w:jc w:val="both"/>
        <w:rPr>
          <w:rFonts w:ascii="Arial" w:hAnsi="Arial"/>
          <w:rtl/>
        </w:rPr>
      </w:pPr>
    </w:p>
    <w:p w14:paraId="2D6C25D9" w14:textId="77777777" w:rsidR="005F3612" w:rsidRDefault="005F3612" w:rsidP="005F3612">
      <w:pPr>
        <w:spacing w:line="360" w:lineRule="auto"/>
        <w:jc w:val="both"/>
        <w:rPr>
          <w:rFonts w:ascii="Arial" w:hAnsi="Arial"/>
          <w:rtl/>
        </w:rPr>
      </w:pPr>
      <w:r>
        <w:rPr>
          <w:rFonts w:ascii="Arial" w:hAnsi="Arial"/>
          <w:rtl/>
        </w:rPr>
        <w:t>כל זאת, בשל עבריינים המפיצים את הסמים.</w:t>
      </w:r>
    </w:p>
    <w:p w14:paraId="28F4C4E2" w14:textId="77777777" w:rsidR="005F3612" w:rsidRDefault="005F3612" w:rsidP="005F3612">
      <w:pPr>
        <w:spacing w:line="360" w:lineRule="auto"/>
        <w:jc w:val="both"/>
        <w:rPr>
          <w:rFonts w:ascii="Arial" w:hAnsi="Arial"/>
          <w:rtl/>
        </w:rPr>
      </w:pPr>
    </w:p>
    <w:p w14:paraId="5131DDC7" w14:textId="77777777" w:rsidR="005F3612" w:rsidRDefault="005F3612" w:rsidP="005F3612">
      <w:pPr>
        <w:spacing w:line="360" w:lineRule="auto"/>
        <w:jc w:val="both"/>
        <w:rPr>
          <w:rFonts w:ascii="Arial" w:hAnsi="Arial"/>
        </w:rPr>
      </w:pPr>
      <w:r>
        <w:rPr>
          <w:rFonts w:ascii="Arial" w:hAnsi="Arial"/>
          <w:rtl/>
        </w:rPr>
        <w:t>על הצורך להילחם מלחמת חורמה בתופעה הזו, וחומרת הענישה שיש לנקוט כלפי המעורבים במערך הפצת הסמים, דובר רבות בפסיקה.</w:t>
      </w:r>
    </w:p>
    <w:p w14:paraId="011606AB" w14:textId="77777777" w:rsidR="005F3612" w:rsidRDefault="005F3612" w:rsidP="005F3612">
      <w:pPr>
        <w:spacing w:line="360" w:lineRule="auto"/>
        <w:jc w:val="both"/>
        <w:rPr>
          <w:rFonts w:ascii="Arial" w:hAnsi="Arial"/>
          <w:rtl/>
        </w:rPr>
      </w:pPr>
    </w:p>
    <w:p w14:paraId="450A8CC3" w14:textId="77777777" w:rsidR="005F3612" w:rsidRDefault="005F3612" w:rsidP="005F3612">
      <w:pPr>
        <w:spacing w:line="360" w:lineRule="auto"/>
        <w:jc w:val="both"/>
        <w:rPr>
          <w:rFonts w:ascii="Arial" w:hAnsi="Arial"/>
          <w:rtl/>
        </w:rPr>
      </w:pPr>
      <w:r>
        <w:rPr>
          <w:rFonts w:ascii="Arial" w:hAnsi="Arial"/>
          <w:rtl/>
        </w:rPr>
        <w:t xml:space="preserve">ראו </w:t>
      </w:r>
      <w:hyperlink r:id="rId21" w:history="1">
        <w:r w:rsidR="006E79FD" w:rsidRPr="006E79FD">
          <w:rPr>
            <w:rFonts w:ascii="Arial" w:hAnsi="Arial"/>
            <w:color w:val="0000FF"/>
            <w:u w:val="single"/>
            <w:rtl/>
          </w:rPr>
          <w:t>ע"פ 211/09</w:t>
        </w:r>
      </w:hyperlink>
      <w:r>
        <w:rPr>
          <w:rFonts w:ascii="Arial" w:hAnsi="Arial"/>
          <w:rtl/>
        </w:rPr>
        <w:t xml:space="preserve"> </w:t>
      </w:r>
      <w:r>
        <w:rPr>
          <w:rFonts w:ascii="Arial" w:hAnsi="Arial"/>
          <w:b/>
          <w:bCs/>
          <w:rtl/>
        </w:rPr>
        <w:t>אזולאי נ' מדינת ישראל</w:t>
      </w:r>
      <w:r>
        <w:rPr>
          <w:rFonts w:ascii="Arial" w:hAnsi="Arial"/>
          <w:rtl/>
        </w:rPr>
        <w:t xml:space="preserve"> (פורסם במאגרים):</w:t>
      </w:r>
    </w:p>
    <w:p w14:paraId="40C6E8FC" w14:textId="77777777" w:rsidR="005F3612" w:rsidRDefault="005F3612" w:rsidP="005F3612">
      <w:pPr>
        <w:spacing w:line="360" w:lineRule="auto"/>
        <w:jc w:val="both"/>
        <w:rPr>
          <w:rFonts w:ascii="Arial" w:hAnsi="Arial"/>
        </w:rPr>
      </w:pPr>
    </w:p>
    <w:p w14:paraId="29E4F02D" w14:textId="77777777" w:rsidR="005F3612" w:rsidRPr="009579B8" w:rsidRDefault="005F3612" w:rsidP="005F3612">
      <w:pPr>
        <w:spacing w:line="360" w:lineRule="auto"/>
        <w:jc w:val="both"/>
        <w:rPr>
          <w:rFonts w:ascii="Arial" w:hAnsi="Arial" w:cs="Aharoni"/>
          <w:rtl/>
        </w:rPr>
      </w:pPr>
      <w:r>
        <w:rPr>
          <w:rFonts w:ascii="Arial" w:hAnsi="Arial" w:cs="Aharoni"/>
          <w:rtl/>
        </w:rPr>
        <w:t xml:space="preserve">הענישה בעבירות מסוג זה נועדה, קודם לכל, </w:t>
      </w:r>
      <w:r>
        <w:rPr>
          <w:rFonts w:ascii="Arial" w:hAnsi="Arial" w:cs="Aharoni"/>
          <w:u w:val="single"/>
          <w:rtl/>
        </w:rPr>
        <w:t>לשרת את מטרת הגמול לעבריין</w:t>
      </w:r>
      <w:r>
        <w:rPr>
          <w:rFonts w:ascii="Arial" w:hAnsi="Arial" w:cs="Aharoni"/>
          <w:rtl/>
        </w:rPr>
        <w:t xml:space="preserve"> על עיסוק בסם העלול </w:t>
      </w:r>
      <w:r>
        <w:rPr>
          <w:rFonts w:ascii="Arial" w:hAnsi="Arial" w:cs="Aharoni"/>
          <w:u w:val="single"/>
          <w:rtl/>
        </w:rPr>
        <w:t>לסכן חיי אדם ולפגוע בבריאות המשתמשים</w:t>
      </w:r>
      <w:r>
        <w:rPr>
          <w:rFonts w:ascii="Arial" w:hAnsi="Arial" w:cs="Aharoni"/>
          <w:rtl/>
        </w:rPr>
        <w:t xml:space="preserve"> בו; שנית, על העונש </w:t>
      </w:r>
      <w:r>
        <w:rPr>
          <w:rFonts w:ascii="Arial" w:hAnsi="Arial" w:cs="Aharoni"/>
          <w:u w:val="single"/>
          <w:rtl/>
        </w:rPr>
        <w:t>להעביר מסר חד-משמעי של הרתעה</w:t>
      </w:r>
      <w:r>
        <w:rPr>
          <w:rFonts w:ascii="Arial" w:hAnsi="Arial" w:cs="Aharoni"/>
          <w:rtl/>
        </w:rPr>
        <w:t xml:space="preserve"> ביחס לעבריינים פוטנציאליים, ולשמש </w:t>
      </w:r>
      <w:r>
        <w:rPr>
          <w:rFonts w:ascii="Arial" w:hAnsi="Arial" w:cs="Aharoni"/>
          <w:u w:val="single"/>
          <w:rtl/>
        </w:rPr>
        <w:t>אות אזהרה אפקטיבי</w:t>
      </w:r>
      <w:r>
        <w:rPr>
          <w:rFonts w:ascii="Arial" w:hAnsi="Arial" w:cs="Aharoni"/>
          <w:rtl/>
        </w:rPr>
        <w:t xml:space="preserve"> לכל מי שמתכוון </w:t>
      </w:r>
      <w:r>
        <w:rPr>
          <w:rFonts w:ascii="Arial" w:hAnsi="Arial" w:cs="Aharoni"/>
          <w:u w:val="single"/>
          <w:rtl/>
        </w:rPr>
        <w:t>לקחת חלק במערכת ההעברות והסחר בסמים</w:t>
      </w:r>
      <w:r>
        <w:rPr>
          <w:rFonts w:ascii="Arial" w:hAnsi="Arial" w:cs="Aharoni"/>
          <w:rtl/>
        </w:rPr>
        <w:t xml:space="preserve">,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w:t>
      </w:r>
      <w:r>
        <w:rPr>
          <w:rFonts w:ascii="Arial" w:hAnsi="Arial" w:cs="Aharoni"/>
          <w:u w:val="single"/>
          <w:rtl/>
        </w:rPr>
        <w:t xml:space="preserve">ההחמרה בענישה </w:t>
      </w:r>
      <w:r>
        <w:rPr>
          <w:rFonts w:ascii="Arial" w:hAnsi="Arial" w:cs="Aharoni"/>
          <w:rtl/>
        </w:rPr>
        <w:t xml:space="preserve">בגין עבירות סמים </w:t>
      </w:r>
      <w:r>
        <w:rPr>
          <w:rFonts w:ascii="Arial" w:hAnsi="Arial" w:cs="Aharoni"/>
          <w:u w:val="single"/>
          <w:rtl/>
        </w:rPr>
        <w:t>משרתת את מטרות הגמול וההרתעה</w:t>
      </w:r>
      <w:r>
        <w:rPr>
          <w:rFonts w:ascii="Arial" w:hAnsi="Arial" w:cs="Aharoni"/>
          <w:rtl/>
        </w:rPr>
        <w:t>, שהן היעדים העיקריים של הענישה בתחום הסמים.</w:t>
      </w:r>
    </w:p>
    <w:p w14:paraId="4EDEC603" w14:textId="77777777" w:rsidR="005F3612" w:rsidRDefault="005F3612" w:rsidP="005F3612">
      <w:pPr>
        <w:spacing w:line="360" w:lineRule="auto"/>
        <w:jc w:val="both"/>
        <w:rPr>
          <w:rFonts w:ascii="Arial" w:hAnsi="Arial"/>
          <w:rtl/>
        </w:rPr>
      </w:pPr>
      <w:r>
        <w:rPr>
          <w:rFonts w:ascii="Arial" w:hAnsi="Arial"/>
          <w:rtl/>
        </w:rPr>
        <w:t>(ההדגשות אינן במקור).</w:t>
      </w:r>
    </w:p>
    <w:p w14:paraId="535F4EDC" w14:textId="77777777" w:rsidR="005F3612" w:rsidRDefault="005F3612" w:rsidP="005F3612">
      <w:pPr>
        <w:spacing w:line="360" w:lineRule="auto"/>
        <w:jc w:val="both"/>
        <w:rPr>
          <w:rFonts w:ascii="Arial" w:hAnsi="Arial"/>
          <w:rtl/>
        </w:rPr>
      </w:pPr>
    </w:p>
    <w:p w14:paraId="0A612BBC" w14:textId="77777777" w:rsidR="005F3612" w:rsidRPr="009579B8" w:rsidRDefault="005F3612" w:rsidP="005F3612">
      <w:pPr>
        <w:spacing w:line="360" w:lineRule="auto"/>
        <w:jc w:val="both"/>
        <w:rPr>
          <w:rFonts w:ascii="Arial" w:hAnsi="Arial"/>
        </w:rPr>
      </w:pPr>
      <w:r w:rsidRPr="009579B8">
        <w:rPr>
          <w:rFonts w:ascii="Arial" w:hAnsi="Arial"/>
          <w:rtl/>
        </w:rPr>
        <w:t xml:space="preserve">על חומרתן של עבירות סחר בסם מסוכן, ראו </w:t>
      </w:r>
      <w:hyperlink r:id="rId22" w:history="1">
        <w:r w:rsidR="006E79FD" w:rsidRPr="006E79FD">
          <w:rPr>
            <w:rFonts w:ascii="Arial" w:hAnsi="Arial"/>
            <w:color w:val="0000FF"/>
            <w:u w:val="single"/>
            <w:rtl/>
          </w:rPr>
          <w:t>רע"פ 8695/19</w:t>
        </w:r>
      </w:hyperlink>
      <w:r w:rsidRPr="009579B8">
        <w:rPr>
          <w:rFonts w:ascii="Arial" w:hAnsi="Arial"/>
          <w:rtl/>
        </w:rPr>
        <w:t xml:space="preserve"> </w:t>
      </w:r>
      <w:r w:rsidRPr="009579B8">
        <w:rPr>
          <w:rFonts w:ascii="Arial" w:hAnsi="Arial"/>
          <w:b/>
          <w:bCs/>
          <w:rtl/>
        </w:rPr>
        <w:t>פסו נ' מדינת ישראל</w:t>
      </w:r>
      <w:r w:rsidRPr="009579B8">
        <w:rPr>
          <w:rFonts w:ascii="Arial" w:hAnsi="Arial"/>
          <w:rtl/>
        </w:rPr>
        <w:t xml:space="preserve"> (פורסם במאגרים):</w:t>
      </w:r>
    </w:p>
    <w:p w14:paraId="4CD78EA8" w14:textId="77777777" w:rsidR="005F3612" w:rsidRPr="009579B8" w:rsidRDefault="005F3612" w:rsidP="005F3612">
      <w:pPr>
        <w:spacing w:line="360" w:lineRule="auto"/>
        <w:jc w:val="both"/>
        <w:rPr>
          <w:rFonts w:ascii="Arial" w:hAnsi="Arial"/>
          <w:rtl/>
        </w:rPr>
      </w:pPr>
    </w:p>
    <w:p w14:paraId="0488A830" w14:textId="77777777" w:rsidR="005F3612" w:rsidRPr="009579B8" w:rsidRDefault="005F3612" w:rsidP="005F3612">
      <w:pPr>
        <w:spacing w:line="360" w:lineRule="auto"/>
        <w:jc w:val="both"/>
        <w:rPr>
          <w:rFonts w:ascii="Arial" w:hAnsi="Arial" w:cs="Aharoni"/>
        </w:rPr>
      </w:pPr>
      <w:r w:rsidRPr="009579B8">
        <w:rPr>
          <w:rFonts w:ascii="Century" w:hAnsi="Century" w:cs="Aharoni"/>
          <w:rtl/>
        </w:rPr>
        <w:t xml:space="preserve">בית משפט זה שב והדגיש כי על מדיניות הענישה בגין </w:t>
      </w:r>
      <w:r w:rsidRPr="009579B8">
        <w:rPr>
          <w:rFonts w:ascii="Century" w:hAnsi="Century" w:cs="Aharoni"/>
          <w:u w:val="single"/>
          <w:rtl/>
        </w:rPr>
        <w:t>סחר</w:t>
      </w:r>
      <w:r w:rsidRPr="009579B8">
        <w:rPr>
          <w:rFonts w:ascii="Century" w:hAnsi="Century" w:cs="Aharoni"/>
          <w:rtl/>
        </w:rPr>
        <w:t xml:space="preserve"> והפצה של סמים מסוכנים, ובכללן סמים הנחשבים כ"סמים קלים", להיות </w:t>
      </w:r>
      <w:r w:rsidRPr="009579B8">
        <w:rPr>
          <w:rFonts w:ascii="Century" w:hAnsi="Century" w:cs="Aharoni"/>
          <w:u w:val="single"/>
          <w:rtl/>
        </w:rPr>
        <w:t>מרתיעה ומשמעותית</w:t>
      </w:r>
      <w:r w:rsidRPr="009579B8">
        <w:rPr>
          <w:rFonts w:ascii="Century" w:hAnsi="Century" w:cs="Aharoni"/>
          <w:rtl/>
        </w:rPr>
        <w:t>, וכי יש לראות בחומרה ניסיונות לעשיית רווח כספי באמצעות סחר בסמים אלה</w:t>
      </w:r>
    </w:p>
    <w:p w14:paraId="09A8F529" w14:textId="77777777" w:rsidR="005F3612" w:rsidRDefault="005F3612" w:rsidP="005F3612">
      <w:pPr>
        <w:spacing w:line="360" w:lineRule="auto"/>
        <w:jc w:val="both"/>
        <w:rPr>
          <w:rFonts w:ascii="Arial" w:hAnsi="Arial"/>
          <w:rtl/>
        </w:rPr>
      </w:pPr>
      <w:r w:rsidRPr="009579B8">
        <w:rPr>
          <w:rFonts w:ascii="Arial" w:hAnsi="Arial"/>
          <w:rtl/>
        </w:rPr>
        <w:t>(ההדגשות אינן במקור).</w:t>
      </w:r>
    </w:p>
    <w:p w14:paraId="31D1D074" w14:textId="77777777" w:rsidR="005F3612" w:rsidRPr="009579B8" w:rsidRDefault="005F3612" w:rsidP="005F3612">
      <w:pPr>
        <w:spacing w:line="360" w:lineRule="auto"/>
        <w:jc w:val="both"/>
        <w:rPr>
          <w:rFonts w:ascii="Arial" w:hAnsi="Arial"/>
          <w:rtl/>
        </w:rPr>
      </w:pPr>
    </w:p>
    <w:p w14:paraId="5936D292" w14:textId="77777777" w:rsidR="005F3612" w:rsidRPr="009579B8" w:rsidRDefault="005F3612" w:rsidP="005F3612">
      <w:pPr>
        <w:spacing w:line="360" w:lineRule="auto"/>
        <w:jc w:val="both"/>
        <w:rPr>
          <w:rFonts w:ascii="Arial" w:hAnsi="Arial"/>
          <w:rtl/>
        </w:rPr>
      </w:pPr>
    </w:p>
    <w:p w14:paraId="2739227A" w14:textId="77777777" w:rsidR="005F3612" w:rsidRPr="009579B8" w:rsidRDefault="005F3612" w:rsidP="005F3612">
      <w:pPr>
        <w:spacing w:line="360" w:lineRule="auto"/>
        <w:jc w:val="both"/>
        <w:rPr>
          <w:rFonts w:ascii="David" w:hAnsi="David"/>
          <w:rtl/>
        </w:rPr>
      </w:pPr>
      <w:r w:rsidRPr="009579B8">
        <w:rPr>
          <w:rFonts w:ascii="Arial" w:hAnsi="Arial"/>
          <w:rtl/>
        </w:rPr>
        <w:t xml:space="preserve">עוד ראו, </w:t>
      </w:r>
      <w:hyperlink r:id="rId23" w:history="1">
        <w:r w:rsidR="006E79FD" w:rsidRPr="006E79FD">
          <w:rPr>
            <w:rFonts w:ascii="David" w:hAnsi="David"/>
            <w:color w:val="0000FF"/>
            <w:u w:val="single"/>
            <w:rtl/>
          </w:rPr>
          <w:t>עפ"ג 53142-12-16</w:t>
        </w:r>
      </w:hyperlink>
      <w:r w:rsidRPr="009579B8">
        <w:rPr>
          <w:rFonts w:ascii="David" w:hAnsi="David"/>
          <w:rtl/>
        </w:rPr>
        <w:t xml:space="preserve"> רחמימוב נ' מדינת ישראל (פורסם במאגרים):</w:t>
      </w:r>
    </w:p>
    <w:p w14:paraId="55EC6A53" w14:textId="77777777" w:rsidR="005F3612" w:rsidRPr="009579B8" w:rsidRDefault="005F3612" w:rsidP="005F3612">
      <w:pPr>
        <w:spacing w:line="360" w:lineRule="auto"/>
        <w:jc w:val="both"/>
        <w:rPr>
          <w:rFonts w:ascii="David" w:hAnsi="David" w:cs="Aharoni"/>
          <w:rtl/>
        </w:rPr>
      </w:pPr>
    </w:p>
    <w:p w14:paraId="69B7E158" w14:textId="77777777" w:rsidR="005F3612" w:rsidRPr="009579B8" w:rsidRDefault="005F3612" w:rsidP="005F3612">
      <w:pPr>
        <w:spacing w:line="360" w:lineRule="auto"/>
        <w:jc w:val="both"/>
        <w:rPr>
          <w:rFonts w:ascii="David" w:hAnsi="David" w:cs="Aharoni"/>
          <w:rtl/>
        </w:rPr>
      </w:pPr>
      <w:r w:rsidRPr="009579B8">
        <w:rPr>
          <w:rFonts w:ascii="David" w:hAnsi="David" w:cs="Aharoni"/>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sidRPr="009579B8">
        <w:rPr>
          <w:rFonts w:ascii="David" w:hAnsi="David" w:cs="Aharoni"/>
          <w:u w:val="single"/>
          <w:rtl/>
        </w:rPr>
        <w:t>יישא בעונש מאסר בפועל משמעותי וממושך מאחורי סורג ובריח</w:t>
      </w:r>
      <w:r w:rsidRPr="009579B8">
        <w:rPr>
          <w:rFonts w:ascii="David" w:hAnsi="David" w:cs="Aharoni"/>
          <w:rtl/>
        </w:rPr>
        <w:t xml:space="preserve">. </w:t>
      </w:r>
    </w:p>
    <w:p w14:paraId="4E4CDC16" w14:textId="77777777" w:rsidR="005F3612" w:rsidRPr="009579B8" w:rsidRDefault="005F3612" w:rsidP="005F3612">
      <w:pPr>
        <w:spacing w:line="360" w:lineRule="auto"/>
        <w:jc w:val="both"/>
        <w:rPr>
          <w:rFonts w:ascii="David" w:hAnsi="David"/>
          <w:rtl/>
        </w:rPr>
      </w:pPr>
      <w:r w:rsidRPr="009579B8">
        <w:rPr>
          <w:rFonts w:ascii="David" w:hAnsi="David"/>
          <w:rtl/>
        </w:rPr>
        <w:t>(ההדגשה אינה במקור).</w:t>
      </w:r>
    </w:p>
    <w:p w14:paraId="75A42024" w14:textId="77777777" w:rsidR="005F3612" w:rsidRDefault="005F3612" w:rsidP="005F3612">
      <w:pPr>
        <w:spacing w:line="360" w:lineRule="auto"/>
        <w:jc w:val="both"/>
        <w:rPr>
          <w:rFonts w:ascii="Arial" w:hAnsi="Arial"/>
          <w:rtl/>
        </w:rPr>
      </w:pPr>
    </w:p>
    <w:p w14:paraId="3471F15A" w14:textId="77777777" w:rsidR="005F3612" w:rsidRDefault="005F3612" w:rsidP="005F3612">
      <w:pPr>
        <w:spacing w:line="360" w:lineRule="auto"/>
        <w:jc w:val="both"/>
        <w:rPr>
          <w:rFonts w:ascii="Arial" w:hAnsi="Arial"/>
          <w:rtl/>
        </w:rPr>
      </w:pPr>
      <w:r>
        <w:rPr>
          <w:rFonts w:ascii="Arial" w:hAnsi="Arial" w:hint="cs"/>
          <w:rtl/>
        </w:rPr>
        <w:t>להלן, תובא סקירה של ענישה במקרים דומים:</w:t>
      </w:r>
    </w:p>
    <w:p w14:paraId="1244CF4F" w14:textId="77777777" w:rsidR="005F3612" w:rsidRDefault="005F3612" w:rsidP="005F3612">
      <w:pPr>
        <w:spacing w:line="360" w:lineRule="auto"/>
        <w:jc w:val="both"/>
        <w:rPr>
          <w:rFonts w:ascii="Arial" w:hAnsi="Arial"/>
          <w:rtl/>
        </w:rPr>
      </w:pPr>
    </w:p>
    <w:p w14:paraId="74D1B35B" w14:textId="77777777" w:rsidR="005F3612" w:rsidRDefault="006E79FD" w:rsidP="005F3612">
      <w:pPr>
        <w:numPr>
          <w:ilvl w:val="0"/>
          <w:numId w:val="3"/>
        </w:numPr>
        <w:spacing w:line="360" w:lineRule="auto"/>
        <w:contextualSpacing/>
        <w:jc w:val="both"/>
        <w:rPr>
          <w:rFonts w:ascii="Arial" w:hAnsi="Arial"/>
        </w:rPr>
      </w:pPr>
      <w:hyperlink r:id="rId24" w:history="1">
        <w:r w:rsidRPr="006E79FD">
          <w:rPr>
            <w:rFonts w:ascii="Arial" w:hAnsi="Arial"/>
            <w:color w:val="0000FF"/>
            <w:u w:val="single"/>
            <w:rtl/>
          </w:rPr>
          <w:t>רע"פ 3627/13</w:t>
        </w:r>
      </w:hyperlink>
      <w:r w:rsidR="005F3612">
        <w:rPr>
          <w:rFonts w:ascii="Arial" w:hAnsi="Arial"/>
          <w:rtl/>
        </w:rPr>
        <w:t xml:space="preserve"> </w:t>
      </w:r>
      <w:r w:rsidR="005F3612">
        <w:rPr>
          <w:rFonts w:ascii="Arial" w:hAnsi="Arial"/>
          <w:b/>
          <w:bCs/>
          <w:rtl/>
        </w:rPr>
        <w:t>שדה נ' מדינת ישראל</w:t>
      </w:r>
      <w:r w:rsidR="005F3612">
        <w:rPr>
          <w:rFonts w:ascii="Arial" w:hAnsi="Arial"/>
          <w:rtl/>
        </w:rPr>
        <w:t xml:space="preserve"> (פורסם במאגרים) – המערער הורשע, על פי הודאתו, בשתי עבירות סחר בסם מסוכן מסוג קנאביס, כאשר באישום הראשון, סחר </w:t>
      </w:r>
      <w:r w:rsidR="005F3612" w:rsidRPr="009579B8">
        <w:rPr>
          <w:rFonts w:ascii="Arial" w:hAnsi="Arial"/>
          <w:u w:val="single"/>
          <w:rtl/>
        </w:rPr>
        <w:t>ב-0.87 גרם</w:t>
      </w:r>
      <w:r w:rsidR="005F3612">
        <w:rPr>
          <w:rFonts w:ascii="Arial" w:hAnsi="Arial"/>
          <w:rtl/>
        </w:rPr>
        <w:t xml:space="preserve"> קנאביס בתמורה ל-80 ₪, ובאישום השני, סחר ב</w:t>
      </w:r>
      <w:r w:rsidR="005F3612" w:rsidRPr="009579B8">
        <w:rPr>
          <w:rFonts w:ascii="Arial" w:hAnsi="Arial"/>
          <w:u w:val="single"/>
          <w:rtl/>
        </w:rPr>
        <w:t>-1 גרם קנאביס</w:t>
      </w:r>
      <w:r w:rsidR="005F3612">
        <w:rPr>
          <w:rFonts w:ascii="Arial" w:hAnsi="Arial"/>
          <w:rtl/>
        </w:rPr>
        <w:t>, בתמורה ל-80 ₪, לשנים ממכריו. בית משפט השלום בתל אביב גזר על הנאשם 7 חודשי מאסר בפועל, מאסר על תנאי, קנס, ופסילת רישיון נהיגה בפועל למשך 12 חודשים. ערעורו לבית המשפט המחוזי ובקשת רשות ערעור לבית המשפט העליון – נדחו.</w:t>
      </w:r>
    </w:p>
    <w:p w14:paraId="2BDAA9F6" w14:textId="77777777" w:rsidR="005F3612" w:rsidRDefault="006E79FD" w:rsidP="005F3612">
      <w:pPr>
        <w:numPr>
          <w:ilvl w:val="0"/>
          <w:numId w:val="3"/>
        </w:numPr>
        <w:spacing w:line="360" w:lineRule="auto"/>
        <w:contextualSpacing/>
        <w:jc w:val="both"/>
        <w:rPr>
          <w:rFonts w:ascii="Arial" w:hAnsi="Arial"/>
        </w:rPr>
      </w:pPr>
      <w:hyperlink r:id="rId25" w:history="1">
        <w:r w:rsidRPr="006E79FD">
          <w:rPr>
            <w:rFonts w:ascii="Arial" w:hAnsi="Arial"/>
            <w:color w:val="0000FF"/>
            <w:u w:val="single"/>
            <w:rtl/>
          </w:rPr>
          <w:t>ת"פ 7994-06-21</w:t>
        </w:r>
      </w:hyperlink>
      <w:r w:rsidR="005F3612">
        <w:rPr>
          <w:rFonts w:ascii="Arial" w:hAnsi="Arial"/>
          <w:rtl/>
        </w:rPr>
        <w:t xml:space="preserve"> </w:t>
      </w:r>
      <w:r w:rsidR="005F3612">
        <w:rPr>
          <w:rFonts w:ascii="Arial" w:hAnsi="Arial"/>
          <w:b/>
          <w:bCs/>
          <w:rtl/>
        </w:rPr>
        <w:t>מדינת ישראל נ' ונונו</w:t>
      </w:r>
      <w:r w:rsidR="005F3612">
        <w:rPr>
          <w:rFonts w:ascii="Arial" w:hAnsi="Arial"/>
          <w:rtl/>
        </w:rPr>
        <w:t xml:space="preserve"> (פורסם במאגרים) – הנאשם הורשע, על פי הודאתו, בשלוש עבירות של סחר בסם מסוכן מסוג קנאביס. לפי עובדות כתב האישום המתוקן, מכר הנאשם לחברו, עמו נוהג לצרוך סמים, סם מסוכן בשלוש הזדמנויות שונות, כך שבעסקה הראשונה מכר לו </w:t>
      </w:r>
      <w:r w:rsidR="005F3612" w:rsidRPr="00CE308B">
        <w:rPr>
          <w:rFonts w:ascii="Arial" w:hAnsi="Arial"/>
          <w:u w:val="single"/>
          <w:rtl/>
        </w:rPr>
        <w:t>1 גרם קנאביס</w:t>
      </w:r>
      <w:r w:rsidR="005F3612">
        <w:rPr>
          <w:rFonts w:ascii="Arial" w:hAnsi="Arial"/>
          <w:rtl/>
        </w:rPr>
        <w:t xml:space="preserve"> תמורת 100 ₪; בעסקה השניה מכר כמות שאינה ידועה תמורת 250 ₪; ובעסקה השלישית מכר </w:t>
      </w:r>
      <w:r w:rsidR="005F3612" w:rsidRPr="00CE308B">
        <w:rPr>
          <w:rFonts w:ascii="Arial" w:hAnsi="Arial"/>
          <w:u w:val="single"/>
          <w:rtl/>
        </w:rPr>
        <w:t>1 גרם קנאביס</w:t>
      </w:r>
      <w:r w:rsidR="005F3612">
        <w:rPr>
          <w:rFonts w:ascii="Arial" w:hAnsi="Arial"/>
          <w:rtl/>
        </w:rPr>
        <w:t xml:space="preserve"> תמורת 100 ₪. בשל הנסיבות של המכירה, בטווח של מספר ימים בודדים, לחבר ילדות עמו צורך סמים, במשקל נמוך, מצא מותב זה לקבוע מתחם ענישה אחד הנע בין 6 עד 18 חודשי מאסר בפועל.</w:t>
      </w:r>
    </w:p>
    <w:p w14:paraId="7EB71E9A" w14:textId="77777777" w:rsidR="005F3612" w:rsidRPr="00CE308B" w:rsidRDefault="006E79FD" w:rsidP="005F3612">
      <w:pPr>
        <w:numPr>
          <w:ilvl w:val="0"/>
          <w:numId w:val="3"/>
        </w:numPr>
        <w:spacing w:line="360" w:lineRule="auto"/>
        <w:contextualSpacing/>
        <w:jc w:val="both"/>
        <w:rPr>
          <w:rFonts w:ascii="Arial" w:hAnsi="Arial"/>
        </w:rPr>
      </w:pPr>
      <w:hyperlink r:id="rId26" w:history="1">
        <w:r w:rsidRPr="006E79FD">
          <w:rPr>
            <w:rFonts w:ascii="Arial" w:hAnsi="Arial"/>
            <w:color w:val="0000FF"/>
            <w:u w:val="single"/>
            <w:rtl/>
          </w:rPr>
          <w:t>ת"פ 3518-11-18</w:t>
        </w:r>
      </w:hyperlink>
      <w:r w:rsidR="005F3612">
        <w:rPr>
          <w:rFonts w:ascii="Arial" w:hAnsi="Arial"/>
          <w:rtl/>
        </w:rPr>
        <w:t xml:space="preserve"> </w:t>
      </w:r>
      <w:r w:rsidR="005F3612">
        <w:rPr>
          <w:rFonts w:ascii="Arial" w:hAnsi="Arial"/>
          <w:b/>
          <w:bCs/>
          <w:rtl/>
        </w:rPr>
        <w:t>מדינת ישראל נ' אבו כפיף</w:t>
      </w:r>
      <w:r w:rsidR="005F3612">
        <w:rPr>
          <w:rFonts w:ascii="Arial" w:hAnsi="Arial"/>
          <w:rtl/>
        </w:rPr>
        <w:t xml:space="preserve"> (פורסם במאגרים) –  הנאשם הורשע, על פי הודאתו, </w:t>
      </w:r>
      <w:r w:rsidR="005F3612" w:rsidRPr="00CE308B">
        <w:rPr>
          <w:rFonts w:ascii="Arial" w:hAnsi="Arial"/>
          <w:rtl/>
        </w:rPr>
        <w:t xml:space="preserve">בשתי </w:t>
      </w:r>
      <w:r w:rsidR="005F3612">
        <w:rPr>
          <w:rFonts w:ascii="Arial" w:hAnsi="Arial"/>
          <w:rtl/>
        </w:rPr>
        <w:t xml:space="preserve">עבירות של סחר בסם מסוכן מסוג קנאביס והדחת קטין לסם. לפי עובדות כתב האישום המתוקן, מכר הנאשם, בן 18, לסוכן משטרתי, סם מסוכן בשתי הזדמנויות, כאשר באחת מהעסקאות, היה מלווה בבני דודיו, בני 17. בעסקה הראשונה, מכר הנאשם לסוכן </w:t>
      </w:r>
      <w:r w:rsidR="005F3612" w:rsidRPr="00CE308B">
        <w:rPr>
          <w:rFonts w:ascii="Arial" w:hAnsi="Arial"/>
          <w:u w:val="single"/>
          <w:rtl/>
        </w:rPr>
        <w:t>כ-10 גרם קנאביס</w:t>
      </w:r>
      <w:r w:rsidR="005F3612">
        <w:rPr>
          <w:rFonts w:ascii="Arial" w:hAnsi="Arial"/>
          <w:rtl/>
        </w:rPr>
        <w:t xml:space="preserve"> בתמורה ל-200 ₪, ובעסקה השניה, הביא הנאשם </w:t>
      </w:r>
      <w:r w:rsidR="005F3612" w:rsidRPr="00CE308B">
        <w:rPr>
          <w:rFonts w:ascii="Arial" w:hAnsi="Arial"/>
          <w:u w:val="single"/>
          <w:rtl/>
        </w:rPr>
        <w:t>כ-44 גרם קנאביס</w:t>
      </w:r>
      <w:r w:rsidR="005F3612">
        <w:rPr>
          <w:rFonts w:ascii="Arial" w:hAnsi="Arial"/>
          <w:rtl/>
        </w:rPr>
        <w:t xml:space="preserve"> לשוטר, ונעצר עם בני דודיו בטרם קיבל תשלום. בשל נסיבות העבירה, כאשר שתי העסקאות בוצעו בפער של ימים בודדים לאותו קונה, ובאותו מיקום, מצא מותב זה לקבוע מתחם ענישה אחד, הנע בין 9 ועד 21 חודשי מאסר בפועל.</w:t>
      </w:r>
    </w:p>
    <w:p w14:paraId="521DEAC9" w14:textId="77777777" w:rsidR="005F3612" w:rsidRPr="009579B8" w:rsidRDefault="005F3612" w:rsidP="005F3612">
      <w:pPr>
        <w:spacing w:line="360" w:lineRule="auto"/>
        <w:jc w:val="both"/>
        <w:rPr>
          <w:rFonts w:ascii="Arial" w:hAnsi="Arial"/>
          <w:rtl/>
        </w:rPr>
      </w:pPr>
    </w:p>
    <w:p w14:paraId="60C51023" w14:textId="77777777" w:rsidR="005F3612" w:rsidRDefault="005F3612" w:rsidP="005F3612">
      <w:pPr>
        <w:spacing w:line="360" w:lineRule="auto"/>
        <w:jc w:val="both"/>
        <w:rPr>
          <w:rFonts w:ascii="A028 Extrabold" w:eastAsia="David" w:hAnsi="A028 Extrabold"/>
        </w:rPr>
      </w:pPr>
      <w:r>
        <w:rPr>
          <w:rFonts w:ascii="A028 Extrabold" w:eastAsia="David" w:hAnsi="A028 Extrabold"/>
          <w:rtl/>
        </w:rPr>
        <w:t xml:space="preserve">בית המשפט עיין בפסיקה שהוגשה מטעם באי כוח הצדדים. אולם, </w:t>
      </w:r>
      <w:r>
        <w:rPr>
          <w:rFonts w:ascii="Arial" w:hAnsi="Arial"/>
          <w:rtl/>
        </w:rPr>
        <w:t>קביעת מתחם הענישה היא בהתאם לנסיבות המקרה העומד לדיון, וסקירת מדיניות הענישה הנוהגת היא רק שיקול אחד מבין כלל השיקולים אותו עושה בית המשפט בקובעו מתחם ענישה הולם.</w:t>
      </w:r>
      <w:r>
        <w:rPr>
          <w:rFonts w:ascii="A028 Extrabold" w:eastAsia="David" w:hAnsi="A028 Extrabold"/>
          <w:rtl/>
        </w:rPr>
        <w:t xml:space="preserve"> בהתאם להוראות </w:t>
      </w:r>
      <w:hyperlink r:id="rId27" w:history="1">
        <w:r w:rsidR="00B509DF" w:rsidRPr="00B509DF">
          <w:rPr>
            <w:rStyle w:val="Hyperlink"/>
            <w:rFonts w:ascii="A028 Extrabold" w:eastAsia="David" w:hAnsi="A028 Extrabold" w:hint="eastAsia"/>
            <w:rtl/>
          </w:rPr>
          <w:t>סעיף</w:t>
        </w:r>
        <w:r w:rsidR="00B509DF" w:rsidRPr="00B509DF">
          <w:rPr>
            <w:rStyle w:val="Hyperlink"/>
            <w:rFonts w:ascii="A028 Extrabold" w:eastAsia="David" w:hAnsi="A028 Extrabold"/>
            <w:rtl/>
          </w:rPr>
          <w:t xml:space="preserve"> 40</w:t>
        </w:r>
        <w:r w:rsidR="00B509DF" w:rsidRPr="00B509DF">
          <w:rPr>
            <w:rStyle w:val="Hyperlink"/>
            <w:rFonts w:ascii="A028 Extrabold" w:eastAsia="David" w:hAnsi="A028 Extrabold" w:hint="eastAsia"/>
            <w:rtl/>
          </w:rPr>
          <w:t>ט</w:t>
        </w:r>
        <w:r w:rsidR="00B509DF" w:rsidRPr="00B509DF">
          <w:rPr>
            <w:rStyle w:val="Hyperlink"/>
            <w:rFonts w:ascii="A028 Extrabold" w:eastAsia="David" w:hAnsi="A028 Extrabold"/>
            <w:rtl/>
          </w:rPr>
          <w:t>'</w:t>
        </w:r>
      </w:hyperlink>
      <w:r>
        <w:rPr>
          <w:rFonts w:ascii="A028 Extrabold" w:eastAsia="David" w:hAnsi="A028 Extrabold"/>
          <w:rtl/>
        </w:rPr>
        <w:t xml:space="preserve"> ל</w:t>
      </w:r>
      <w:hyperlink r:id="rId28" w:history="1">
        <w:r w:rsidR="006E79FD" w:rsidRPr="006E79FD">
          <w:rPr>
            <w:rFonts w:ascii="A028 Extrabold" w:eastAsia="David" w:hAnsi="A028 Extrabold" w:hint="eastAsia"/>
            <w:color w:val="0000FF"/>
            <w:u w:val="single"/>
            <w:rtl/>
          </w:rPr>
          <w:t>חוק</w:t>
        </w:r>
        <w:r w:rsidR="006E79FD" w:rsidRPr="006E79FD">
          <w:rPr>
            <w:rFonts w:ascii="A028 Extrabold" w:eastAsia="David" w:hAnsi="A028 Extrabold"/>
            <w:color w:val="0000FF"/>
            <w:u w:val="single"/>
            <w:rtl/>
          </w:rPr>
          <w:t xml:space="preserve"> </w:t>
        </w:r>
        <w:r w:rsidR="006E79FD" w:rsidRPr="006E79FD">
          <w:rPr>
            <w:rFonts w:ascii="A028 Extrabold" w:eastAsia="David" w:hAnsi="A028 Extrabold" w:hint="eastAsia"/>
            <w:color w:val="0000FF"/>
            <w:u w:val="single"/>
            <w:rtl/>
          </w:rPr>
          <w:t>העונשין</w:t>
        </w:r>
      </w:hyperlink>
      <w:r>
        <w:rPr>
          <w:rFonts w:ascii="A028 Extrabold" w:eastAsia="David" w:hAnsi="A028 Extrabold"/>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0308F6DF" w14:textId="77777777" w:rsidR="005F3612" w:rsidRDefault="005F3612" w:rsidP="005F3612">
      <w:pPr>
        <w:spacing w:line="360" w:lineRule="auto"/>
        <w:jc w:val="both"/>
        <w:rPr>
          <w:rFonts w:ascii="Arial" w:hAnsi="Arial"/>
        </w:rPr>
      </w:pPr>
    </w:p>
    <w:p w14:paraId="09F3688F" w14:textId="77777777" w:rsidR="005F3612" w:rsidRDefault="005F3612" w:rsidP="005F3612">
      <w:pPr>
        <w:spacing w:line="360" w:lineRule="auto"/>
        <w:jc w:val="both"/>
        <w:rPr>
          <w:rFonts w:ascii="Arial" w:hAnsi="Arial"/>
          <w:rtl/>
        </w:rPr>
      </w:pPr>
      <w:r>
        <w:rPr>
          <w:rFonts w:ascii="Arial" w:hAnsi="Arial"/>
          <w:rtl/>
        </w:rPr>
        <w:t>במקרה דנן, מדובר ב</w:t>
      </w:r>
      <w:r>
        <w:rPr>
          <w:rFonts w:ascii="Arial" w:hAnsi="Arial" w:hint="cs"/>
          <w:rtl/>
        </w:rPr>
        <w:t xml:space="preserve">ניסיון למכור סם מסוכן מסוג קנביס, לשוטר, במשקל של </w:t>
      </w:r>
      <w:r w:rsidRPr="00CE308B">
        <w:rPr>
          <w:rFonts w:ascii="Arial" w:hAnsi="Arial" w:hint="cs"/>
          <w:u w:val="single"/>
          <w:rtl/>
        </w:rPr>
        <w:t>850 גרם</w:t>
      </w:r>
      <w:r>
        <w:rPr>
          <w:rFonts w:ascii="Arial" w:hAnsi="Arial" w:hint="cs"/>
          <w:rtl/>
        </w:rPr>
        <w:t xml:space="preserve"> תמורת 7,500 ₪.</w:t>
      </w:r>
    </w:p>
    <w:p w14:paraId="59FEFB7C" w14:textId="77777777" w:rsidR="005F3612" w:rsidRDefault="005F3612" w:rsidP="005F3612">
      <w:pPr>
        <w:spacing w:line="360" w:lineRule="auto"/>
        <w:jc w:val="both"/>
        <w:rPr>
          <w:rFonts w:ascii="Arial" w:hAnsi="Arial"/>
          <w:rtl/>
        </w:rPr>
      </w:pPr>
    </w:p>
    <w:p w14:paraId="2602A419" w14:textId="77777777" w:rsidR="005F3612" w:rsidRDefault="005F3612" w:rsidP="005F3612">
      <w:pPr>
        <w:spacing w:line="360" w:lineRule="auto"/>
        <w:jc w:val="both"/>
        <w:rPr>
          <w:rFonts w:ascii="Arial" w:hAnsi="Arial"/>
          <w:rtl/>
        </w:rPr>
      </w:pPr>
      <w:r>
        <w:rPr>
          <w:rFonts w:ascii="Arial" w:hAnsi="Arial" w:hint="cs"/>
          <w:rtl/>
        </w:rPr>
        <w:t xml:space="preserve">בית המשפט מוצא, כי לאור העבירה שיוחסה למשיב, קרי </w:t>
      </w:r>
      <w:r>
        <w:rPr>
          <w:rFonts w:ascii="Arial" w:hAnsi="Arial"/>
          <w:rtl/>
        </w:rPr>
        <w:t>–</w:t>
      </w:r>
      <w:r>
        <w:rPr>
          <w:rFonts w:ascii="Arial" w:hAnsi="Arial" w:hint="cs"/>
          <w:rtl/>
        </w:rPr>
        <w:t xml:space="preserve"> ניסיון לסחר בסם מסוכן; לאור טיב הסם; </w:t>
      </w:r>
      <w:r w:rsidRPr="00CE308B">
        <w:rPr>
          <w:rFonts w:ascii="Arial" w:hAnsi="Arial" w:hint="cs"/>
          <w:u w:val="single"/>
          <w:rtl/>
        </w:rPr>
        <w:t>משקלו</w:t>
      </w:r>
      <w:r>
        <w:rPr>
          <w:rFonts w:ascii="Arial" w:hAnsi="Arial" w:hint="cs"/>
          <w:rtl/>
        </w:rPr>
        <w:t xml:space="preserve">; לאור </w:t>
      </w:r>
      <w:r w:rsidRPr="00CE308B">
        <w:rPr>
          <w:rFonts w:ascii="Arial" w:hAnsi="Arial" w:hint="cs"/>
          <w:u w:val="single"/>
          <w:rtl/>
        </w:rPr>
        <w:t xml:space="preserve">הסכום </w:t>
      </w:r>
      <w:r>
        <w:rPr>
          <w:rFonts w:ascii="Arial" w:hAnsi="Arial" w:hint="cs"/>
          <w:rtl/>
        </w:rPr>
        <w:t>שהיה עתיד לקבל במסגרת העסקה; ראוי היה לקבוע מתחם ענישה הנע בין 14 ועד 28 חודשי מאסר בפועל.</w:t>
      </w:r>
    </w:p>
    <w:p w14:paraId="4E5E1864" w14:textId="77777777" w:rsidR="005F3612" w:rsidRDefault="005F3612" w:rsidP="005F3612">
      <w:pPr>
        <w:spacing w:line="360" w:lineRule="auto"/>
        <w:jc w:val="both"/>
        <w:rPr>
          <w:rFonts w:ascii="Arial" w:hAnsi="Arial"/>
          <w:rtl/>
        </w:rPr>
      </w:pPr>
    </w:p>
    <w:p w14:paraId="0ADA8ED8" w14:textId="77777777" w:rsidR="005F3612" w:rsidRDefault="005F3612" w:rsidP="005F3612">
      <w:pPr>
        <w:spacing w:line="360" w:lineRule="auto"/>
        <w:jc w:val="both"/>
        <w:rPr>
          <w:rFonts w:ascii="Arial" w:hAnsi="Arial"/>
          <w:rtl/>
        </w:rPr>
      </w:pPr>
      <w:r>
        <w:rPr>
          <w:rFonts w:ascii="Arial" w:hAnsi="Arial" w:hint="cs"/>
          <w:rtl/>
        </w:rPr>
        <w:t>אולם, לא יחמיר בית המשפט מעבר לעתירתה העונשית של התביעה ולפיכך - יועמד מתחם הענישה כך שינוע בין 10 ועד 20 חודשי מאסר בפועל בלבד.</w:t>
      </w:r>
    </w:p>
    <w:p w14:paraId="7DA6B820" w14:textId="77777777" w:rsidR="005F3612" w:rsidRDefault="005F3612" w:rsidP="005F3612">
      <w:pPr>
        <w:spacing w:line="360" w:lineRule="auto"/>
        <w:jc w:val="both"/>
        <w:rPr>
          <w:rFonts w:ascii="Arial" w:hAnsi="Arial"/>
          <w:rtl/>
        </w:rPr>
      </w:pPr>
    </w:p>
    <w:p w14:paraId="7FF2A4A6" w14:textId="77777777" w:rsidR="005F3612" w:rsidRDefault="005F3612" w:rsidP="005F3612">
      <w:pPr>
        <w:spacing w:line="360" w:lineRule="auto"/>
        <w:jc w:val="both"/>
        <w:rPr>
          <w:rFonts w:ascii="Arial" w:hAnsi="Arial"/>
          <w:rtl/>
        </w:rPr>
      </w:pPr>
    </w:p>
    <w:p w14:paraId="1AA36C6B" w14:textId="77777777" w:rsidR="005F3612" w:rsidRDefault="005F3612" w:rsidP="005F3612">
      <w:pPr>
        <w:spacing w:line="360" w:lineRule="auto"/>
        <w:jc w:val="both"/>
        <w:rPr>
          <w:rFonts w:ascii="Arial" w:hAnsi="Arial"/>
          <w:rtl/>
        </w:rPr>
      </w:pPr>
      <w:r>
        <w:rPr>
          <w:rFonts w:ascii="Arial" w:hAnsi="Arial"/>
          <w:b/>
          <w:bCs/>
          <w:rtl/>
        </w:rPr>
        <w:t>קביעת הענישה הספציפית בתוך המתחם</w:t>
      </w:r>
    </w:p>
    <w:p w14:paraId="0A82FEF2" w14:textId="77777777" w:rsidR="005F3612" w:rsidRDefault="005F3612" w:rsidP="005F3612">
      <w:pPr>
        <w:spacing w:line="360" w:lineRule="auto"/>
        <w:jc w:val="both"/>
        <w:rPr>
          <w:rFonts w:ascii="Arial" w:hAnsi="Arial"/>
          <w:rtl/>
        </w:rPr>
      </w:pPr>
    </w:p>
    <w:p w14:paraId="5E7B349F" w14:textId="77777777" w:rsidR="005F3612" w:rsidRDefault="005F3612" w:rsidP="005F3612">
      <w:pPr>
        <w:spacing w:line="360" w:lineRule="auto"/>
        <w:jc w:val="both"/>
        <w:rPr>
          <w:rFonts w:ascii="Arial" w:hAnsi="Arial"/>
          <w:rtl/>
        </w:rPr>
      </w:pPr>
      <w:r>
        <w:rPr>
          <w:rFonts w:ascii="Arial" w:hAnsi="Arial"/>
          <w:rtl/>
        </w:rPr>
        <w:t xml:space="preserve"> </w:t>
      </w:r>
      <w:r>
        <w:rPr>
          <w:rFonts w:ascii="Arial" w:hAnsi="Arial" w:hint="cs"/>
          <w:rtl/>
        </w:rPr>
        <w:t xml:space="preserve">העסקה בה התקשר הנאשם, תוך נכונות לספק כמות גבוהה של סם </w:t>
      </w:r>
      <w:r>
        <w:rPr>
          <w:rFonts w:ascii="Arial" w:hAnsi="Arial"/>
          <w:rtl/>
        </w:rPr>
        <w:t>–</w:t>
      </w:r>
      <w:r>
        <w:rPr>
          <w:rFonts w:ascii="Arial" w:hAnsi="Arial" w:hint="cs"/>
          <w:rtl/>
        </w:rPr>
        <w:t xml:space="preserve"> לא פחות מ- 850 גרם </w:t>
      </w:r>
      <w:r>
        <w:rPr>
          <w:rFonts w:ascii="Arial" w:hAnsi="Arial"/>
          <w:rtl/>
        </w:rPr>
        <w:t>–</w:t>
      </w:r>
      <w:r>
        <w:rPr>
          <w:rFonts w:ascii="Arial" w:hAnsi="Arial" w:hint="cs"/>
          <w:rtl/>
        </w:rPr>
        <w:t xml:space="preserve"> באופן מידי </w:t>
      </w:r>
      <w:r>
        <w:rPr>
          <w:rFonts w:ascii="Arial" w:hAnsi="Arial"/>
          <w:rtl/>
        </w:rPr>
        <w:t>–</w:t>
      </w:r>
      <w:r>
        <w:rPr>
          <w:rFonts w:ascii="Arial" w:hAnsi="Arial" w:hint="cs"/>
          <w:rtl/>
        </w:rPr>
        <w:t xml:space="preserve"> אינה תואמת את המצג שניסה הנאשם ליצור לפני שירות המבחן למבוגרים ומעידה על מעורבות עומק בעולם הסמים המסוכנים.</w:t>
      </w:r>
    </w:p>
    <w:p w14:paraId="379EA622" w14:textId="77777777" w:rsidR="005F3612" w:rsidRDefault="005F3612" w:rsidP="005F3612">
      <w:pPr>
        <w:spacing w:line="360" w:lineRule="auto"/>
        <w:jc w:val="both"/>
        <w:rPr>
          <w:rFonts w:ascii="Arial" w:hAnsi="Arial"/>
          <w:rtl/>
        </w:rPr>
      </w:pPr>
    </w:p>
    <w:p w14:paraId="5C582F2E" w14:textId="77777777" w:rsidR="005F3612" w:rsidRDefault="005F3612" w:rsidP="005F3612">
      <w:pPr>
        <w:spacing w:line="360" w:lineRule="auto"/>
        <w:jc w:val="both"/>
        <w:rPr>
          <w:rFonts w:ascii="Arial" w:hAnsi="Arial"/>
          <w:rtl/>
        </w:rPr>
      </w:pPr>
      <w:r>
        <w:rPr>
          <w:rFonts w:ascii="Arial" w:hAnsi="Arial" w:hint="cs"/>
          <w:rtl/>
        </w:rPr>
        <w:t>הנאשם אמנם השתלב בהליך טיפולי, אך גם תוך כדי הקשר עם שירות המבחן למבוגרים נמסרו בדיקות, שלא כולן יצאו נקיות משרידי סם.</w:t>
      </w:r>
    </w:p>
    <w:p w14:paraId="3E16E6D4" w14:textId="77777777" w:rsidR="005F3612" w:rsidRDefault="005F3612" w:rsidP="005F3612">
      <w:pPr>
        <w:spacing w:line="360" w:lineRule="auto"/>
        <w:jc w:val="both"/>
        <w:rPr>
          <w:rFonts w:ascii="Arial" w:hAnsi="Arial"/>
          <w:rtl/>
        </w:rPr>
      </w:pPr>
    </w:p>
    <w:p w14:paraId="0FA23B2B" w14:textId="77777777" w:rsidR="005F3612" w:rsidRDefault="005F3612" w:rsidP="005F3612">
      <w:pPr>
        <w:spacing w:line="360" w:lineRule="auto"/>
        <w:jc w:val="both"/>
        <w:rPr>
          <w:rFonts w:ascii="Arial" w:hAnsi="Arial"/>
          <w:rtl/>
        </w:rPr>
      </w:pPr>
      <w:r>
        <w:rPr>
          <w:rFonts w:ascii="Arial" w:hAnsi="Arial" w:hint="cs"/>
          <w:rtl/>
        </w:rPr>
        <w:t xml:space="preserve">מקריאת התסקירים </w:t>
      </w:r>
      <w:r>
        <w:rPr>
          <w:rFonts w:ascii="Arial" w:hAnsi="Arial"/>
          <w:rtl/>
        </w:rPr>
        <w:t>–</w:t>
      </w:r>
      <w:r>
        <w:rPr>
          <w:rFonts w:ascii="Arial" w:hAnsi="Arial" w:hint="cs"/>
          <w:rtl/>
        </w:rPr>
        <w:t xml:space="preserve"> אין עולה תמונה של מי שהשתלב בהליך טיפולי משמעותי, שהיה בו כדי לשנות את תפיסותיו ואפילו לאחר תקופות הדחיה הארוכות </w:t>
      </w:r>
      <w:r>
        <w:rPr>
          <w:rFonts w:ascii="Arial" w:hAnsi="Arial"/>
          <w:rtl/>
        </w:rPr>
        <w:t>–</w:t>
      </w:r>
      <w:r>
        <w:rPr>
          <w:rFonts w:ascii="Arial" w:hAnsi="Arial" w:hint="cs"/>
          <w:rtl/>
        </w:rPr>
        <w:t xml:space="preserve"> כל שמסוגל שירות המבחן לומר אודות נאשם זה הוא, מצוי בשלב התחלתי בטיפול וכי אין ניתן לקבוע, האם נתרם ומפיק תועלת מהשתלבותו כאמור (ראו הפסקה הרביעית בעמוד הראשון לתסקיר מיום 09.03.23).</w:t>
      </w:r>
    </w:p>
    <w:p w14:paraId="5DC4A687" w14:textId="77777777" w:rsidR="005F3612" w:rsidRDefault="005F3612" w:rsidP="005F3612">
      <w:pPr>
        <w:spacing w:line="360" w:lineRule="auto"/>
        <w:jc w:val="both"/>
        <w:rPr>
          <w:rFonts w:ascii="Arial" w:hAnsi="Arial"/>
          <w:rtl/>
        </w:rPr>
      </w:pPr>
    </w:p>
    <w:p w14:paraId="5C3574F0" w14:textId="77777777" w:rsidR="005F3612" w:rsidRDefault="005F3612" w:rsidP="005F3612">
      <w:pPr>
        <w:spacing w:line="360" w:lineRule="auto"/>
        <w:jc w:val="both"/>
        <w:rPr>
          <w:rFonts w:ascii="Arial" w:hAnsi="Arial"/>
          <w:rtl/>
        </w:rPr>
      </w:pPr>
      <w:r>
        <w:rPr>
          <w:rFonts w:ascii="Arial" w:hAnsi="Arial" w:hint="cs"/>
          <w:rtl/>
        </w:rPr>
        <w:t xml:space="preserve">המלצתו הסופית של שירות המבחן במקרה דנן </w:t>
      </w:r>
      <w:r>
        <w:rPr>
          <w:rFonts w:ascii="Arial" w:hAnsi="Arial"/>
          <w:rtl/>
        </w:rPr>
        <w:t>–</w:t>
      </w:r>
      <w:r>
        <w:rPr>
          <w:rFonts w:ascii="Arial" w:hAnsi="Arial" w:hint="cs"/>
          <w:rtl/>
        </w:rPr>
        <w:t xml:space="preserve"> אינה עומדת בקנה אחד עם השתלשלות ההליך הטיפולי בעניינו של הנאשם ומכל מקום </w:t>
      </w:r>
      <w:r>
        <w:rPr>
          <w:rFonts w:ascii="Arial" w:hAnsi="Arial"/>
          <w:rtl/>
        </w:rPr>
        <w:t>–</w:t>
      </w:r>
      <w:r>
        <w:rPr>
          <w:rFonts w:ascii="Arial" w:hAnsi="Arial" w:hint="cs"/>
          <w:rtl/>
        </w:rPr>
        <w:t xml:space="preserve"> חורגת באופן קיצוני ממתחם הענישה.</w:t>
      </w:r>
    </w:p>
    <w:p w14:paraId="09D40A9C" w14:textId="77777777" w:rsidR="005F3612" w:rsidRDefault="005F3612" w:rsidP="005F3612">
      <w:pPr>
        <w:spacing w:line="360" w:lineRule="auto"/>
        <w:jc w:val="both"/>
        <w:rPr>
          <w:rFonts w:ascii="Arial" w:hAnsi="Arial"/>
          <w:rtl/>
        </w:rPr>
      </w:pPr>
    </w:p>
    <w:p w14:paraId="26A7B9F9" w14:textId="77777777" w:rsidR="005F3612" w:rsidRDefault="005F3612" w:rsidP="005F3612">
      <w:pPr>
        <w:spacing w:line="360" w:lineRule="auto"/>
        <w:jc w:val="both"/>
        <w:rPr>
          <w:rFonts w:ascii="Arial" w:hAnsi="Arial"/>
          <w:rtl/>
        </w:rPr>
      </w:pPr>
      <w:r>
        <w:rPr>
          <w:rFonts w:ascii="Arial" w:hAnsi="Arial" w:hint="cs"/>
          <w:rtl/>
        </w:rPr>
        <w:t>לזכות הנאשם, יקח בית המשפט בחשבון העדר הרשעת קודמות; הודאתו בעבירה ואף נכונותו להתחיל ולהשתלב בהליך טיפולי. אך עובדות אלה תטנה את הכף לכיוון ענישה על הצד הנמוך של המתחם, ולא לחריגה מהמתחם.</w:t>
      </w:r>
    </w:p>
    <w:p w14:paraId="0B963AE2" w14:textId="77777777" w:rsidR="005F3612" w:rsidRDefault="005F3612" w:rsidP="005F3612">
      <w:pPr>
        <w:spacing w:line="360" w:lineRule="auto"/>
        <w:jc w:val="both"/>
        <w:rPr>
          <w:rFonts w:ascii="Arial" w:hAnsi="Arial"/>
          <w:rtl/>
        </w:rPr>
      </w:pPr>
    </w:p>
    <w:p w14:paraId="1D5DB723" w14:textId="77777777" w:rsidR="005F3612" w:rsidRDefault="005F3612" w:rsidP="005F3612">
      <w:pPr>
        <w:spacing w:line="360" w:lineRule="auto"/>
        <w:jc w:val="both"/>
        <w:rPr>
          <w:rFonts w:ascii="Arial" w:hAnsi="Arial"/>
          <w:rtl/>
        </w:rPr>
      </w:pPr>
      <w:r>
        <w:rPr>
          <w:rFonts w:ascii="Arial" w:hAnsi="Arial" w:hint="cs"/>
          <w:rtl/>
        </w:rPr>
        <w:t>לנוכח</w:t>
      </w:r>
      <w:r>
        <w:rPr>
          <w:rFonts w:ascii="Arial" w:hAnsi="Arial"/>
          <w:rtl/>
        </w:rPr>
        <w:t xml:space="preserve"> המניע הכלכלי העומד ברקע לעבירות סמים, מוצא בית המשפט להטיל עיצום כספי </w:t>
      </w:r>
      <w:r>
        <w:rPr>
          <w:rFonts w:ascii="Arial" w:hAnsi="Arial" w:hint="cs"/>
          <w:rtl/>
        </w:rPr>
        <w:t xml:space="preserve">משמעותי </w:t>
      </w:r>
      <w:r>
        <w:rPr>
          <w:rFonts w:ascii="Arial" w:hAnsi="Arial"/>
          <w:rtl/>
        </w:rPr>
        <w:t xml:space="preserve">מסוג קנס. </w:t>
      </w:r>
      <w:r>
        <w:rPr>
          <w:rFonts w:ascii="Arial" w:hAnsi="Arial" w:hint="cs"/>
          <w:rtl/>
        </w:rPr>
        <w:t>ודוק: בעסקה זו עצמה אמור היה להיות משולם סכום בן 7,500 ₪ לנאשם.</w:t>
      </w:r>
    </w:p>
    <w:p w14:paraId="2F4774AF" w14:textId="77777777" w:rsidR="005F3612" w:rsidRDefault="005F3612" w:rsidP="005F3612">
      <w:pPr>
        <w:spacing w:line="360" w:lineRule="auto"/>
        <w:jc w:val="both"/>
        <w:rPr>
          <w:rFonts w:ascii="Arial" w:hAnsi="Arial"/>
          <w:rtl/>
        </w:rPr>
      </w:pPr>
    </w:p>
    <w:p w14:paraId="6354358A" w14:textId="77777777" w:rsidR="005F3612" w:rsidRDefault="005F3612" w:rsidP="005F3612">
      <w:pPr>
        <w:spacing w:line="360" w:lineRule="auto"/>
        <w:jc w:val="both"/>
        <w:rPr>
          <w:rFonts w:ascii="Arial" w:hAnsi="Arial"/>
          <w:rtl/>
        </w:rPr>
      </w:pPr>
      <w:r>
        <w:rPr>
          <w:rFonts w:ascii="Arial" w:hAnsi="Arial" w:hint="cs"/>
          <w:rtl/>
        </w:rPr>
        <w:t>בנוסף, מוצא בית המשפט לחייב הנאשם להצהיר על התחייבות להימנע מעבירה.</w:t>
      </w:r>
    </w:p>
    <w:p w14:paraId="3096D26A" w14:textId="77777777" w:rsidR="005F3612" w:rsidRDefault="005F3612" w:rsidP="005F3612">
      <w:pPr>
        <w:spacing w:line="360" w:lineRule="auto"/>
        <w:jc w:val="both"/>
        <w:rPr>
          <w:rFonts w:ascii="Arial" w:hAnsi="Arial"/>
          <w:rtl/>
        </w:rPr>
      </w:pPr>
    </w:p>
    <w:p w14:paraId="2512F9D6" w14:textId="77777777" w:rsidR="005F3612" w:rsidRDefault="005F3612" w:rsidP="005F3612">
      <w:pPr>
        <w:spacing w:line="360" w:lineRule="auto"/>
        <w:jc w:val="both"/>
        <w:rPr>
          <w:rFonts w:ascii="Arial" w:hAnsi="Arial"/>
        </w:rPr>
      </w:pPr>
      <w:r>
        <w:rPr>
          <w:rFonts w:ascii="Arial" w:hAnsi="Arial"/>
          <w:rtl/>
        </w:rPr>
        <w:t xml:space="preserve">הנאשם הורשע בעבירת סמים, תוך שהוא מסתייע ברכב מנועי לשם </w:t>
      </w:r>
      <w:r>
        <w:rPr>
          <w:rFonts w:ascii="Arial" w:hAnsi="Arial" w:hint="cs"/>
          <w:rtl/>
        </w:rPr>
        <w:t>הובלתו, בנסיון למכרו</w:t>
      </w:r>
      <w:r>
        <w:rPr>
          <w:rFonts w:ascii="Arial" w:hAnsi="Arial"/>
          <w:rtl/>
        </w:rPr>
        <w:t xml:space="preserve">. </w:t>
      </w:r>
      <w:r>
        <w:rPr>
          <w:rFonts w:ascii="Arial" w:hAnsi="Arial" w:hint="cs"/>
          <w:rtl/>
        </w:rPr>
        <w:t xml:space="preserve">אין צורך להכביר מילים על פוטנציאל הסיכון לעוברי הדרך כתוצאה מהובלת סם ברכב. </w:t>
      </w:r>
      <w:r>
        <w:rPr>
          <w:rFonts w:ascii="Arial" w:hAnsi="Arial"/>
          <w:rtl/>
        </w:rPr>
        <w:t xml:space="preserve">בנסיבות האמורות, מוצא בית המשפט </w:t>
      </w:r>
      <w:r>
        <w:rPr>
          <w:rFonts w:ascii="Arial" w:hAnsi="Arial" w:hint="cs"/>
          <w:rtl/>
        </w:rPr>
        <w:t>לפסול את הנאשם מלנהוג ברכב מנועי, לתקופה משמעותית.</w:t>
      </w:r>
    </w:p>
    <w:p w14:paraId="64074B99" w14:textId="77777777" w:rsidR="005F3612" w:rsidRDefault="005F3612" w:rsidP="005F3612">
      <w:pPr>
        <w:spacing w:line="360" w:lineRule="auto"/>
        <w:jc w:val="both"/>
        <w:rPr>
          <w:rFonts w:ascii="Arial" w:hAnsi="Arial"/>
          <w:rtl/>
        </w:rPr>
      </w:pPr>
    </w:p>
    <w:p w14:paraId="06EC2A04" w14:textId="77777777" w:rsidR="005F3612" w:rsidRDefault="005F3612" w:rsidP="005F3612">
      <w:pPr>
        <w:spacing w:line="360" w:lineRule="auto"/>
        <w:jc w:val="both"/>
        <w:rPr>
          <w:rFonts w:ascii="Arial" w:hAnsi="Arial"/>
          <w:rtl/>
        </w:rPr>
      </w:pPr>
    </w:p>
    <w:p w14:paraId="2D14917A" w14:textId="77777777" w:rsidR="005F3612" w:rsidRDefault="005F3612" w:rsidP="005F3612">
      <w:pPr>
        <w:spacing w:line="360" w:lineRule="auto"/>
        <w:jc w:val="both"/>
        <w:rPr>
          <w:rFonts w:ascii="Arial" w:hAnsi="Arial"/>
          <w:rtl/>
        </w:rPr>
      </w:pPr>
      <w:r>
        <w:rPr>
          <w:rFonts w:ascii="Arial" w:hAnsi="Arial"/>
          <w:b/>
          <w:bCs/>
          <w:rtl/>
        </w:rPr>
        <w:t xml:space="preserve">חילוט </w:t>
      </w:r>
      <w:r>
        <w:rPr>
          <w:rFonts w:ascii="Arial" w:hAnsi="Arial" w:hint="cs"/>
          <w:b/>
          <w:bCs/>
          <w:rtl/>
        </w:rPr>
        <w:t>ה</w:t>
      </w:r>
      <w:r>
        <w:rPr>
          <w:rFonts w:ascii="Arial" w:hAnsi="Arial"/>
          <w:b/>
          <w:bCs/>
          <w:rtl/>
        </w:rPr>
        <w:t>רכב</w:t>
      </w:r>
      <w:r>
        <w:rPr>
          <w:rFonts w:ascii="Arial" w:hAnsi="Arial" w:hint="cs"/>
          <w:rtl/>
        </w:rPr>
        <w:t xml:space="preserve"> </w:t>
      </w:r>
      <w:r w:rsidRPr="00BA61D2">
        <w:rPr>
          <w:rFonts w:ascii="Arial" w:hAnsi="Arial" w:hint="cs"/>
          <w:b/>
          <w:bCs/>
          <w:rtl/>
        </w:rPr>
        <w:t>ששימש ל</w:t>
      </w:r>
      <w:r>
        <w:rPr>
          <w:rFonts w:ascii="Arial" w:hAnsi="Arial" w:hint="cs"/>
          <w:b/>
          <w:bCs/>
          <w:rtl/>
        </w:rPr>
        <w:t xml:space="preserve">נסיון </w:t>
      </w:r>
      <w:r w:rsidRPr="00BA61D2">
        <w:rPr>
          <w:rFonts w:ascii="Arial" w:hAnsi="Arial" w:hint="cs"/>
          <w:b/>
          <w:bCs/>
          <w:rtl/>
        </w:rPr>
        <w:t>עסקת הסמים</w:t>
      </w:r>
    </w:p>
    <w:p w14:paraId="091DCDBD" w14:textId="77777777" w:rsidR="005F3612" w:rsidRDefault="005F3612" w:rsidP="005F3612">
      <w:pPr>
        <w:spacing w:line="360" w:lineRule="auto"/>
        <w:jc w:val="both"/>
        <w:rPr>
          <w:rFonts w:ascii="Arial" w:hAnsi="Arial"/>
          <w:rtl/>
        </w:rPr>
      </w:pPr>
    </w:p>
    <w:p w14:paraId="576A8C06" w14:textId="77777777" w:rsidR="005F3612" w:rsidRDefault="005F3612" w:rsidP="005F3612">
      <w:pPr>
        <w:spacing w:line="360" w:lineRule="auto"/>
        <w:jc w:val="both"/>
        <w:rPr>
          <w:rFonts w:ascii="Arial" w:hAnsi="Arial"/>
          <w:rtl/>
        </w:rPr>
      </w:pPr>
      <w:r>
        <w:rPr>
          <w:rFonts w:ascii="Arial" w:hAnsi="Arial"/>
          <w:rtl/>
        </w:rPr>
        <w:t>התביעה עתרה לחלט את הרכב ששימש את הנאשם לעבור את העבירות.</w:t>
      </w:r>
    </w:p>
    <w:p w14:paraId="2D8A9D25" w14:textId="77777777" w:rsidR="005F3612" w:rsidRDefault="005F3612" w:rsidP="005F3612">
      <w:pPr>
        <w:spacing w:line="360" w:lineRule="auto"/>
        <w:jc w:val="both"/>
        <w:rPr>
          <w:rFonts w:ascii="Arial" w:hAnsi="Arial"/>
          <w:rtl/>
        </w:rPr>
      </w:pPr>
    </w:p>
    <w:p w14:paraId="39BB5B8D" w14:textId="77777777" w:rsidR="005F3612" w:rsidRDefault="00B509DF" w:rsidP="005F3612">
      <w:pPr>
        <w:spacing w:line="360" w:lineRule="auto"/>
        <w:jc w:val="both"/>
        <w:rPr>
          <w:rFonts w:ascii="Arial" w:hAnsi="Arial"/>
          <w:rtl/>
        </w:rPr>
      </w:pPr>
      <w:hyperlink r:id="rId29" w:history="1">
        <w:r w:rsidRPr="00B509DF">
          <w:rPr>
            <w:rStyle w:val="Hyperlink"/>
            <w:rFonts w:ascii="Arial" w:hAnsi="Arial"/>
            <w:rtl/>
          </w:rPr>
          <w:t>סעיף 36א(א)(1)</w:t>
        </w:r>
      </w:hyperlink>
      <w:r w:rsidR="005F3612">
        <w:rPr>
          <w:rFonts w:ascii="Arial" w:hAnsi="Arial"/>
          <w:rtl/>
        </w:rPr>
        <w:t xml:space="preserve"> ל</w:t>
      </w:r>
      <w:hyperlink r:id="rId30" w:history="1">
        <w:r w:rsidR="006E79FD" w:rsidRPr="006E79FD">
          <w:rPr>
            <w:rFonts w:ascii="Arial" w:hAnsi="Arial"/>
            <w:color w:val="0000FF"/>
            <w:u w:val="single"/>
            <w:rtl/>
          </w:rPr>
          <w:t>פקודת הסמים המסוכנים</w:t>
        </w:r>
      </w:hyperlink>
      <w:r w:rsidR="005F3612">
        <w:rPr>
          <w:rFonts w:ascii="Arial" w:hAnsi="Arial"/>
          <w:rtl/>
        </w:rPr>
        <w:t xml:space="preserve"> קובע כדלקמן:</w:t>
      </w:r>
    </w:p>
    <w:p w14:paraId="63B3F228" w14:textId="77777777" w:rsidR="005F3612" w:rsidRDefault="005F3612" w:rsidP="005F3612">
      <w:pPr>
        <w:spacing w:line="360" w:lineRule="auto"/>
        <w:jc w:val="both"/>
        <w:rPr>
          <w:rFonts w:ascii="Arial" w:hAnsi="Arial"/>
          <w:rtl/>
        </w:rPr>
      </w:pPr>
    </w:p>
    <w:p w14:paraId="095DE2BE" w14:textId="77777777" w:rsidR="005F3612" w:rsidRDefault="005F3612" w:rsidP="005F3612">
      <w:pPr>
        <w:pStyle w:val="p00"/>
        <w:bidi/>
        <w:spacing w:before="72" w:beforeAutospacing="0" w:after="0" w:afterAutospacing="0"/>
        <w:ind w:right="1134"/>
        <w:jc w:val="both"/>
        <w:rPr>
          <w:rFonts w:ascii="Aharoni" w:hAnsi="Aharoni" w:cs="Aharoni"/>
          <w:color w:val="000000"/>
          <w:rtl/>
        </w:rPr>
      </w:pPr>
      <w:r>
        <w:rPr>
          <w:rStyle w:val="default"/>
          <w:rFonts w:ascii="Aharoni" w:hAnsi="Aharoni" w:cs="Aharoni"/>
          <w:color w:val="000000"/>
          <w:rtl/>
        </w:rPr>
        <w:t xml:space="preserve">הורשע אדם בעבירה של </w:t>
      </w:r>
      <w:r>
        <w:rPr>
          <w:rStyle w:val="default"/>
          <w:rFonts w:ascii="Aharoni" w:hAnsi="Aharoni" w:cs="Aharoni"/>
          <w:color w:val="000000"/>
          <w:u w:val="single"/>
          <w:rtl/>
        </w:rPr>
        <w:t>עסקת סמים</w:t>
      </w:r>
      <w:r>
        <w:rPr>
          <w:rStyle w:val="default"/>
          <w:rFonts w:ascii="Aharoni" w:hAnsi="Aharoni" w:cs="Aharoni"/>
          <w:color w:val="000000"/>
          <w:rtl/>
        </w:rPr>
        <w:t>, יצווה בית המשפט, זולת אם סבר שלא לעשות כן מנימוקים מיוחדים שיפרט, כי בנוסף לכל עונש יחולט לאוצר המדינה כל רכוש שהוא –</w:t>
      </w:r>
    </w:p>
    <w:p w14:paraId="71D05050" w14:textId="77777777" w:rsidR="005F3612" w:rsidRDefault="005F3612" w:rsidP="005F3612">
      <w:pPr>
        <w:pStyle w:val="p11"/>
        <w:bidi/>
        <w:spacing w:before="72" w:beforeAutospacing="0" w:after="0" w:afterAutospacing="0"/>
        <w:ind w:left="624" w:right="1134"/>
        <w:jc w:val="both"/>
        <w:rPr>
          <w:rFonts w:ascii="Aharoni" w:hAnsi="Aharoni" w:cs="Aharoni"/>
          <w:color w:val="000000"/>
        </w:rPr>
      </w:pPr>
      <w:r>
        <w:rPr>
          <w:rStyle w:val="default"/>
          <w:rFonts w:ascii="Aharoni" w:hAnsi="Aharoni" w:cs="Aharoni"/>
          <w:color w:val="000000"/>
          <w:rtl/>
        </w:rPr>
        <w:t>(1)</w:t>
      </w:r>
      <w:r w:rsidR="006E79FD">
        <w:rPr>
          <w:rStyle w:val="default"/>
          <w:rFonts w:ascii="Aharoni" w:hAnsi="Aharoni" w:cs="Aharoni"/>
          <w:color w:val="000000"/>
          <w:rtl/>
        </w:rPr>
        <w:t xml:space="preserve"> </w:t>
      </w:r>
      <w:r>
        <w:rPr>
          <w:rStyle w:val="default"/>
          <w:rFonts w:ascii="Aharoni" w:hAnsi="Aharoni" w:cs="Aharoni"/>
          <w:color w:val="000000"/>
          <w:rtl/>
        </w:rPr>
        <w:t xml:space="preserve"> רכוש ששימש או נועד לשמש </w:t>
      </w:r>
      <w:r>
        <w:rPr>
          <w:rStyle w:val="default"/>
          <w:rFonts w:ascii="Aharoni" w:hAnsi="Aharoni" w:cs="Aharoni"/>
          <w:color w:val="000000"/>
          <w:u w:val="single"/>
          <w:rtl/>
        </w:rPr>
        <w:t>כאמצעי לביצוע העבירה</w:t>
      </w:r>
      <w:r>
        <w:rPr>
          <w:rStyle w:val="default"/>
          <w:rFonts w:ascii="Aharoni" w:hAnsi="Aharoni" w:cs="Aharoni"/>
          <w:color w:val="000000"/>
          <w:rtl/>
        </w:rPr>
        <w:t xml:space="preserve"> או ששימש או נועד לשמש כדי לאפשר את ביצוע העבירה;</w:t>
      </w:r>
    </w:p>
    <w:p w14:paraId="5FA5FD3B" w14:textId="77777777" w:rsidR="005F3612" w:rsidRDefault="005F3612" w:rsidP="005F3612">
      <w:pPr>
        <w:spacing w:line="360" w:lineRule="auto"/>
        <w:jc w:val="both"/>
        <w:rPr>
          <w:rFonts w:ascii="Arial" w:hAnsi="Arial"/>
          <w:rtl/>
        </w:rPr>
      </w:pPr>
    </w:p>
    <w:p w14:paraId="7DF0971F" w14:textId="77777777" w:rsidR="005F3612" w:rsidRDefault="005F3612" w:rsidP="005F3612">
      <w:pPr>
        <w:spacing w:line="360" w:lineRule="auto"/>
        <w:jc w:val="both"/>
        <w:rPr>
          <w:rFonts w:ascii="Arial" w:hAnsi="Arial"/>
          <w:rtl/>
        </w:rPr>
      </w:pPr>
    </w:p>
    <w:p w14:paraId="11E28689" w14:textId="77777777" w:rsidR="005F3612" w:rsidRDefault="005F3612" w:rsidP="005F3612">
      <w:pPr>
        <w:spacing w:line="360" w:lineRule="auto"/>
        <w:jc w:val="both"/>
        <w:rPr>
          <w:rFonts w:ascii="Arial" w:hAnsi="Arial"/>
          <w:rtl/>
        </w:rPr>
      </w:pPr>
      <w:r>
        <w:rPr>
          <w:rFonts w:ascii="Arial" w:hAnsi="Arial" w:hint="cs"/>
          <w:rtl/>
        </w:rPr>
        <w:t xml:space="preserve">במסגרת </w:t>
      </w:r>
      <w:hyperlink r:id="rId31" w:history="1">
        <w:r w:rsidR="006E79FD" w:rsidRPr="006E79FD">
          <w:rPr>
            <w:rFonts w:ascii="Arial" w:hAnsi="Arial"/>
            <w:color w:val="0000FF"/>
            <w:u w:val="single"/>
            <w:rtl/>
          </w:rPr>
          <w:t>עפ"ג 28440-02-21</w:t>
        </w:r>
      </w:hyperlink>
      <w:r>
        <w:rPr>
          <w:rFonts w:ascii="Arial" w:hAnsi="Arial" w:hint="cs"/>
          <w:rtl/>
        </w:rPr>
        <w:t xml:space="preserve"> </w:t>
      </w:r>
      <w:r>
        <w:rPr>
          <w:rFonts w:ascii="Arial" w:hAnsi="Arial" w:hint="cs"/>
          <w:b/>
          <w:bCs/>
          <w:rtl/>
        </w:rPr>
        <w:t>מדינת ישראל נ' אל עאסם</w:t>
      </w:r>
      <w:r>
        <w:rPr>
          <w:rFonts w:ascii="Arial" w:hAnsi="Arial" w:hint="cs"/>
          <w:rtl/>
        </w:rPr>
        <w:t>, קיבל בית המשפט המחוזי את ערעור המדינה על החלטת מותב זה שלא לחלט רכב, בו הוחזקו סמים מסוכנים מסוג קנביס וקבע כדלקמן:</w:t>
      </w:r>
    </w:p>
    <w:p w14:paraId="3A4FFC6D" w14:textId="77777777" w:rsidR="005F3612" w:rsidRDefault="005F3612" w:rsidP="005F3612">
      <w:pPr>
        <w:spacing w:line="360" w:lineRule="auto"/>
        <w:jc w:val="both"/>
        <w:rPr>
          <w:rFonts w:ascii="Arial" w:hAnsi="Arial"/>
          <w:rtl/>
        </w:rPr>
      </w:pPr>
    </w:p>
    <w:p w14:paraId="2993C674" w14:textId="77777777" w:rsidR="005F3612" w:rsidRPr="0005550B" w:rsidRDefault="005F3612" w:rsidP="005F3612">
      <w:pPr>
        <w:spacing w:line="360" w:lineRule="auto"/>
        <w:jc w:val="both"/>
        <w:rPr>
          <w:rFonts w:ascii="Aharoni" w:eastAsia="David" w:hAnsi="Aharoni" w:cs="Aharoni"/>
        </w:rPr>
      </w:pPr>
      <w:r w:rsidRPr="0005550B">
        <w:rPr>
          <w:rFonts w:ascii="Aharoni" w:eastAsia="David" w:hAnsi="Aharoni" w:cs="Aharoni"/>
          <w:rtl/>
        </w:rPr>
        <w:t xml:space="preserve">מנסיבות ביצוע העבירה, כפי שעולות מכתב האישום המתוקן, עולה בבירור כי הרכב נשוא בקשת החילוט עונה להגדרה בס"ק 1. </w:t>
      </w:r>
    </w:p>
    <w:p w14:paraId="2531165A" w14:textId="77777777" w:rsidR="005F3612" w:rsidRPr="0005550B" w:rsidRDefault="005F3612" w:rsidP="005F3612">
      <w:pPr>
        <w:spacing w:line="360" w:lineRule="auto"/>
        <w:jc w:val="both"/>
        <w:rPr>
          <w:rFonts w:ascii="Aharoni" w:eastAsia="David" w:hAnsi="Aharoni" w:cs="Aharoni"/>
          <w:rtl/>
        </w:rPr>
      </w:pPr>
    </w:p>
    <w:p w14:paraId="673335BD" w14:textId="77777777" w:rsidR="005F3612" w:rsidRPr="0005550B" w:rsidRDefault="005F3612" w:rsidP="005F3612">
      <w:pPr>
        <w:spacing w:line="360" w:lineRule="auto"/>
        <w:jc w:val="both"/>
        <w:rPr>
          <w:rFonts w:ascii="Aharoni" w:eastAsia="David" w:hAnsi="Aharoni" w:cs="Aharoni"/>
          <w:rtl/>
        </w:rPr>
      </w:pPr>
      <w:r w:rsidRPr="0005550B">
        <w:rPr>
          <w:rFonts w:ascii="Aharoni" w:eastAsia="David" w:hAnsi="Aharoni" w:cs="Aharoni"/>
          <w:rtl/>
        </w:rPr>
        <w:t xml:space="preserve">הרכב שימש בפועל את המשיב לבצע את העבירה של </w:t>
      </w:r>
      <w:r w:rsidRPr="0005550B">
        <w:rPr>
          <w:rFonts w:ascii="Aharoni" w:eastAsia="David" w:hAnsi="Aharoni" w:cs="Aharoni"/>
          <w:u w:val="single"/>
          <w:rtl/>
        </w:rPr>
        <w:t>החזקת סם מסוכן</w:t>
      </w:r>
      <w:r w:rsidRPr="0005550B">
        <w:rPr>
          <w:rFonts w:ascii="Aharoni" w:eastAsia="David" w:hAnsi="Aharoni" w:cs="Aharoni"/>
          <w:rtl/>
        </w:rPr>
        <w:t xml:space="preserve"> שלא לצריכה עצמית, עבירה אשר מוגדרת בסעיף ההגדרות ל</w:t>
      </w:r>
      <w:hyperlink r:id="rId32" w:history="1">
        <w:r w:rsidR="006E79FD" w:rsidRPr="006E79FD">
          <w:rPr>
            <w:rFonts w:ascii="Aharoni" w:eastAsia="David" w:hAnsi="Aharoni" w:cs="Aharoni"/>
            <w:color w:val="0000FF"/>
            <w:u w:val="single"/>
            <w:rtl/>
          </w:rPr>
          <w:t>פקודת הסמים המסוכנים</w:t>
        </w:r>
      </w:hyperlink>
      <w:r w:rsidRPr="0005550B">
        <w:rPr>
          <w:rFonts w:ascii="Aharoni" w:eastAsia="David" w:hAnsi="Aharoni" w:cs="Aharoni"/>
          <w:rtl/>
        </w:rPr>
        <w:t xml:space="preserve"> (נוסח חדש) כעסקת סמים.</w:t>
      </w:r>
    </w:p>
    <w:p w14:paraId="32A17298" w14:textId="77777777" w:rsidR="005F3612" w:rsidRPr="0005550B" w:rsidRDefault="005F3612" w:rsidP="005F3612">
      <w:pPr>
        <w:spacing w:line="360" w:lineRule="auto"/>
        <w:jc w:val="both"/>
        <w:rPr>
          <w:rFonts w:ascii="Aharoni" w:eastAsia="David" w:hAnsi="Aharoni" w:cs="Aharoni"/>
          <w:rtl/>
        </w:rPr>
      </w:pPr>
    </w:p>
    <w:p w14:paraId="76B61060" w14:textId="77777777" w:rsidR="005F3612" w:rsidRPr="0005550B" w:rsidRDefault="005F3612" w:rsidP="005F3612">
      <w:pPr>
        <w:spacing w:line="360" w:lineRule="auto"/>
        <w:jc w:val="both"/>
        <w:rPr>
          <w:rFonts w:ascii="Aharoni" w:eastAsia="David" w:hAnsi="Aharoni" w:cs="Aharoni"/>
          <w:rtl/>
        </w:rPr>
      </w:pPr>
      <w:r w:rsidRPr="0005550B">
        <w:rPr>
          <w:rFonts w:ascii="Aharoni" w:eastAsia="David" w:hAnsi="Aharoni" w:cs="Aharoni"/>
          <w:rtl/>
        </w:rPr>
        <w:t>משכך, ובפרט בנסיבות בהן מדובר בהגעה עם הרכב למקום,  מקום ביצוע העבירה, וכמויות הסמים המסוכנים האמורות לעיל, יש להידרש לשאלה אם קיימים נימוקים מיוחדים כאמור בהוראת החוק להימנע מהחילוט, אם לאו.</w:t>
      </w:r>
    </w:p>
    <w:p w14:paraId="419F26F0" w14:textId="77777777" w:rsidR="005F3612" w:rsidRDefault="005F3612" w:rsidP="005F3612">
      <w:pPr>
        <w:spacing w:line="360" w:lineRule="auto"/>
        <w:jc w:val="both"/>
        <w:rPr>
          <w:rFonts w:ascii="Arial" w:hAnsi="Arial"/>
          <w:rtl/>
        </w:rPr>
      </w:pPr>
    </w:p>
    <w:p w14:paraId="11A5ACF7" w14:textId="77777777" w:rsidR="005F3612" w:rsidRDefault="005F3612" w:rsidP="005F3612">
      <w:pPr>
        <w:spacing w:line="360" w:lineRule="auto"/>
        <w:jc w:val="both"/>
        <w:rPr>
          <w:rFonts w:ascii="Arial" w:hAnsi="Arial"/>
          <w:rtl/>
        </w:rPr>
      </w:pPr>
    </w:p>
    <w:p w14:paraId="1BE9492A" w14:textId="77777777" w:rsidR="005F3612" w:rsidRDefault="005F3612" w:rsidP="005F3612">
      <w:pPr>
        <w:spacing w:line="360" w:lineRule="auto"/>
        <w:jc w:val="both"/>
        <w:rPr>
          <w:rFonts w:ascii="Arial" w:hAnsi="Arial"/>
          <w:rtl/>
        </w:rPr>
      </w:pPr>
      <w:r>
        <w:rPr>
          <w:rFonts w:ascii="Arial" w:hAnsi="Arial" w:hint="cs"/>
          <w:rtl/>
        </w:rPr>
        <w:t>בענין אל עאסם לעיל, מדובר בהחזקת סם שלא לצריכה עצמית. קל וחומר שעבירה שענינה ניסיון לסחר בסם מסוכן, מצדיקה חילוט הרכב.</w:t>
      </w:r>
    </w:p>
    <w:p w14:paraId="5FA88408" w14:textId="77777777" w:rsidR="005F3612" w:rsidRDefault="005F3612" w:rsidP="005F3612">
      <w:pPr>
        <w:spacing w:line="360" w:lineRule="auto"/>
        <w:jc w:val="both"/>
        <w:rPr>
          <w:rFonts w:ascii="Arial" w:hAnsi="Arial"/>
          <w:rtl/>
        </w:rPr>
      </w:pPr>
    </w:p>
    <w:p w14:paraId="5EDE1473" w14:textId="77777777" w:rsidR="005F3612" w:rsidRDefault="005F3612" w:rsidP="005F3612">
      <w:pPr>
        <w:spacing w:line="360" w:lineRule="auto"/>
        <w:jc w:val="both"/>
        <w:rPr>
          <w:rFonts w:ascii="Arial" w:hAnsi="Arial"/>
          <w:rtl/>
        </w:rPr>
      </w:pPr>
      <w:r>
        <w:rPr>
          <w:rFonts w:ascii="Arial" w:hAnsi="Arial" w:hint="cs"/>
          <w:rtl/>
        </w:rPr>
        <w:t xml:space="preserve">חילוט כלי רכב הוא אמצעי בעל אפקט הרתעתי מאין כמוהו כלפי העוסקים בעבריינות. </w:t>
      </w:r>
    </w:p>
    <w:p w14:paraId="08C36F0D" w14:textId="77777777" w:rsidR="005F3612" w:rsidRDefault="005F3612" w:rsidP="005F3612">
      <w:pPr>
        <w:spacing w:line="360" w:lineRule="auto"/>
        <w:jc w:val="both"/>
        <w:rPr>
          <w:rFonts w:ascii="Arial" w:hAnsi="Arial"/>
          <w:rtl/>
        </w:rPr>
      </w:pPr>
    </w:p>
    <w:p w14:paraId="4C87EF15" w14:textId="77777777" w:rsidR="005F3612" w:rsidRDefault="005F3612" w:rsidP="005F3612">
      <w:pPr>
        <w:spacing w:line="360" w:lineRule="auto"/>
        <w:jc w:val="both"/>
        <w:rPr>
          <w:rFonts w:ascii="Arial" w:hAnsi="Arial"/>
          <w:rtl/>
        </w:rPr>
      </w:pPr>
      <w:r>
        <w:rPr>
          <w:rFonts w:ascii="Arial" w:hAnsi="Arial" w:hint="cs"/>
          <w:rtl/>
        </w:rPr>
        <w:t xml:space="preserve">במקרה דנן, </w:t>
      </w:r>
      <w:r>
        <w:rPr>
          <w:rFonts w:ascii="Arial" w:hAnsi="Arial"/>
          <w:rtl/>
        </w:rPr>
        <w:t xml:space="preserve">לא הוצגו לפני בית המשפט נסיבות מיוחדות, המצדיקות הימנעות מחילוט הרכב, </w:t>
      </w:r>
      <w:r>
        <w:rPr>
          <w:rFonts w:ascii="Arial" w:hAnsi="Arial" w:hint="cs"/>
          <w:rtl/>
        </w:rPr>
        <w:t xml:space="preserve">ששימש, כאמור, להובלת הסם המסוכן במסגרת עסקת הסמים, </w:t>
      </w:r>
      <w:r>
        <w:rPr>
          <w:rFonts w:ascii="Arial" w:hAnsi="Arial"/>
          <w:rtl/>
        </w:rPr>
        <w:t>ולפיכך, ייעתר בית המשפט לעתירת התביעה ויורה על חילוטו.</w:t>
      </w:r>
    </w:p>
    <w:p w14:paraId="15EBDCA9" w14:textId="77777777" w:rsidR="005F3612" w:rsidRDefault="005F3612" w:rsidP="005F3612">
      <w:pPr>
        <w:spacing w:line="360" w:lineRule="auto"/>
        <w:jc w:val="both"/>
        <w:rPr>
          <w:rFonts w:ascii="Arial" w:hAnsi="Arial"/>
          <w:rtl/>
        </w:rPr>
      </w:pPr>
    </w:p>
    <w:p w14:paraId="147D05AE" w14:textId="77777777" w:rsidR="005F3612" w:rsidRDefault="005F3612" w:rsidP="005F3612">
      <w:pPr>
        <w:spacing w:line="360" w:lineRule="auto"/>
        <w:jc w:val="both"/>
        <w:rPr>
          <w:rFonts w:ascii="Arial" w:hAnsi="Arial"/>
          <w:rtl/>
        </w:rPr>
      </w:pPr>
    </w:p>
    <w:p w14:paraId="1B4FA63A" w14:textId="77777777" w:rsidR="005F3612" w:rsidRDefault="005F3612" w:rsidP="005F3612">
      <w:pPr>
        <w:spacing w:line="360" w:lineRule="auto"/>
        <w:jc w:val="both"/>
        <w:rPr>
          <w:rFonts w:ascii="Arial" w:hAnsi="Arial"/>
          <w:rtl/>
        </w:rPr>
      </w:pPr>
    </w:p>
    <w:p w14:paraId="59A8B385" w14:textId="77777777" w:rsidR="005F3612" w:rsidRDefault="005F3612" w:rsidP="005F3612">
      <w:pPr>
        <w:spacing w:line="360" w:lineRule="auto"/>
        <w:jc w:val="both"/>
        <w:rPr>
          <w:rFonts w:ascii="Arial" w:hAnsi="Arial"/>
          <w:rtl/>
        </w:rPr>
      </w:pPr>
    </w:p>
    <w:p w14:paraId="37FBD4DA" w14:textId="77777777" w:rsidR="005F3612" w:rsidRDefault="005F3612" w:rsidP="005F3612">
      <w:pPr>
        <w:spacing w:line="360" w:lineRule="auto"/>
        <w:jc w:val="both"/>
        <w:rPr>
          <w:rFonts w:ascii="Arial" w:hAnsi="Arial"/>
        </w:rPr>
      </w:pPr>
      <w:r>
        <w:rPr>
          <w:rFonts w:ascii="Arial" w:hAnsi="Arial"/>
          <w:b/>
          <w:bCs/>
          <w:rtl/>
        </w:rPr>
        <w:t>סיכום</w:t>
      </w:r>
    </w:p>
    <w:p w14:paraId="53217960" w14:textId="77777777" w:rsidR="005F3612" w:rsidRDefault="005F3612" w:rsidP="005F3612">
      <w:pPr>
        <w:spacing w:line="360" w:lineRule="auto"/>
        <w:jc w:val="both"/>
        <w:rPr>
          <w:rFonts w:ascii="Arial" w:hAnsi="Arial"/>
          <w:rtl/>
        </w:rPr>
      </w:pPr>
    </w:p>
    <w:p w14:paraId="463A2AF8" w14:textId="77777777" w:rsidR="005F3612" w:rsidRDefault="005F3612" w:rsidP="005F3612">
      <w:pPr>
        <w:spacing w:line="360" w:lineRule="auto"/>
        <w:jc w:val="both"/>
        <w:rPr>
          <w:rFonts w:ascii="Arial" w:hAnsi="Arial"/>
          <w:rtl/>
        </w:rPr>
      </w:pPr>
      <w:r>
        <w:rPr>
          <w:rFonts w:ascii="Arial" w:hAnsi="Arial"/>
          <w:rtl/>
        </w:rPr>
        <w:t>לאחר שבית המשפט שמע את טענות הצדדים על פה; עיין בטענות התביעה בכתב; עיין בראיות הצדדים לעונש;</w:t>
      </w:r>
      <w:r>
        <w:rPr>
          <w:rFonts w:ascii="Arial" w:hAnsi="Arial" w:hint="cs"/>
          <w:rtl/>
        </w:rPr>
        <w:t xml:space="preserve"> עיין בתסקירי שירות המבחן למבוגרים; </w:t>
      </w:r>
      <w:r>
        <w:rPr>
          <w:rFonts w:ascii="Arial" w:hAnsi="Arial"/>
          <w:rtl/>
        </w:rPr>
        <w:t xml:space="preserve"> עיין בפסיקה; שמע את דברו האחרון של הנאשם; גוזר על הנאשם את העונשים כדלקמן:</w:t>
      </w:r>
    </w:p>
    <w:p w14:paraId="408F56CB" w14:textId="77777777" w:rsidR="005F3612" w:rsidRDefault="005F3612" w:rsidP="005F3612">
      <w:pPr>
        <w:spacing w:line="360" w:lineRule="auto"/>
        <w:jc w:val="both"/>
        <w:rPr>
          <w:rFonts w:ascii="Arial" w:hAnsi="Arial"/>
          <w:rtl/>
        </w:rPr>
      </w:pPr>
    </w:p>
    <w:p w14:paraId="56017666" w14:textId="77777777" w:rsidR="005F3612" w:rsidRPr="00327BAB" w:rsidRDefault="005F3612" w:rsidP="005F3612">
      <w:pPr>
        <w:numPr>
          <w:ilvl w:val="0"/>
          <w:numId w:val="2"/>
        </w:numPr>
        <w:spacing w:line="360" w:lineRule="auto"/>
        <w:contextualSpacing/>
        <w:jc w:val="both"/>
      </w:pPr>
      <w:r>
        <w:rPr>
          <w:rFonts w:hint="cs"/>
          <w:rtl/>
        </w:rPr>
        <w:t>10 חודשים מאסר בפועל, בניכוי ימי מעצרו בהתאם לרישומי שב"ס;</w:t>
      </w:r>
    </w:p>
    <w:p w14:paraId="1127F9EE" w14:textId="77777777" w:rsidR="005F3612" w:rsidRDefault="005F3612" w:rsidP="005F3612">
      <w:pPr>
        <w:numPr>
          <w:ilvl w:val="0"/>
          <w:numId w:val="2"/>
        </w:numPr>
        <w:spacing w:line="360" w:lineRule="auto"/>
        <w:contextualSpacing/>
        <w:jc w:val="both"/>
      </w:pPr>
      <w:r>
        <w:rPr>
          <w:rFonts w:ascii="Calibri" w:hAnsi="Calibri"/>
          <w:rtl/>
        </w:rPr>
        <w:t xml:space="preserve">12 חודשים מאסר על תנאי למשך שלוש שנים </w:t>
      </w:r>
      <w:r>
        <w:rPr>
          <w:rFonts w:ascii="Calibri" w:hAnsi="Calibri" w:hint="cs"/>
          <w:rtl/>
        </w:rPr>
        <w:t>מיום שחרורו ממאסר</w:t>
      </w:r>
      <w:r>
        <w:rPr>
          <w:rFonts w:ascii="Calibri" w:hAnsi="Calibri"/>
          <w:rtl/>
        </w:rPr>
        <w:t>, והתנאי – שהנאשם לא יעבור עבירה מסוג פשע בניגוד ל</w:t>
      </w:r>
      <w:hyperlink r:id="rId33" w:history="1">
        <w:r w:rsidR="006E79FD" w:rsidRPr="006E79FD">
          <w:rPr>
            <w:rFonts w:ascii="Calibri" w:hAnsi="Calibri" w:hint="eastAsia"/>
            <w:color w:val="0000FF"/>
            <w:u w:val="single"/>
            <w:rtl/>
          </w:rPr>
          <w:t>פקודת</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הסמים</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המסוכנים</w:t>
        </w:r>
      </w:hyperlink>
      <w:r>
        <w:rPr>
          <w:rFonts w:ascii="Calibri" w:hAnsi="Calibri"/>
          <w:rtl/>
        </w:rPr>
        <w:t xml:space="preserve"> [נוסח חדש], תשל"ג – 1973, או עבירה מסוג פשע בניגוד ל</w:t>
      </w:r>
      <w:hyperlink r:id="rId34" w:history="1">
        <w:r w:rsidR="006E79FD" w:rsidRPr="006E79FD">
          <w:rPr>
            <w:rFonts w:ascii="Calibri" w:hAnsi="Calibri" w:hint="eastAsia"/>
            <w:color w:val="0000FF"/>
            <w:u w:val="single"/>
            <w:rtl/>
          </w:rPr>
          <w:t>חוק</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המאבק</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בתופעת</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השימוש</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בחומרים</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מסכנים</w:t>
        </w:r>
      </w:hyperlink>
      <w:r>
        <w:rPr>
          <w:rFonts w:ascii="Calibri" w:hAnsi="Calibri"/>
          <w:rtl/>
        </w:rPr>
        <w:t>, תשע"ג – 2013;</w:t>
      </w:r>
    </w:p>
    <w:p w14:paraId="45ABCEE4" w14:textId="77777777" w:rsidR="005F3612" w:rsidRDefault="005F3612" w:rsidP="005F3612">
      <w:pPr>
        <w:numPr>
          <w:ilvl w:val="0"/>
          <w:numId w:val="2"/>
        </w:numPr>
        <w:spacing w:line="360" w:lineRule="auto"/>
        <w:contextualSpacing/>
        <w:jc w:val="both"/>
        <w:rPr>
          <w:rtl/>
        </w:rPr>
      </w:pPr>
      <w:r>
        <w:rPr>
          <w:rFonts w:ascii="Calibri" w:hAnsi="Calibri"/>
          <w:rtl/>
        </w:rPr>
        <w:t xml:space="preserve">3 חודשים מאסר על תנאי למשך שנתיים </w:t>
      </w:r>
      <w:r>
        <w:rPr>
          <w:rFonts w:ascii="Calibri" w:hAnsi="Calibri" w:hint="cs"/>
          <w:rtl/>
        </w:rPr>
        <w:t>מיום שחרורו ממאסר</w:t>
      </w:r>
      <w:r>
        <w:rPr>
          <w:rFonts w:ascii="Calibri" w:hAnsi="Calibri"/>
          <w:rtl/>
        </w:rPr>
        <w:t>, והתנאי – שהנאשם לא יעבור עבירה מסוג עוון בניגוד ל</w:t>
      </w:r>
      <w:hyperlink r:id="rId35" w:history="1">
        <w:r w:rsidR="006E79FD" w:rsidRPr="006E79FD">
          <w:rPr>
            <w:rFonts w:ascii="Calibri" w:hAnsi="Calibri" w:hint="eastAsia"/>
            <w:color w:val="0000FF"/>
            <w:u w:val="single"/>
            <w:rtl/>
          </w:rPr>
          <w:t>פקודת</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הסמים</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המסוכנים</w:t>
        </w:r>
      </w:hyperlink>
      <w:r>
        <w:rPr>
          <w:rFonts w:ascii="Calibri" w:hAnsi="Calibri"/>
          <w:rtl/>
        </w:rPr>
        <w:t xml:space="preserve"> [נוסח חדש], תשל"ג – 1973, או עבירה מסוג עוון בניגוד ל</w:t>
      </w:r>
      <w:hyperlink r:id="rId36" w:history="1">
        <w:r w:rsidR="006E79FD" w:rsidRPr="006E79FD">
          <w:rPr>
            <w:rFonts w:ascii="Calibri" w:hAnsi="Calibri" w:hint="eastAsia"/>
            <w:color w:val="0000FF"/>
            <w:u w:val="single"/>
            <w:rtl/>
          </w:rPr>
          <w:t>חוק</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המאבק</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בתופעת</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השימוש</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בחומרים</w:t>
        </w:r>
        <w:r w:rsidR="006E79FD" w:rsidRPr="006E79FD">
          <w:rPr>
            <w:rFonts w:ascii="Calibri" w:hAnsi="Calibri"/>
            <w:color w:val="0000FF"/>
            <w:u w:val="single"/>
            <w:rtl/>
          </w:rPr>
          <w:t xml:space="preserve"> </w:t>
        </w:r>
        <w:r w:rsidR="006E79FD" w:rsidRPr="006E79FD">
          <w:rPr>
            <w:rFonts w:ascii="Calibri" w:hAnsi="Calibri" w:hint="eastAsia"/>
            <w:color w:val="0000FF"/>
            <w:u w:val="single"/>
            <w:rtl/>
          </w:rPr>
          <w:t>מסכנים</w:t>
        </w:r>
      </w:hyperlink>
      <w:r>
        <w:rPr>
          <w:rFonts w:ascii="Calibri" w:hAnsi="Calibri"/>
          <w:rtl/>
        </w:rPr>
        <w:t>, תשע"ג – 2013;</w:t>
      </w:r>
    </w:p>
    <w:p w14:paraId="6B2CD9D7" w14:textId="77777777" w:rsidR="005F3612" w:rsidRDefault="005F3612" w:rsidP="005F3612">
      <w:pPr>
        <w:numPr>
          <w:ilvl w:val="0"/>
          <w:numId w:val="2"/>
        </w:numPr>
        <w:spacing w:line="360" w:lineRule="auto"/>
        <w:contextualSpacing/>
        <w:jc w:val="both"/>
      </w:pPr>
      <w:r>
        <w:rPr>
          <w:rtl/>
        </w:rPr>
        <w:t xml:space="preserve">קנס בסך </w:t>
      </w:r>
      <w:r>
        <w:rPr>
          <w:rFonts w:hint="cs"/>
          <w:rtl/>
        </w:rPr>
        <w:t>10</w:t>
      </w:r>
      <w:r>
        <w:rPr>
          <w:rtl/>
        </w:rPr>
        <w:t xml:space="preserve">,000 ₪ או </w:t>
      </w:r>
      <w:r>
        <w:rPr>
          <w:rFonts w:hint="cs"/>
          <w:rtl/>
        </w:rPr>
        <w:t>80</w:t>
      </w:r>
      <w:r>
        <w:rPr>
          <w:rtl/>
        </w:rPr>
        <w:t xml:space="preserve"> ימי מאסר תמורתו. הקנס ישולם ב-</w:t>
      </w:r>
      <w:r>
        <w:rPr>
          <w:rFonts w:hint="cs"/>
          <w:rtl/>
        </w:rPr>
        <w:t>10</w:t>
      </w:r>
      <w:r>
        <w:rPr>
          <w:rtl/>
        </w:rPr>
        <w:t xml:space="preserve"> תשלומים שווים ורצופים, החל מיום 15.</w:t>
      </w:r>
      <w:r>
        <w:rPr>
          <w:rFonts w:hint="cs"/>
          <w:rtl/>
        </w:rPr>
        <w:t>08</w:t>
      </w:r>
      <w:r>
        <w:rPr>
          <w:rtl/>
        </w:rPr>
        <w:t>.23 ובכל 15 לחודש העוקב. לא ישולם אחד התשלומים במועד, תועמד היתרה לפרעון מידי;</w:t>
      </w:r>
    </w:p>
    <w:p w14:paraId="32AE0537" w14:textId="77777777" w:rsidR="005F3612" w:rsidRDefault="005F3612" w:rsidP="005F3612">
      <w:pPr>
        <w:numPr>
          <w:ilvl w:val="0"/>
          <w:numId w:val="2"/>
        </w:numPr>
        <w:spacing w:line="360" w:lineRule="auto"/>
        <w:jc w:val="both"/>
        <w:rPr>
          <w:rFonts w:ascii="Arial" w:hAnsi="Arial"/>
        </w:rPr>
      </w:pPr>
      <w:r>
        <w:rPr>
          <w:rFonts w:ascii="Arial" w:hAnsi="Arial"/>
          <w:rtl/>
        </w:rPr>
        <w:t xml:space="preserve">הנאשם יצהיר על התחייבות בסך </w:t>
      </w:r>
      <w:r>
        <w:rPr>
          <w:rFonts w:ascii="Arial" w:hAnsi="Arial" w:hint="cs"/>
          <w:rtl/>
        </w:rPr>
        <w:t>7</w:t>
      </w:r>
      <w:r>
        <w:rPr>
          <w:rFonts w:ascii="Arial" w:hAnsi="Arial"/>
          <w:rtl/>
        </w:rPr>
        <w:t>,500 ₪ להימנע, בתוך שלוש שנים</w:t>
      </w:r>
      <w:r w:rsidRPr="0046326C">
        <w:rPr>
          <w:rFonts w:ascii="Calibri" w:hAnsi="Calibri" w:hint="cs"/>
          <w:rtl/>
        </w:rPr>
        <w:t xml:space="preserve"> </w:t>
      </w:r>
      <w:r>
        <w:rPr>
          <w:rFonts w:ascii="Calibri" w:hAnsi="Calibri" w:hint="cs"/>
          <w:rtl/>
        </w:rPr>
        <w:t>מיום שחרורו ממאסר,</w:t>
      </w:r>
      <w:r>
        <w:rPr>
          <w:rFonts w:ascii="Arial" w:hAnsi="Arial"/>
          <w:rtl/>
        </w:rPr>
        <w:t xml:space="preserve"> מכל עבירה המפעילה את התנאי הנקוב בסעיף ד' לעיל. לא יצהיר הנאשם על ההתחייבות היום – ייאסר למשך 21 יום;</w:t>
      </w:r>
    </w:p>
    <w:p w14:paraId="590AEF69" w14:textId="77777777" w:rsidR="005F3612" w:rsidRPr="00327BAB" w:rsidRDefault="005F3612" w:rsidP="005F3612">
      <w:pPr>
        <w:numPr>
          <w:ilvl w:val="0"/>
          <w:numId w:val="2"/>
        </w:numPr>
        <w:spacing w:line="360" w:lineRule="auto"/>
        <w:jc w:val="both"/>
        <w:rPr>
          <w:rFonts w:ascii="Arial" w:hAnsi="Arial"/>
        </w:rPr>
      </w:pPr>
      <w:r>
        <w:rPr>
          <w:rtl/>
        </w:rPr>
        <w:t xml:space="preserve">פסילה מקבל או מהחזיק רשיון נהיגה לרכב מנועי למשך שנה. על הנאשם להפקיד רשיונו, או תצהיר מתאים, במזכירות בית המשפט </w:t>
      </w:r>
      <w:r>
        <w:rPr>
          <w:rFonts w:hint="cs"/>
          <w:rtl/>
        </w:rPr>
        <w:t>ביום העסקים הראשון שלאחר שחרורו ממאסר.</w:t>
      </w:r>
      <w:r>
        <w:rPr>
          <w:rtl/>
        </w:rPr>
        <w:t xml:space="preserve"> מובהר לנאשם, כי החל </w:t>
      </w:r>
      <w:r>
        <w:rPr>
          <w:rFonts w:hint="cs"/>
          <w:rtl/>
        </w:rPr>
        <w:t>ממועד</w:t>
      </w:r>
      <w:r>
        <w:rPr>
          <w:rtl/>
        </w:rPr>
        <w:t xml:space="preserve"> ז</w:t>
      </w:r>
      <w:r>
        <w:rPr>
          <w:rFonts w:hint="cs"/>
          <w:rtl/>
        </w:rPr>
        <w:t>ה</w:t>
      </w:r>
      <w:r>
        <w:rPr>
          <w:rtl/>
        </w:rPr>
        <w:t xml:space="preserve"> – כל עוד לא הופקד הרשיון או התצהיר – יהיה הנאשם פסול מלנהוג, אך הפסילה לא תימנה;</w:t>
      </w:r>
    </w:p>
    <w:p w14:paraId="138F8695" w14:textId="77777777" w:rsidR="005F3612" w:rsidRDefault="005F3612" w:rsidP="005F3612">
      <w:pPr>
        <w:pStyle w:val="a9"/>
        <w:numPr>
          <w:ilvl w:val="0"/>
          <w:numId w:val="2"/>
        </w:numPr>
        <w:spacing w:line="360" w:lineRule="auto"/>
      </w:pPr>
      <w:r>
        <w:rPr>
          <w:rtl/>
        </w:rPr>
        <w:t xml:space="preserve">פסילה מקבל ומהחזיק רשיון נהיגה לרכב מנועי בת  </w:t>
      </w:r>
      <w:r>
        <w:rPr>
          <w:rFonts w:hint="cs"/>
          <w:rtl/>
        </w:rPr>
        <w:t>שנה</w:t>
      </w:r>
      <w:r>
        <w:rPr>
          <w:rtl/>
        </w:rPr>
        <w:t xml:space="preserve"> על תנאי, תקופת התנאי למשך 3 שנים מסיום הפסילה בפועל;</w:t>
      </w:r>
    </w:p>
    <w:p w14:paraId="042ACA24" w14:textId="77777777" w:rsidR="005F3612" w:rsidRDefault="005F3612" w:rsidP="005F3612">
      <w:pPr>
        <w:numPr>
          <w:ilvl w:val="0"/>
          <w:numId w:val="2"/>
        </w:numPr>
        <w:spacing w:line="360" w:lineRule="auto"/>
        <w:contextualSpacing/>
        <w:jc w:val="both"/>
      </w:pPr>
      <w:r>
        <w:rPr>
          <w:rtl/>
        </w:rPr>
        <w:t xml:space="preserve">חילוט רכב מסוג </w:t>
      </w:r>
      <w:r>
        <w:rPr>
          <w:rFonts w:hint="cs"/>
          <w:rtl/>
        </w:rPr>
        <w:t>טויוטה ל"ז 80-801-79</w:t>
      </w:r>
      <w:r>
        <w:rPr>
          <w:rtl/>
        </w:rPr>
        <w:t xml:space="preserve"> לטובת קרן החילוט</w:t>
      </w:r>
      <w:r>
        <w:rPr>
          <w:rFonts w:hint="cs"/>
          <w:rtl/>
        </w:rPr>
        <w:t>;</w:t>
      </w:r>
    </w:p>
    <w:p w14:paraId="7899698B" w14:textId="77777777" w:rsidR="005F3612" w:rsidRDefault="005F3612" w:rsidP="005F3612">
      <w:pPr>
        <w:numPr>
          <w:ilvl w:val="0"/>
          <w:numId w:val="2"/>
        </w:numPr>
        <w:spacing w:line="360" w:lineRule="auto"/>
        <w:contextualSpacing/>
        <w:jc w:val="both"/>
      </w:pPr>
      <w:r>
        <w:rPr>
          <w:rFonts w:hint="cs"/>
          <w:rtl/>
        </w:rPr>
        <w:t xml:space="preserve">סמים </w:t>
      </w:r>
      <w:r>
        <w:rPr>
          <w:rtl/>
        </w:rPr>
        <w:t>–</w:t>
      </w:r>
      <w:r>
        <w:rPr>
          <w:rFonts w:hint="cs"/>
          <w:rtl/>
        </w:rPr>
        <w:t xml:space="preserve"> יושמדו בחלוף תקופת הערעור.</w:t>
      </w:r>
    </w:p>
    <w:p w14:paraId="3072E89E" w14:textId="77777777" w:rsidR="005F3612" w:rsidRDefault="005F3612" w:rsidP="005F3612">
      <w:pPr>
        <w:spacing w:line="360" w:lineRule="auto"/>
        <w:jc w:val="both"/>
        <w:rPr>
          <w:rFonts w:ascii="Arial" w:hAnsi="Arial"/>
          <w:rtl/>
        </w:rPr>
      </w:pPr>
    </w:p>
    <w:p w14:paraId="4352B743" w14:textId="77777777" w:rsidR="005F3612" w:rsidRDefault="005F3612" w:rsidP="005F3612">
      <w:pPr>
        <w:spacing w:line="360" w:lineRule="auto"/>
        <w:jc w:val="both"/>
        <w:rPr>
          <w:rFonts w:ascii="Arial" w:hAnsi="Arial"/>
          <w:rtl/>
        </w:rPr>
      </w:pPr>
      <w:r>
        <w:rPr>
          <w:rFonts w:ascii="Arial" w:hAnsi="Arial" w:hint="cs"/>
          <w:rtl/>
        </w:rPr>
        <w:t>הנאשם יתייצב לריצוי העונש כעת.</w:t>
      </w:r>
    </w:p>
    <w:p w14:paraId="574D5237" w14:textId="77777777" w:rsidR="005F3612" w:rsidRDefault="006E79FD" w:rsidP="005F3612">
      <w:pPr>
        <w:spacing w:line="360" w:lineRule="auto"/>
        <w:jc w:val="both"/>
        <w:rPr>
          <w:rFonts w:ascii="Arial" w:hAnsi="Arial"/>
          <w:rtl/>
        </w:rPr>
      </w:pPr>
      <w:r w:rsidRPr="006E79FD">
        <w:rPr>
          <w:rFonts w:ascii="Arial" w:hAnsi="Arial"/>
          <w:color w:val="FFFFFF"/>
          <w:sz w:val="2"/>
          <w:szCs w:val="2"/>
          <w:rtl/>
        </w:rPr>
        <w:t>5129371</w:t>
      </w:r>
      <w:r w:rsidR="005F3612">
        <w:rPr>
          <w:rFonts w:ascii="Arial" w:hAnsi="Arial" w:hint="cs"/>
          <w:rtl/>
        </w:rPr>
        <w:t>עותק גזר הדין יועבר לשירות המבחן למבוגרים.</w:t>
      </w:r>
    </w:p>
    <w:p w14:paraId="4C57EFC1" w14:textId="77777777" w:rsidR="005F3612" w:rsidRDefault="006E79FD" w:rsidP="005F3612">
      <w:pPr>
        <w:spacing w:after="160" w:line="276" w:lineRule="auto"/>
        <w:rPr>
          <w:rFonts w:ascii="Calibri" w:hAnsi="Calibri"/>
          <w:rtl/>
        </w:rPr>
      </w:pPr>
      <w:r w:rsidRPr="006E79FD">
        <w:rPr>
          <w:rFonts w:ascii="Calibri" w:hAnsi="Calibri"/>
          <w:color w:val="FFFFFF"/>
          <w:sz w:val="2"/>
          <w:szCs w:val="2"/>
          <w:rtl/>
        </w:rPr>
        <w:t>54678313</w:t>
      </w:r>
      <w:r w:rsidR="005F3612" w:rsidRPr="00FD0AD8">
        <w:rPr>
          <w:rFonts w:ascii="Calibri" w:hAnsi="Calibri" w:hint="eastAsia"/>
          <w:rtl/>
        </w:rPr>
        <w:t>ה</w:t>
      </w:r>
      <w:r w:rsidR="005F3612">
        <w:rPr>
          <w:rFonts w:ascii="Calibri" w:hAnsi="Calibri" w:hint="cs"/>
          <w:rtl/>
        </w:rPr>
        <w:t>ו</w:t>
      </w:r>
      <w:r w:rsidR="005F3612" w:rsidRPr="00FD0AD8">
        <w:rPr>
          <w:rFonts w:ascii="Calibri" w:hAnsi="Calibri" w:hint="eastAsia"/>
          <w:rtl/>
        </w:rPr>
        <w:t>דעה</w:t>
      </w:r>
      <w:r w:rsidR="005F3612" w:rsidRPr="00FD0AD8">
        <w:rPr>
          <w:rFonts w:ascii="Calibri" w:hAnsi="Calibri"/>
          <w:rtl/>
        </w:rPr>
        <w:t xml:space="preserve"> </w:t>
      </w:r>
      <w:r w:rsidR="005F3612" w:rsidRPr="00FD0AD8">
        <w:rPr>
          <w:rFonts w:ascii="Calibri" w:hAnsi="Calibri" w:hint="eastAsia"/>
          <w:rtl/>
        </w:rPr>
        <w:t>זכות</w:t>
      </w:r>
      <w:r w:rsidR="005F3612" w:rsidRPr="00FD0AD8">
        <w:rPr>
          <w:rFonts w:ascii="Calibri" w:hAnsi="Calibri"/>
          <w:rtl/>
        </w:rPr>
        <w:t xml:space="preserve"> </w:t>
      </w:r>
      <w:r w:rsidR="005F3612" w:rsidRPr="00FD0AD8">
        <w:rPr>
          <w:rFonts w:ascii="Calibri" w:hAnsi="Calibri" w:hint="eastAsia"/>
          <w:rtl/>
        </w:rPr>
        <w:t>הערעור</w:t>
      </w:r>
      <w:r w:rsidR="005F3612" w:rsidRPr="00FD0AD8">
        <w:rPr>
          <w:rFonts w:ascii="Calibri" w:hAnsi="Calibri"/>
          <w:rtl/>
        </w:rPr>
        <w:t>.</w:t>
      </w:r>
    </w:p>
    <w:p w14:paraId="6495AEE8" w14:textId="77777777" w:rsidR="005F3612" w:rsidRPr="00CE308B" w:rsidRDefault="005F3612" w:rsidP="005F3612">
      <w:pPr>
        <w:spacing w:after="160" w:line="276" w:lineRule="auto"/>
        <w:rPr>
          <w:rFonts w:ascii="Calibri" w:hAnsi="Calibri"/>
          <w:rtl/>
        </w:rPr>
      </w:pPr>
    </w:p>
    <w:p w14:paraId="5D63D46B" w14:textId="77777777" w:rsidR="005F3612" w:rsidRDefault="006E79FD" w:rsidP="005F3612">
      <w:pPr>
        <w:spacing w:line="360" w:lineRule="auto"/>
        <w:jc w:val="both"/>
        <w:rPr>
          <w:rFonts w:ascii="Arial" w:hAnsi="Arial"/>
          <w:rtl/>
        </w:rPr>
      </w:pPr>
      <w:bookmarkStart w:id="8" w:name="Nitan"/>
      <w:r>
        <w:rPr>
          <w:rFonts w:ascii="Arial" w:hAnsi="Arial"/>
          <w:rtl/>
        </w:rPr>
        <w:t xml:space="preserve">ניתנה היום, י"ז תמוז תשפ"ג, 06 יולי 2023, במעמד הצדדים. </w:t>
      </w:r>
      <w:bookmarkEnd w:id="8"/>
    </w:p>
    <w:p w14:paraId="59D8FA6A" w14:textId="77777777" w:rsidR="006E79FD" w:rsidRDefault="006E79FD" w:rsidP="006E79FD">
      <w:pPr>
        <w:rPr>
          <w:rtl/>
        </w:rPr>
      </w:pPr>
    </w:p>
    <w:p w14:paraId="740BA3C6" w14:textId="77777777" w:rsidR="006E79FD" w:rsidRDefault="006E79FD" w:rsidP="006E79F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D96D903" w14:textId="77777777" w:rsidR="00B509DF" w:rsidRPr="00B509DF" w:rsidRDefault="00B509DF" w:rsidP="00B509DF">
      <w:pPr>
        <w:keepNext/>
        <w:rPr>
          <w:rFonts w:ascii="David" w:hAnsi="David" w:hint="cs"/>
          <w:color w:val="000000"/>
          <w:sz w:val="22"/>
          <w:szCs w:val="22"/>
          <w:rtl/>
        </w:rPr>
      </w:pPr>
    </w:p>
    <w:p w14:paraId="1F10527C" w14:textId="77777777" w:rsidR="00B509DF" w:rsidRPr="00B509DF" w:rsidRDefault="00B509DF" w:rsidP="00B509DF">
      <w:pPr>
        <w:keepNext/>
        <w:rPr>
          <w:rFonts w:ascii="David" w:hAnsi="David"/>
          <w:color w:val="000000"/>
          <w:sz w:val="22"/>
          <w:szCs w:val="22"/>
          <w:rtl/>
        </w:rPr>
      </w:pPr>
      <w:r w:rsidRPr="00B509DF">
        <w:rPr>
          <w:rFonts w:ascii="David" w:hAnsi="David"/>
          <w:color w:val="000000"/>
          <w:sz w:val="22"/>
          <w:szCs w:val="22"/>
          <w:rtl/>
        </w:rPr>
        <w:t>רון סולקין 54678313-/</w:t>
      </w:r>
    </w:p>
    <w:p w14:paraId="50392567" w14:textId="77777777" w:rsidR="006E79FD" w:rsidRPr="006E79FD" w:rsidRDefault="00B509DF" w:rsidP="00B509DF">
      <w:pPr>
        <w:rPr>
          <w:rFonts w:hint="cs"/>
          <w:color w:val="0000FF"/>
          <w:u w:val="single"/>
        </w:rPr>
      </w:pPr>
      <w:r w:rsidRPr="00B509DF">
        <w:rPr>
          <w:color w:val="000000"/>
          <w:u w:val="single"/>
          <w:rtl/>
        </w:rPr>
        <w:t>נוסח מסמך זה כפוף לשינויי ניסוח ועריכה</w:t>
      </w:r>
    </w:p>
    <w:sectPr w:rsidR="006E79FD" w:rsidRPr="006E79FD" w:rsidSect="00B509DF">
      <w:headerReference w:type="even" r:id="rId38"/>
      <w:headerReference w:type="default" r:id="rId39"/>
      <w:footerReference w:type="even" r:id="rId40"/>
      <w:footerReference w:type="default" r:id="rId4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DDE41" w14:textId="77777777" w:rsidR="00DC23C6" w:rsidRDefault="00DC23C6" w:rsidP="00557675">
      <w:r>
        <w:separator/>
      </w:r>
    </w:p>
  </w:endnote>
  <w:endnote w:type="continuationSeparator" w:id="0">
    <w:p w14:paraId="2F9B8FB3" w14:textId="77777777" w:rsidR="00DC23C6" w:rsidRDefault="00DC23C6" w:rsidP="00557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5BA2D" w14:textId="77777777" w:rsidR="00B509DF" w:rsidRDefault="00B509DF" w:rsidP="00B509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E431D4" w14:textId="77777777" w:rsidR="006E79FD" w:rsidRPr="00B509DF" w:rsidRDefault="00B509DF" w:rsidP="00B509DF">
    <w:pPr>
      <w:pStyle w:val="a5"/>
      <w:pBdr>
        <w:top w:val="single" w:sz="4" w:space="1" w:color="auto"/>
        <w:between w:val="single" w:sz="4" w:space="0" w:color="auto"/>
      </w:pBdr>
      <w:spacing w:after="60"/>
      <w:jc w:val="center"/>
      <w:rPr>
        <w:rFonts w:ascii="FrankRuehl" w:hAnsi="FrankRuehl" w:cs="FrankRuehl"/>
        <w:color w:val="000000"/>
      </w:rPr>
    </w:pPr>
    <w:r w:rsidRPr="00B509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D4D69" w14:textId="77777777" w:rsidR="00B509DF" w:rsidRDefault="00B509DF" w:rsidP="00B509DF">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00BE2">
      <w:rPr>
        <w:rStyle w:val="a8"/>
        <w:rFonts w:ascii="FrankRuehl" w:hAnsi="FrankRuehl" w:cs="FrankRuehl"/>
        <w:noProof/>
        <w:rtl/>
      </w:rPr>
      <w:t>1</w:t>
    </w:r>
    <w:r>
      <w:rPr>
        <w:rStyle w:val="a8"/>
        <w:rFonts w:ascii="FrankRuehl" w:hAnsi="FrankRuehl" w:cs="FrankRuehl"/>
        <w:rtl/>
      </w:rPr>
      <w:fldChar w:fldCharType="end"/>
    </w:r>
  </w:p>
  <w:p w14:paraId="018F8339" w14:textId="77777777" w:rsidR="00767BB6" w:rsidRPr="00B509DF" w:rsidRDefault="00B509DF" w:rsidP="00B509DF">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509DF">
      <w:rPr>
        <w:rStyle w:val="a8"/>
        <w:rFonts w:ascii="FrankRuehl" w:hAnsi="FrankRuehl" w:cs="FrankRuehl" w:hint="cs"/>
        <w:color w:val="000000"/>
      </w:rPr>
      <w:pict w14:anchorId="2996C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B4287" w14:textId="77777777" w:rsidR="00DC23C6" w:rsidRDefault="00DC23C6" w:rsidP="00557675">
      <w:r>
        <w:separator/>
      </w:r>
    </w:p>
  </w:footnote>
  <w:footnote w:type="continuationSeparator" w:id="0">
    <w:p w14:paraId="3F745915" w14:textId="77777777" w:rsidR="00DC23C6" w:rsidRDefault="00DC23C6" w:rsidP="00557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F6D70" w14:textId="77777777" w:rsidR="006E79FD" w:rsidRPr="00B509DF" w:rsidRDefault="00B509DF" w:rsidP="00B509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64772-05-22</w:t>
    </w:r>
    <w:r>
      <w:rPr>
        <w:rFonts w:ascii="David" w:hAnsi="David"/>
        <w:color w:val="000000"/>
        <w:sz w:val="22"/>
        <w:szCs w:val="22"/>
        <w:rtl/>
      </w:rPr>
      <w:tab/>
      <w:t xml:space="preserve"> מדינת ישראל תביעות נגב נ' אדיב אבו בלאל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46917" w14:textId="77777777" w:rsidR="006E79FD" w:rsidRPr="00B509DF" w:rsidRDefault="00B509DF" w:rsidP="00B509D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64772-05-22</w:t>
    </w:r>
    <w:r>
      <w:rPr>
        <w:rFonts w:ascii="David" w:hAnsi="David"/>
        <w:color w:val="000000"/>
        <w:sz w:val="22"/>
        <w:szCs w:val="22"/>
        <w:rtl/>
      </w:rPr>
      <w:tab/>
      <w:t xml:space="preserve"> מדינת ישראל תביעות נגב נ' אדיב אבו בלאל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63D94F9E"/>
    <w:multiLevelType w:val="hybridMultilevel"/>
    <w:tmpl w:val="FF4A65DC"/>
    <w:lvl w:ilvl="0" w:tplc="8FFEA74E">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63666"/>
    <w:multiLevelType w:val="hybridMultilevel"/>
    <w:tmpl w:val="B374DB26"/>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4779603">
    <w:abstractNumId w:val="1"/>
  </w:num>
  <w:num w:numId="2" w16cid:durableId="1186478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520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3612"/>
    <w:rsid w:val="001B5A3B"/>
    <w:rsid w:val="001C3DEE"/>
    <w:rsid w:val="00204970"/>
    <w:rsid w:val="00310D0E"/>
    <w:rsid w:val="00374C30"/>
    <w:rsid w:val="00403B1C"/>
    <w:rsid w:val="00416AD8"/>
    <w:rsid w:val="00557675"/>
    <w:rsid w:val="005F3612"/>
    <w:rsid w:val="00600BE2"/>
    <w:rsid w:val="00616DC4"/>
    <w:rsid w:val="00673F10"/>
    <w:rsid w:val="006E79FD"/>
    <w:rsid w:val="00767BB6"/>
    <w:rsid w:val="00B509DF"/>
    <w:rsid w:val="00DC23C6"/>
    <w:rsid w:val="00E719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310F27"/>
  <w15:chartTrackingRefBased/>
  <w15:docId w15:val="{91058E44-50BA-4171-9903-C7D4A4A2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36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3612"/>
    <w:pPr>
      <w:tabs>
        <w:tab w:val="center" w:pos="4153"/>
        <w:tab w:val="right" w:pos="8306"/>
      </w:tabs>
    </w:pPr>
  </w:style>
  <w:style w:type="character" w:customStyle="1" w:styleId="a4">
    <w:name w:val="כותרת עליונה תו"/>
    <w:link w:val="a3"/>
    <w:rsid w:val="005F3612"/>
    <w:rPr>
      <w:rFonts w:ascii="Times New Roman" w:eastAsia="Times New Roman" w:hAnsi="Times New Roman" w:cs="David"/>
      <w:sz w:val="24"/>
      <w:szCs w:val="24"/>
    </w:rPr>
  </w:style>
  <w:style w:type="paragraph" w:styleId="a5">
    <w:name w:val="footer"/>
    <w:basedOn w:val="a"/>
    <w:link w:val="a6"/>
    <w:rsid w:val="005F3612"/>
    <w:pPr>
      <w:tabs>
        <w:tab w:val="center" w:pos="4153"/>
        <w:tab w:val="right" w:pos="8306"/>
      </w:tabs>
    </w:pPr>
  </w:style>
  <w:style w:type="character" w:customStyle="1" w:styleId="a6">
    <w:name w:val="כותרת תחתונה תו"/>
    <w:link w:val="a5"/>
    <w:rsid w:val="005F3612"/>
    <w:rPr>
      <w:rFonts w:ascii="Times New Roman" w:eastAsia="Times New Roman" w:hAnsi="Times New Roman" w:cs="David"/>
      <w:sz w:val="24"/>
      <w:szCs w:val="24"/>
    </w:rPr>
  </w:style>
  <w:style w:type="table" w:styleId="a7">
    <w:name w:val="Table Grid"/>
    <w:basedOn w:val="a1"/>
    <w:rsid w:val="005F36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3612"/>
    <w:rPr>
      <w:noProof w:val="0"/>
    </w:rPr>
  </w:style>
  <w:style w:type="paragraph" w:styleId="a9">
    <w:name w:val="List Paragraph"/>
    <w:basedOn w:val="a"/>
    <w:qFormat/>
    <w:rsid w:val="005F3612"/>
    <w:pPr>
      <w:ind w:left="720"/>
      <w:contextualSpacing/>
    </w:pPr>
  </w:style>
  <w:style w:type="paragraph" w:customStyle="1" w:styleId="p00">
    <w:name w:val="p00"/>
    <w:basedOn w:val="a"/>
    <w:rsid w:val="005F3612"/>
    <w:pPr>
      <w:bidi w:val="0"/>
      <w:spacing w:before="100" w:beforeAutospacing="1" w:after="100" w:afterAutospacing="1"/>
    </w:pPr>
    <w:rPr>
      <w:rFonts w:cs="Times New Roman"/>
    </w:rPr>
  </w:style>
  <w:style w:type="paragraph" w:customStyle="1" w:styleId="p11">
    <w:name w:val="p11"/>
    <w:basedOn w:val="a"/>
    <w:rsid w:val="005F3612"/>
    <w:pPr>
      <w:bidi w:val="0"/>
      <w:spacing w:before="100" w:beforeAutospacing="1" w:after="100" w:afterAutospacing="1"/>
    </w:pPr>
    <w:rPr>
      <w:rFonts w:cs="Times New Roman"/>
    </w:rPr>
  </w:style>
  <w:style w:type="character" w:customStyle="1" w:styleId="default">
    <w:name w:val="default"/>
    <w:rsid w:val="005F3612"/>
    <w:rPr>
      <w:noProof w:val="0"/>
    </w:rPr>
  </w:style>
  <w:style w:type="character" w:styleId="aa">
    <w:name w:val="line number"/>
    <w:rsid w:val="005F3612"/>
  </w:style>
  <w:style w:type="character" w:styleId="Hyperlink">
    <w:name w:val="Hyperlink"/>
    <w:rsid w:val="006E7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5108043" TargetMode="External"/><Relationship Id="rId39" Type="http://schemas.openxmlformats.org/officeDocument/2006/relationships/header" Target="header2.xml"/><Relationship Id="rId21" Type="http://schemas.openxmlformats.org/officeDocument/2006/relationships/hyperlink" Target="http://www.nevo.co.il/case/5698919" TargetMode="External"/><Relationship Id="rId34" Type="http://schemas.openxmlformats.org/officeDocument/2006/relationships/hyperlink" Target="http://www.nevo.co.il/law/127622" TargetMode="External"/><Relationship Id="rId42" Type="http://schemas.openxmlformats.org/officeDocument/2006/relationships/fontTable" Target="fontTable.xml"/><Relationship Id="rId7" Type="http://schemas.openxmlformats.org/officeDocument/2006/relationships/hyperlink" Target="http://www.nevo.co.il/case/28649643"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70301" TargetMode="External"/><Relationship Id="rId29" Type="http://schemas.openxmlformats.org/officeDocument/2006/relationships/hyperlink" Target="http://www.nevo.co.il/law/4216/36a.a.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a.1" TargetMode="External"/><Relationship Id="rId24" Type="http://schemas.openxmlformats.org/officeDocument/2006/relationships/hyperlink" Target="http://www.nevo.co.il/case/7012287" TargetMode="External"/><Relationship Id="rId32" Type="http://schemas.openxmlformats.org/officeDocument/2006/relationships/hyperlink" Target="http://www.nevo.co.il/law/421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127622" TargetMode="External"/><Relationship Id="rId23" Type="http://schemas.openxmlformats.org/officeDocument/2006/relationships/hyperlink" Target="http://www.nevo.co.il/case/21827077" TargetMode="External"/><Relationship Id="rId28" Type="http://schemas.openxmlformats.org/officeDocument/2006/relationships/hyperlink" Target="http://www.nevo.co.il/law/70301" TargetMode="External"/><Relationship Id="rId36" Type="http://schemas.openxmlformats.org/officeDocument/2006/relationships/hyperlink" Target="http://www.nevo.co.il/law/127622"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27399528"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6318040" TargetMode="External"/><Relationship Id="rId27" Type="http://schemas.openxmlformats.org/officeDocument/2006/relationships/hyperlink" Target="http://www.nevo.co.il/law/70301/40i"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7675273" TargetMode="External"/><Relationship Id="rId33" Type="http://schemas.openxmlformats.org/officeDocument/2006/relationships/hyperlink" Target="http://www.nevo.co.il/law/421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2880</Words>
  <Characters>14405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17251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4980820</vt:i4>
      </vt:variant>
      <vt:variant>
        <vt:i4>87</vt:i4>
      </vt:variant>
      <vt:variant>
        <vt:i4>0</vt:i4>
      </vt:variant>
      <vt:variant>
        <vt:i4>5</vt:i4>
      </vt:variant>
      <vt:variant>
        <vt:lpwstr>http://www.nevo.co.il/law/127622</vt:lpwstr>
      </vt:variant>
      <vt:variant>
        <vt:lpwstr/>
      </vt:variant>
      <vt:variant>
        <vt:i4>8257637</vt:i4>
      </vt:variant>
      <vt:variant>
        <vt:i4>84</vt:i4>
      </vt:variant>
      <vt:variant>
        <vt:i4>0</vt:i4>
      </vt:variant>
      <vt:variant>
        <vt:i4>5</vt:i4>
      </vt:variant>
      <vt:variant>
        <vt:lpwstr>http://www.nevo.co.il/law/4216</vt:lpwstr>
      </vt:variant>
      <vt:variant>
        <vt:lpwstr/>
      </vt:variant>
      <vt:variant>
        <vt:i4>4980820</vt:i4>
      </vt:variant>
      <vt:variant>
        <vt:i4>81</vt:i4>
      </vt:variant>
      <vt:variant>
        <vt:i4>0</vt:i4>
      </vt:variant>
      <vt:variant>
        <vt:i4>5</vt:i4>
      </vt:variant>
      <vt:variant>
        <vt:lpwstr>http://www.nevo.co.il/law/127622</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3801215</vt:i4>
      </vt:variant>
      <vt:variant>
        <vt:i4>72</vt:i4>
      </vt:variant>
      <vt:variant>
        <vt:i4>0</vt:i4>
      </vt:variant>
      <vt:variant>
        <vt:i4>5</vt:i4>
      </vt:variant>
      <vt:variant>
        <vt:lpwstr>http://www.nevo.co.il/case/27399528</vt:lpwstr>
      </vt:variant>
      <vt:variant>
        <vt:lpwstr/>
      </vt:variant>
      <vt:variant>
        <vt:i4>8257637</vt:i4>
      </vt:variant>
      <vt:variant>
        <vt:i4>69</vt:i4>
      </vt:variant>
      <vt:variant>
        <vt:i4>0</vt:i4>
      </vt:variant>
      <vt:variant>
        <vt:i4>5</vt:i4>
      </vt:variant>
      <vt:variant>
        <vt:lpwstr>http://www.nevo.co.il/law/4216</vt:lpwstr>
      </vt:variant>
      <vt:variant>
        <vt:lpwstr/>
      </vt:variant>
      <vt:variant>
        <vt:i4>8126588</vt:i4>
      </vt:variant>
      <vt:variant>
        <vt:i4>66</vt:i4>
      </vt:variant>
      <vt:variant>
        <vt:i4>0</vt:i4>
      </vt:variant>
      <vt:variant>
        <vt:i4>5</vt:i4>
      </vt:variant>
      <vt:variant>
        <vt:lpwstr>http://www.nevo.co.il/law/4216/36a.a.1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4128881</vt:i4>
      </vt:variant>
      <vt:variant>
        <vt:i4>57</vt:i4>
      </vt:variant>
      <vt:variant>
        <vt:i4>0</vt:i4>
      </vt:variant>
      <vt:variant>
        <vt:i4>5</vt:i4>
      </vt:variant>
      <vt:variant>
        <vt:lpwstr>http://www.nevo.co.il/case/25108043</vt:lpwstr>
      </vt:variant>
      <vt:variant>
        <vt:lpwstr/>
      </vt:variant>
      <vt:variant>
        <vt:i4>3539062</vt:i4>
      </vt:variant>
      <vt:variant>
        <vt:i4>54</vt:i4>
      </vt:variant>
      <vt:variant>
        <vt:i4>0</vt:i4>
      </vt:variant>
      <vt:variant>
        <vt:i4>5</vt:i4>
      </vt:variant>
      <vt:variant>
        <vt:lpwstr>http://www.nevo.co.il/case/27675273</vt:lpwstr>
      </vt:variant>
      <vt:variant>
        <vt:lpwstr/>
      </vt:variant>
      <vt:variant>
        <vt:i4>3342462</vt:i4>
      </vt:variant>
      <vt:variant>
        <vt:i4>51</vt:i4>
      </vt:variant>
      <vt:variant>
        <vt:i4>0</vt:i4>
      </vt:variant>
      <vt:variant>
        <vt:i4>5</vt:i4>
      </vt:variant>
      <vt:variant>
        <vt:lpwstr>http://www.nevo.co.il/case/7012287</vt:lpwstr>
      </vt:variant>
      <vt:variant>
        <vt:lpwstr/>
      </vt:variant>
      <vt:variant>
        <vt:i4>3801207</vt:i4>
      </vt:variant>
      <vt:variant>
        <vt:i4>48</vt:i4>
      </vt:variant>
      <vt:variant>
        <vt:i4>0</vt:i4>
      </vt:variant>
      <vt:variant>
        <vt:i4>5</vt:i4>
      </vt:variant>
      <vt:variant>
        <vt:lpwstr>http://www.nevo.co.il/case/21827077</vt:lpwstr>
      </vt:variant>
      <vt:variant>
        <vt:lpwstr/>
      </vt:variant>
      <vt:variant>
        <vt:i4>3997811</vt:i4>
      </vt:variant>
      <vt:variant>
        <vt:i4>45</vt:i4>
      </vt:variant>
      <vt:variant>
        <vt:i4>0</vt:i4>
      </vt:variant>
      <vt:variant>
        <vt:i4>5</vt:i4>
      </vt:variant>
      <vt:variant>
        <vt:lpwstr>http://www.nevo.co.il/case/26318040</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4980820</vt:i4>
      </vt:variant>
      <vt:variant>
        <vt:i4>24</vt:i4>
      </vt:variant>
      <vt:variant>
        <vt:i4>0</vt:i4>
      </vt:variant>
      <vt:variant>
        <vt:i4>5</vt:i4>
      </vt:variant>
      <vt:variant>
        <vt:lpwstr>http://www.nevo.co.il/law/127622</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8126588</vt:i4>
      </vt:variant>
      <vt:variant>
        <vt:i4>12</vt:i4>
      </vt:variant>
      <vt:variant>
        <vt:i4>0</vt:i4>
      </vt:variant>
      <vt:variant>
        <vt:i4>5</vt:i4>
      </vt:variant>
      <vt:variant>
        <vt:lpwstr>http://www.nevo.co.il/law/4216/36a.a.1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3735678</vt:i4>
      </vt:variant>
      <vt:variant>
        <vt:i4>0</vt:i4>
      </vt:variant>
      <vt:variant>
        <vt:i4>0</vt:i4>
      </vt:variant>
      <vt:variant>
        <vt:i4>5</vt:i4>
      </vt:variant>
      <vt:variant>
        <vt:lpwstr>http://www.nevo.co.il/case/28649643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2025-04-23T01:29:00Z</dcterms:created>
  <dcterms:modified xsi:type="dcterms:W3CDTF">2025-04-23T01:29:00Z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64772</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 תביעות נגב</vt:lpwstr>
  </property>
  <property fmtid="{D5CDD505-2E9C-101B-9397-08002B2CF9AE}" pid="9" name="APPELLEE">
    <vt:lpwstr>אדיב אבו בלאל</vt:lpwstr>
  </property>
  <property fmtid="{D5CDD505-2E9C-101B-9397-08002B2CF9AE}" pid="10" name="LAWYER">
    <vt:lpwstr>עדי יזרעאלי;גנית אטיאס;שני מורן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20230706</vt:lpwstr>
  </property>
  <property fmtid="{D5CDD505-2E9C-101B-9397-08002B2CF9AE}" pid="14" name="TYPE_N_DATE">
    <vt:lpwstr>38020230706</vt:lpwstr>
  </property>
  <property fmtid="{D5CDD505-2E9C-101B-9397-08002B2CF9AE}" pid="15" name="WORDNUMPAGES">
    <vt:lpwstr>11</vt:lpwstr>
  </property>
  <property fmtid="{D5CDD505-2E9C-101B-9397-08002B2CF9AE}" pid="16" name="TYPE_ABS_DATE">
    <vt:lpwstr>380020230706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28649643;5698919;26318040;21827077;7012287;27675273;25108043;27399528</vt:lpwstr>
  </property>
  <property fmtid="{D5CDD505-2E9C-101B-9397-08002B2CF9AE}" pid="36" name="LAWLISTTMP1">
    <vt:lpwstr>4216/013;019a;036a.a.1</vt:lpwstr>
  </property>
  <property fmtid="{D5CDD505-2E9C-101B-9397-08002B2CF9AE}" pid="37" name="LAWLISTTMP2">
    <vt:lpwstr>70301/025;040i</vt:lpwstr>
  </property>
  <property fmtid="{D5CDD505-2E9C-101B-9397-08002B2CF9AE}" pid="38" name="LAWLISTTMP3">
    <vt:lpwstr>127622:2</vt:lpwstr>
  </property>
</Properties>
</file>