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A69B1" w:rsidRPr="001721EF" w14:paraId="7D512909" w14:textId="77777777" w:rsidTr="00EA3A1E">
        <w:trPr>
          <w:trHeight w:hRule="exact" w:val="418"/>
          <w:jc w:val="center"/>
        </w:trPr>
        <w:tc>
          <w:tcPr>
            <w:tcW w:w="8721" w:type="dxa"/>
            <w:gridSpan w:val="2"/>
          </w:tcPr>
          <w:p w14:paraId="4E5A67E9" w14:textId="77777777" w:rsidR="009A69B1" w:rsidRPr="001721EF" w:rsidRDefault="009A69B1" w:rsidP="002E3CE8">
            <w:pPr>
              <w:pStyle w:val="a3"/>
              <w:jc w:val="center"/>
              <w:rPr>
                <w:rFonts w:ascii="Tahoma" w:hAnsi="Tahoma" w:cs="Tahoma"/>
                <w:color w:val="000080"/>
                <w:rtl/>
              </w:rPr>
            </w:pPr>
            <w:bookmarkStart w:id="0" w:name="LastJudge"/>
            <w:r w:rsidRPr="001721EF">
              <w:rPr>
                <w:rFonts w:ascii="Tahoma" w:hAnsi="Tahoma" w:cs="Tahoma"/>
                <w:b/>
                <w:bCs/>
                <w:color w:val="000080"/>
                <w:rtl/>
              </w:rPr>
              <w:t>בית משפט השלום בירושלים</w:t>
            </w:r>
          </w:p>
        </w:tc>
      </w:tr>
      <w:tr w:rsidR="009A69B1" w:rsidRPr="001721EF" w14:paraId="2D2E9D5A" w14:textId="77777777" w:rsidTr="00EA3A1E">
        <w:trPr>
          <w:trHeight w:val="337"/>
          <w:jc w:val="center"/>
        </w:trPr>
        <w:tc>
          <w:tcPr>
            <w:tcW w:w="5054" w:type="dxa"/>
          </w:tcPr>
          <w:p w14:paraId="2DA044D8" w14:textId="77777777" w:rsidR="009A69B1" w:rsidRPr="001721EF" w:rsidRDefault="009A69B1" w:rsidP="002E3CE8">
            <w:pPr>
              <w:rPr>
                <w:rFonts w:cs="FrankRuehl"/>
                <w:sz w:val="28"/>
                <w:szCs w:val="28"/>
                <w:rtl/>
              </w:rPr>
            </w:pPr>
            <w:r w:rsidRPr="001721EF">
              <w:rPr>
                <w:rFonts w:cs="FrankRuehl"/>
                <w:sz w:val="28"/>
                <w:szCs w:val="28"/>
                <w:rtl/>
              </w:rPr>
              <w:t>ת"פ</w:t>
            </w:r>
            <w:r w:rsidRPr="001721EF">
              <w:rPr>
                <w:rFonts w:cs="FrankRuehl" w:hint="cs"/>
                <w:sz w:val="28"/>
                <w:szCs w:val="28"/>
                <w:rtl/>
              </w:rPr>
              <w:t xml:space="preserve"> </w:t>
            </w:r>
            <w:r w:rsidRPr="001721EF">
              <w:rPr>
                <w:rFonts w:cs="FrankRuehl"/>
                <w:sz w:val="28"/>
                <w:szCs w:val="28"/>
                <w:rtl/>
              </w:rPr>
              <w:t>1852-06-22</w:t>
            </w:r>
            <w:r w:rsidRPr="001721EF">
              <w:rPr>
                <w:rFonts w:cs="FrankRuehl" w:hint="cs"/>
                <w:sz w:val="28"/>
                <w:szCs w:val="28"/>
                <w:rtl/>
              </w:rPr>
              <w:t xml:space="preserve"> </w:t>
            </w:r>
            <w:r w:rsidRPr="001721EF">
              <w:rPr>
                <w:rFonts w:cs="FrankRuehl"/>
                <w:sz w:val="28"/>
                <w:szCs w:val="28"/>
                <w:rtl/>
              </w:rPr>
              <w:t>מדינת ישראל נ' נשר</w:t>
            </w:r>
          </w:p>
          <w:p w14:paraId="787DCEA2" w14:textId="77777777" w:rsidR="009A69B1" w:rsidRPr="001721EF" w:rsidRDefault="009A69B1" w:rsidP="002E3CE8">
            <w:pPr>
              <w:pStyle w:val="a3"/>
              <w:rPr>
                <w:rFonts w:cs="FrankRuehl"/>
                <w:sz w:val="28"/>
                <w:szCs w:val="28"/>
                <w:rtl/>
              </w:rPr>
            </w:pPr>
          </w:p>
        </w:tc>
        <w:tc>
          <w:tcPr>
            <w:tcW w:w="3667" w:type="dxa"/>
          </w:tcPr>
          <w:p w14:paraId="0D6D1796" w14:textId="77777777" w:rsidR="009A69B1" w:rsidRPr="001721EF" w:rsidRDefault="009A69B1" w:rsidP="002E3CE8">
            <w:pPr>
              <w:pStyle w:val="a3"/>
              <w:jc w:val="right"/>
              <w:rPr>
                <w:rFonts w:cs="FrankRuehl"/>
                <w:sz w:val="28"/>
                <w:szCs w:val="28"/>
                <w:rtl/>
              </w:rPr>
            </w:pPr>
          </w:p>
        </w:tc>
      </w:tr>
    </w:tbl>
    <w:p w14:paraId="70574096" w14:textId="77777777" w:rsidR="009A69B1" w:rsidRPr="001721EF" w:rsidRDefault="009A69B1" w:rsidP="009A69B1">
      <w:pPr>
        <w:pStyle w:val="a3"/>
        <w:rPr>
          <w:rtl/>
        </w:rPr>
      </w:pPr>
      <w:r w:rsidRPr="001721EF">
        <w:rPr>
          <w:rFonts w:hint="cs"/>
          <w:rtl/>
        </w:rPr>
        <w:t xml:space="preserve"> </w:t>
      </w:r>
    </w:p>
    <w:p w14:paraId="5E55B1DA" w14:textId="77777777" w:rsidR="009A69B1" w:rsidRPr="001721EF" w:rsidRDefault="009A69B1" w:rsidP="009A69B1">
      <w:pPr>
        <w:rPr>
          <w:rtl/>
        </w:rPr>
      </w:pPr>
    </w:p>
    <w:p w14:paraId="1894DFAD" w14:textId="77777777" w:rsidR="009A69B1" w:rsidRPr="001721EF" w:rsidRDefault="009A69B1" w:rsidP="009A69B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A69B1" w:rsidRPr="001721EF" w14:paraId="6D329462" w14:textId="77777777" w:rsidTr="009A69B1">
        <w:trPr>
          <w:trHeight w:val="295"/>
          <w:jc w:val="center"/>
        </w:trPr>
        <w:tc>
          <w:tcPr>
            <w:tcW w:w="923" w:type="dxa"/>
            <w:tcBorders>
              <w:top w:val="nil"/>
              <w:left w:val="nil"/>
              <w:bottom w:val="nil"/>
              <w:right w:val="nil"/>
            </w:tcBorders>
            <w:shd w:val="clear" w:color="auto" w:fill="auto"/>
          </w:tcPr>
          <w:p w14:paraId="22559D68" w14:textId="77777777" w:rsidR="009A69B1" w:rsidRPr="001721EF" w:rsidRDefault="009A69B1" w:rsidP="009A69B1">
            <w:pPr>
              <w:jc w:val="both"/>
              <w:rPr>
                <w:rFonts w:ascii="David" w:hAnsi="David"/>
              </w:rPr>
            </w:pPr>
            <w:r w:rsidRPr="001721EF">
              <w:rPr>
                <w:rFonts w:ascii="David" w:hAnsi="David"/>
                <w:rtl/>
              </w:rPr>
              <w:t xml:space="preserve">בפני </w:t>
            </w:r>
          </w:p>
        </w:tc>
        <w:tc>
          <w:tcPr>
            <w:tcW w:w="7897" w:type="dxa"/>
            <w:gridSpan w:val="2"/>
            <w:tcBorders>
              <w:top w:val="nil"/>
              <w:left w:val="nil"/>
              <w:bottom w:val="nil"/>
              <w:right w:val="nil"/>
            </w:tcBorders>
            <w:shd w:val="clear" w:color="auto" w:fill="auto"/>
          </w:tcPr>
          <w:p w14:paraId="4984630A" w14:textId="77777777" w:rsidR="009A69B1" w:rsidRPr="001721EF" w:rsidRDefault="009A69B1" w:rsidP="002E3CE8">
            <w:pPr>
              <w:rPr>
                <w:rFonts w:ascii="David" w:hAnsi="David"/>
                <w:b/>
                <w:bCs/>
                <w:rtl/>
              </w:rPr>
            </w:pPr>
            <w:r w:rsidRPr="001721EF">
              <w:rPr>
                <w:rFonts w:ascii="David" w:hAnsi="David"/>
                <w:b/>
                <w:bCs/>
                <w:rtl/>
              </w:rPr>
              <w:t>כבוד השופט  ארנון איתן</w:t>
            </w:r>
          </w:p>
          <w:p w14:paraId="76D862AD" w14:textId="77777777" w:rsidR="009A69B1" w:rsidRPr="001721EF" w:rsidRDefault="009A69B1" w:rsidP="002E3CE8">
            <w:pPr>
              <w:rPr>
                <w:rFonts w:ascii="David" w:hAnsi="David"/>
                <w:rtl/>
              </w:rPr>
            </w:pPr>
          </w:p>
          <w:p w14:paraId="664E8433" w14:textId="77777777" w:rsidR="009A69B1" w:rsidRPr="001721EF" w:rsidRDefault="009A69B1" w:rsidP="009A69B1">
            <w:pPr>
              <w:jc w:val="both"/>
              <w:rPr>
                <w:rFonts w:ascii="David" w:hAnsi="David"/>
              </w:rPr>
            </w:pPr>
          </w:p>
        </w:tc>
      </w:tr>
      <w:tr w:rsidR="009A69B1" w:rsidRPr="001721EF" w14:paraId="3B2B3C35" w14:textId="77777777" w:rsidTr="009A69B1">
        <w:trPr>
          <w:trHeight w:val="355"/>
          <w:jc w:val="center"/>
        </w:trPr>
        <w:tc>
          <w:tcPr>
            <w:tcW w:w="923" w:type="dxa"/>
            <w:tcBorders>
              <w:top w:val="nil"/>
              <w:left w:val="nil"/>
              <w:bottom w:val="nil"/>
              <w:right w:val="nil"/>
            </w:tcBorders>
            <w:shd w:val="clear" w:color="auto" w:fill="auto"/>
          </w:tcPr>
          <w:p w14:paraId="4873571B" w14:textId="77777777" w:rsidR="009A69B1" w:rsidRPr="001721EF" w:rsidRDefault="009A69B1" w:rsidP="009A69B1">
            <w:pPr>
              <w:jc w:val="both"/>
              <w:rPr>
                <w:rFonts w:ascii="David" w:hAnsi="David"/>
              </w:rPr>
            </w:pPr>
            <w:bookmarkStart w:id="1" w:name="FirstAppellant"/>
            <w:r w:rsidRPr="001721EF">
              <w:rPr>
                <w:rFonts w:ascii="David" w:hAnsi="David"/>
                <w:rtl/>
              </w:rPr>
              <w:t>בעניין:</w:t>
            </w:r>
          </w:p>
        </w:tc>
        <w:tc>
          <w:tcPr>
            <w:tcW w:w="3219" w:type="dxa"/>
            <w:tcBorders>
              <w:top w:val="nil"/>
              <w:left w:val="nil"/>
              <w:bottom w:val="nil"/>
              <w:right w:val="nil"/>
            </w:tcBorders>
            <w:shd w:val="clear" w:color="auto" w:fill="auto"/>
          </w:tcPr>
          <w:p w14:paraId="0BE1890B" w14:textId="77777777" w:rsidR="009A69B1" w:rsidRPr="001721EF" w:rsidRDefault="009A69B1" w:rsidP="009A69B1">
            <w:pPr>
              <w:suppressLineNumbers/>
            </w:pPr>
            <w:r w:rsidRPr="001721EF">
              <w:rPr>
                <w:rFonts w:ascii="Arial" w:hAnsi="Arial" w:hint="cs"/>
                <w:b/>
                <w:bCs/>
                <w:rtl/>
              </w:rPr>
              <w:t>ה</w:t>
            </w:r>
            <w:r w:rsidRPr="001721EF">
              <w:rPr>
                <w:rFonts w:ascii="Arial" w:hAnsi="Arial"/>
                <w:b/>
                <w:bCs/>
                <w:rtl/>
              </w:rPr>
              <w:t>מאשימה</w:t>
            </w:r>
          </w:p>
          <w:p w14:paraId="6653237D" w14:textId="77777777" w:rsidR="009A69B1" w:rsidRPr="001721EF" w:rsidRDefault="009A69B1" w:rsidP="002E3CE8">
            <w:pPr>
              <w:rPr>
                <w:rFonts w:ascii="David" w:hAnsi="David"/>
              </w:rPr>
            </w:pPr>
          </w:p>
        </w:tc>
        <w:tc>
          <w:tcPr>
            <w:tcW w:w="4678" w:type="dxa"/>
            <w:tcBorders>
              <w:top w:val="nil"/>
              <w:left w:val="nil"/>
              <w:bottom w:val="nil"/>
              <w:right w:val="nil"/>
            </w:tcBorders>
            <w:shd w:val="clear" w:color="auto" w:fill="auto"/>
            <w:vAlign w:val="center"/>
          </w:tcPr>
          <w:p w14:paraId="1E8570F7" w14:textId="77777777" w:rsidR="009A69B1" w:rsidRPr="001721EF" w:rsidRDefault="009A69B1" w:rsidP="009A69B1">
            <w:pPr>
              <w:suppressLineNumbers/>
              <w:rPr>
                <w:rFonts w:ascii="Arial" w:hAnsi="Arial"/>
                <w:b/>
                <w:bCs/>
                <w:rtl/>
              </w:rPr>
            </w:pPr>
            <w:r w:rsidRPr="001721EF">
              <w:rPr>
                <w:rFonts w:ascii="Arial" w:hAnsi="Arial"/>
                <w:b/>
                <w:bCs/>
                <w:rtl/>
              </w:rPr>
              <w:t>מדינת ישראל</w:t>
            </w:r>
            <w:r w:rsidRPr="001721EF">
              <w:rPr>
                <w:rFonts w:ascii="Arial" w:hAnsi="Arial" w:hint="cs"/>
                <w:b/>
                <w:bCs/>
                <w:rtl/>
              </w:rPr>
              <w:t xml:space="preserve"> </w:t>
            </w:r>
          </w:p>
          <w:p w14:paraId="004B858E" w14:textId="77777777" w:rsidR="009A69B1" w:rsidRPr="001721EF" w:rsidRDefault="009A69B1" w:rsidP="009A69B1">
            <w:pPr>
              <w:suppressLineNumbers/>
            </w:pPr>
            <w:r w:rsidRPr="001721EF">
              <w:rPr>
                <w:rFonts w:ascii="Arial" w:hAnsi="Arial"/>
                <w:rtl/>
              </w:rPr>
              <w:t xml:space="preserve">ע"י </w:t>
            </w:r>
            <w:r w:rsidRPr="001721EF">
              <w:rPr>
                <w:rFonts w:ascii="Arial" w:hAnsi="Arial" w:hint="cs"/>
                <w:rtl/>
              </w:rPr>
              <w:t>יחידת תביעות מחוז ירושלים</w:t>
            </w:r>
          </w:p>
          <w:p w14:paraId="6C4F598C" w14:textId="77777777" w:rsidR="009A69B1" w:rsidRPr="001721EF" w:rsidRDefault="009A69B1" w:rsidP="002E3CE8">
            <w:pPr>
              <w:rPr>
                <w:rFonts w:ascii="David" w:hAnsi="David"/>
              </w:rPr>
            </w:pPr>
          </w:p>
        </w:tc>
      </w:tr>
      <w:bookmarkEnd w:id="1"/>
      <w:tr w:rsidR="009A69B1" w:rsidRPr="001721EF" w14:paraId="74E71874" w14:textId="77777777" w:rsidTr="009A69B1">
        <w:trPr>
          <w:trHeight w:val="355"/>
          <w:jc w:val="center"/>
        </w:trPr>
        <w:tc>
          <w:tcPr>
            <w:tcW w:w="923" w:type="dxa"/>
            <w:tcBorders>
              <w:top w:val="nil"/>
              <w:left w:val="nil"/>
              <w:bottom w:val="nil"/>
              <w:right w:val="nil"/>
            </w:tcBorders>
            <w:shd w:val="clear" w:color="auto" w:fill="auto"/>
          </w:tcPr>
          <w:p w14:paraId="04B19825" w14:textId="77777777" w:rsidR="009A69B1" w:rsidRPr="001721EF" w:rsidRDefault="009A69B1" w:rsidP="009A69B1">
            <w:pPr>
              <w:jc w:val="both"/>
              <w:rPr>
                <w:rFonts w:ascii="David" w:hAnsi="David"/>
                <w:rtl/>
              </w:rPr>
            </w:pPr>
          </w:p>
        </w:tc>
        <w:tc>
          <w:tcPr>
            <w:tcW w:w="7897" w:type="dxa"/>
            <w:gridSpan w:val="2"/>
            <w:tcBorders>
              <w:top w:val="nil"/>
              <w:left w:val="nil"/>
              <w:bottom w:val="nil"/>
              <w:right w:val="nil"/>
            </w:tcBorders>
            <w:shd w:val="clear" w:color="auto" w:fill="auto"/>
          </w:tcPr>
          <w:p w14:paraId="2C268395" w14:textId="77777777" w:rsidR="009A69B1" w:rsidRPr="001721EF" w:rsidRDefault="009A69B1" w:rsidP="009A69B1">
            <w:pPr>
              <w:jc w:val="center"/>
              <w:rPr>
                <w:rFonts w:ascii="David" w:hAnsi="David"/>
                <w:b/>
                <w:bCs/>
                <w:rtl/>
              </w:rPr>
            </w:pPr>
          </w:p>
          <w:p w14:paraId="5C92B12F" w14:textId="77777777" w:rsidR="009A69B1" w:rsidRPr="001721EF" w:rsidRDefault="009A69B1" w:rsidP="009A69B1">
            <w:pPr>
              <w:jc w:val="center"/>
              <w:rPr>
                <w:rFonts w:ascii="David" w:hAnsi="David"/>
                <w:b/>
                <w:bCs/>
                <w:rtl/>
              </w:rPr>
            </w:pPr>
            <w:r w:rsidRPr="001721EF">
              <w:rPr>
                <w:rFonts w:ascii="David" w:hAnsi="David"/>
                <w:b/>
                <w:bCs/>
                <w:rtl/>
              </w:rPr>
              <w:t>נגד</w:t>
            </w:r>
          </w:p>
          <w:p w14:paraId="02A451E9" w14:textId="77777777" w:rsidR="009A69B1" w:rsidRPr="001721EF" w:rsidRDefault="009A69B1" w:rsidP="009A69B1">
            <w:pPr>
              <w:jc w:val="both"/>
              <w:rPr>
                <w:rFonts w:ascii="David" w:hAnsi="David"/>
              </w:rPr>
            </w:pPr>
          </w:p>
        </w:tc>
      </w:tr>
      <w:tr w:rsidR="009A69B1" w:rsidRPr="001721EF" w14:paraId="5878076A" w14:textId="77777777" w:rsidTr="009A69B1">
        <w:trPr>
          <w:trHeight w:val="355"/>
          <w:jc w:val="center"/>
        </w:trPr>
        <w:tc>
          <w:tcPr>
            <w:tcW w:w="923" w:type="dxa"/>
            <w:tcBorders>
              <w:top w:val="nil"/>
              <w:left w:val="nil"/>
              <w:bottom w:val="nil"/>
              <w:right w:val="nil"/>
            </w:tcBorders>
            <w:shd w:val="clear" w:color="auto" w:fill="auto"/>
          </w:tcPr>
          <w:p w14:paraId="60A21EEA" w14:textId="77777777" w:rsidR="009A69B1" w:rsidRPr="001721EF" w:rsidRDefault="009A69B1" w:rsidP="002E3CE8">
            <w:pPr>
              <w:rPr>
                <w:rFonts w:ascii="David" w:hAnsi="David"/>
                <w:rtl/>
              </w:rPr>
            </w:pPr>
            <w:bookmarkStart w:id="2" w:name="FirstLawyer"/>
          </w:p>
        </w:tc>
        <w:tc>
          <w:tcPr>
            <w:tcW w:w="3219" w:type="dxa"/>
            <w:tcBorders>
              <w:top w:val="nil"/>
              <w:left w:val="nil"/>
              <w:bottom w:val="nil"/>
              <w:right w:val="nil"/>
            </w:tcBorders>
            <w:shd w:val="clear" w:color="auto" w:fill="auto"/>
          </w:tcPr>
          <w:p w14:paraId="4688E2D4" w14:textId="77777777" w:rsidR="009A69B1" w:rsidRPr="001721EF" w:rsidRDefault="009A69B1" w:rsidP="002E3CE8">
            <w:pPr>
              <w:rPr>
                <w:rFonts w:ascii="Arial" w:hAnsi="Arial"/>
                <w:b/>
                <w:bCs/>
                <w:rtl/>
              </w:rPr>
            </w:pPr>
            <w:r w:rsidRPr="001721EF">
              <w:rPr>
                <w:rFonts w:ascii="Arial" w:hAnsi="Arial"/>
                <w:b/>
                <w:bCs/>
                <w:rtl/>
              </w:rPr>
              <w:t>הנאשם</w:t>
            </w:r>
          </w:p>
        </w:tc>
        <w:tc>
          <w:tcPr>
            <w:tcW w:w="4678" w:type="dxa"/>
            <w:tcBorders>
              <w:top w:val="nil"/>
              <w:left w:val="nil"/>
              <w:bottom w:val="nil"/>
              <w:right w:val="nil"/>
            </w:tcBorders>
            <w:shd w:val="clear" w:color="auto" w:fill="auto"/>
            <w:vAlign w:val="center"/>
          </w:tcPr>
          <w:p w14:paraId="0C72C778" w14:textId="77777777" w:rsidR="009A69B1" w:rsidRPr="001721EF" w:rsidRDefault="009A69B1" w:rsidP="009A69B1">
            <w:pPr>
              <w:suppressLineNumbers/>
              <w:rPr>
                <w:rFonts w:ascii="Arial" w:hAnsi="Arial"/>
                <w:b/>
                <w:bCs/>
                <w:rtl/>
              </w:rPr>
            </w:pPr>
            <w:r w:rsidRPr="001721EF">
              <w:rPr>
                <w:rFonts w:ascii="Arial" w:hAnsi="Arial"/>
                <w:b/>
                <w:bCs/>
                <w:rtl/>
              </w:rPr>
              <w:t>יואב קרילובצקי נשר</w:t>
            </w:r>
            <w:r w:rsidRPr="001721EF">
              <w:rPr>
                <w:rFonts w:ascii="Arial" w:hAnsi="Arial" w:hint="cs"/>
                <w:b/>
                <w:bCs/>
                <w:rtl/>
              </w:rPr>
              <w:t xml:space="preserve"> </w:t>
            </w:r>
          </w:p>
          <w:p w14:paraId="2A5B0203" w14:textId="77777777" w:rsidR="009A69B1" w:rsidRPr="001721EF" w:rsidRDefault="009A69B1" w:rsidP="009A69B1">
            <w:pPr>
              <w:suppressLineNumbers/>
            </w:pPr>
            <w:r w:rsidRPr="001721EF">
              <w:rPr>
                <w:rFonts w:ascii="Arial" w:hAnsi="Arial"/>
                <w:rtl/>
              </w:rPr>
              <w:t>ע"י ב"כ עוה"</w:t>
            </w:r>
            <w:r w:rsidRPr="001721EF">
              <w:rPr>
                <w:rFonts w:ascii="Arial" w:hAnsi="Arial" w:hint="cs"/>
                <w:rtl/>
              </w:rPr>
              <w:t>ד מיכאל עירוני</w:t>
            </w:r>
          </w:p>
          <w:p w14:paraId="00690882" w14:textId="77777777" w:rsidR="009A69B1" w:rsidRPr="001721EF" w:rsidRDefault="009A69B1" w:rsidP="002E3CE8">
            <w:pPr>
              <w:rPr>
                <w:rFonts w:ascii="David" w:hAnsi="David"/>
              </w:rPr>
            </w:pPr>
          </w:p>
        </w:tc>
      </w:tr>
      <w:bookmarkEnd w:id="2"/>
    </w:tbl>
    <w:p w14:paraId="0FC16373" w14:textId="77777777" w:rsidR="00EC54CE" w:rsidRPr="00EC54CE" w:rsidRDefault="00EC54CE" w:rsidP="00EC54CE">
      <w:pPr>
        <w:spacing w:before="120" w:after="120" w:line="240" w:lineRule="exact"/>
        <w:ind w:left="283" w:hanging="283"/>
        <w:jc w:val="both"/>
        <w:rPr>
          <w:rFonts w:ascii="FrankRuehl" w:hAnsi="FrankRuehl" w:cs="FrankRuehl"/>
          <w:rtl/>
        </w:rPr>
      </w:pPr>
    </w:p>
    <w:p w14:paraId="0910F0E6" w14:textId="77777777" w:rsidR="00B821FB" w:rsidRDefault="00B821FB" w:rsidP="00B821FB">
      <w:pPr>
        <w:rPr>
          <w:rtl/>
        </w:rPr>
      </w:pPr>
      <w:bookmarkStart w:id="3" w:name="LawTable"/>
      <w:bookmarkEnd w:id="3"/>
    </w:p>
    <w:p w14:paraId="69F64AEB" w14:textId="77777777" w:rsidR="00B821FB" w:rsidRPr="00B821FB" w:rsidRDefault="00B821FB" w:rsidP="00B821FB">
      <w:pPr>
        <w:spacing w:before="120" w:after="120" w:line="240" w:lineRule="exact"/>
        <w:ind w:left="283" w:hanging="283"/>
        <w:jc w:val="both"/>
        <w:rPr>
          <w:rFonts w:ascii="FrankRuehl" w:hAnsi="FrankRuehl" w:cs="FrankRuehl"/>
          <w:rtl/>
        </w:rPr>
      </w:pPr>
    </w:p>
    <w:p w14:paraId="28A50F63" w14:textId="77777777" w:rsidR="00B821FB" w:rsidRPr="00B821FB" w:rsidRDefault="00B821FB" w:rsidP="00B821FB">
      <w:pPr>
        <w:spacing w:before="120" w:after="120" w:line="240" w:lineRule="exact"/>
        <w:ind w:left="283" w:hanging="283"/>
        <w:jc w:val="both"/>
        <w:rPr>
          <w:rFonts w:ascii="FrankRuehl" w:hAnsi="FrankRuehl" w:cs="FrankRuehl"/>
          <w:rtl/>
        </w:rPr>
      </w:pPr>
    </w:p>
    <w:p w14:paraId="5F4BFFA9" w14:textId="77777777" w:rsidR="00B821FB" w:rsidRPr="00B821FB" w:rsidRDefault="00B821FB" w:rsidP="00B821FB">
      <w:pPr>
        <w:spacing w:before="120" w:after="120" w:line="240" w:lineRule="exact"/>
        <w:ind w:left="283" w:hanging="283"/>
        <w:jc w:val="both"/>
        <w:rPr>
          <w:rFonts w:ascii="FrankRuehl" w:hAnsi="FrankRuehl" w:cs="FrankRuehl"/>
          <w:rtl/>
        </w:rPr>
      </w:pPr>
      <w:r w:rsidRPr="00B821FB">
        <w:rPr>
          <w:rFonts w:ascii="FrankRuehl" w:hAnsi="FrankRuehl" w:cs="FrankRuehl"/>
          <w:rtl/>
        </w:rPr>
        <w:t xml:space="preserve">חקיקה שאוזכרה: </w:t>
      </w:r>
    </w:p>
    <w:p w14:paraId="019BE72A" w14:textId="77777777" w:rsidR="00B821FB" w:rsidRPr="00B821FB" w:rsidRDefault="00B821FB" w:rsidP="00B821FB">
      <w:pPr>
        <w:spacing w:before="120" w:after="120" w:line="240" w:lineRule="exact"/>
        <w:ind w:left="283" w:hanging="283"/>
        <w:jc w:val="both"/>
        <w:rPr>
          <w:rFonts w:ascii="FrankRuehl" w:hAnsi="FrankRuehl" w:cs="FrankRuehl"/>
          <w:rtl/>
        </w:rPr>
      </w:pPr>
      <w:hyperlink r:id="rId7" w:history="1">
        <w:r w:rsidRPr="00B821FB">
          <w:rPr>
            <w:rFonts w:ascii="FrankRuehl" w:hAnsi="FrankRuehl" w:cs="FrankRuehl"/>
            <w:color w:val="0000FF"/>
            <w:rtl/>
          </w:rPr>
          <w:t>חוק העונשין, תשל"ז-1977</w:t>
        </w:r>
      </w:hyperlink>
      <w:r w:rsidRPr="00B821FB">
        <w:rPr>
          <w:rFonts w:ascii="FrankRuehl" w:hAnsi="FrankRuehl" w:cs="FrankRuehl"/>
          <w:rtl/>
        </w:rPr>
        <w:t xml:space="preserve">: סע'  </w:t>
      </w:r>
      <w:hyperlink r:id="rId8" w:history="1">
        <w:r w:rsidRPr="00B821FB">
          <w:rPr>
            <w:rFonts w:ascii="FrankRuehl" w:hAnsi="FrankRuehl" w:cs="FrankRuehl"/>
            <w:color w:val="0000FF"/>
            <w:rtl/>
          </w:rPr>
          <w:t>287(א)</w:t>
        </w:r>
      </w:hyperlink>
    </w:p>
    <w:p w14:paraId="54FFF7E5" w14:textId="77777777" w:rsidR="00B821FB" w:rsidRPr="00B821FB" w:rsidRDefault="00B821FB" w:rsidP="00B821FB">
      <w:pPr>
        <w:spacing w:before="120" w:after="120" w:line="240" w:lineRule="exact"/>
        <w:ind w:left="283" w:hanging="283"/>
        <w:jc w:val="both"/>
        <w:rPr>
          <w:rFonts w:ascii="FrankRuehl" w:hAnsi="FrankRuehl" w:cs="FrankRuehl"/>
          <w:rtl/>
        </w:rPr>
      </w:pPr>
      <w:hyperlink r:id="rId9" w:history="1">
        <w:r w:rsidRPr="00B821FB">
          <w:rPr>
            <w:rFonts w:ascii="FrankRuehl" w:hAnsi="FrankRuehl" w:cs="FrankRuehl"/>
            <w:color w:val="0000FF"/>
            <w:rtl/>
          </w:rPr>
          <w:t>פקודת הסמים המסוכנים [נוסח חדש], תשל"ג-1973</w:t>
        </w:r>
      </w:hyperlink>
      <w:r w:rsidRPr="00B821FB">
        <w:rPr>
          <w:rFonts w:ascii="FrankRuehl" w:hAnsi="FrankRuehl" w:cs="FrankRuehl"/>
          <w:rtl/>
        </w:rPr>
        <w:t xml:space="preserve">: סע'  </w:t>
      </w:r>
      <w:hyperlink r:id="rId10" w:history="1">
        <w:r w:rsidRPr="00B821FB">
          <w:rPr>
            <w:rFonts w:ascii="FrankRuehl" w:hAnsi="FrankRuehl" w:cs="FrankRuehl"/>
            <w:color w:val="0000FF"/>
            <w:rtl/>
          </w:rPr>
          <w:t>7.א.</w:t>
        </w:r>
      </w:hyperlink>
      <w:r w:rsidRPr="00B821FB">
        <w:rPr>
          <w:rFonts w:ascii="FrankRuehl" w:hAnsi="FrankRuehl" w:cs="FrankRuehl"/>
          <w:rtl/>
        </w:rPr>
        <w:t xml:space="preserve">, </w:t>
      </w:r>
      <w:hyperlink r:id="rId11" w:history="1">
        <w:r w:rsidRPr="00B821FB">
          <w:rPr>
            <w:rFonts w:ascii="FrankRuehl" w:hAnsi="FrankRuehl" w:cs="FrankRuehl"/>
            <w:color w:val="0000FF"/>
            <w:rtl/>
          </w:rPr>
          <w:t>7.ג</w:t>
        </w:r>
      </w:hyperlink>
      <w:r w:rsidRPr="00B821FB">
        <w:rPr>
          <w:rFonts w:ascii="FrankRuehl" w:hAnsi="FrankRuehl" w:cs="FrankRuehl"/>
          <w:rtl/>
        </w:rPr>
        <w:t xml:space="preserve">, </w:t>
      </w:r>
      <w:hyperlink r:id="rId12" w:history="1">
        <w:r w:rsidRPr="00B821FB">
          <w:rPr>
            <w:rFonts w:ascii="FrankRuehl" w:hAnsi="FrankRuehl" w:cs="FrankRuehl"/>
            <w:color w:val="0000FF"/>
            <w:rtl/>
          </w:rPr>
          <w:t>13א</w:t>
        </w:r>
      </w:hyperlink>
      <w:r w:rsidRPr="00B821FB">
        <w:rPr>
          <w:rFonts w:ascii="FrankRuehl" w:hAnsi="FrankRuehl" w:cs="FrankRuehl"/>
          <w:rtl/>
        </w:rPr>
        <w:t xml:space="preserve">, </w:t>
      </w:r>
      <w:hyperlink r:id="rId13" w:history="1">
        <w:r w:rsidRPr="00B821FB">
          <w:rPr>
            <w:rFonts w:ascii="FrankRuehl" w:hAnsi="FrankRuehl" w:cs="FrankRuehl"/>
            <w:color w:val="0000FF"/>
            <w:rtl/>
          </w:rPr>
          <w:t>19</w:t>
        </w:r>
      </w:hyperlink>
    </w:p>
    <w:p w14:paraId="7AD5EA86" w14:textId="77777777" w:rsidR="00B821FB" w:rsidRPr="00B821FB" w:rsidRDefault="00B821FB" w:rsidP="00B821FB">
      <w:pPr>
        <w:rPr>
          <w:rtl/>
        </w:rPr>
      </w:pPr>
      <w:bookmarkStart w:id="4" w:name="LawTable_End"/>
      <w:bookmarkEnd w:id="4"/>
    </w:p>
    <w:p w14:paraId="7B931647" w14:textId="77777777" w:rsidR="009A69B1" w:rsidRPr="00EC54CE" w:rsidRDefault="009A69B1" w:rsidP="00EC54C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69B1" w:rsidRPr="00766331" w14:paraId="721A0627" w14:textId="77777777" w:rsidTr="009A69B1">
        <w:trPr>
          <w:trHeight w:val="355"/>
          <w:jc w:val="center"/>
        </w:trPr>
        <w:tc>
          <w:tcPr>
            <w:tcW w:w="8820" w:type="dxa"/>
            <w:tcBorders>
              <w:top w:val="nil"/>
              <w:left w:val="nil"/>
              <w:bottom w:val="nil"/>
              <w:right w:val="nil"/>
            </w:tcBorders>
            <w:shd w:val="clear" w:color="auto" w:fill="auto"/>
          </w:tcPr>
          <w:p w14:paraId="54CAAEE2" w14:textId="77777777" w:rsidR="001721EF" w:rsidRPr="001721EF" w:rsidRDefault="001721EF" w:rsidP="001721EF">
            <w:pPr>
              <w:jc w:val="center"/>
              <w:rPr>
                <w:rFonts w:ascii="David" w:hAnsi="David"/>
                <w:b/>
                <w:bCs/>
                <w:u w:val="single"/>
                <w:rtl/>
              </w:rPr>
            </w:pPr>
            <w:bookmarkStart w:id="5" w:name="PsakDin" w:colFirst="0" w:colLast="0"/>
            <w:bookmarkEnd w:id="0"/>
            <w:r w:rsidRPr="001721EF">
              <w:rPr>
                <w:rFonts w:ascii="David" w:hAnsi="David"/>
                <w:b/>
                <w:bCs/>
                <w:u w:val="single"/>
                <w:rtl/>
              </w:rPr>
              <w:t>גזר דין</w:t>
            </w:r>
          </w:p>
          <w:p w14:paraId="7EA3EF23" w14:textId="77777777" w:rsidR="009A69B1" w:rsidRPr="001721EF" w:rsidRDefault="009A69B1" w:rsidP="001721EF">
            <w:pPr>
              <w:jc w:val="center"/>
              <w:rPr>
                <w:rFonts w:ascii="David" w:hAnsi="David"/>
                <w:bCs/>
                <w:u w:val="single"/>
                <w:rtl/>
              </w:rPr>
            </w:pPr>
          </w:p>
        </w:tc>
      </w:tr>
      <w:bookmarkEnd w:id="5"/>
    </w:tbl>
    <w:p w14:paraId="6B6AEA7F" w14:textId="77777777" w:rsidR="009A69B1" w:rsidRPr="00766331" w:rsidRDefault="009A69B1" w:rsidP="009A69B1">
      <w:pPr>
        <w:rPr>
          <w:rFonts w:ascii="Arial" w:hAnsi="Arial"/>
          <w:b/>
          <w:bCs/>
          <w:rtl/>
        </w:rPr>
      </w:pPr>
    </w:p>
    <w:p w14:paraId="7FB2EC5D" w14:textId="77777777" w:rsidR="009A69B1" w:rsidRPr="00766331" w:rsidRDefault="009A69B1" w:rsidP="009A69B1">
      <w:pPr>
        <w:spacing w:line="360" w:lineRule="auto"/>
        <w:ind w:left="357" w:firstLine="357"/>
        <w:jc w:val="both"/>
        <w:rPr>
          <w:rFonts w:ascii="Arial" w:hAnsi="Arial"/>
          <w:b/>
          <w:bCs/>
        </w:rPr>
      </w:pPr>
      <w:r w:rsidRPr="00766331">
        <w:rPr>
          <w:rFonts w:ascii="Arial" w:hAnsi="Arial" w:hint="cs"/>
          <w:b/>
          <w:bCs/>
          <w:u w:val="single"/>
          <w:rtl/>
        </w:rPr>
        <w:t>כתב האישום</w:t>
      </w:r>
      <w:r w:rsidRPr="00766331">
        <w:rPr>
          <w:rFonts w:ascii="Arial" w:hAnsi="Arial" w:hint="cs"/>
          <w:b/>
          <w:bCs/>
          <w:rtl/>
        </w:rPr>
        <w:t>:</w:t>
      </w:r>
    </w:p>
    <w:p w14:paraId="0E22B116" w14:textId="77777777" w:rsidR="009A69B1" w:rsidRDefault="009A69B1" w:rsidP="009A69B1">
      <w:pPr>
        <w:pStyle w:val="a9"/>
        <w:numPr>
          <w:ilvl w:val="0"/>
          <w:numId w:val="1"/>
        </w:numPr>
        <w:spacing w:line="360" w:lineRule="auto"/>
        <w:ind w:left="714" w:hanging="357"/>
        <w:jc w:val="both"/>
        <w:rPr>
          <w:rFonts w:ascii="Arial" w:hAnsi="Arial"/>
        </w:rPr>
      </w:pPr>
      <w:bookmarkStart w:id="6" w:name="ABSTRACT_START"/>
      <w:bookmarkEnd w:id="6"/>
      <w:r w:rsidRPr="00151D32">
        <w:rPr>
          <w:rFonts w:ascii="Arial" w:hAnsi="Arial" w:hint="cs"/>
          <w:rtl/>
        </w:rPr>
        <w:t xml:space="preserve">הנאשם הורשע ע"פ הודאתו, במסגרת הסדר טיעון, בכתב אישום המייחס לו 4 עבירות של הפרת הוראה חוקית, לפי </w:t>
      </w:r>
      <w:hyperlink r:id="rId14" w:history="1">
        <w:r w:rsidR="00EA3A1E" w:rsidRPr="00EA3A1E">
          <w:rPr>
            <w:rStyle w:val="Hyperlink"/>
            <w:rFonts w:ascii="Arial" w:hAnsi="Arial" w:hint="eastAsia"/>
            <w:rtl/>
          </w:rPr>
          <w:t>סעיף</w:t>
        </w:r>
        <w:r w:rsidR="00EA3A1E" w:rsidRPr="00EA3A1E">
          <w:rPr>
            <w:rStyle w:val="Hyperlink"/>
            <w:rFonts w:ascii="Arial" w:hAnsi="Arial"/>
            <w:rtl/>
          </w:rPr>
          <w:t xml:space="preserve"> 287(א)</w:t>
        </w:r>
      </w:hyperlink>
      <w:r w:rsidRPr="00151D32">
        <w:rPr>
          <w:rFonts w:ascii="Arial" w:hAnsi="Arial" w:hint="cs"/>
          <w:rtl/>
        </w:rPr>
        <w:t xml:space="preserve"> ל</w:t>
      </w:r>
      <w:hyperlink r:id="rId15" w:history="1">
        <w:r w:rsidR="001721EF" w:rsidRPr="001721EF">
          <w:rPr>
            <w:rFonts w:ascii="Arial" w:hAnsi="Arial"/>
            <w:color w:val="0000FF"/>
            <w:u w:val="single"/>
            <w:rtl/>
          </w:rPr>
          <w:t>חוק העונשין</w:t>
        </w:r>
      </w:hyperlink>
      <w:r w:rsidRPr="00151D32">
        <w:rPr>
          <w:rFonts w:ascii="Arial" w:hAnsi="Arial" w:hint="cs"/>
          <w:rtl/>
        </w:rPr>
        <w:t xml:space="preserve">, תשל"ז </w:t>
      </w:r>
      <w:r w:rsidRPr="00151D32">
        <w:rPr>
          <w:rFonts w:ascii="Arial" w:hAnsi="Arial"/>
          <w:rtl/>
        </w:rPr>
        <w:t>–</w:t>
      </w:r>
      <w:r w:rsidRPr="00151D32">
        <w:rPr>
          <w:rFonts w:ascii="Arial" w:hAnsi="Arial" w:hint="cs"/>
          <w:rtl/>
        </w:rPr>
        <w:t xml:space="preserve"> 1977.</w:t>
      </w:r>
      <w:r>
        <w:rPr>
          <w:rFonts w:ascii="Arial" w:hAnsi="Arial" w:hint="cs"/>
          <w:rtl/>
        </w:rPr>
        <w:t xml:space="preserve"> </w:t>
      </w:r>
    </w:p>
    <w:p w14:paraId="63F051DC" w14:textId="77777777" w:rsidR="009A69B1" w:rsidRDefault="009A69B1" w:rsidP="009A69B1">
      <w:pPr>
        <w:pStyle w:val="a9"/>
        <w:numPr>
          <w:ilvl w:val="0"/>
          <w:numId w:val="1"/>
        </w:numPr>
        <w:spacing w:line="360" w:lineRule="auto"/>
        <w:ind w:left="714" w:hanging="357"/>
        <w:jc w:val="both"/>
        <w:rPr>
          <w:rFonts w:ascii="Arial" w:hAnsi="Arial"/>
        </w:rPr>
      </w:pPr>
      <w:bookmarkStart w:id="7" w:name="ABSTRACT_END"/>
      <w:bookmarkEnd w:id="7"/>
      <w:r>
        <w:rPr>
          <w:rFonts w:ascii="Arial" w:hAnsi="Arial" w:hint="cs"/>
          <w:rtl/>
        </w:rPr>
        <w:t xml:space="preserve">בכתב האישום תואר, כי ביום 15.5.2022, הורה בית משפט השלום בירושלים, במסגרת </w:t>
      </w:r>
      <w:hyperlink r:id="rId16" w:history="1">
        <w:r w:rsidR="001721EF" w:rsidRPr="001721EF">
          <w:rPr>
            <w:rFonts w:ascii="Arial" w:hAnsi="Arial"/>
            <w:color w:val="0000FF"/>
            <w:u w:val="single"/>
            <w:rtl/>
          </w:rPr>
          <w:t>מ"י 18079-05-22</w:t>
        </w:r>
      </w:hyperlink>
      <w:r>
        <w:rPr>
          <w:rFonts w:ascii="Arial" w:hAnsi="Arial" w:hint="cs"/>
          <w:rtl/>
        </w:rPr>
        <w:t xml:space="preserve">, על שחרורו של הנאשם בתנאים מגבילים, ובין היתר, התייצבות לחקירה ובבית משפט לפי דרישה, מעצר בית מלא עד ליום 19.5.2022, הפקדה, ערבות עצמית וערבות צד ג' על ידי אימו יאנה קרילובצקי (להלן: </w:t>
      </w:r>
      <w:r w:rsidRPr="00407AD4">
        <w:rPr>
          <w:rFonts w:ascii="Arial" w:hAnsi="Arial" w:hint="cs"/>
          <w:b/>
          <w:bCs/>
          <w:rtl/>
        </w:rPr>
        <w:t>"הערבה"</w:t>
      </w:r>
      <w:r>
        <w:rPr>
          <w:rFonts w:ascii="Arial" w:hAnsi="Arial" w:hint="cs"/>
          <w:rtl/>
        </w:rPr>
        <w:t xml:space="preserve"> ו- </w:t>
      </w:r>
      <w:r w:rsidRPr="00407AD4">
        <w:rPr>
          <w:rFonts w:ascii="Arial" w:hAnsi="Arial" w:hint="cs"/>
          <w:b/>
          <w:bCs/>
          <w:rtl/>
        </w:rPr>
        <w:t>"ההוראה החוקית"</w:t>
      </w:r>
      <w:r>
        <w:rPr>
          <w:rFonts w:ascii="Arial" w:hAnsi="Arial" w:hint="cs"/>
          <w:rtl/>
        </w:rPr>
        <w:t>). בתאריכים 19.5.2022 ו-23.5.2022, במסגרת הליך המ"י דלעיל, הוארך מעצר הבית עד לתאריך 25.5.2022 בשעה 12:00.</w:t>
      </w:r>
    </w:p>
    <w:p w14:paraId="15815FF5" w14:textId="77777777" w:rsidR="009A69B1" w:rsidRDefault="009A69B1" w:rsidP="009A69B1">
      <w:pPr>
        <w:pStyle w:val="a9"/>
        <w:numPr>
          <w:ilvl w:val="0"/>
          <w:numId w:val="1"/>
        </w:numPr>
        <w:spacing w:line="360" w:lineRule="auto"/>
        <w:ind w:left="714" w:hanging="357"/>
        <w:jc w:val="both"/>
        <w:rPr>
          <w:rFonts w:ascii="Arial" w:hAnsi="Arial"/>
        </w:rPr>
      </w:pPr>
      <w:r>
        <w:rPr>
          <w:rFonts w:ascii="Arial" w:hAnsi="Arial" w:hint="cs"/>
          <w:rtl/>
        </w:rPr>
        <w:t xml:space="preserve">על פי הנטען באישום הראשון, ביום 24.5.2022 בשעה 16:49 זומן הנאשם טלפונית, ובאמצעות הערבה לתחנת הראל לחקירה. הנאשם לא התייצב לחקירה ובסמוך לשעה </w:t>
      </w:r>
      <w:r>
        <w:rPr>
          <w:rFonts w:ascii="Arial" w:hAnsi="Arial" w:hint="cs"/>
          <w:rtl/>
        </w:rPr>
        <w:lastRenderedPageBreak/>
        <w:t>20:00 ניסה החוקר שרון יפה, אשר מילא אותה עת תפקידו כדין, ליצור קשר עם הנאשם ועם הערבה אך ללא הצלחה.</w:t>
      </w:r>
    </w:p>
    <w:p w14:paraId="1F4AF739" w14:textId="77777777" w:rsidR="009A69B1" w:rsidRDefault="009A69B1" w:rsidP="009A69B1">
      <w:pPr>
        <w:pStyle w:val="a9"/>
        <w:numPr>
          <w:ilvl w:val="0"/>
          <w:numId w:val="1"/>
        </w:numPr>
        <w:spacing w:line="360" w:lineRule="auto"/>
        <w:ind w:left="714" w:hanging="357"/>
        <w:jc w:val="both"/>
        <w:rPr>
          <w:rFonts w:ascii="Arial" w:hAnsi="Arial"/>
        </w:rPr>
      </w:pPr>
      <w:r>
        <w:rPr>
          <w:rFonts w:ascii="Arial" w:hAnsi="Arial" w:hint="cs"/>
          <w:rtl/>
        </w:rPr>
        <w:t>בשעה 21:45 לערך, שוחח החוקר עם הערבה וזו השיבה כי הנאשם בביתה, שאינו מתכוון להתייצב לחקירה כנדרש ושאין בכוונתה להביאו או להגיע בעצמה.</w:t>
      </w:r>
    </w:p>
    <w:p w14:paraId="19FB088C" w14:textId="77777777" w:rsidR="009A69B1" w:rsidRDefault="009A69B1" w:rsidP="009A69B1">
      <w:pPr>
        <w:pStyle w:val="a9"/>
        <w:numPr>
          <w:ilvl w:val="0"/>
          <w:numId w:val="1"/>
        </w:numPr>
        <w:spacing w:line="360" w:lineRule="auto"/>
        <w:ind w:left="714" w:hanging="357"/>
        <w:jc w:val="both"/>
        <w:rPr>
          <w:rFonts w:ascii="Arial" w:hAnsi="Arial"/>
        </w:rPr>
      </w:pPr>
      <w:r>
        <w:rPr>
          <w:rFonts w:ascii="Arial" w:hAnsi="Arial" w:hint="cs"/>
          <w:rtl/>
        </w:rPr>
        <w:t xml:space="preserve">על פי הנטען באישום השני, ביום 24.5.2022 בשעה 16:48 לערך, זומן הנאשם טלפונית, ואף באמצעות בא כוחו, לבית משפט השלום בירושלים לשם הגשת כתב אישום ובקשה להארכת תנאי מעצר בעניינו. ביום 25.5.2022, במסגרת הליך </w:t>
      </w:r>
      <w:hyperlink r:id="rId17" w:history="1">
        <w:r w:rsidR="001721EF" w:rsidRPr="001721EF">
          <w:rPr>
            <w:rFonts w:ascii="Arial" w:hAnsi="Arial"/>
            <w:color w:val="0000FF"/>
            <w:u w:val="single"/>
            <w:rtl/>
          </w:rPr>
          <w:t>מ"ת 55126-05-22</w:t>
        </w:r>
      </w:hyperlink>
      <w:r>
        <w:rPr>
          <w:rFonts w:ascii="Arial" w:hAnsi="Arial" w:hint="cs"/>
          <w:rtl/>
        </w:rPr>
        <w:t xml:space="preserve"> ו</w:t>
      </w:r>
      <w:hyperlink r:id="rId18" w:history="1">
        <w:r w:rsidR="001721EF" w:rsidRPr="001721EF">
          <w:rPr>
            <w:rFonts w:ascii="Arial" w:hAnsi="Arial"/>
            <w:color w:val="0000FF"/>
            <w:u w:val="single"/>
            <w:rtl/>
          </w:rPr>
          <w:t>ת"פ 55112-05-22</w:t>
        </w:r>
      </w:hyperlink>
      <w:r>
        <w:rPr>
          <w:rFonts w:ascii="Arial" w:hAnsi="Arial" w:hint="cs"/>
          <w:rtl/>
        </w:rPr>
        <w:t xml:space="preserve">, לא התייצב הנאשם לדיון שנקבע בעניינו ובית המשפט, כב' השופט חיים פס, הורה כי </w:t>
      </w:r>
      <w:r w:rsidRPr="009A69B1">
        <w:rPr>
          <w:rFonts w:cs="Times New Roman"/>
          <w:rtl/>
        </w:rPr>
        <w:t>"באחריות ב"כ המשיב להודיע תוכן ההחלטה זו למשיב וכן לדאוג להתייצבותו למועד הדיון הנדחה".</w:t>
      </w:r>
    </w:p>
    <w:p w14:paraId="4E83973C" w14:textId="77777777" w:rsidR="009A69B1" w:rsidRDefault="009A69B1" w:rsidP="009A69B1">
      <w:pPr>
        <w:pStyle w:val="a9"/>
        <w:numPr>
          <w:ilvl w:val="0"/>
          <w:numId w:val="1"/>
        </w:numPr>
        <w:spacing w:line="360" w:lineRule="auto"/>
        <w:ind w:left="714" w:hanging="357"/>
        <w:jc w:val="both"/>
        <w:rPr>
          <w:rFonts w:ascii="Arial" w:hAnsi="Arial"/>
        </w:rPr>
      </w:pPr>
      <w:r>
        <w:rPr>
          <w:rFonts w:ascii="Arial" w:hAnsi="Arial" w:hint="cs"/>
          <w:rtl/>
        </w:rPr>
        <w:t>בשעה 16:40 לערך, ניסה החוקר שלמה חיים, אשר מילא אותה עת תפקידו כדין, לשוחח עם הנאשם והערבה, וזאת במספר הזדמנויות, אך ללא הצלחה.</w:t>
      </w:r>
    </w:p>
    <w:p w14:paraId="294DB15D" w14:textId="77777777" w:rsidR="009A69B1" w:rsidRDefault="009A69B1" w:rsidP="009A69B1">
      <w:pPr>
        <w:pStyle w:val="a9"/>
        <w:numPr>
          <w:ilvl w:val="0"/>
          <w:numId w:val="1"/>
        </w:numPr>
        <w:spacing w:line="360" w:lineRule="auto"/>
        <w:ind w:left="714" w:hanging="357"/>
        <w:jc w:val="both"/>
        <w:rPr>
          <w:rFonts w:ascii="Arial" w:hAnsi="Arial"/>
        </w:rPr>
      </w:pPr>
      <w:r>
        <w:rPr>
          <w:rFonts w:ascii="Arial" w:hAnsi="Arial" w:hint="cs"/>
          <w:rtl/>
        </w:rPr>
        <w:t>בשעה 16:45 לערך, שוחח החוקר עם אחות הנאשם וזו מסרה כי הנאשם אינו מתכוון להתייצב לדיון בעניינו. עוד ובהמשך לאותה שיחה, מסרה האחות לחוקר את מספר הטלפון החליפי של הנאשם ומספר הטלפון בבית אך זה סירב לענות לטלפונים של החוקר.</w:t>
      </w:r>
    </w:p>
    <w:p w14:paraId="249A0B16" w14:textId="77777777" w:rsidR="009A69B1" w:rsidRDefault="009A69B1" w:rsidP="009A69B1">
      <w:pPr>
        <w:pStyle w:val="a9"/>
        <w:numPr>
          <w:ilvl w:val="0"/>
          <w:numId w:val="1"/>
        </w:numPr>
        <w:spacing w:line="360" w:lineRule="auto"/>
        <w:ind w:left="714" w:hanging="357"/>
        <w:jc w:val="both"/>
        <w:rPr>
          <w:rFonts w:ascii="Arial" w:hAnsi="Arial"/>
        </w:rPr>
      </w:pPr>
      <w:r>
        <w:rPr>
          <w:rFonts w:ascii="Arial" w:hAnsi="Arial" w:hint="cs"/>
          <w:rtl/>
        </w:rPr>
        <w:t>בשעה 16:49 לערך, שוחח החוקר עם הנאשם, האחרון אישר כי מכיר את החלטת בית המשפט כמתואר לעיל, אך סירב להתייצב לדיונים שנקבעו  בעניינו.</w:t>
      </w:r>
      <w:r w:rsidRPr="000D3DBD">
        <w:rPr>
          <w:rFonts w:ascii="Arial" w:hAnsi="Arial" w:hint="cs"/>
          <w:rtl/>
        </w:rPr>
        <w:t xml:space="preserve"> </w:t>
      </w:r>
    </w:p>
    <w:p w14:paraId="44A81DB7" w14:textId="77777777" w:rsidR="009A69B1" w:rsidRDefault="009A69B1" w:rsidP="009A69B1">
      <w:pPr>
        <w:pStyle w:val="a9"/>
        <w:numPr>
          <w:ilvl w:val="0"/>
          <w:numId w:val="1"/>
        </w:numPr>
        <w:spacing w:line="360" w:lineRule="auto"/>
        <w:ind w:left="714" w:hanging="357"/>
        <w:jc w:val="both"/>
        <w:rPr>
          <w:rFonts w:ascii="Arial" w:hAnsi="Arial"/>
        </w:rPr>
      </w:pPr>
      <w:r>
        <w:rPr>
          <w:rFonts w:ascii="Arial" w:hAnsi="Arial" w:hint="cs"/>
          <w:rtl/>
        </w:rPr>
        <w:t>בשעה 20:03 לערך, שוחחה החוקרת גאיה וורקוביצקי, אשר מילאה אותה עת תפקידה כדין, עם הנאשם וזה סירב להתייצב לחקירה או לדיונים בעניינו.</w:t>
      </w:r>
    </w:p>
    <w:p w14:paraId="0088BD57" w14:textId="77777777" w:rsidR="009A69B1" w:rsidRDefault="009A69B1" w:rsidP="009A69B1">
      <w:pPr>
        <w:pStyle w:val="a9"/>
        <w:numPr>
          <w:ilvl w:val="0"/>
          <w:numId w:val="1"/>
        </w:numPr>
        <w:spacing w:line="360" w:lineRule="auto"/>
        <w:ind w:left="714" w:hanging="357"/>
        <w:jc w:val="both"/>
        <w:rPr>
          <w:rFonts w:ascii="Arial" w:hAnsi="Arial"/>
        </w:rPr>
      </w:pPr>
      <w:r>
        <w:rPr>
          <w:rFonts w:ascii="Arial" w:hAnsi="Arial" w:hint="cs"/>
          <w:rtl/>
        </w:rPr>
        <w:t>בשעה 21:38 שוחרר הנאשם בערובה וחתם בפני השוטר ארטיום צרנגולז, אשר מילא אותה עת תפקידו כדין, שהינו מתחייב להתייצב להליך המשפטי בתאריך 29.5.2022.</w:t>
      </w:r>
    </w:p>
    <w:p w14:paraId="18D46D80" w14:textId="77777777" w:rsidR="009A69B1" w:rsidRDefault="009A69B1" w:rsidP="009A69B1">
      <w:pPr>
        <w:pStyle w:val="a9"/>
        <w:numPr>
          <w:ilvl w:val="0"/>
          <w:numId w:val="1"/>
        </w:numPr>
        <w:spacing w:line="360" w:lineRule="auto"/>
        <w:ind w:left="714" w:hanging="357"/>
        <w:jc w:val="both"/>
        <w:rPr>
          <w:rFonts w:ascii="Arial" w:hAnsi="Arial"/>
        </w:rPr>
      </w:pPr>
      <w:r>
        <w:rPr>
          <w:rFonts w:ascii="Arial" w:hAnsi="Arial" w:hint="cs"/>
          <w:rtl/>
        </w:rPr>
        <w:t xml:space="preserve">בתאריך 29.5.2022, לא התייצב הנאשם להליך המשפטי בעניינו ובית המשפט, כב' השופט חיים פס, הורה כי </w:t>
      </w:r>
      <w:r w:rsidRPr="009A69B1">
        <w:rPr>
          <w:rFonts w:cs="Times New Roman"/>
          <w:rtl/>
        </w:rPr>
        <w:t>"ב"כ ידאג להופעת המשיב".</w:t>
      </w:r>
      <w:r>
        <w:rPr>
          <w:rFonts w:ascii="Arial" w:hAnsi="Arial" w:hint="cs"/>
          <w:rtl/>
        </w:rPr>
        <w:t xml:space="preserve"> בתאריך 31.5.2022, לא התייצב הנאשם להליך המשפטי בעניינו.</w:t>
      </w:r>
    </w:p>
    <w:p w14:paraId="28799880" w14:textId="77777777" w:rsidR="009A69B1" w:rsidRDefault="009A69B1" w:rsidP="009A69B1">
      <w:pPr>
        <w:pStyle w:val="a9"/>
        <w:numPr>
          <w:ilvl w:val="0"/>
          <w:numId w:val="1"/>
        </w:numPr>
        <w:spacing w:line="360" w:lineRule="auto"/>
        <w:ind w:left="714" w:hanging="357"/>
        <w:jc w:val="both"/>
        <w:rPr>
          <w:rFonts w:ascii="Arial" w:hAnsi="Arial"/>
        </w:rPr>
      </w:pPr>
      <w:r>
        <w:rPr>
          <w:rFonts w:ascii="Arial" w:hAnsi="Arial" w:hint="cs"/>
          <w:rtl/>
        </w:rPr>
        <w:t xml:space="preserve">הנאשם צירף תיק מספר 55112-05-22 במסגרתו הורשע בעבירה של החזקה/ שימוש בסמים שלא לצריכה עצמית, לפי </w:t>
      </w:r>
      <w:hyperlink r:id="rId19" w:history="1">
        <w:r w:rsidR="00EA3A1E" w:rsidRPr="00EA3A1E">
          <w:rPr>
            <w:rStyle w:val="Hyperlink"/>
            <w:rFonts w:ascii="Arial" w:hAnsi="Arial" w:hint="eastAsia"/>
            <w:rtl/>
          </w:rPr>
          <w:t>סעיף</w:t>
        </w:r>
        <w:r w:rsidR="00EA3A1E" w:rsidRPr="00EA3A1E">
          <w:rPr>
            <w:rStyle w:val="Hyperlink"/>
            <w:rFonts w:ascii="Arial" w:hAnsi="Arial"/>
            <w:rtl/>
          </w:rPr>
          <w:t xml:space="preserve"> 7(א)+7(ג)</w:t>
        </w:r>
      </w:hyperlink>
      <w:r>
        <w:rPr>
          <w:rFonts w:ascii="Arial" w:hAnsi="Arial" w:hint="cs"/>
          <w:rtl/>
        </w:rPr>
        <w:t xml:space="preserve"> רישא ל</w:t>
      </w:r>
      <w:hyperlink r:id="rId20" w:history="1">
        <w:r w:rsidR="001721EF" w:rsidRPr="001721EF">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(להלן: </w:t>
      </w:r>
      <w:r w:rsidRPr="00766331">
        <w:rPr>
          <w:rFonts w:ascii="Arial" w:hAnsi="Arial" w:hint="cs"/>
          <w:b/>
          <w:bCs/>
          <w:rtl/>
        </w:rPr>
        <w:t>"פקודת הסמים"</w:t>
      </w:r>
      <w:r>
        <w:rPr>
          <w:rFonts w:ascii="Arial" w:hAnsi="Arial" w:hint="cs"/>
          <w:rtl/>
        </w:rPr>
        <w:t xml:space="preserve">) ובשתי עבירות של יצוא, יבוא, מסחר, הספקה סמים מסוכנים, לפי </w:t>
      </w:r>
      <w:hyperlink r:id="rId21" w:history="1">
        <w:r w:rsidR="00EA3A1E" w:rsidRPr="00EA3A1E">
          <w:rPr>
            <w:rStyle w:val="Hyperlink"/>
            <w:rFonts w:ascii="Arial" w:hAnsi="Arial" w:hint="eastAsia"/>
            <w:rtl/>
          </w:rPr>
          <w:t>סעיף</w:t>
        </w:r>
        <w:r w:rsidR="00EA3A1E" w:rsidRPr="00EA3A1E">
          <w:rPr>
            <w:rStyle w:val="Hyperlink"/>
            <w:rFonts w:ascii="Arial" w:hAnsi="Arial"/>
            <w:rtl/>
          </w:rPr>
          <w:t xml:space="preserve"> 13+19א</w:t>
        </w:r>
      </w:hyperlink>
      <w:r>
        <w:rPr>
          <w:rFonts w:ascii="Arial" w:hAnsi="Arial" w:hint="cs"/>
          <w:rtl/>
        </w:rPr>
        <w:t xml:space="preserve"> לפקודת הסמים.</w:t>
      </w:r>
    </w:p>
    <w:p w14:paraId="5BDC330A" w14:textId="77777777" w:rsidR="009A69B1" w:rsidRDefault="009A69B1" w:rsidP="009A69B1">
      <w:pPr>
        <w:pStyle w:val="a9"/>
        <w:numPr>
          <w:ilvl w:val="0"/>
          <w:numId w:val="1"/>
        </w:numPr>
        <w:spacing w:line="360" w:lineRule="auto"/>
        <w:ind w:left="714" w:hanging="357"/>
        <w:jc w:val="both"/>
        <w:rPr>
          <w:rFonts w:ascii="Arial" w:hAnsi="Arial"/>
        </w:rPr>
      </w:pPr>
      <w:r>
        <w:rPr>
          <w:rFonts w:ascii="Arial" w:hAnsi="Arial" w:hint="cs"/>
          <w:rtl/>
        </w:rPr>
        <w:t>על פי הנטען באישום הראשון, בכתב האישום המתוקן, ביום 9.5.2022, בשעה 22:07 לערך, בחסימה משטרתית ברחוב החוצבים בירושלים, החזיק הנאשם ברכב שבבעלותו מסוג טויוטה ל"ז 75-546-79, בסמים מסוכנים, מזומן וטלפונים סלולריים, כמפורט להלן:</w:t>
      </w:r>
    </w:p>
    <w:p w14:paraId="299EE23C" w14:textId="77777777" w:rsidR="009A69B1" w:rsidRDefault="009A69B1" w:rsidP="009A69B1">
      <w:pPr>
        <w:pStyle w:val="a9"/>
        <w:numPr>
          <w:ilvl w:val="0"/>
          <w:numId w:val="2"/>
        </w:numPr>
        <w:spacing w:line="360" w:lineRule="auto"/>
        <w:jc w:val="both"/>
        <w:rPr>
          <w:rFonts w:ascii="Arial" w:hAnsi="Arial"/>
        </w:rPr>
      </w:pPr>
      <w:r>
        <w:rPr>
          <w:rFonts w:ascii="Arial" w:hAnsi="Arial" w:hint="cs"/>
          <w:rtl/>
        </w:rPr>
        <w:t>בתיק גב שחור במושב האחורי ברכב ובו 5 שקיות חלוקה שבהן סם מסוכן מסוג קנבוס במשקל 60.42 גרם נטו.</w:t>
      </w:r>
    </w:p>
    <w:p w14:paraId="4F59E0A0" w14:textId="77777777" w:rsidR="009A69B1" w:rsidRDefault="009A69B1" w:rsidP="009A69B1">
      <w:pPr>
        <w:pStyle w:val="a9"/>
        <w:numPr>
          <w:ilvl w:val="0"/>
          <w:numId w:val="2"/>
        </w:numPr>
        <w:spacing w:line="360" w:lineRule="auto"/>
        <w:jc w:val="both"/>
        <w:rPr>
          <w:rFonts w:ascii="Arial" w:hAnsi="Arial"/>
        </w:rPr>
      </w:pPr>
      <w:r>
        <w:rPr>
          <w:rFonts w:ascii="Arial" w:hAnsi="Arial" w:hint="cs"/>
          <w:rtl/>
        </w:rPr>
        <w:lastRenderedPageBreak/>
        <w:t>בתיק ובתא המטען של הרכב בשקיות ובצנצנת שקופה ובהן סמים מסוכנים מסוג קנבוס המשקל 272.90 גרם נטו.</w:t>
      </w:r>
    </w:p>
    <w:p w14:paraId="460B493E" w14:textId="77777777" w:rsidR="009A69B1" w:rsidRDefault="009A69B1" w:rsidP="009A69B1">
      <w:pPr>
        <w:pStyle w:val="a9"/>
        <w:numPr>
          <w:ilvl w:val="0"/>
          <w:numId w:val="2"/>
        </w:numPr>
        <w:spacing w:line="360" w:lineRule="auto"/>
        <w:jc w:val="both"/>
        <w:rPr>
          <w:rFonts w:ascii="Arial" w:hAnsi="Arial"/>
        </w:rPr>
      </w:pPr>
      <w:r>
        <w:rPr>
          <w:rFonts w:ascii="Arial" w:hAnsi="Arial" w:hint="cs"/>
          <w:rtl/>
        </w:rPr>
        <w:t>בתא הכוסות במרווח שבין מושב הנהג למושב הנוסע במזומן בסך 14,820 ש"ח.</w:t>
      </w:r>
    </w:p>
    <w:p w14:paraId="3A05B7AD" w14:textId="77777777" w:rsidR="009A69B1" w:rsidRDefault="009A69B1" w:rsidP="009A69B1">
      <w:pPr>
        <w:pStyle w:val="a9"/>
        <w:numPr>
          <w:ilvl w:val="0"/>
          <w:numId w:val="2"/>
        </w:numPr>
        <w:spacing w:line="360" w:lineRule="auto"/>
        <w:jc w:val="both"/>
        <w:rPr>
          <w:rFonts w:ascii="Arial" w:hAnsi="Arial"/>
        </w:rPr>
      </w:pPr>
      <w:r>
        <w:rPr>
          <w:rFonts w:ascii="Arial" w:hAnsi="Arial" w:hint="cs"/>
          <w:rtl/>
        </w:rPr>
        <w:t xml:space="preserve">טלפון סלולרי מסוג </w:t>
      </w:r>
      <w:r>
        <w:rPr>
          <w:rFonts w:ascii="Arial" w:hAnsi="Arial"/>
        </w:rPr>
        <w:t xml:space="preserve">iPhone </w:t>
      </w:r>
      <w:r>
        <w:rPr>
          <w:rFonts w:ascii="Arial" w:hAnsi="Arial" w:hint="cs"/>
          <w:rtl/>
        </w:rPr>
        <w:t xml:space="preserve"> שמספרו 055-9363083 וטלפון סלולרי מסוג </w:t>
      </w:r>
      <w:r>
        <w:rPr>
          <w:rFonts w:ascii="Arial" w:hAnsi="Arial"/>
        </w:rPr>
        <w:t>Xiaomi</w:t>
      </w:r>
      <w:r>
        <w:rPr>
          <w:rFonts w:ascii="Arial" w:hAnsi="Arial" w:hint="cs"/>
          <w:rtl/>
        </w:rPr>
        <w:t xml:space="preserve"> במספרו 054-4614088, תחת השטיח ברצפת מושב הנהג.</w:t>
      </w:r>
    </w:p>
    <w:p w14:paraId="08642DC2"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ביום 10.5.2022, בשעה 09:55 לערך, בתחנת הראל ציון של משטרת ישראל, במהלך ליווי הנאשם אל בית משפט השלום בירושלים, החזיק הנאשם בכיס מכנסיו בסם מסוכן מסוג קוקאין במשקל 0.2241 גרם נטו.</w:t>
      </w:r>
    </w:p>
    <w:p w14:paraId="063C3104"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על פי הנטען באישום השני, בתאריכים 15.4.2022 ו-30.4.2022, תיאם שגיא בר שי עם הנאשם באמצעות היישומון טלגרם, שהאחרון ימכור לו סם מסוכן מסוג קנבוס במשקל 5 גרם לערך תמורת סך של 300 ש"ח. בהמשך למתואר, הגיע הנאשם עם ברכב הטויוטה בסמוך לביתו של שגיא ברחוב הגיא 43 בהר אדר שם מכר לשגיא סם מסוכן מסוג קנבוס במשקל 5 גרם תמורת סך של 300 ש"ח בכל הזדמנות.</w:t>
      </w:r>
    </w:p>
    <w:p w14:paraId="4E310925" w14:textId="77777777" w:rsidR="009A69B1" w:rsidRDefault="009A69B1" w:rsidP="009A69B1">
      <w:pPr>
        <w:spacing w:line="360" w:lineRule="auto"/>
        <w:jc w:val="both"/>
        <w:rPr>
          <w:rFonts w:ascii="Arial" w:hAnsi="Arial"/>
          <w:rtl/>
        </w:rPr>
      </w:pPr>
    </w:p>
    <w:p w14:paraId="4A38AE1A" w14:textId="77777777" w:rsidR="009A69B1" w:rsidRPr="0056353C" w:rsidRDefault="009A69B1" w:rsidP="009A69B1">
      <w:pPr>
        <w:spacing w:line="360" w:lineRule="auto"/>
        <w:ind w:firstLine="720"/>
        <w:jc w:val="both"/>
        <w:rPr>
          <w:rFonts w:ascii="Arial" w:hAnsi="Arial"/>
          <w:b/>
          <w:bCs/>
          <w:rtl/>
        </w:rPr>
      </w:pPr>
      <w:r w:rsidRPr="00766331">
        <w:rPr>
          <w:rFonts w:ascii="Arial" w:hAnsi="Arial" w:hint="cs"/>
          <w:b/>
          <w:bCs/>
          <w:u w:val="single"/>
          <w:rtl/>
        </w:rPr>
        <w:t>תסקיר שרות המבחן</w:t>
      </w:r>
      <w:r>
        <w:rPr>
          <w:rFonts w:ascii="Arial" w:hAnsi="Arial" w:hint="cs"/>
          <w:b/>
          <w:bCs/>
          <w:rtl/>
        </w:rPr>
        <w:t>:</w:t>
      </w:r>
    </w:p>
    <w:p w14:paraId="7B7BF73B"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ביום 9.2.2023 עדכן שירות המבחן כי לאחר שתיאמו עם הנאשם מספר פגישות מטעמם לצורך עריכת אבחון, הנאשם לא הגיע לאף פגישה או בדיקה, לא ענה לשיחותם או יצר עמם קשר מיוזמתו.</w:t>
      </w:r>
    </w:p>
    <w:p w14:paraId="5DC87FD4"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ביום 19.2.2023 שרות המבחן שלח עדכון כי בהתאם לדיון שהתקיים בבית המשפט ביום 15.2.2023, הנאשם יצר קשר עם שרות המבחן ונקבעה לו פגישה נוספת.</w:t>
      </w:r>
    </w:p>
    <w:p w14:paraId="6FDCC958"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ביום 27.6.2023 שרות המבחן הגיש תסקיר אודות הנאשם בו נמסר, כי הנאשם כבן 20, רווק, מתגורר באריאל עם אמו ואחותו ומצוי בתנאים מגבילים, בעל תעודת בגרות מלאה ונמצא כיום בתהליך של דחיית שירותו הצבאי עד לסיום ההליך הפלילי בעניינו.</w:t>
      </w:r>
    </w:p>
    <w:p w14:paraId="0425334D"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הנאשם מסר לשרות המבחן כי כיום מועסק בשתי עבודות, האחת כעובד קבלן בתחום התברואה ופינוי אשפה והשנייה בתחנת דלק. עוד מסר, כי לאחר סיום לימודיו, עזב את בית משפחתו והתגורר בדירות שכורות, זאת עד למעצרו.</w:t>
      </w:r>
    </w:p>
    <w:p w14:paraId="222DCE0B"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בהתייחסותו לעבירות, הנאשם לקח אחריות על מעשיו והביע חרטה מצומצמת. באשר לעבירות מתחום הסמים מסר, כי הרקע להם נבע משימושו בסמים ומצוקה כלכלית בה נדרש לפרנס את עצמו ולשלם שכר דירה. הנאשם הוסיף, כי הכסף שנתפס ברכב  היה חלקו מירושה שהותיר אביו, ובאשר לעבירות ההפרה מסר, כי  לא התייצב לדיונים ולחקירות מאחר ואמו המפקחת סירבה להביאו למשטרה ולביהמ"ש נוכח חילוקי דעות ביניהם, ועל כן לא יכול היה להגיע באופן עצמאי בשל הגבלותיו. הנאשם הביע תסכול וחוסר אונים.</w:t>
      </w:r>
    </w:p>
    <w:p w14:paraId="524630E5"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הנאשם שיתף כי בגיל 15 החל להתנסות במספר סוגי סמים, ומבדיקות שתן שנערכו לו עולה כי הנאשם פסק מלצרוך סמים.</w:t>
      </w:r>
    </w:p>
    <w:p w14:paraId="69CEA42B"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התרשמותו של שרות המבחן היה, כי מדובר בבחור צעיר נעדר מערכות תמיכה משמעותיות ובעל נסיבות חיים מורכבות אשר יצרו נטייה לאימפולסיביות, היוו קשיים רגשיים וכלכליים וטשטשו עבורו גבולות פנימיים וחיצוניים ומתוך מצוקה זו פעל באופן מכשיל. יחד עם זאת, הנאשם הראה מאמצים לתפקוד תקין, נעדר הרשעות קודמות, נמנע משימוש בסמים, שיתף פעולה קצינת המבחן, ומביע מוטיבציה לסיום ההליך כדי שיוכל להתגייס לצה"ל.</w:t>
      </w:r>
    </w:p>
    <w:p w14:paraId="377D03CD"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 xml:space="preserve">להערכתו גיוסו לצה"ל יכול להוות עבור הנאשם מסגרת שייכות ומארגנת שתסייע לו בייצוב מצבו. לאור האמור, שרות המבחן המליץ להטיל על עליו צו מבחן למשך שנה וצו שירות לתועלת הציבור בהיקף של 120 שעות במסגרת "היכל התרבות" </w:t>
      </w:r>
      <w:r>
        <w:rPr>
          <w:rFonts w:ascii="Arial" w:hAnsi="Arial"/>
          <w:rtl/>
        </w:rPr>
        <w:t>–</w:t>
      </w:r>
      <w:r>
        <w:rPr>
          <w:rFonts w:ascii="Arial" w:hAnsi="Arial" w:hint="cs"/>
          <w:rtl/>
        </w:rPr>
        <w:t xml:space="preserve"> עיריית אריאל" בעבודות תחזוקה ומשרד וכן סיוע לצוות ככל שיידרש, זאת בהערכה שיתגייס לצה"ל בחודשים הקרובים.</w:t>
      </w:r>
    </w:p>
    <w:p w14:paraId="5207A4D1" w14:textId="77777777" w:rsidR="009A69B1" w:rsidRDefault="009A69B1" w:rsidP="009A69B1">
      <w:pPr>
        <w:spacing w:line="360" w:lineRule="auto"/>
        <w:jc w:val="both"/>
        <w:rPr>
          <w:rFonts w:ascii="Arial" w:hAnsi="Arial"/>
          <w:rtl/>
        </w:rPr>
      </w:pPr>
    </w:p>
    <w:p w14:paraId="0A4ABB7F" w14:textId="77777777" w:rsidR="009A69B1" w:rsidRPr="00A76BEE" w:rsidRDefault="009A69B1" w:rsidP="009A69B1">
      <w:pPr>
        <w:spacing w:line="360" w:lineRule="auto"/>
        <w:ind w:firstLine="720"/>
        <w:jc w:val="both"/>
        <w:rPr>
          <w:rFonts w:ascii="Arial" w:hAnsi="Arial"/>
          <w:b/>
          <w:bCs/>
          <w:u w:val="single"/>
          <w:rtl/>
        </w:rPr>
      </w:pPr>
      <w:r w:rsidRPr="00A76BEE">
        <w:rPr>
          <w:rFonts w:ascii="Arial" w:hAnsi="Arial" w:hint="cs"/>
          <w:b/>
          <w:bCs/>
          <w:u w:val="single"/>
          <w:rtl/>
        </w:rPr>
        <w:t>תמצית טיעוני הצדדים:</w:t>
      </w:r>
    </w:p>
    <w:p w14:paraId="7007BB3E"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 xml:space="preserve">בטיעוניה לעונש הפנתה המאשימה לגילו הצעיר של הנאשם, נסיבות האירועים בתיק המקור עת הנאשם בוחר שלא להתייצב לחקריה או דיונים בבית המשפט, וביחס לתיק שצורף את חומרת העבירות אותן ביצע, וכן כמות הסם שנתפסה ברכבו. </w:t>
      </w:r>
    </w:p>
    <w:p w14:paraId="73A73DFE"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 xml:space="preserve">המאשימה ביקשה לקבוע מתחם עונש הולם בכל הנוגע לתיק המקור החל ממאסר על תנאי ועד 6 חודשים, וביחס לתיק שצורף, באישום הראשון, החל מ-10 חודשים ועד 24 חודשים, ובאישום השני מ-4 חודשים ועד שנת מאסר. </w:t>
      </w:r>
    </w:p>
    <w:p w14:paraId="72023EDE"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המאשימה קיבלה את עמדת שרות המבחן לכך שנכון במקרה זה לסטות ממתחם העונש ההולם, ואולם עתרה להטלת 9 חודשי מאסר על הנאשם שירוצו על דרך עבודות השירות, לצד ענישה נלווית.</w:t>
      </w:r>
    </w:p>
    <w:p w14:paraId="5B32C5C1"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הסנגור הדגיש, שעל אף נסיבות חייו הקשות של הנאשם, הוא ערך שינוי מהותי בהתנהלותו, שיתף פעולה עם שרות המבחן והראה נכונות לערוך שינוי. הסנגור עמד על כך שהנאשם מעוניין להתגייס לשרות צבאי, ולאופן בו יסתיים התיק ישנה השלכה על הדבר. בנוסף ציין, כי קיימת המלצה להטלת רכיב של מבחן על הנאשם, וככל ולא יעמוד במסגרת הטיפול שתיקבע לו, ניתן יהיה להפקיע את הצו ולגזור את עונשו מחדש.</w:t>
      </w:r>
    </w:p>
    <w:p w14:paraId="45D967BC"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הנאשם מסר כי הפנים את דברי בית המשפט במסגרת ניהול ההליך, והראה רצון לשיקום. עוד מסר, כי פנה ללשכת הגיוס מספר פעמים לשם קבלת מועד לגיוס וגם שם נכח כי קיימת נכונות לגייסו, ואולם הדבר יישקל רק לאחר שההליכים בתיק דנן יסתיימו.</w:t>
      </w:r>
    </w:p>
    <w:p w14:paraId="406D8358" w14:textId="77777777" w:rsidR="009A69B1" w:rsidRDefault="009A69B1" w:rsidP="009A69B1">
      <w:pPr>
        <w:spacing w:line="360" w:lineRule="auto"/>
        <w:ind w:firstLine="720"/>
        <w:jc w:val="both"/>
        <w:rPr>
          <w:rFonts w:ascii="Arial" w:hAnsi="Arial"/>
          <w:b/>
          <w:bCs/>
          <w:u w:val="single"/>
          <w:rtl/>
        </w:rPr>
      </w:pPr>
    </w:p>
    <w:p w14:paraId="44549DF6" w14:textId="77777777" w:rsidR="009A69B1" w:rsidRPr="00897347" w:rsidRDefault="009A69B1" w:rsidP="009A69B1">
      <w:pPr>
        <w:spacing w:line="360" w:lineRule="auto"/>
        <w:ind w:firstLine="720"/>
        <w:jc w:val="both"/>
        <w:rPr>
          <w:rFonts w:ascii="Arial" w:hAnsi="Arial"/>
          <w:b/>
          <w:bCs/>
          <w:u w:val="single"/>
          <w:rtl/>
        </w:rPr>
      </w:pPr>
      <w:r>
        <w:rPr>
          <w:rFonts w:ascii="Arial" w:hAnsi="Arial" w:hint="cs"/>
          <w:b/>
          <w:bCs/>
          <w:u w:val="single"/>
          <w:rtl/>
        </w:rPr>
        <w:t>דיון</w:t>
      </w:r>
      <w:r w:rsidRPr="00897347">
        <w:rPr>
          <w:rFonts w:ascii="Arial" w:hAnsi="Arial" w:hint="cs"/>
          <w:b/>
          <w:bCs/>
          <w:u w:val="single"/>
          <w:rtl/>
        </w:rPr>
        <w:t>:</w:t>
      </w:r>
    </w:p>
    <w:p w14:paraId="7D3CBBC8"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בתיק העיקרי מדובר בצבר עבירות אשר יש לקבוע בגינן מתחם ענישה אחד שכו העבירות בוצעו במועדים קרובים ובנסיבות דומות. כך גם ביחס ל</w:t>
      </w:r>
      <w:hyperlink r:id="rId22" w:history="1">
        <w:r w:rsidR="001721EF" w:rsidRPr="001721EF">
          <w:rPr>
            <w:rFonts w:ascii="Arial" w:hAnsi="Arial"/>
            <w:color w:val="0000FF"/>
            <w:u w:val="single"/>
            <w:rtl/>
          </w:rPr>
          <w:t>ת"פ 55112-05-22</w:t>
        </w:r>
      </w:hyperlink>
      <w:r>
        <w:rPr>
          <w:rFonts w:ascii="Arial" w:hAnsi="Arial" w:hint="cs"/>
          <w:rtl/>
        </w:rPr>
        <w:t xml:space="preserve"> בו העבירות נעשו במועדים סמוכים, בנסיבות דומות וכלפי אותו קונה.</w:t>
      </w:r>
    </w:p>
    <w:p w14:paraId="1DFCEA8F" w14:textId="77777777" w:rsidR="009A69B1" w:rsidRPr="00960E77" w:rsidRDefault="009A69B1" w:rsidP="009A69B1">
      <w:pPr>
        <w:pStyle w:val="a9"/>
        <w:numPr>
          <w:ilvl w:val="0"/>
          <w:numId w:val="1"/>
        </w:numPr>
        <w:spacing w:line="360" w:lineRule="auto"/>
        <w:jc w:val="both"/>
        <w:rPr>
          <w:rFonts w:ascii="Arial" w:hAnsi="Arial"/>
        </w:rPr>
      </w:pPr>
      <w:r>
        <w:rPr>
          <w:rFonts w:ascii="Arial" w:hAnsi="Arial" w:hint="cs"/>
          <w:rtl/>
        </w:rPr>
        <w:t xml:space="preserve">הערך המוגן אותו הפר הנאשם בתיק המקור נוגע בכיבוד החלטות שיפוטיות ושלטון החוק. עבירות </w:t>
      </w:r>
      <w:r w:rsidRPr="00960E77">
        <w:rPr>
          <w:rFonts w:ascii="Arial" w:hAnsi="Arial"/>
          <w:rtl/>
        </w:rPr>
        <w:t>הסחר והשימוש בסם</w:t>
      </w:r>
      <w:r>
        <w:rPr>
          <w:rFonts w:ascii="Arial" w:hAnsi="Arial" w:hint="cs"/>
          <w:rtl/>
        </w:rPr>
        <w:t>,</w:t>
      </w:r>
      <w:r w:rsidRPr="00960E77">
        <w:rPr>
          <w:rFonts w:ascii="Arial" w:hAnsi="Arial"/>
          <w:rtl/>
        </w:rPr>
        <w:t xml:space="preserve"> פוגעות בערכים מוגנים של הגנה על שלום הציבור וביטחונו מפני הנזקים החמורים הנגרמים כתוצאה משימוש והפצה של</w:t>
      </w:r>
      <w:r w:rsidRPr="00960E77">
        <w:rPr>
          <w:rFonts w:ascii="Arial" w:hAnsi="Arial" w:hint="cs"/>
          <w:rtl/>
        </w:rPr>
        <w:t xml:space="preserve"> </w:t>
      </w:r>
      <w:r w:rsidRPr="00960E77">
        <w:rPr>
          <w:rFonts w:ascii="Arial" w:hAnsi="Arial"/>
          <w:rtl/>
        </w:rPr>
        <w:t xml:space="preserve">סמים. </w:t>
      </w:r>
    </w:p>
    <w:p w14:paraId="0ABF3004" w14:textId="77777777" w:rsidR="009A69B1" w:rsidRPr="00897347" w:rsidRDefault="009A69B1" w:rsidP="009A69B1">
      <w:pPr>
        <w:pStyle w:val="a9"/>
        <w:numPr>
          <w:ilvl w:val="0"/>
          <w:numId w:val="1"/>
        </w:numPr>
        <w:spacing w:line="360" w:lineRule="auto"/>
        <w:jc w:val="both"/>
        <w:rPr>
          <w:rFonts w:ascii="Arial" w:hAnsi="Arial"/>
        </w:rPr>
      </w:pPr>
      <w:r w:rsidRPr="00897347">
        <w:rPr>
          <w:rFonts w:ascii="Arial" w:hAnsi="Arial"/>
          <w:rtl/>
        </w:rPr>
        <w:t>ב</w:t>
      </w:r>
      <w:hyperlink r:id="rId23" w:history="1">
        <w:r w:rsidR="001721EF" w:rsidRPr="001721EF">
          <w:rPr>
            <w:rFonts w:ascii="Arial" w:hAnsi="Arial"/>
            <w:color w:val="0000FF"/>
            <w:u w:val="single"/>
            <w:rtl/>
          </w:rPr>
          <w:t>ע"פ 6029/03</w:t>
        </w:r>
      </w:hyperlink>
      <w:r w:rsidRPr="00897347">
        <w:rPr>
          <w:rFonts w:ascii="Arial" w:hAnsi="Arial"/>
          <w:rtl/>
        </w:rPr>
        <w:t xml:space="preserve"> </w:t>
      </w:r>
      <w:r w:rsidRPr="00897347">
        <w:rPr>
          <w:rFonts w:ascii="Arial" w:hAnsi="Arial"/>
          <w:b/>
          <w:bCs/>
          <w:rtl/>
        </w:rPr>
        <w:t>מדינת ישראל נ' גולן שמאי</w:t>
      </w:r>
      <w:r w:rsidRPr="00897347">
        <w:rPr>
          <w:rFonts w:ascii="Arial" w:hAnsi="Arial"/>
          <w:rtl/>
        </w:rPr>
        <w:t xml:space="preserve"> [פורסם בנבו] (9.2.04) קבע בית המשפט העליון כי: "נגע הסמים אוכל באוכלוסיה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63A1C88A" w14:textId="77777777" w:rsidR="009A69B1" w:rsidRPr="00897347" w:rsidRDefault="009A69B1" w:rsidP="009A69B1">
      <w:pPr>
        <w:pStyle w:val="a9"/>
        <w:numPr>
          <w:ilvl w:val="0"/>
          <w:numId w:val="1"/>
        </w:numPr>
        <w:spacing w:line="360" w:lineRule="auto"/>
        <w:jc w:val="both"/>
        <w:rPr>
          <w:rFonts w:ascii="Arial" w:hAnsi="Arial"/>
        </w:rPr>
      </w:pPr>
      <w:r w:rsidRPr="00897347">
        <w:rPr>
          <w:rFonts w:ascii="Arial" w:hAnsi="Arial"/>
          <w:rtl/>
        </w:rPr>
        <w:t xml:space="preserve">לרוב נהוג לגזור בגין עבירות סחר בסמים עונשי מאסר בפועל. בית המשפט קבע כי נוכח הצורך החשוב שבמאבק בעבירות הסחר בסמים, על בית המשפט לתת משקל ממשי לשיקול ההרתעתי אל מול השיקולים האישיים. </w:t>
      </w:r>
      <w:hyperlink r:id="rId24" w:history="1">
        <w:r w:rsidR="001721EF" w:rsidRPr="001721EF">
          <w:rPr>
            <w:rFonts w:ascii="Arial" w:hAnsi="Arial"/>
            <w:color w:val="0000FF"/>
            <w:u w:val="single"/>
            <w:rtl/>
          </w:rPr>
          <w:t>ע"פ 9482/09</w:t>
        </w:r>
      </w:hyperlink>
      <w:r w:rsidRPr="00897347">
        <w:rPr>
          <w:rFonts w:ascii="Arial" w:hAnsi="Arial"/>
          <w:rtl/>
        </w:rPr>
        <w:t xml:space="preserve"> </w:t>
      </w:r>
      <w:r w:rsidRPr="00897347">
        <w:rPr>
          <w:rFonts w:ascii="Arial" w:hAnsi="Arial"/>
          <w:b/>
          <w:bCs/>
          <w:rtl/>
        </w:rPr>
        <w:t>ביטון נ' מדינת ישראל</w:t>
      </w:r>
      <w:r w:rsidRPr="00897347">
        <w:rPr>
          <w:rFonts w:ascii="Arial" w:hAnsi="Arial"/>
          <w:rtl/>
        </w:rPr>
        <w:t xml:space="preserve"> [פורסם בנבו] (24.7.11).</w:t>
      </w:r>
    </w:p>
    <w:p w14:paraId="50975416" w14:textId="77777777" w:rsidR="009A69B1" w:rsidRPr="00897347" w:rsidRDefault="009A69B1" w:rsidP="009A69B1">
      <w:pPr>
        <w:pStyle w:val="a9"/>
        <w:numPr>
          <w:ilvl w:val="0"/>
          <w:numId w:val="1"/>
        </w:numPr>
        <w:spacing w:line="360" w:lineRule="auto"/>
        <w:jc w:val="both"/>
        <w:rPr>
          <w:rFonts w:ascii="Arial" w:hAnsi="Arial"/>
        </w:rPr>
      </w:pPr>
      <w:r w:rsidRPr="00897347">
        <w:rPr>
          <w:rFonts w:ascii="Arial" w:hAnsi="Arial"/>
          <w:rtl/>
        </w:rPr>
        <w:t xml:space="preserve">עוד נקבע בפסיקה כי אי ההרשעה, והטלת עונש של"צ, הינה בגדר חריג שבחריגים, נוכח חומרת העבירה, והיות הנאשם חוטא ומחטיא את הזולת. </w:t>
      </w:r>
      <w:hyperlink r:id="rId25" w:history="1">
        <w:r w:rsidR="001721EF" w:rsidRPr="001721EF">
          <w:rPr>
            <w:rFonts w:ascii="Arial" w:hAnsi="Arial"/>
            <w:color w:val="0000FF"/>
            <w:u w:val="single"/>
            <w:rtl/>
          </w:rPr>
          <w:t>רע"פ 873/12</w:t>
        </w:r>
      </w:hyperlink>
      <w:r w:rsidRPr="00897347">
        <w:rPr>
          <w:rFonts w:ascii="Arial" w:hAnsi="Arial"/>
          <w:rtl/>
        </w:rPr>
        <w:t xml:space="preserve"> </w:t>
      </w:r>
      <w:r w:rsidRPr="00897347">
        <w:rPr>
          <w:rFonts w:ascii="Arial" w:hAnsi="Arial"/>
          <w:b/>
          <w:bCs/>
          <w:rtl/>
        </w:rPr>
        <w:t>פלוני נ' מדינת ישראל</w:t>
      </w:r>
      <w:r w:rsidRPr="00897347">
        <w:rPr>
          <w:rFonts w:ascii="Arial" w:hAnsi="Arial"/>
          <w:rtl/>
        </w:rPr>
        <w:t xml:space="preserve"> [פורסם בנבו] (2.2.12).</w:t>
      </w:r>
    </w:p>
    <w:p w14:paraId="5881B6CB" w14:textId="77777777" w:rsidR="009A69B1" w:rsidRPr="00897347" w:rsidRDefault="009A69B1" w:rsidP="009A69B1">
      <w:pPr>
        <w:pStyle w:val="a9"/>
        <w:numPr>
          <w:ilvl w:val="0"/>
          <w:numId w:val="1"/>
        </w:numPr>
        <w:spacing w:line="360" w:lineRule="auto"/>
        <w:jc w:val="both"/>
        <w:rPr>
          <w:rFonts w:ascii="Arial" w:hAnsi="Arial"/>
        </w:rPr>
      </w:pPr>
      <w:r w:rsidRPr="00897347">
        <w:rPr>
          <w:rFonts w:ascii="Arial" w:hAnsi="Arial"/>
          <w:rtl/>
        </w:rPr>
        <w:t>ב</w:t>
      </w:r>
      <w:hyperlink r:id="rId26" w:history="1">
        <w:r w:rsidR="001721EF" w:rsidRPr="001721EF">
          <w:rPr>
            <w:rFonts w:ascii="Arial" w:hAnsi="Arial"/>
            <w:color w:val="0000FF"/>
            <w:u w:val="single"/>
            <w:rtl/>
          </w:rPr>
          <w:t>ע"פ 2596/18</w:t>
        </w:r>
      </w:hyperlink>
      <w:r w:rsidRPr="00897347">
        <w:rPr>
          <w:rFonts w:ascii="Arial" w:hAnsi="Arial"/>
          <w:rtl/>
        </w:rPr>
        <w:t xml:space="preserve"> </w:t>
      </w:r>
      <w:r w:rsidRPr="00897347">
        <w:rPr>
          <w:rFonts w:ascii="Arial" w:hAnsi="Arial"/>
          <w:b/>
          <w:bCs/>
          <w:rtl/>
        </w:rPr>
        <w:t>זנזורי נ' מדינת ישראל</w:t>
      </w:r>
      <w:r w:rsidRPr="00897347">
        <w:rPr>
          <w:rFonts w:ascii="Arial" w:hAnsi="Arial"/>
          <w:rtl/>
        </w:rPr>
        <w:t xml:space="preserve"> [פורסם בנבו] (12.8.18) עמד בית המשפט על חומרתה של עבירת הסחר דווקא בזמנים אלו, כאשר אמצעים טכנולוגיים כגון אפליקציית טלגראס מהווים פלטפורמה נוחה ומזמינה יותר לביצוע עבירות סחר בסמים. לאור האמור עמד בית המשפט על הצורך להחמיר בענישה בעבירות הסחר בסמים, כדי להגביר את ההרתעה משימוש באמצעים אלו. וראו גם: </w:t>
      </w:r>
      <w:hyperlink r:id="rId27" w:history="1">
        <w:r w:rsidR="001721EF" w:rsidRPr="001721EF">
          <w:rPr>
            <w:rFonts w:ascii="Arial" w:hAnsi="Arial"/>
            <w:color w:val="0000FF"/>
            <w:u w:val="single"/>
            <w:rtl/>
          </w:rPr>
          <w:t>ת"פ 42189-08-19</w:t>
        </w:r>
      </w:hyperlink>
      <w:r w:rsidRPr="00897347">
        <w:rPr>
          <w:rFonts w:ascii="Arial" w:hAnsi="Arial"/>
          <w:rtl/>
        </w:rPr>
        <w:t xml:space="preserve"> </w:t>
      </w:r>
      <w:r w:rsidRPr="00897347">
        <w:rPr>
          <w:rFonts w:ascii="Arial" w:hAnsi="Arial"/>
          <w:b/>
          <w:bCs/>
          <w:rtl/>
        </w:rPr>
        <w:t>מדינת ישראל נ' נני מזוז</w:t>
      </w:r>
      <w:r w:rsidRPr="00897347">
        <w:rPr>
          <w:rFonts w:ascii="Arial" w:hAnsi="Arial"/>
          <w:rtl/>
        </w:rPr>
        <w:t xml:space="preserve"> [פורסם בנבו] (06.04.20).</w:t>
      </w:r>
    </w:p>
    <w:p w14:paraId="034E6BAE" w14:textId="77777777" w:rsidR="009A69B1" w:rsidRDefault="009A69B1" w:rsidP="009A69B1">
      <w:pPr>
        <w:pStyle w:val="a9"/>
        <w:numPr>
          <w:ilvl w:val="0"/>
          <w:numId w:val="1"/>
        </w:numPr>
        <w:spacing w:line="360" w:lineRule="auto"/>
        <w:jc w:val="both"/>
        <w:rPr>
          <w:rFonts w:ascii="Arial" w:hAnsi="Arial"/>
        </w:rPr>
      </w:pPr>
      <w:r w:rsidRPr="00897347">
        <w:rPr>
          <w:rFonts w:ascii="Arial" w:hAnsi="Arial"/>
          <w:rtl/>
        </w:rPr>
        <w:t xml:space="preserve">במקרה </w:t>
      </w:r>
      <w:r>
        <w:rPr>
          <w:rFonts w:ascii="Arial" w:hAnsi="Arial" w:hint="cs"/>
          <w:rtl/>
        </w:rPr>
        <w:t xml:space="preserve">דנן, </w:t>
      </w:r>
      <w:r w:rsidRPr="0054268F">
        <w:rPr>
          <w:rFonts w:ascii="Arial" w:hAnsi="Arial" w:hint="cs"/>
          <w:rtl/>
        </w:rPr>
        <w:t>ה</w:t>
      </w:r>
      <w:r>
        <w:rPr>
          <w:rFonts w:ascii="Arial" w:hAnsi="Arial" w:hint="cs"/>
          <w:rtl/>
        </w:rPr>
        <w:t>ורשע הנאשם בעבירות של סחר בסם מסוכן עת מכר לאדם אחר סם מסוג קנבוס במשקל 5 גרם תמורת 300 ₪ בשתי הזדמנויות. הנאשם גם החזיק ברכבו סמים במשקל 60.42 גרם מחלוקים ל-5 שקיות, ובתיק ובתא המטען כמות נוספת של סם במשקל  272.90 גרם נטו של סם מסוג קנבוס, כסף מזומן בסך 14,820 ₪, וטלפונים סלולריים.</w:t>
      </w:r>
    </w:p>
    <w:p w14:paraId="7285B532"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ביום 10.5.2023 במהלך ליוויו לבית המשפט, החזיק בכיס מכנסיו בסם מסוכן מסוג קוקאין במשקל 0.2241 גרם נטו.</w:t>
      </w:r>
    </w:p>
    <w:p w14:paraId="0E8527D8" w14:textId="77777777" w:rsidR="009A69B1" w:rsidRDefault="009A69B1" w:rsidP="009A69B1">
      <w:pPr>
        <w:pStyle w:val="a9"/>
        <w:numPr>
          <w:ilvl w:val="0"/>
          <w:numId w:val="1"/>
        </w:numPr>
        <w:spacing w:line="360" w:lineRule="auto"/>
        <w:jc w:val="both"/>
        <w:rPr>
          <w:rFonts w:ascii="Arial" w:hAnsi="Arial"/>
        </w:rPr>
      </w:pPr>
      <w:r w:rsidRPr="00960E77">
        <w:rPr>
          <w:rFonts w:ascii="Arial" w:hAnsi="Arial"/>
          <w:rtl/>
        </w:rPr>
        <w:t>מתחם הענישה בגין עבירת הפרת הוראה חוקית נע בין מאסר מותנה לבין עונש מאסר קצר, עד 4 חודשים שיכול וירוצה על דרך עבודות השירות. רא</w:t>
      </w:r>
      <w:r>
        <w:rPr>
          <w:rFonts w:ascii="Arial" w:hAnsi="Arial" w:hint="cs"/>
          <w:rtl/>
        </w:rPr>
        <w:t>ו לדוגמה</w:t>
      </w:r>
      <w:r w:rsidRPr="00960E77">
        <w:rPr>
          <w:rFonts w:ascii="Arial" w:hAnsi="Arial"/>
          <w:rtl/>
        </w:rPr>
        <w:t xml:space="preserve">: </w:t>
      </w:r>
      <w:hyperlink r:id="rId28" w:history="1">
        <w:r w:rsidR="001721EF" w:rsidRPr="001721EF">
          <w:rPr>
            <w:rFonts w:ascii="Arial" w:hAnsi="Arial"/>
            <w:color w:val="0000FF"/>
            <w:u w:val="single"/>
            <w:rtl/>
          </w:rPr>
          <w:t>רע"פ 5023/18</w:t>
        </w:r>
      </w:hyperlink>
      <w:r w:rsidRPr="00960E77">
        <w:rPr>
          <w:rFonts w:ascii="Arial" w:hAnsi="Arial"/>
          <w:rtl/>
        </w:rPr>
        <w:t xml:space="preserve"> </w:t>
      </w:r>
      <w:r w:rsidRPr="00960E77">
        <w:rPr>
          <w:rFonts w:ascii="Arial" w:hAnsi="Arial"/>
          <w:b/>
          <w:bCs/>
          <w:rtl/>
        </w:rPr>
        <w:t>עוקבה בדיר נ' מדינת ישראל</w:t>
      </w:r>
      <w:r w:rsidRPr="00960E77">
        <w:rPr>
          <w:rFonts w:ascii="Arial" w:hAnsi="Arial"/>
          <w:rtl/>
        </w:rPr>
        <w:t xml:space="preserve"> (28.06.18). </w:t>
      </w:r>
      <w:hyperlink r:id="rId29" w:history="1">
        <w:r w:rsidR="001721EF" w:rsidRPr="001721EF">
          <w:rPr>
            <w:rFonts w:ascii="Arial" w:hAnsi="Arial"/>
            <w:color w:val="0000FF"/>
            <w:u w:val="single"/>
            <w:rtl/>
          </w:rPr>
          <w:t>רע"פ 1940/16</w:t>
        </w:r>
      </w:hyperlink>
      <w:r w:rsidRPr="00960E77">
        <w:rPr>
          <w:rFonts w:ascii="Arial" w:hAnsi="Arial"/>
          <w:rtl/>
        </w:rPr>
        <w:t xml:space="preserve"> </w:t>
      </w:r>
      <w:r w:rsidRPr="00960E77">
        <w:rPr>
          <w:rFonts w:ascii="Arial" w:hAnsi="Arial"/>
          <w:b/>
          <w:bCs/>
          <w:rtl/>
        </w:rPr>
        <w:t>אורי פולק נ' מדינת ישראל</w:t>
      </w:r>
      <w:r w:rsidRPr="00960E77">
        <w:rPr>
          <w:rFonts w:ascii="Arial" w:hAnsi="Arial"/>
          <w:rtl/>
        </w:rPr>
        <w:t xml:space="preserve"> (14.03.16).</w:t>
      </w:r>
    </w:p>
    <w:p w14:paraId="25564A6F" w14:textId="77777777" w:rsidR="009A69B1" w:rsidRPr="00960E77" w:rsidRDefault="009A69B1" w:rsidP="009A69B1">
      <w:pPr>
        <w:pStyle w:val="a9"/>
        <w:rPr>
          <w:rFonts w:ascii="Arial" w:hAnsi="Arial"/>
          <w:rtl/>
        </w:rPr>
      </w:pPr>
    </w:p>
    <w:p w14:paraId="7A724A4E" w14:textId="77777777" w:rsidR="009A69B1" w:rsidRPr="00960E77" w:rsidRDefault="009A69B1" w:rsidP="009A69B1">
      <w:pPr>
        <w:spacing w:line="360" w:lineRule="auto"/>
        <w:ind w:firstLine="720"/>
        <w:jc w:val="both"/>
        <w:rPr>
          <w:rFonts w:ascii="Arial" w:hAnsi="Arial"/>
          <w:b/>
          <w:bCs/>
          <w:u w:val="single"/>
          <w:rtl/>
        </w:rPr>
      </w:pPr>
      <w:r>
        <w:rPr>
          <w:rFonts w:ascii="Arial" w:hAnsi="Arial" w:hint="cs"/>
          <w:b/>
          <w:bCs/>
          <w:u w:val="single"/>
          <w:rtl/>
        </w:rPr>
        <w:t>סטייה ממתחם העונש ההולם בשל שיקולי שיקום</w:t>
      </w:r>
      <w:r w:rsidRPr="00960E77">
        <w:rPr>
          <w:rFonts w:ascii="Arial" w:hAnsi="Arial" w:hint="cs"/>
          <w:b/>
          <w:bCs/>
          <w:u w:val="single"/>
          <w:rtl/>
        </w:rPr>
        <w:t>:</w:t>
      </w:r>
    </w:p>
    <w:p w14:paraId="0D998534"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 xml:space="preserve">הנאשם הינו בחור צעיר כבן 20 נעדר רישום פלילי, אשר </w:t>
      </w:r>
      <w:r w:rsidRPr="007E3269">
        <w:rPr>
          <w:rFonts w:ascii="Arial" w:hAnsi="Arial"/>
          <w:rtl/>
        </w:rPr>
        <w:t xml:space="preserve">נסיבותיו האישיות </w:t>
      </w:r>
      <w:r>
        <w:rPr>
          <w:rFonts w:ascii="Arial" w:hAnsi="Arial" w:hint="cs"/>
          <w:rtl/>
        </w:rPr>
        <w:t xml:space="preserve">כמפורט בתסקיר </w:t>
      </w:r>
      <w:r w:rsidRPr="007E3269">
        <w:rPr>
          <w:rFonts w:ascii="Arial" w:hAnsi="Arial"/>
          <w:rtl/>
        </w:rPr>
        <w:t xml:space="preserve">הינן </w:t>
      </w:r>
      <w:r>
        <w:rPr>
          <w:rFonts w:ascii="Arial" w:hAnsi="Arial" w:hint="cs"/>
          <w:rtl/>
        </w:rPr>
        <w:t>מורכבות. הנאשם חווה אובדן של אב באופן פתאומי לפני כ-3 שנים, בהיות האב כבן 49. והדבר היווה עבורו משבר משמעותי, ותחושותיו הקשות ביחס לכך מלוות אותו עד היום כמפורט בתסקיר.</w:t>
      </w:r>
    </w:p>
    <w:p w14:paraId="5597E0E6"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הנאשם נטל אחריות על המעשים הן בבית המשפט והן בשרות המבחן, ושיתף את שרות המבחן בהרגלי צריכת סמים עוד בהיותו כבן 15. שרות המבחן מציין כי בביצוע העבירות פעל הנאשם מתוך מצוקה, ומסביר את מעורבותו בפלילים, על רקע האובדן הקשה אותו חווה אשר ערער אותו רגשית, זאת בנוסף למערכת יחסים מורכבת עם בני משפחתו. במצב דברים זה עזב הנאשם את הבית בהיותו חסר בשלות והתקשה להיענות לגבולות פנימיים וחיצוניים. לדעתם, הנאשם אינו בעל דפוסים התמכרותיים או דפוסים שוליים מושרשים, הוא שיתף פעולה עם שרות המבחן, ביטא נכונות להיעזר בהם, והביע מוטיבציה ורצון עז להיכנס למסגרת צבאית.</w:t>
      </w:r>
    </w:p>
    <w:p w14:paraId="3E9BBC8F"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לדעת שרות המבחן, יש להעדיף במקרה זה את הפן השיקומי, נוכח גילו הצעיר של הנאשם, ורצונו להתגייס לשרות צבאי, שכן הדבר יהווה עבורו מסגרת שייכות חיובית ומארגנת אשר תסייע לו בייצוב מצבו, זאת לצד הטלת צו של"צ לצד מבחן- במסגרתו ילווה שרות המבחן את הנאשם במאמציו להתגייס לצה"ל, וככל ולא יימצא מתאים, ישולב בהליך טיפולי במסגרתם.</w:t>
      </w:r>
    </w:p>
    <w:p w14:paraId="779D8E17"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נוכח האפשרות כי הנאשם יגויס בחודשים הקרובים, הוצע כי יוטל עליו צו של"צ בהיקף 120 שעות, וכן הודגש בתסקיר, כי בהתאם לעמדת גורמי צה"ל שאלת גיוסו תיבחן רק לאחר סיום ההליך שבפניי.</w:t>
      </w:r>
    </w:p>
    <w:p w14:paraId="726107E1"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טעמיו אלו של שרות המבחן כפי שפורטו לעיל מקובלים עליי, ומצדיקים לסטות ממתחם העונש ההולם משום שיקולי שיקום, ובנוסף לסיים את ההליך כבר בשלב זה, נוכח האפשרות שהנאשם יגויס בחודשים הקרובים לצה"ל. כפי שציין שרות המבחן, גיוסו של הנאשם לצה"ל ייצב את חייו ויצור עבורו מסגרת שייכות, וראוי לעודד ולחזק את הנאשם במאמצים אותם הוא עורך להעלות את חייו חזרה על מסלול תקין ונורמטיבי, וכחלק מכך, גם לשאת בחובתו האזרחית, ולהתגייס לשרות צבאי.</w:t>
      </w:r>
    </w:p>
    <w:p w14:paraId="0F7848F0" w14:textId="77777777" w:rsidR="009A69B1" w:rsidRDefault="009A69B1" w:rsidP="009A69B1">
      <w:pPr>
        <w:pStyle w:val="a9"/>
        <w:numPr>
          <w:ilvl w:val="0"/>
          <w:numId w:val="1"/>
        </w:numPr>
        <w:spacing w:line="360" w:lineRule="auto"/>
        <w:jc w:val="both"/>
        <w:rPr>
          <w:rFonts w:ascii="Arial" w:hAnsi="Arial"/>
        </w:rPr>
      </w:pPr>
      <w:r>
        <w:rPr>
          <w:rFonts w:ascii="Arial" w:hAnsi="Arial" w:hint="cs"/>
          <w:rtl/>
        </w:rPr>
        <w:t>אשר על כן אני מטיל על הנאשם את העונשים הבאים:</w:t>
      </w:r>
    </w:p>
    <w:p w14:paraId="1492DEF4" w14:textId="77777777" w:rsidR="009A69B1" w:rsidRPr="005E3E63" w:rsidRDefault="009A69B1" w:rsidP="009A69B1">
      <w:pPr>
        <w:pStyle w:val="a9"/>
        <w:numPr>
          <w:ilvl w:val="0"/>
          <w:numId w:val="3"/>
        </w:numPr>
        <w:spacing w:line="360" w:lineRule="auto"/>
        <w:jc w:val="both"/>
        <w:rPr>
          <w:rFonts w:ascii="Arial" w:hAnsi="Arial"/>
        </w:rPr>
      </w:pPr>
      <w:r w:rsidRPr="005E3E63">
        <w:rPr>
          <w:rFonts w:ascii="Arial" w:hAnsi="Arial" w:hint="cs"/>
          <w:rtl/>
        </w:rPr>
        <w:t xml:space="preserve">שירות לתועלת הציבור בהיקף 120 שעות במסגרת </w:t>
      </w:r>
      <w:r>
        <w:rPr>
          <w:rFonts w:ascii="Arial" w:hAnsi="Arial" w:hint="cs"/>
          <w:rtl/>
        </w:rPr>
        <w:t>"</w:t>
      </w:r>
      <w:r w:rsidRPr="005E3E63">
        <w:rPr>
          <w:rFonts w:ascii="Arial" w:hAnsi="Arial" w:hint="cs"/>
          <w:rtl/>
        </w:rPr>
        <w:t>היכל התרבות ב</w:t>
      </w:r>
      <w:r>
        <w:rPr>
          <w:rFonts w:ascii="Arial" w:hAnsi="Arial" w:hint="cs"/>
          <w:rtl/>
        </w:rPr>
        <w:t xml:space="preserve">עיריית </w:t>
      </w:r>
      <w:r w:rsidRPr="005E3E63">
        <w:rPr>
          <w:rFonts w:ascii="Arial" w:hAnsi="Arial" w:hint="cs"/>
          <w:rtl/>
        </w:rPr>
        <w:t>אריאל</w:t>
      </w:r>
      <w:r>
        <w:rPr>
          <w:rFonts w:ascii="Arial" w:hAnsi="Arial" w:hint="cs"/>
          <w:rtl/>
        </w:rPr>
        <w:t>"</w:t>
      </w:r>
      <w:r w:rsidRPr="005E3E63">
        <w:rPr>
          <w:rFonts w:ascii="Arial" w:hAnsi="Arial" w:hint="cs"/>
          <w:rtl/>
        </w:rPr>
        <w:t xml:space="preserve"> בעבודות תחזוקה וסיוע לצוות במקום.</w:t>
      </w:r>
    </w:p>
    <w:p w14:paraId="61800038" w14:textId="77777777" w:rsidR="009A69B1" w:rsidRPr="005E3E63" w:rsidRDefault="009A69B1" w:rsidP="009A69B1">
      <w:pPr>
        <w:pStyle w:val="a9"/>
        <w:numPr>
          <w:ilvl w:val="0"/>
          <w:numId w:val="3"/>
        </w:numPr>
        <w:spacing w:line="360" w:lineRule="auto"/>
        <w:jc w:val="both"/>
        <w:rPr>
          <w:rFonts w:ascii="Arial" w:hAnsi="Arial"/>
        </w:rPr>
      </w:pPr>
      <w:r w:rsidRPr="005E3E63">
        <w:rPr>
          <w:rFonts w:ascii="Arial" w:hAnsi="Arial" w:hint="cs"/>
          <w:rtl/>
        </w:rPr>
        <w:t>מאסר למשך 3 חודשים וזאת על תנאי למשך 3 שנים שלא יעבור עבירה מ</w:t>
      </w:r>
      <w:hyperlink r:id="rId30" w:history="1">
        <w:r w:rsidR="001721EF" w:rsidRPr="001721EF">
          <w:rPr>
            <w:rFonts w:ascii="Arial" w:hAnsi="Arial"/>
            <w:color w:val="0000FF"/>
            <w:u w:val="single"/>
            <w:rtl/>
          </w:rPr>
          <w:t>פקודת הסמים המסוכנים</w:t>
        </w:r>
      </w:hyperlink>
      <w:r w:rsidRPr="005E3E63">
        <w:rPr>
          <w:rFonts w:ascii="Arial" w:hAnsi="Arial" w:hint="cs"/>
          <w:rtl/>
        </w:rPr>
        <w:t>, או עבירה של הפרת הוראה חוקית</w:t>
      </w:r>
      <w:r>
        <w:rPr>
          <w:rFonts w:ascii="Arial" w:hAnsi="Arial" w:hint="cs"/>
          <w:rtl/>
        </w:rPr>
        <w:t>.</w:t>
      </w:r>
    </w:p>
    <w:p w14:paraId="06954C6C" w14:textId="77777777" w:rsidR="009A69B1" w:rsidRPr="005E3E63" w:rsidRDefault="009A69B1" w:rsidP="009A69B1">
      <w:pPr>
        <w:pStyle w:val="a9"/>
        <w:numPr>
          <w:ilvl w:val="0"/>
          <w:numId w:val="3"/>
        </w:numPr>
        <w:spacing w:line="360" w:lineRule="auto"/>
        <w:jc w:val="both"/>
        <w:rPr>
          <w:rFonts w:ascii="Arial" w:hAnsi="Arial"/>
        </w:rPr>
      </w:pPr>
      <w:r w:rsidRPr="005E3E63">
        <w:rPr>
          <w:rFonts w:ascii="Arial" w:hAnsi="Arial" w:hint="cs"/>
          <w:rtl/>
        </w:rPr>
        <w:t>פסילה למשך 3 חודשים וזאת על תנאי למשך 3 שנים.</w:t>
      </w:r>
    </w:p>
    <w:p w14:paraId="28A18A2D" w14:textId="77777777" w:rsidR="009A69B1" w:rsidRPr="005E3E63" w:rsidRDefault="009A69B1" w:rsidP="009A69B1">
      <w:pPr>
        <w:pStyle w:val="a9"/>
        <w:numPr>
          <w:ilvl w:val="0"/>
          <w:numId w:val="3"/>
        </w:numPr>
        <w:spacing w:line="360" w:lineRule="auto"/>
        <w:jc w:val="both"/>
        <w:rPr>
          <w:rFonts w:ascii="Arial" w:hAnsi="Arial"/>
        </w:rPr>
      </w:pPr>
      <w:r w:rsidRPr="005E3E63">
        <w:rPr>
          <w:rFonts w:ascii="Arial" w:hAnsi="Arial" w:hint="cs"/>
          <w:rtl/>
        </w:rPr>
        <w:t xml:space="preserve">הכספים </w:t>
      </w:r>
      <w:r>
        <w:rPr>
          <w:rFonts w:ascii="Arial" w:hAnsi="Arial" w:hint="cs"/>
          <w:rtl/>
        </w:rPr>
        <w:t xml:space="preserve">וכן הטלפונים הניידים </w:t>
      </w:r>
      <w:r w:rsidRPr="005E3E63">
        <w:rPr>
          <w:rFonts w:ascii="Arial" w:hAnsi="Arial" w:hint="cs"/>
          <w:rtl/>
        </w:rPr>
        <w:t xml:space="preserve">שנתפסו </w:t>
      </w:r>
      <w:r>
        <w:rPr>
          <w:rFonts w:ascii="Arial" w:hAnsi="Arial" w:hint="cs"/>
          <w:rtl/>
        </w:rPr>
        <w:t>י</w:t>
      </w:r>
      <w:r w:rsidRPr="005E3E63">
        <w:rPr>
          <w:rFonts w:ascii="Arial" w:hAnsi="Arial" w:hint="cs"/>
          <w:rtl/>
        </w:rPr>
        <w:t>חולטו.</w:t>
      </w:r>
    </w:p>
    <w:p w14:paraId="583EAA00" w14:textId="77777777" w:rsidR="009A69B1" w:rsidRDefault="009A69B1" w:rsidP="009A69B1">
      <w:pPr>
        <w:pStyle w:val="a9"/>
        <w:numPr>
          <w:ilvl w:val="0"/>
          <w:numId w:val="3"/>
        </w:numPr>
        <w:spacing w:line="360" w:lineRule="auto"/>
        <w:jc w:val="both"/>
        <w:rPr>
          <w:rFonts w:ascii="Arial" w:hAnsi="Arial"/>
        </w:rPr>
      </w:pPr>
      <w:r w:rsidRPr="005E3E63">
        <w:rPr>
          <w:rFonts w:ascii="Arial" w:hAnsi="Arial" w:hint="cs"/>
          <w:rtl/>
        </w:rPr>
        <w:t>הסמים יושמדו.</w:t>
      </w:r>
    </w:p>
    <w:p w14:paraId="770CB10A" w14:textId="77777777" w:rsidR="009A69B1" w:rsidRPr="005E3E63" w:rsidRDefault="009A69B1" w:rsidP="009A69B1">
      <w:pPr>
        <w:pStyle w:val="a9"/>
        <w:numPr>
          <w:ilvl w:val="0"/>
          <w:numId w:val="3"/>
        </w:numPr>
        <w:spacing w:line="360" w:lineRule="auto"/>
        <w:jc w:val="both"/>
        <w:rPr>
          <w:rFonts w:ascii="Arial" w:hAnsi="Arial"/>
        </w:rPr>
      </w:pPr>
      <w:r>
        <w:rPr>
          <w:rFonts w:ascii="Arial" w:hAnsi="Arial" w:hint="cs"/>
          <w:rtl/>
        </w:rPr>
        <w:t>כספי ההפקדה שהופקדו במסגרת הליכי המעצר יושבו לנאשם באמצעות סנגורו.</w:t>
      </w:r>
    </w:p>
    <w:p w14:paraId="3CF0D42E" w14:textId="77777777" w:rsidR="009A69B1" w:rsidRDefault="009A69B1" w:rsidP="009A69B1">
      <w:pPr>
        <w:spacing w:line="360" w:lineRule="auto"/>
        <w:ind w:left="360"/>
        <w:jc w:val="both"/>
        <w:rPr>
          <w:rFonts w:ascii="Arial" w:hAnsi="Arial"/>
          <w:b/>
          <w:bCs/>
          <w:u w:val="single"/>
          <w:rtl/>
        </w:rPr>
      </w:pPr>
    </w:p>
    <w:p w14:paraId="7E08B2D0" w14:textId="77777777" w:rsidR="009A69B1" w:rsidRPr="005E3E63" w:rsidRDefault="009A69B1" w:rsidP="009A69B1">
      <w:pPr>
        <w:spacing w:line="360" w:lineRule="auto"/>
        <w:ind w:left="360"/>
        <w:jc w:val="both"/>
        <w:rPr>
          <w:rFonts w:ascii="Arial" w:hAnsi="Arial"/>
          <w:b/>
          <w:bCs/>
        </w:rPr>
      </w:pPr>
      <w:r w:rsidRPr="005E3E63">
        <w:rPr>
          <w:rFonts w:ascii="Arial" w:hAnsi="Arial" w:hint="cs"/>
          <w:b/>
          <w:bCs/>
          <w:u w:val="single"/>
          <w:rtl/>
        </w:rPr>
        <w:t>המזכירות תשלח העתק גזר הדין לשרות המבחן</w:t>
      </w:r>
      <w:r w:rsidRPr="005E3E63">
        <w:rPr>
          <w:rFonts w:ascii="Arial" w:hAnsi="Arial" w:hint="cs"/>
          <w:b/>
          <w:bCs/>
          <w:rtl/>
        </w:rPr>
        <w:t>.</w:t>
      </w:r>
    </w:p>
    <w:p w14:paraId="2EC0C80E" w14:textId="77777777" w:rsidR="009A69B1" w:rsidRPr="001721EF" w:rsidRDefault="001721EF" w:rsidP="009A69B1">
      <w:pPr>
        <w:spacing w:line="360" w:lineRule="auto"/>
        <w:ind w:left="360"/>
        <w:jc w:val="both"/>
        <w:rPr>
          <w:rFonts w:ascii="Arial" w:hAnsi="Arial"/>
          <w:color w:val="FFFFFF"/>
          <w:sz w:val="2"/>
          <w:szCs w:val="2"/>
          <w:rtl/>
        </w:rPr>
      </w:pPr>
      <w:r w:rsidRPr="001721EF">
        <w:rPr>
          <w:rFonts w:ascii="Arial" w:hAnsi="Arial"/>
          <w:color w:val="FFFFFF"/>
          <w:sz w:val="2"/>
          <w:szCs w:val="2"/>
          <w:rtl/>
        </w:rPr>
        <w:t>5129371</w:t>
      </w:r>
    </w:p>
    <w:p w14:paraId="34C7898B" w14:textId="77777777" w:rsidR="009A69B1" w:rsidRPr="008D29BF" w:rsidRDefault="001721EF" w:rsidP="009A69B1">
      <w:pPr>
        <w:spacing w:line="360" w:lineRule="auto"/>
        <w:ind w:left="360"/>
        <w:jc w:val="both"/>
        <w:rPr>
          <w:rFonts w:ascii="Arial" w:hAnsi="Arial"/>
          <w:b/>
          <w:bCs/>
        </w:rPr>
      </w:pPr>
      <w:r w:rsidRPr="001721EF">
        <w:rPr>
          <w:rFonts w:ascii="Arial" w:hAnsi="Arial"/>
          <w:b/>
          <w:bCs/>
          <w:color w:val="FFFFFF"/>
          <w:sz w:val="2"/>
          <w:szCs w:val="2"/>
          <w:rtl/>
        </w:rPr>
        <w:t>54678313</w:t>
      </w:r>
      <w:r w:rsidR="009A69B1" w:rsidRPr="008D29BF">
        <w:rPr>
          <w:rFonts w:ascii="Arial" w:hAnsi="Arial" w:hint="cs"/>
          <w:b/>
          <w:bCs/>
          <w:rtl/>
        </w:rPr>
        <w:t xml:space="preserve">זכות ערעור לבית המשפט המחוזי בתוך 45 יום.   </w:t>
      </w:r>
    </w:p>
    <w:p w14:paraId="65F465C5" w14:textId="77777777" w:rsidR="009A69B1" w:rsidRPr="000F2247" w:rsidRDefault="009A69B1" w:rsidP="009A69B1">
      <w:pPr>
        <w:rPr>
          <w:rFonts w:ascii="Arial" w:hAnsi="Arial"/>
          <w:b/>
          <w:bCs/>
          <w:sz w:val="26"/>
          <w:szCs w:val="26"/>
          <w:rtl/>
        </w:rPr>
      </w:pPr>
    </w:p>
    <w:p w14:paraId="6BF13352" w14:textId="77777777" w:rsidR="009A69B1" w:rsidRPr="008D29BF" w:rsidRDefault="001721EF" w:rsidP="009A69B1">
      <w:pPr>
        <w:spacing w:line="360" w:lineRule="auto"/>
        <w:jc w:val="both"/>
        <w:rPr>
          <w:rFonts w:ascii="Arial" w:hAnsi="Arial"/>
          <w:b/>
          <w:bCs/>
          <w:rtl/>
        </w:rPr>
      </w:pPr>
      <w:bookmarkStart w:id="8" w:name="Nitan"/>
      <w:r>
        <w:rPr>
          <w:rFonts w:ascii="Arial" w:hAnsi="Arial"/>
          <w:b/>
          <w:bCs/>
          <w:rtl/>
        </w:rPr>
        <w:t xml:space="preserve">ניתן היום,  י"ג אב תשפ"ג, 31 יולי 2023, במעמד הנוכחים. </w:t>
      </w:r>
      <w:bookmarkEnd w:id="8"/>
      <w:r w:rsidR="009A69B1" w:rsidRPr="008D29BF">
        <w:rPr>
          <w:rFonts w:ascii="Arial" w:hAnsi="Arial"/>
          <w:b/>
          <w:bCs/>
          <w:rtl/>
        </w:rPr>
        <w:tab/>
      </w:r>
      <w:r w:rsidR="009A69B1" w:rsidRPr="008D29BF">
        <w:rPr>
          <w:rFonts w:ascii="Arial" w:hAnsi="Arial"/>
          <w:b/>
          <w:bCs/>
          <w:rtl/>
        </w:rPr>
        <w:tab/>
      </w:r>
      <w:r w:rsidR="009A69B1" w:rsidRPr="008D29BF">
        <w:rPr>
          <w:rFonts w:ascii="Arial" w:hAnsi="Arial"/>
          <w:b/>
          <w:bCs/>
          <w:rtl/>
        </w:rPr>
        <w:tab/>
      </w:r>
      <w:r w:rsidR="009A69B1" w:rsidRPr="008D29BF">
        <w:rPr>
          <w:rFonts w:ascii="Arial" w:hAnsi="Arial"/>
          <w:b/>
          <w:bCs/>
          <w:rtl/>
        </w:rPr>
        <w:tab/>
      </w:r>
      <w:r w:rsidR="009A69B1" w:rsidRPr="008D29BF">
        <w:rPr>
          <w:rFonts w:ascii="Arial" w:hAnsi="Arial"/>
          <w:b/>
          <w:bCs/>
          <w:rtl/>
        </w:rPr>
        <w:tab/>
      </w:r>
      <w:r w:rsidR="009A69B1" w:rsidRPr="008D29BF">
        <w:rPr>
          <w:rFonts w:ascii="Arial" w:hAnsi="Arial"/>
          <w:b/>
          <w:bCs/>
          <w:rtl/>
        </w:rPr>
        <w:tab/>
      </w:r>
      <w:r w:rsidR="009A69B1" w:rsidRPr="008D29BF">
        <w:rPr>
          <w:rFonts w:ascii="Arial" w:hAnsi="Arial"/>
          <w:b/>
          <w:bCs/>
          <w:rtl/>
        </w:rPr>
        <w:tab/>
      </w:r>
      <w:r w:rsidR="009A69B1" w:rsidRPr="008D29BF">
        <w:rPr>
          <w:rFonts w:ascii="Arial" w:hAnsi="Arial" w:hint="cs"/>
          <w:b/>
          <w:bCs/>
          <w:rtl/>
        </w:rPr>
        <w:t xml:space="preserve">         </w:t>
      </w:r>
    </w:p>
    <w:p w14:paraId="1F4ABB31" w14:textId="77777777" w:rsidR="009A69B1" w:rsidRPr="008D29BF" w:rsidRDefault="009A69B1" w:rsidP="001721EF">
      <w:pPr>
        <w:jc w:val="center"/>
      </w:pPr>
      <w:r w:rsidRPr="008D29BF">
        <w:rPr>
          <w:rFonts w:ascii="Arial" w:hAnsi="Arial"/>
          <w:b/>
          <w:bCs/>
          <w:rtl/>
        </w:rPr>
        <w:t xml:space="preserve">   </w:t>
      </w:r>
      <w:r w:rsidRPr="008D29BF">
        <w:rPr>
          <w:rFonts w:ascii="Arial" w:hAnsi="Arial"/>
          <w:b/>
          <w:bCs/>
          <w:rtl/>
        </w:rPr>
        <w:tab/>
      </w:r>
      <w:r w:rsidRPr="008D29BF">
        <w:rPr>
          <w:rFonts w:ascii="Arial" w:hAnsi="Arial"/>
          <w:b/>
          <w:bCs/>
          <w:rtl/>
        </w:rPr>
        <w:tab/>
      </w:r>
      <w:r w:rsidRPr="008D29BF">
        <w:rPr>
          <w:rFonts w:ascii="Arial" w:hAnsi="Arial"/>
          <w:b/>
          <w:bCs/>
          <w:rtl/>
        </w:rPr>
        <w:tab/>
      </w:r>
      <w:r w:rsidRPr="008D29BF">
        <w:rPr>
          <w:rFonts w:ascii="Arial" w:hAnsi="Arial"/>
          <w:b/>
          <w:bCs/>
          <w:rtl/>
        </w:rPr>
        <w:tab/>
      </w:r>
      <w:r w:rsidRPr="008D29BF">
        <w:rPr>
          <w:rFonts w:ascii="Arial" w:hAnsi="Arial"/>
          <w:b/>
          <w:bCs/>
          <w:rtl/>
        </w:rPr>
        <w:tab/>
      </w:r>
    </w:p>
    <w:p w14:paraId="10FBF795" w14:textId="77777777" w:rsidR="009A69B1" w:rsidRPr="008D29BF" w:rsidRDefault="009A69B1" w:rsidP="009A69B1">
      <w:pPr>
        <w:jc w:val="center"/>
        <w:rPr>
          <w:rFonts w:ascii="Arial" w:hAnsi="Arial"/>
          <w:b/>
          <w:bCs/>
          <w:rtl/>
        </w:rPr>
      </w:pPr>
    </w:p>
    <w:p w14:paraId="2D55CC1F" w14:textId="77777777" w:rsidR="008338ED" w:rsidRPr="001721EF" w:rsidRDefault="008338ED" w:rsidP="001721EF">
      <w:pPr>
        <w:keepNext/>
        <w:rPr>
          <w:rFonts w:ascii="David" w:hAnsi="David"/>
          <w:color w:val="000000"/>
          <w:sz w:val="22"/>
          <w:szCs w:val="22"/>
          <w:rtl/>
        </w:rPr>
      </w:pPr>
    </w:p>
    <w:p w14:paraId="4F84958E" w14:textId="77777777" w:rsidR="001721EF" w:rsidRPr="001721EF" w:rsidRDefault="001721EF" w:rsidP="001721EF">
      <w:pPr>
        <w:keepNext/>
        <w:rPr>
          <w:rFonts w:ascii="David" w:hAnsi="David"/>
          <w:color w:val="000000"/>
          <w:sz w:val="22"/>
          <w:szCs w:val="22"/>
          <w:rtl/>
        </w:rPr>
      </w:pPr>
      <w:r w:rsidRPr="001721EF">
        <w:rPr>
          <w:rFonts w:ascii="David" w:hAnsi="David"/>
          <w:color w:val="000000"/>
          <w:sz w:val="22"/>
          <w:szCs w:val="22"/>
          <w:rtl/>
        </w:rPr>
        <w:t>ארנון איתן 54678313</w:t>
      </w:r>
    </w:p>
    <w:p w14:paraId="2C6A4FB0" w14:textId="77777777" w:rsidR="001721EF" w:rsidRDefault="001721EF" w:rsidP="001721EF">
      <w:r w:rsidRPr="001721EF">
        <w:rPr>
          <w:color w:val="000000"/>
          <w:rtl/>
        </w:rPr>
        <w:t>נוסח מסמך זה כפוף לשינויי ניסוח ועריכה</w:t>
      </w:r>
    </w:p>
    <w:p w14:paraId="057FEA62" w14:textId="77777777" w:rsidR="001721EF" w:rsidRDefault="001721EF" w:rsidP="001721EF">
      <w:pPr>
        <w:rPr>
          <w:rtl/>
        </w:rPr>
      </w:pPr>
    </w:p>
    <w:p w14:paraId="174F641B" w14:textId="77777777" w:rsidR="001721EF" w:rsidRDefault="001721EF" w:rsidP="001721EF">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5BC0239E" w14:textId="77777777" w:rsidR="001721EF" w:rsidRPr="001721EF" w:rsidRDefault="001721EF" w:rsidP="001721EF">
      <w:pPr>
        <w:jc w:val="center"/>
        <w:rPr>
          <w:color w:val="0000FF"/>
          <w:u w:val="single"/>
        </w:rPr>
      </w:pPr>
    </w:p>
    <w:sectPr w:rsidR="001721EF" w:rsidRPr="001721EF" w:rsidSect="001721EF">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52C40" w14:textId="77777777" w:rsidR="00287A86" w:rsidRDefault="00287A86" w:rsidP="00BD1DCF">
      <w:r>
        <w:separator/>
      </w:r>
    </w:p>
  </w:endnote>
  <w:endnote w:type="continuationSeparator" w:id="0">
    <w:p w14:paraId="44FF702B" w14:textId="77777777" w:rsidR="00287A86" w:rsidRDefault="00287A86" w:rsidP="00BD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AC67C" w14:textId="77777777" w:rsidR="001721EF" w:rsidRDefault="001721EF" w:rsidP="001721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4D6E1E" w14:textId="77777777" w:rsidR="002E3CE8" w:rsidRPr="001721EF" w:rsidRDefault="001721EF" w:rsidP="001721E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14D5" w14:textId="77777777" w:rsidR="001721EF" w:rsidRDefault="001721EF" w:rsidP="001721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334E">
      <w:rPr>
        <w:rFonts w:ascii="FrankRuehl" w:hAnsi="FrankRuehl" w:cs="FrankRuehl"/>
        <w:noProof/>
        <w:rtl/>
      </w:rPr>
      <w:t>1</w:t>
    </w:r>
    <w:r>
      <w:rPr>
        <w:rFonts w:ascii="FrankRuehl" w:hAnsi="FrankRuehl" w:cs="FrankRuehl"/>
        <w:rtl/>
      </w:rPr>
      <w:fldChar w:fldCharType="end"/>
    </w:r>
  </w:p>
  <w:p w14:paraId="5230DC8F" w14:textId="77777777" w:rsidR="002E3CE8" w:rsidRPr="001721EF" w:rsidRDefault="001721EF" w:rsidP="001721E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D37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DC25A" w14:textId="77777777" w:rsidR="00287A86" w:rsidRDefault="00287A86" w:rsidP="00BD1DCF">
      <w:r>
        <w:separator/>
      </w:r>
    </w:p>
  </w:footnote>
  <w:footnote w:type="continuationSeparator" w:id="0">
    <w:p w14:paraId="5A80B29B" w14:textId="77777777" w:rsidR="00287A86" w:rsidRDefault="00287A86" w:rsidP="00BD1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0B6C9" w14:textId="77777777" w:rsidR="001721EF" w:rsidRPr="001721EF" w:rsidRDefault="001721EF" w:rsidP="001721E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1852-06-22</w:t>
    </w:r>
    <w:r>
      <w:rPr>
        <w:rFonts w:ascii="David" w:hAnsi="David"/>
        <w:color w:val="000000"/>
        <w:sz w:val="22"/>
        <w:szCs w:val="22"/>
        <w:rtl/>
      </w:rPr>
      <w:tab/>
      <w:t xml:space="preserve"> מדינת ישראל נ' יואב קרילובצקי נשר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CC98E" w14:textId="77777777" w:rsidR="001721EF" w:rsidRPr="001721EF" w:rsidRDefault="001721EF" w:rsidP="001721E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1852-06-22</w:t>
    </w:r>
    <w:r>
      <w:rPr>
        <w:rFonts w:ascii="David" w:hAnsi="David"/>
        <w:color w:val="000000"/>
        <w:sz w:val="22"/>
        <w:szCs w:val="22"/>
        <w:rtl/>
      </w:rPr>
      <w:tab/>
      <w:t xml:space="preserve"> מדינת ישראל נ' יואב קרילובצקי נשר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D3B85"/>
    <w:multiLevelType w:val="hybridMultilevel"/>
    <w:tmpl w:val="93BC0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76A6A"/>
    <w:multiLevelType w:val="hybridMultilevel"/>
    <w:tmpl w:val="A5D66CB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E4218"/>
    <w:multiLevelType w:val="hybridMultilevel"/>
    <w:tmpl w:val="200CD4A8"/>
    <w:lvl w:ilvl="0" w:tplc="4008CB2E">
      <w:start w:val="1"/>
      <w:numFmt w:val="hebrew1"/>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16cid:durableId="1695569162">
    <w:abstractNumId w:val="0"/>
  </w:num>
  <w:num w:numId="2" w16cid:durableId="982933239">
    <w:abstractNumId w:val="2"/>
  </w:num>
  <w:num w:numId="3" w16cid:durableId="1985229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69B1"/>
    <w:rsid w:val="000225E9"/>
    <w:rsid w:val="00082DEF"/>
    <w:rsid w:val="001721EF"/>
    <w:rsid w:val="001B5A3B"/>
    <w:rsid w:val="00287A86"/>
    <w:rsid w:val="002E3CE8"/>
    <w:rsid w:val="00661145"/>
    <w:rsid w:val="00704365"/>
    <w:rsid w:val="007C07A6"/>
    <w:rsid w:val="007E334E"/>
    <w:rsid w:val="008338ED"/>
    <w:rsid w:val="008E4FF6"/>
    <w:rsid w:val="009A69B1"/>
    <w:rsid w:val="00B821FB"/>
    <w:rsid w:val="00BD1DCF"/>
    <w:rsid w:val="00EA3A1E"/>
    <w:rsid w:val="00EC54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82D99C"/>
  <w15:chartTrackingRefBased/>
  <w15:docId w15:val="{B48E5CED-1F2F-4E6F-8336-5EA57184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69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69B1"/>
    <w:pPr>
      <w:tabs>
        <w:tab w:val="center" w:pos="4153"/>
        <w:tab w:val="right" w:pos="8306"/>
      </w:tabs>
    </w:pPr>
  </w:style>
  <w:style w:type="character" w:customStyle="1" w:styleId="a4">
    <w:name w:val="כותרת עליונה תו"/>
    <w:link w:val="a3"/>
    <w:rsid w:val="009A69B1"/>
    <w:rPr>
      <w:rFonts w:ascii="Times New Roman" w:eastAsia="Times New Roman" w:hAnsi="Times New Roman" w:cs="David"/>
      <w:sz w:val="24"/>
      <w:szCs w:val="24"/>
    </w:rPr>
  </w:style>
  <w:style w:type="paragraph" w:styleId="a5">
    <w:name w:val="footer"/>
    <w:basedOn w:val="a"/>
    <w:link w:val="a6"/>
    <w:rsid w:val="009A69B1"/>
    <w:pPr>
      <w:tabs>
        <w:tab w:val="center" w:pos="4153"/>
        <w:tab w:val="right" w:pos="8306"/>
      </w:tabs>
    </w:pPr>
  </w:style>
  <w:style w:type="character" w:customStyle="1" w:styleId="a6">
    <w:name w:val="כותרת תחתונה תו"/>
    <w:link w:val="a5"/>
    <w:rsid w:val="009A69B1"/>
    <w:rPr>
      <w:rFonts w:ascii="Times New Roman" w:eastAsia="Times New Roman" w:hAnsi="Times New Roman" w:cs="David"/>
      <w:sz w:val="24"/>
      <w:szCs w:val="24"/>
    </w:rPr>
  </w:style>
  <w:style w:type="table" w:styleId="a7">
    <w:name w:val="Table Grid"/>
    <w:basedOn w:val="a1"/>
    <w:rsid w:val="009A69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A69B1"/>
  </w:style>
  <w:style w:type="paragraph" w:styleId="a9">
    <w:name w:val="List Paragraph"/>
    <w:basedOn w:val="a"/>
    <w:qFormat/>
    <w:rsid w:val="009A69B1"/>
    <w:pPr>
      <w:ind w:left="720"/>
      <w:contextualSpacing/>
    </w:pPr>
  </w:style>
  <w:style w:type="character" w:styleId="Hyperlink">
    <w:name w:val="Hyperlink"/>
    <w:rsid w:val="001721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 TargetMode="External"/><Relationship Id="rId18" Type="http://schemas.openxmlformats.org/officeDocument/2006/relationships/hyperlink" Target="http://www.nevo.co.il/case/28638450" TargetMode="External"/><Relationship Id="rId26" Type="http://schemas.openxmlformats.org/officeDocument/2006/relationships/hyperlink" Target="http://www.nevo.co.il/case/23827604" TargetMode="External"/><Relationship Id="rId21" Type="http://schemas.openxmlformats.org/officeDocument/2006/relationships/hyperlink" Target="http://www.nevo.co.il/law/4216/19;13a"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4216/13a" TargetMode="External"/><Relationship Id="rId17" Type="http://schemas.openxmlformats.org/officeDocument/2006/relationships/hyperlink" Target="http://www.nevo.co.il/case/28638451" TargetMode="External"/><Relationship Id="rId25" Type="http://schemas.openxmlformats.org/officeDocument/2006/relationships/hyperlink" Target="http://www.nevo.co.il/case/6248620"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8589520" TargetMode="External"/><Relationship Id="rId20" Type="http://schemas.openxmlformats.org/officeDocument/2006/relationships/hyperlink" Target="http://www.nevo.co.il/law/4216" TargetMode="External"/><Relationship Id="rId29" Type="http://schemas.openxmlformats.org/officeDocument/2006/relationships/hyperlink" Target="http://www.nevo.co.il/case/21029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5726579"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786821" TargetMode="External"/><Relationship Id="rId28" Type="http://schemas.openxmlformats.org/officeDocument/2006/relationships/hyperlink" Target="http://www.nevo.co.il/case/24345650" TargetMode="External"/><Relationship Id="rId36"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law/4216/7.a.;7.c"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case/28638450" TargetMode="External"/><Relationship Id="rId27" Type="http://schemas.openxmlformats.org/officeDocument/2006/relationships/hyperlink" Target="http://www.nevo.co.il/case/25973238"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70301/28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2230</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13356</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3801205</vt:i4>
      </vt:variant>
      <vt:variant>
        <vt:i4>66</vt:i4>
      </vt:variant>
      <vt:variant>
        <vt:i4>0</vt:i4>
      </vt:variant>
      <vt:variant>
        <vt:i4>5</vt:i4>
      </vt:variant>
      <vt:variant>
        <vt:lpwstr>http://www.nevo.co.il/case/21029216</vt:lpwstr>
      </vt:variant>
      <vt:variant>
        <vt:lpwstr/>
      </vt:variant>
      <vt:variant>
        <vt:i4>3211378</vt:i4>
      </vt:variant>
      <vt:variant>
        <vt:i4>63</vt:i4>
      </vt:variant>
      <vt:variant>
        <vt:i4>0</vt:i4>
      </vt:variant>
      <vt:variant>
        <vt:i4>5</vt:i4>
      </vt:variant>
      <vt:variant>
        <vt:lpwstr>http://www.nevo.co.il/case/24345650</vt:lpwstr>
      </vt:variant>
      <vt:variant>
        <vt:lpwstr/>
      </vt:variant>
      <vt:variant>
        <vt:i4>3866740</vt:i4>
      </vt:variant>
      <vt:variant>
        <vt:i4>60</vt:i4>
      </vt:variant>
      <vt:variant>
        <vt:i4>0</vt:i4>
      </vt:variant>
      <vt:variant>
        <vt:i4>5</vt:i4>
      </vt:variant>
      <vt:variant>
        <vt:lpwstr>http://www.nevo.co.il/case/25973238</vt:lpwstr>
      </vt:variant>
      <vt:variant>
        <vt:lpwstr/>
      </vt:variant>
      <vt:variant>
        <vt:i4>3997811</vt:i4>
      </vt:variant>
      <vt:variant>
        <vt:i4>57</vt:i4>
      </vt:variant>
      <vt:variant>
        <vt:i4>0</vt:i4>
      </vt:variant>
      <vt:variant>
        <vt:i4>5</vt:i4>
      </vt:variant>
      <vt:variant>
        <vt:lpwstr>http://www.nevo.co.il/case/23827604</vt:lpwstr>
      </vt:variant>
      <vt:variant>
        <vt:lpwstr/>
      </vt:variant>
      <vt:variant>
        <vt:i4>3407996</vt:i4>
      </vt:variant>
      <vt:variant>
        <vt:i4>54</vt:i4>
      </vt:variant>
      <vt:variant>
        <vt:i4>0</vt:i4>
      </vt:variant>
      <vt:variant>
        <vt:i4>5</vt:i4>
      </vt:variant>
      <vt:variant>
        <vt:lpwstr>http://www.nevo.co.il/case/6248620</vt:lpwstr>
      </vt:variant>
      <vt:variant>
        <vt:lpwstr/>
      </vt:variant>
      <vt:variant>
        <vt:i4>3866738</vt:i4>
      </vt:variant>
      <vt:variant>
        <vt:i4>51</vt:i4>
      </vt:variant>
      <vt:variant>
        <vt:i4>0</vt:i4>
      </vt:variant>
      <vt:variant>
        <vt:i4>5</vt:i4>
      </vt:variant>
      <vt:variant>
        <vt:lpwstr>http://www.nevo.co.il/case/5726579</vt:lpwstr>
      </vt:variant>
      <vt:variant>
        <vt:lpwstr/>
      </vt:variant>
      <vt:variant>
        <vt:i4>3407991</vt:i4>
      </vt:variant>
      <vt:variant>
        <vt:i4>48</vt:i4>
      </vt:variant>
      <vt:variant>
        <vt:i4>0</vt:i4>
      </vt:variant>
      <vt:variant>
        <vt:i4>5</vt:i4>
      </vt:variant>
      <vt:variant>
        <vt:lpwstr>http://www.nevo.co.il/case/5786821</vt:lpwstr>
      </vt:variant>
      <vt:variant>
        <vt:lpwstr/>
      </vt:variant>
      <vt:variant>
        <vt:i4>3735675</vt:i4>
      </vt:variant>
      <vt:variant>
        <vt:i4>45</vt:i4>
      </vt:variant>
      <vt:variant>
        <vt:i4>0</vt:i4>
      </vt:variant>
      <vt:variant>
        <vt:i4>5</vt:i4>
      </vt:variant>
      <vt:variant>
        <vt:lpwstr>http://www.nevo.co.il/case/28638450</vt:lpwstr>
      </vt:variant>
      <vt:variant>
        <vt:lpwstr/>
      </vt:variant>
      <vt:variant>
        <vt:i4>4653122</vt:i4>
      </vt:variant>
      <vt:variant>
        <vt:i4>42</vt:i4>
      </vt:variant>
      <vt:variant>
        <vt:i4>0</vt:i4>
      </vt:variant>
      <vt:variant>
        <vt:i4>5</vt:i4>
      </vt:variant>
      <vt:variant>
        <vt:lpwstr>http://www.nevo.co.il/law/4216/19;13a</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3735675</vt:i4>
      </vt:variant>
      <vt:variant>
        <vt:i4>33</vt:i4>
      </vt:variant>
      <vt:variant>
        <vt:i4>0</vt:i4>
      </vt:variant>
      <vt:variant>
        <vt:i4>5</vt:i4>
      </vt:variant>
      <vt:variant>
        <vt:lpwstr>http://www.nevo.co.il/case/28638450</vt:lpwstr>
      </vt:variant>
      <vt:variant>
        <vt:lpwstr/>
      </vt:variant>
      <vt:variant>
        <vt:i4>3735675</vt:i4>
      </vt:variant>
      <vt:variant>
        <vt:i4>30</vt:i4>
      </vt:variant>
      <vt:variant>
        <vt:i4>0</vt:i4>
      </vt:variant>
      <vt:variant>
        <vt:i4>5</vt:i4>
      </vt:variant>
      <vt:variant>
        <vt:lpwstr>http://www.nevo.co.il/case/28638451</vt:lpwstr>
      </vt:variant>
      <vt:variant>
        <vt:lpwstr/>
      </vt:variant>
      <vt:variant>
        <vt:i4>3932273</vt:i4>
      </vt:variant>
      <vt:variant>
        <vt:i4>27</vt:i4>
      </vt:variant>
      <vt:variant>
        <vt:i4>0</vt:i4>
      </vt:variant>
      <vt:variant>
        <vt:i4>5</vt:i4>
      </vt:variant>
      <vt:variant>
        <vt:lpwstr>http://www.nevo.co.il/case/28589520</vt:lpwstr>
      </vt:variant>
      <vt:variant>
        <vt:lpwstr/>
      </vt:variant>
      <vt:variant>
        <vt:i4>7995492</vt:i4>
      </vt:variant>
      <vt:variant>
        <vt:i4>24</vt:i4>
      </vt:variant>
      <vt:variant>
        <vt:i4>0</vt:i4>
      </vt:variant>
      <vt:variant>
        <vt:i4>5</vt:i4>
      </vt:variant>
      <vt:variant>
        <vt:lpwstr>http://www.nevo.co.il/law/70301</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5177418</vt:i4>
      </vt:variant>
      <vt:variant>
        <vt:i4>18</vt:i4>
      </vt:variant>
      <vt:variant>
        <vt:i4>0</vt:i4>
      </vt:variant>
      <vt:variant>
        <vt:i4>5</vt:i4>
      </vt:variant>
      <vt:variant>
        <vt:lpwstr>http://www.nevo.co.il/law/4216/19</vt:lpwstr>
      </vt:variant>
      <vt:variant>
        <vt:lpwstr/>
      </vt:variant>
      <vt:variant>
        <vt:i4>3014777</vt:i4>
      </vt:variant>
      <vt:variant>
        <vt:i4>15</vt:i4>
      </vt:variant>
      <vt:variant>
        <vt:i4>0</vt:i4>
      </vt:variant>
      <vt:variant>
        <vt:i4>5</vt:i4>
      </vt:variant>
      <vt:variant>
        <vt:lpwstr>http://www.nevo.co.il/law/4216/13a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4390992</vt:i4>
      </vt:variant>
      <vt:variant>
        <vt:i4>3</vt:i4>
      </vt:variant>
      <vt:variant>
        <vt:i4>0</vt:i4>
      </vt:variant>
      <vt:variant>
        <vt:i4>5</vt:i4>
      </vt:variant>
      <vt:variant>
        <vt:lpwstr>http://www.nevo.co.il/law/70301/287.a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2025-04-23T01:29:00Z</dcterms:created>
  <dcterms:modified xsi:type="dcterms:W3CDTF">2025-04-23T01:29:00Z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1852</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יואב קרילובצקי נשר</vt:lpwstr>
  </property>
  <property fmtid="{D5CDD505-2E9C-101B-9397-08002B2CF9AE}" pid="10" name="LAWYER">
    <vt:lpwstr>מיכאל עירוני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20230731</vt:lpwstr>
  </property>
  <property fmtid="{D5CDD505-2E9C-101B-9397-08002B2CF9AE}" pid="14" name="TYPE_N_DATE">
    <vt:lpwstr>38020230731</vt:lpwstr>
  </property>
  <property fmtid="{D5CDD505-2E9C-101B-9397-08002B2CF9AE}" pid="15" name="WORDNUMPAGES">
    <vt:lpwstr>7</vt:lpwstr>
  </property>
  <property fmtid="{D5CDD505-2E9C-101B-9397-08002B2CF9AE}" pid="16" name="TYPE_ABS_DATE">
    <vt:lpwstr>380020230731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28589520;28638451;28638450:2;5786821;5726579;6248620;23827604;25973238;24345650;21029216</vt:lpwstr>
  </property>
  <property fmtid="{D5CDD505-2E9C-101B-9397-08002B2CF9AE}" pid="36" name="LAWLISTTMP1">
    <vt:lpwstr>70301/287.a</vt:lpwstr>
  </property>
  <property fmtid="{D5CDD505-2E9C-101B-9397-08002B2CF9AE}" pid="37" name="LAWLISTTMP2">
    <vt:lpwstr>4216/007.a;007.c;019;013a</vt:lpwstr>
  </property>
</Properties>
</file>