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E4472B" w:rsidRPr="00F32BC6" w14:paraId="7DE3F398" w14:textId="77777777" w:rsidTr="00172719">
        <w:trPr>
          <w:gridAfter w:val="1"/>
          <w:wAfter w:w="99" w:type="dxa"/>
          <w:trHeight w:hRule="exact" w:val="418"/>
          <w:jc w:val="center"/>
        </w:trPr>
        <w:tc>
          <w:tcPr>
            <w:tcW w:w="8721" w:type="dxa"/>
            <w:gridSpan w:val="4"/>
          </w:tcPr>
          <w:p w14:paraId="29ECD63F" w14:textId="77777777" w:rsidR="00E4472B" w:rsidRPr="00F32BC6" w:rsidRDefault="00E4472B" w:rsidP="005C26A8">
            <w:pPr>
              <w:pStyle w:val="a3"/>
              <w:jc w:val="center"/>
              <w:rPr>
                <w:rFonts w:ascii="Tahoma" w:hAnsi="Tahoma" w:cs="Tahoma"/>
                <w:color w:val="000080"/>
                <w:rtl/>
              </w:rPr>
            </w:pPr>
            <w:bookmarkStart w:id="0" w:name="LastJudge"/>
            <w:r w:rsidRPr="00F32BC6">
              <w:rPr>
                <w:rFonts w:ascii="Tahoma" w:hAnsi="Tahoma" w:cs="Tahoma"/>
                <w:b/>
                <w:bCs/>
                <w:color w:val="000080"/>
                <w:rtl/>
              </w:rPr>
              <w:t>בית משפט השלום בתל אביב -יפו</w:t>
            </w:r>
          </w:p>
        </w:tc>
      </w:tr>
      <w:tr w:rsidR="00E4472B" w:rsidRPr="00F32BC6" w14:paraId="3E15067E" w14:textId="77777777" w:rsidTr="00172719">
        <w:trPr>
          <w:gridAfter w:val="1"/>
          <w:wAfter w:w="99" w:type="dxa"/>
          <w:trHeight w:val="337"/>
          <w:jc w:val="center"/>
        </w:trPr>
        <w:tc>
          <w:tcPr>
            <w:tcW w:w="5056" w:type="dxa"/>
            <w:gridSpan w:val="3"/>
          </w:tcPr>
          <w:p w14:paraId="2D04FDB7" w14:textId="77777777" w:rsidR="00E4472B" w:rsidRPr="00F32BC6" w:rsidRDefault="00E4472B" w:rsidP="005C26A8">
            <w:pPr>
              <w:rPr>
                <w:rFonts w:cs="FrankRuehl"/>
                <w:sz w:val="28"/>
                <w:szCs w:val="28"/>
                <w:rtl/>
              </w:rPr>
            </w:pPr>
            <w:r w:rsidRPr="00F32BC6">
              <w:rPr>
                <w:rFonts w:cs="FrankRuehl"/>
                <w:sz w:val="28"/>
                <w:szCs w:val="28"/>
                <w:rtl/>
              </w:rPr>
              <w:t>ת"פ</w:t>
            </w:r>
            <w:r w:rsidRPr="00F32BC6">
              <w:rPr>
                <w:rFonts w:cs="FrankRuehl" w:hint="cs"/>
                <w:sz w:val="28"/>
                <w:szCs w:val="28"/>
                <w:rtl/>
              </w:rPr>
              <w:t xml:space="preserve"> </w:t>
            </w:r>
            <w:r w:rsidRPr="00F32BC6">
              <w:rPr>
                <w:rFonts w:cs="FrankRuehl"/>
                <w:sz w:val="28"/>
                <w:szCs w:val="28"/>
                <w:rtl/>
              </w:rPr>
              <w:t>27553-06-22</w:t>
            </w:r>
            <w:r w:rsidRPr="00F32BC6">
              <w:rPr>
                <w:rFonts w:cs="FrankRuehl" w:hint="cs"/>
                <w:sz w:val="28"/>
                <w:szCs w:val="28"/>
                <w:rtl/>
              </w:rPr>
              <w:t xml:space="preserve"> </w:t>
            </w:r>
            <w:r w:rsidRPr="00F32BC6">
              <w:rPr>
                <w:rFonts w:cs="FrankRuehl"/>
                <w:sz w:val="28"/>
                <w:szCs w:val="28"/>
                <w:rtl/>
              </w:rPr>
              <w:t>מדינת ישראל נ' עזר(עציר) ואח'</w:t>
            </w:r>
          </w:p>
          <w:p w14:paraId="338613BF" w14:textId="77777777" w:rsidR="00E4472B" w:rsidRPr="00F32BC6" w:rsidRDefault="00E4472B" w:rsidP="005C26A8">
            <w:pPr>
              <w:pStyle w:val="a3"/>
              <w:rPr>
                <w:rFonts w:cs="FrankRuehl"/>
                <w:sz w:val="28"/>
                <w:szCs w:val="28"/>
                <w:rtl/>
              </w:rPr>
            </w:pPr>
          </w:p>
        </w:tc>
        <w:tc>
          <w:tcPr>
            <w:tcW w:w="3665" w:type="dxa"/>
          </w:tcPr>
          <w:p w14:paraId="39B05E0E" w14:textId="77777777" w:rsidR="00E4472B" w:rsidRPr="00F32BC6" w:rsidRDefault="00E4472B" w:rsidP="005C26A8">
            <w:pPr>
              <w:pStyle w:val="a3"/>
              <w:jc w:val="right"/>
              <w:rPr>
                <w:rFonts w:cs="FrankRuehl"/>
                <w:sz w:val="28"/>
                <w:szCs w:val="28"/>
                <w:rtl/>
              </w:rPr>
            </w:pPr>
          </w:p>
        </w:tc>
      </w:tr>
      <w:tr w:rsidR="00E4472B" w:rsidRPr="00F32BC6" w14:paraId="6103C96E" w14:textId="77777777" w:rsidTr="00172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7A6ED95" w14:textId="77777777" w:rsidR="00E4472B" w:rsidRPr="00F32BC6" w:rsidRDefault="00E4472B" w:rsidP="00E4472B">
            <w:pPr>
              <w:jc w:val="both"/>
              <w:rPr>
                <w:rFonts w:ascii="David" w:hAnsi="David"/>
                <w:sz w:val="26"/>
                <w:szCs w:val="26"/>
              </w:rPr>
            </w:pPr>
            <w:r w:rsidRPr="00F32BC6">
              <w:rPr>
                <w:rFonts w:hint="cs"/>
                <w:rtl/>
              </w:rPr>
              <w:t xml:space="preserve"> </w:t>
            </w:r>
            <w:r w:rsidRPr="00F32BC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9F556DA" w14:textId="77777777" w:rsidR="00E4472B" w:rsidRPr="00F32BC6" w:rsidRDefault="00E4472B" w:rsidP="005C26A8">
            <w:pPr>
              <w:rPr>
                <w:rFonts w:ascii="David" w:hAnsi="David"/>
                <w:b/>
                <w:bCs/>
                <w:sz w:val="26"/>
                <w:szCs w:val="26"/>
                <w:rtl/>
              </w:rPr>
            </w:pPr>
            <w:r w:rsidRPr="00F32BC6">
              <w:rPr>
                <w:rFonts w:ascii="David" w:hAnsi="David"/>
                <w:b/>
                <w:bCs/>
                <w:sz w:val="26"/>
                <w:szCs w:val="26"/>
                <w:rtl/>
              </w:rPr>
              <w:t>כבוד השופט  עלאא מסארווה</w:t>
            </w:r>
          </w:p>
          <w:p w14:paraId="0411CE5A" w14:textId="77777777" w:rsidR="00E4472B" w:rsidRPr="00F32BC6" w:rsidRDefault="00E4472B" w:rsidP="005C26A8">
            <w:pPr>
              <w:rPr>
                <w:rFonts w:ascii="David" w:hAnsi="David"/>
                <w:sz w:val="26"/>
                <w:szCs w:val="26"/>
                <w:rtl/>
              </w:rPr>
            </w:pPr>
          </w:p>
          <w:p w14:paraId="3A260E6A" w14:textId="77777777" w:rsidR="00E4472B" w:rsidRPr="00F32BC6" w:rsidRDefault="00E4472B" w:rsidP="00E4472B">
            <w:pPr>
              <w:jc w:val="both"/>
              <w:rPr>
                <w:rFonts w:ascii="David" w:hAnsi="David"/>
                <w:sz w:val="26"/>
                <w:szCs w:val="26"/>
              </w:rPr>
            </w:pPr>
          </w:p>
        </w:tc>
      </w:tr>
      <w:tr w:rsidR="00E4472B" w:rsidRPr="00F32BC6" w14:paraId="066083DC" w14:textId="77777777" w:rsidTr="00172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536164" w14:textId="77777777" w:rsidR="00E4472B" w:rsidRPr="00F32BC6" w:rsidRDefault="00E4472B" w:rsidP="00E4472B">
            <w:pPr>
              <w:jc w:val="both"/>
              <w:rPr>
                <w:rFonts w:ascii="David" w:hAnsi="David"/>
                <w:sz w:val="26"/>
                <w:szCs w:val="26"/>
              </w:rPr>
            </w:pPr>
            <w:bookmarkStart w:id="1" w:name="FirstAppellant"/>
            <w:bookmarkStart w:id="2" w:name="FirstLawyer"/>
            <w:r w:rsidRPr="00F32BC6">
              <w:rPr>
                <w:rFonts w:ascii="David" w:hAnsi="David"/>
                <w:sz w:val="26"/>
                <w:szCs w:val="26"/>
                <w:rtl/>
              </w:rPr>
              <w:t>בעניין:</w:t>
            </w:r>
          </w:p>
        </w:tc>
        <w:tc>
          <w:tcPr>
            <w:tcW w:w="3219" w:type="dxa"/>
            <w:tcBorders>
              <w:top w:val="nil"/>
              <w:left w:val="nil"/>
              <w:bottom w:val="nil"/>
              <w:right w:val="nil"/>
            </w:tcBorders>
            <w:shd w:val="clear" w:color="auto" w:fill="auto"/>
          </w:tcPr>
          <w:p w14:paraId="3ECC30C4" w14:textId="77777777" w:rsidR="00E4472B" w:rsidRPr="00F32BC6" w:rsidRDefault="00E4472B" w:rsidP="00E4472B">
            <w:pPr>
              <w:suppressLineNumbers/>
            </w:pPr>
            <w:r w:rsidRPr="00F32BC6">
              <w:rPr>
                <w:rFonts w:ascii="Arial" w:hAnsi="Arial" w:hint="cs"/>
                <w:b/>
                <w:bCs/>
                <w:sz w:val="26"/>
                <w:szCs w:val="26"/>
                <w:rtl/>
              </w:rPr>
              <w:t>מאשימה:</w:t>
            </w:r>
          </w:p>
          <w:p w14:paraId="3A779736" w14:textId="77777777" w:rsidR="00E4472B" w:rsidRPr="00F32BC6" w:rsidRDefault="00E4472B" w:rsidP="005C26A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8F0BB73" w14:textId="77777777" w:rsidR="00E4472B" w:rsidRPr="00F32BC6" w:rsidRDefault="00E4472B" w:rsidP="00E4472B">
            <w:pPr>
              <w:suppressLineNumbers/>
              <w:rPr>
                <w:rFonts w:ascii="Arial" w:hAnsi="Arial"/>
                <w:b/>
                <w:bCs/>
                <w:sz w:val="26"/>
                <w:szCs w:val="26"/>
                <w:rtl/>
              </w:rPr>
            </w:pPr>
            <w:r w:rsidRPr="00F32BC6">
              <w:rPr>
                <w:rFonts w:ascii="Arial" w:hAnsi="Arial"/>
                <w:b/>
                <w:bCs/>
                <w:sz w:val="26"/>
                <w:szCs w:val="26"/>
                <w:rtl/>
              </w:rPr>
              <w:t>מדינת ישראל</w:t>
            </w:r>
            <w:r w:rsidRPr="00F32BC6">
              <w:rPr>
                <w:rFonts w:ascii="Arial" w:hAnsi="Arial" w:hint="cs"/>
                <w:b/>
                <w:bCs/>
                <w:sz w:val="26"/>
                <w:szCs w:val="26"/>
                <w:rtl/>
              </w:rPr>
              <w:t xml:space="preserve"> </w:t>
            </w:r>
          </w:p>
          <w:p w14:paraId="6653F388" w14:textId="77777777" w:rsidR="00E4472B" w:rsidRPr="00F32BC6" w:rsidRDefault="00E4472B" w:rsidP="00E4472B">
            <w:pPr>
              <w:suppressLineNumbers/>
            </w:pPr>
            <w:r w:rsidRPr="00F32BC6">
              <w:rPr>
                <w:rFonts w:ascii="Arial" w:hAnsi="Arial"/>
                <w:rtl/>
              </w:rPr>
              <w:t xml:space="preserve">ע"י ב"כ </w:t>
            </w:r>
            <w:r w:rsidRPr="00F32BC6">
              <w:rPr>
                <w:rFonts w:ascii="Arial" w:hAnsi="Arial" w:hint="cs"/>
                <w:rtl/>
              </w:rPr>
              <w:t>דניאל סיסאי, מתמחה</w:t>
            </w:r>
          </w:p>
          <w:p w14:paraId="3DB2908F" w14:textId="77777777" w:rsidR="00E4472B" w:rsidRPr="00F32BC6" w:rsidRDefault="00E4472B" w:rsidP="005C26A8">
            <w:pPr>
              <w:rPr>
                <w:rFonts w:ascii="David" w:hAnsi="David"/>
                <w:sz w:val="26"/>
                <w:szCs w:val="26"/>
              </w:rPr>
            </w:pPr>
          </w:p>
        </w:tc>
      </w:tr>
      <w:bookmarkEnd w:id="1"/>
      <w:bookmarkEnd w:id="2"/>
      <w:tr w:rsidR="00E4472B" w:rsidRPr="00F32BC6" w14:paraId="1D62B876" w14:textId="77777777" w:rsidTr="00172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AF5475" w14:textId="77777777" w:rsidR="00E4472B" w:rsidRPr="00F32BC6" w:rsidRDefault="00E4472B" w:rsidP="00E4472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447D58F" w14:textId="77777777" w:rsidR="00E4472B" w:rsidRPr="00F32BC6" w:rsidRDefault="00E4472B" w:rsidP="00E4472B">
            <w:pPr>
              <w:jc w:val="center"/>
              <w:rPr>
                <w:rFonts w:ascii="David" w:hAnsi="David"/>
                <w:b/>
                <w:bCs/>
                <w:sz w:val="26"/>
                <w:szCs w:val="26"/>
                <w:rtl/>
              </w:rPr>
            </w:pPr>
            <w:r w:rsidRPr="00F32BC6">
              <w:rPr>
                <w:rFonts w:ascii="David" w:hAnsi="David"/>
                <w:b/>
                <w:bCs/>
                <w:sz w:val="26"/>
                <w:szCs w:val="26"/>
                <w:rtl/>
              </w:rPr>
              <w:t>נגד</w:t>
            </w:r>
          </w:p>
          <w:p w14:paraId="12D8AC9D" w14:textId="77777777" w:rsidR="00E4472B" w:rsidRPr="00F32BC6" w:rsidRDefault="00E4472B" w:rsidP="00E4472B">
            <w:pPr>
              <w:jc w:val="both"/>
              <w:rPr>
                <w:rFonts w:ascii="David" w:hAnsi="David"/>
                <w:sz w:val="26"/>
                <w:szCs w:val="26"/>
              </w:rPr>
            </w:pPr>
          </w:p>
        </w:tc>
      </w:tr>
      <w:tr w:rsidR="00E4472B" w:rsidRPr="00F32BC6" w14:paraId="783DDEFF" w14:textId="77777777" w:rsidTr="001727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4B4DE6" w14:textId="77777777" w:rsidR="00E4472B" w:rsidRPr="00F32BC6" w:rsidRDefault="00E4472B" w:rsidP="005C26A8">
            <w:pPr>
              <w:rPr>
                <w:rFonts w:ascii="David" w:hAnsi="David"/>
                <w:sz w:val="26"/>
                <w:szCs w:val="26"/>
                <w:rtl/>
              </w:rPr>
            </w:pPr>
          </w:p>
        </w:tc>
        <w:tc>
          <w:tcPr>
            <w:tcW w:w="3219" w:type="dxa"/>
            <w:tcBorders>
              <w:top w:val="nil"/>
              <w:left w:val="nil"/>
              <w:bottom w:val="nil"/>
              <w:right w:val="nil"/>
            </w:tcBorders>
            <w:shd w:val="clear" w:color="auto" w:fill="auto"/>
          </w:tcPr>
          <w:p w14:paraId="36F851E3" w14:textId="77777777" w:rsidR="00E4472B" w:rsidRPr="00F32BC6" w:rsidRDefault="00E4472B" w:rsidP="005C26A8">
            <w:pPr>
              <w:rPr>
                <w:rFonts w:ascii="Arial" w:hAnsi="Arial"/>
                <w:b/>
                <w:bCs/>
                <w:sz w:val="26"/>
                <w:szCs w:val="26"/>
                <w:rtl/>
              </w:rPr>
            </w:pPr>
            <w:r w:rsidRPr="00F32BC6">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6F6A4981" w14:textId="77777777" w:rsidR="00E4472B" w:rsidRPr="00F32BC6" w:rsidRDefault="00E4472B" w:rsidP="00E4472B">
            <w:pPr>
              <w:suppressLineNumbers/>
              <w:rPr>
                <w:rFonts w:ascii="Arial" w:hAnsi="Arial"/>
                <w:b/>
                <w:bCs/>
                <w:sz w:val="26"/>
                <w:szCs w:val="26"/>
                <w:rtl/>
              </w:rPr>
            </w:pPr>
            <w:r w:rsidRPr="00F32BC6">
              <w:rPr>
                <w:rFonts w:ascii="Arial" w:hAnsi="Arial"/>
                <w:b/>
                <w:bCs/>
                <w:sz w:val="26"/>
                <w:szCs w:val="26"/>
                <w:rtl/>
              </w:rPr>
              <w:t xml:space="preserve">דוד עזר </w:t>
            </w:r>
            <w:r w:rsidRPr="00F32BC6">
              <w:rPr>
                <w:rFonts w:ascii="Arial" w:hAnsi="Arial" w:hint="cs"/>
                <w:b/>
                <w:bCs/>
                <w:sz w:val="26"/>
                <w:szCs w:val="26"/>
                <w:rtl/>
              </w:rPr>
              <w:t xml:space="preserve"> </w:t>
            </w:r>
          </w:p>
          <w:p w14:paraId="5B92C41C" w14:textId="77777777" w:rsidR="00E4472B" w:rsidRPr="00F32BC6" w:rsidRDefault="00E4472B" w:rsidP="00E4472B">
            <w:pPr>
              <w:suppressLineNumbers/>
            </w:pPr>
            <w:r w:rsidRPr="00F32BC6">
              <w:rPr>
                <w:rFonts w:ascii="Arial" w:hAnsi="Arial"/>
                <w:rtl/>
              </w:rPr>
              <w:t>ע"י ב"כ עוה"ד</w:t>
            </w:r>
            <w:r w:rsidRPr="00F32BC6">
              <w:rPr>
                <w:rFonts w:ascii="Arial" w:hAnsi="Arial" w:hint="cs"/>
                <w:rtl/>
              </w:rPr>
              <w:t xml:space="preserve"> חגית רחמני</w:t>
            </w:r>
          </w:p>
          <w:p w14:paraId="287A55E4" w14:textId="77777777" w:rsidR="00E4472B" w:rsidRPr="00F32BC6" w:rsidRDefault="00E4472B" w:rsidP="00E4472B">
            <w:pPr>
              <w:suppressLineNumbers/>
            </w:pPr>
          </w:p>
        </w:tc>
      </w:tr>
    </w:tbl>
    <w:p w14:paraId="78A0CE4D" w14:textId="77777777" w:rsidR="00E4472B" w:rsidRPr="00172719" w:rsidRDefault="00E4472B" w:rsidP="00E4472B">
      <w:pPr>
        <w:rPr>
          <w:sz w:val="26"/>
          <w:szCs w:val="26"/>
        </w:rPr>
      </w:pPr>
    </w:p>
    <w:p w14:paraId="4C174EF1" w14:textId="77777777" w:rsidR="00172719" w:rsidRPr="00F32BC6" w:rsidRDefault="00172719" w:rsidP="00F32BC6">
      <w:pPr>
        <w:spacing w:before="120" w:after="120" w:line="240" w:lineRule="exact"/>
        <w:ind w:left="283" w:hanging="283"/>
        <w:jc w:val="both"/>
        <w:rPr>
          <w:rFonts w:ascii="FrankRuehl" w:hAnsi="FrankRuehl" w:cs="FrankRuehl"/>
          <w:rtl/>
        </w:rPr>
      </w:pPr>
    </w:p>
    <w:p w14:paraId="353C4DD7" w14:textId="77777777" w:rsidR="00172719" w:rsidRPr="00172719" w:rsidRDefault="00172719" w:rsidP="00172719">
      <w:pPr>
        <w:spacing w:before="120" w:after="120" w:line="240" w:lineRule="exact"/>
        <w:ind w:left="283" w:hanging="283"/>
        <w:jc w:val="both"/>
        <w:rPr>
          <w:rFonts w:ascii="FrankRuehl" w:hAnsi="FrankRuehl" w:cs="FrankRuehl"/>
          <w:rtl/>
        </w:rPr>
      </w:pPr>
    </w:p>
    <w:p w14:paraId="65830639" w14:textId="77777777" w:rsidR="009334D3" w:rsidRPr="009334D3" w:rsidRDefault="009334D3" w:rsidP="009334D3">
      <w:pPr>
        <w:spacing w:before="120" w:after="120" w:line="240" w:lineRule="exact"/>
        <w:ind w:left="283" w:hanging="283"/>
        <w:jc w:val="both"/>
        <w:rPr>
          <w:rFonts w:ascii="FrankRuehl" w:hAnsi="FrankRuehl" w:cs="FrankRuehl"/>
          <w:rtl/>
        </w:rPr>
      </w:pPr>
    </w:p>
    <w:p w14:paraId="6E929FBB" w14:textId="77777777" w:rsidR="00EE11D1" w:rsidRDefault="00EE11D1" w:rsidP="00EE11D1">
      <w:pPr>
        <w:jc w:val="center"/>
        <w:rPr>
          <w:rFonts w:ascii="David" w:hAnsi="David"/>
          <w:sz w:val="36"/>
          <w:szCs w:val="36"/>
          <w:rtl/>
        </w:rPr>
      </w:pPr>
      <w:bookmarkStart w:id="3" w:name="LawTable"/>
      <w:bookmarkEnd w:id="3"/>
    </w:p>
    <w:p w14:paraId="0A06BFC6" w14:textId="77777777" w:rsidR="00EE11D1" w:rsidRPr="00EE11D1" w:rsidRDefault="00EE11D1" w:rsidP="00EE11D1">
      <w:pPr>
        <w:spacing w:before="120" w:after="120" w:line="240" w:lineRule="exact"/>
        <w:ind w:left="283" w:hanging="283"/>
        <w:jc w:val="both"/>
        <w:rPr>
          <w:rFonts w:ascii="FrankRuehl" w:hAnsi="FrankRuehl" w:cs="FrankRuehl"/>
          <w:rtl/>
        </w:rPr>
      </w:pPr>
    </w:p>
    <w:p w14:paraId="3FF7C5B4" w14:textId="77777777" w:rsidR="00EE11D1" w:rsidRPr="00EE11D1" w:rsidRDefault="00EE11D1" w:rsidP="00EE11D1">
      <w:pPr>
        <w:spacing w:before="120" w:after="120" w:line="240" w:lineRule="exact"/>
        <w:ind w:left="283" w:hanging="283"/>
        <w:jc w:val="both"/>
        <w:rPr>
          <w:rFonts w:ascii="FrankRuehl" w:hAnsi="FrankRuehl" w:cs="FrankRuehl"/>
          <w:rtl/>
        </w:rPr>
      </w:pPr>
    </w:p>
    <w:p w14:paraId="1F685BC4" w14:textId="77777777" w:rsidR="00EE11D1" w:rsidRPr="00EE11D1" w:rsidRDefault="00EE11D1" w:rsidP="00EE11D1">
      <w:pPr>
        <w:spacing w:before="120" w:after="120" w:line="240" w:lineRule="exact"/>
        <w:ind w:left="283" w:hanging="283"/>
        <w:jc w:val="both"/>
        <w:rPr>
          <w:rFonts w:ascii="FrankRuehl" w:hAnsi="FrankRuehl" w:cs="FrankRuehl"/>
          <w:rtl/>
        </w:rPr>
      </w:pPr>
      <w:r w:rsidRPr="00EE11D1">
        <w:rPr>
          <w:rFonts w:ascii="FrankRuehl" w:hAnsi="FrankRuehl" w:cs="FrankRuehl"/>
          <w:rtl/>
        </w:rPr>
        <w:t xml:space="preserve">חקיקה שאוזכרה: </w:t>
      </w:r>
    </w:p>
    <w:p w14:paraId="01952BB9" w14:textId="77777777" w:rsidR="00EE11D1" w:rsidRPr="00EE11D1" w:rsidRDefault="00EE11D1" w:rsidP="00EE11D1">
      <w:pPr>
        <w:spacing w:before="120" w:after="120" w:line="240" w:lineRule="exact"/>
        <w:ind w:left="283" w:hanging="283"/>
        <w:jc w:val="both"/>
        <w:rPr>
          <w:rFonts w:ascii="FrankRuehl" w:hAnsi="FrankRuehl" w:cs="FrankRuehl"/>
          <w:rtl/>
        </w:rPr>
      </w:pPr>
      <w:hyperlink r:id="rId7" w:history="1">
        <w:r w:rsidRPr="00EE11D1">
          <w:rPr>
            <w:rFonts w:ascii="FrankRuehl" w:hAnsi="FrankRuehl" w:cs="FrankRuehl"/>
            <w:color w:val="0000FF"/>
            <w:rtl/>
          </w:rPr>
          <w:t>פקודת הסמים המסוכנים [נוסח חדש], תשל"ג-1973</w:t>
        </w:r>
      </w:hyperlink>
      <w:r w:rsidRPr="00EE11D1">
        <w:rPr>
          <w:rFonts w:ascii="FrankRuehl" w:hAnsi="FrankRuehl" w:cs="FrankRuehl"/>
          <w:rtl/>
        </w:rPr>
        <w:t xml:space="preserve">: סע'  </w:t>
      </w:r>
      <w:hyperlink r:id="rId8" w:history="1">
        <w:r w:rsidRPr="00EE11D1">
          <w:rPr>
            <w:rFonts w:ascii="FrankRuehl" w:hAnsi="FrankRuehl" w:cs="FrankRuehl"/>
            <w:color w:val="0000FF"/>
            <w:rtl/>
          </w:rPr>
          <w:t>7(א)</w:t>
        </w:r>
      </w:hyperlink>
      <w:r w:rsidRPr="00EE11D1">
        <w:rPr>
          <w:rFonts w:ascii="FrankRuehl" w:hAnsi="FrankRuehl" w:cs="FrankRuehl"/>
          <w:rtl/>
        </w:rPr>
        <w:t xml:space="preserve">, </w:t>
      </w:r>
      <w:hyperlink r:id="rId9" w:history="1">
        <w:r w:rsidRPr="00EE11D1">
          <w:rPr>
            <w:rFonts w:ascii="FrankRuehl" w:hAnsi="FrankRuehl" w:cs="FrankRuehl"/>
            <w:color w:val="0000FF"/>
            <w:rtl/>
          </w:rPr>
          <w:t>7(ג)</w:t>
        </w:r>
      </w:hyperlink>
      <w:r w:rsidRPr="00EE11D1">
        <w:rPr>
          <w:rFonts w:ascii="FrankRuehl" w:hAnsi="FrankRuehl" w:cs="FrankRuehl"/>
          <w:rtl/>
        </w:rPr>
        <w:t xml:space="preserve">, </w:t>
      </w:r>
      <w:hyperlink r:id="rId10" w:history="1">
        <w:r w:rsidRPr="00EE11D1">
          <w:rPr>
            <w:rFonts w:ascii="FrankRuehl" w:hAnsi="FrankRuehl" w:cs="FrankRuehl"/>
            <w:color w:val="0000FF"/>
            <w:rtl/>
          </w:rPr>
          <w:t>13</w:t>
        </w:r>
      </w:hyperlink>
    </w:p>
    <w:p w14:paraId="52BB108D" w14:textId="77777777" w:rsidR="00EE11D1" w:rsidRPr="00EE11D1" w:rsidRDefault="00EE11D1" w:rsidP="00EE11D1">
      <w:pPr>
        <w:spacing w:before="120" w:after="120" w:line="240" w:lineRule="exact"/>
        <w:ind w:left="283" w:hanging="283"/>
        <w:jc w:val="both"/>
        <w:rPr>
          <w:rFonts w:ascii="FrankRuehl" w:hAnsi="FrankRuehl" w:cs="FrankRuehl"/>
          <w:rtl/>
        </w:rPr>
      </w:pPr>
      <w:hyperlink r:id="rId11" w:history="1">
        <w:r w:rsidRPr="00EE11D1">
          <w:rPr>
            <w:rFonts w:ascii="FrankRuehl" w:hAnsi="FrankRuehl" w:cs="FrankRuehl"/>
            <w:color w:val="0000FF"/>
            <w:rtl/>
          </w:rPr>
          <w:t>חוק העונשין, תשל"ז-1977</w:t>
        </w:r>
      </w:hyperlink>
    </w:p>
    <w:p w14:paraId="6D76E1D7" w14:textId="77777777" w:rsidR="00EE11D1" w:rsidRPr="00EE11D1" w:rsidRDefault="00EE11D1" w:rsidP="00EE11D1">
      <w:pPr>
        <w:jc w:val="center"/>
        <w:rPr>
          <w:rFonts w:ascii="David" w:hAnsi="David"/>
          <w:sz w:val="36"/>
          <w:szCs w:val="36"/>
          <w:rtl/>
        </w:rPr>
      </w:pPr>
      <w:bookmarkStart w:id="4" w:name="LawTable_End"/>
      <w:bookmarkEnd w:id="4"/>
    </w:p>
    <w:p w14:paraId="04C2DAA3" w14:textId="77777777" w:rsidR="00172719" w:rsidRPr="009334D3" w:rsidRDefault="00172719" w:rsidP="009334D3">
      <w:pPr>
        <w:jc w:val="center"/>
        <w:rPr>
          <w:rFonts w:ascii="David" w:hAnsi="David"/>
          <w:sz w:val="36"/>
          <w:szCs w:val="36"/>
          <w:rtl/>
        </w:rPr>
      </w:pPr>
    </w:p>
    <w:p w14:paraId="424A577C" w14:textId="77777777" w:rsidR="00172719" w:rsidRPr="00F32BC6" w:rsidRDefault="00172719" w:rsidP="00F32BC6">
      <w:pPr>
        <w:jc w:val="center"/>
        <w:rPr>
          <w:rFonts w:ascii="David" w:hAnsi="David"/>
          <w:b/>
          <w:bCs/>
          <w:sz w:val="36"/>
          <w:szCs w:val="36"/>
          <w:u w:val="single"/>
          <w:rtl/>
        </w:rPr>
      </w:pPr>
      <w:bookmarkStart w:id="5" w:name="PsakDin"/>
      <w:r w:rsidRPr="00F32BC6">
        <w:rPr>
          <w:rFonts w:ascii="David" w:hAnsi="David"/>
          <w:b/>
          <w:bCs/>
          <w:sz w:val="36"/>
          <w:szCs w:val="36"/>
          <w:u w:val="single"/>
          <w:rtl/>
        </w:rPr>
        <w:t>גזר דין</w:t>
      </w:r>
    </w:p>
    <w:bookmarkEnd w:id="5"/>
    <w:p w14:paraId="390B19B2" w14:textId="77777777" w:rsidR="00172719" w:rsidRPr="00E4472B" w:rsidRDefault="00172719" w:rsidP="00E4472B">
      <w:pPr>
        <w:jc w:val="center"/>
        <w:rPr>
          <w:rFonts w:ascii="David" w:hAnsi="David"/>
          <w:sz w:val="36"/>
          <w:szCs w:val="36"/>
          <w:u w:val="single"/>
          <w:rtl/>
        </w:rPr>
      </w:pPr>
      <w:r w:rsidRPr="00E4472B">
        <w:rPr>
          <w:rFonts w:ascii="David" w:hAnsi="David" w:hint="cs"/>
          <w:sz w:val="36"/>
          <w:szCs w:val="36"/>
          <w:u w:val="single"/>
          <w:rtl/>
        </w:rPr>
        <w:t>(נאשם 2)</w:t>
      </w:r>
    </w:p>
    <w:bookmarkEnd w:id="0"/>
    <w:p w14:paraId="79E59FD9" w14:textId="77777777" w:rsidR="00E4472B" w:rsidRPr="00DC576C" w:rsidRDefault="00E4472B" w:rsidP="00E4472B">
      <w:pPr>
        <w:spacing w:line="360" w:lineRule="auto"/>
        <w:jc w:val="both"/>
        <w:rPr>
          <w:rFonts w:ascii="Calibri" w:eastAsia="Calibri" w:hAnsi="Calibri"/>
          <w:rtl/>
        </w:rPr>
      </w:pPr>
    </w:p>
    <w:p w14:paraId="79322E08" w14:textId="77777777" w:rsidR="00E4472B" w:rsidRPr="009C3BB4" w:rsidRDefault="00E4472B" w:rsidP="00E4472B">
      <w:pPr>
        <w:spacing w:line="360" w:lineRule="auto"/>
        <w:jc w:val="both"/>
        <w:rPr>
          <w:rFonts w:ascii="Calibri" w:eastAsia="Calibri" w:hAnsi="Calibri"/>
        </w:rPr>
      </w:pPr>
      <w:bookmarkStart w:id="6" w:name="ABSTRACT_START"/>
      <w:bookmarkEnd w:id="6"/>
      <w:r w:rsidRPr="009C3BB4">
        <w:rPr>
          <w:rFonts w:ascii="Calibri" w:eastAsia="Calibri" w:hAnsi="Calibri" w:hint="cs"/>
          <w:rtl/>
        </w:rPr>
        <w:t xml:space="preserve">הנאשם הורשע על בסיס הודאתו בעובדות כתב אישום מתוקן ובמסגרת הסכמה דיונית, בעבירות של </w:t>
      </w:r>
      <w:r w:rsidRPr="009C3BB4">
        <w:rPr>
          <w:rFonts w:ascii="Calibri" w:eastAsia="Calibri" w:hAnsi="Calibri" w:hint="cs"/>
          <w:b/>
          <w:bCs/>
          <w:rtl/>
        </w:rPr>
        <w:t>החזקת סמים שלא לצריכה עצמית</w:t>
      </w:r>
      <w:r w:rsidRPr="009C3BB4">
        <w:rPr>
          <w:rFonts w:ascii="Calibri" w:eastAsia="Calibri" w:hAnsi="Calibri" w:hint="cs"/>
          <w:rtl/>
        </w:rPr>
        <w:t>,</w:t>
      </w:r>
      <w:r w:rsidRPr="009C3BB4">
        <w:rPr>
          <w:rFonts w:ascii="Calibri" w:eastAsia="Calibri" w:hAnsi="Calibri" w:hint="cs"/>
          <w:b/>
          <w:bCs/>
          <w:rtl/>
        </w:rPr>
        <w:t xml:space="preserve"> </w:t>
      </w:r>
      <w:r w:rsidRPr="009C3BB4">
        <w:rPr>
          <w:rFonts w:ascii="Calibri" w:eastAsia="Calibri" w:hAnsi="Calibri" w:hint="cs"/>
          <w:rtl/>
        </w:rPr>
        <w:t xml:space="preserve">לפי סעיפים </w:t>
      </w:r>
      <w:hyperlink r:id="rId12" w:history="1">
        <w:r w:rsidR="00172719" w:rsidRPr="00172719">
          <w:rPr>
            <w:rStyle w:val="Hyperlink"/>
            <w:rFonts w:ascii="Calibri" w:eastAsia="Calibri" w:hAnsi="Calibri"/>
            <w:rtl/>
          </w:rPr>
          <w:t>7(א)</w:t>
        </w:r>
      </w:hyperlink>
      <w:r w:rsidRPr="009C3BB4">
        <w:rPr>
          <w:rFonts w:ascii="Calibri" w:eastAsia="Calibri" w:hAnsi="Calibri" w:hint="cs"/>
          <w:rtl/>
        </w:rPr>
        <w:t xml:space="preserve"> + </w:t>
      </w:r>
      <w:hyperlink r:id="rId13" w:history="1">
        <w:r w:rsidR="00172719" w:rsidRPr="00172719">
          <w:rPr>
            <w:rStyle w:val="Hyperlink"/>
            <w:rFonts w:ascii="Calibri" w:eastAsia="Calibri" w:hAnsi="Calibri"/>
            <w:rtl/>
          </w:rPr>
          <w:t>7(ג)</w:t>
        </w:r>
      </w:hyperlink>
      <w:r w:rsidRPr="009C3BB4">
        <w:rPr>
          <w:rFonts w:ascii="Calibri" w:eastAsia="Calibri" w:hAnsi="Calibri" w:hint="cs"/>
          <w:rtl/>
        </w:rPr>
        <w:t xml:space="preserve"> רישא לפקודת הסמים (נוסח משולב) התשל"ג – 1973 (להלן: "הפקודה"), ובעבירה של </w:t>
      </w:r>
      <w:r w:rsidRPr="009C3BB4">
        <w:rPr>
          <w:rFonts w:ascii="Calibri" w:eastAsia="Calibri" w:hAnsi="Calibri" w:hint="cs"/>
          <w:b/>
          <w:bCs/>
          <w:rtl/>
        </w:rPr>
        <w:t>סחר בסמים</w:t>
      </w:r>
      <w:r w:rsidRPr="009C3BB4">
        <w:rPr>
          <w:rFonts w:ascii="Calibri" w:eastAsia="Calibri" w:hAnsi="Calibri" w:hint="cs"/>
          <w:rtl/>
        </w:rPr>
        <w:t>,</w:t>
      </w:r>
      <w:r w:rsidRPr="009C3BB4">
        <w:rPr>
          <w:rFonts w:ascii="Calibri" w:eastAsia="Calibri" w:hAnsi="Calibri" w:hint="cs"/>
          <w:b/>
          <w:bCs/>
          <w:rtl/>
        </w:rPr>
        <w:t xml:space="preserve"> </w:t>
      </w:r>
      <w:r w:rsidRPr="009C3BB4">
        <w:rPr>
          <w:rFonts w:ascii="Calibri" w:eastAsia="Calibri" w:hAnsi="Calibri" w:hint="cs"/>
          <w:rtl/>
        </w:rPr>
        <w:t xml:space="preserve">לפי </w:t>
      </w:r>
      <w:hyperlink r:id="rId14" w:history="1">
        <w:r w:rsidR="00172719" w:rsidRPr="00172719">
          <w:rPr>
            <w:rStyle w:val="Hyperlink"/>
            <w:rFonts w:ascii="Calibri" w:eastAsia="Calibri" w:hAnsi="Calibri" w:hint="eastAsia"/>
            <w:rtl/>
          </w:rPr>
          <w:t>סעיף</w:t>
        </w:r>
        <w:r w:rsidR="00172719" w:rsidRPr="00172719">
          <w:rPr>
            <w:rStyle w:val="Hyperlink"/>
            <w:rFonts w:ascii="Calibri" w:eastAsia="Calibri" w:hAnsi="Calibri"/>
            <w:rtl/>
          </w:rPr>
          <w:t xml:space="preserve"> 13</w:t>
        </w:r>
      </w:hyperlink>
      <w:r w:rsidRPr="009C3BB4">
        <w:rPr>
          <w:rFonts w:ascii="Calibri" w:eastAsia="Calibri" w:hAnsi="Calibri" w:hint="cs"/>
          <w:rtl/>
        </w:rPr>
        <w:t xml:space="preserve"> לפקודה. </w:t>
      </w:r>
    </w:p>
    <w:p w14:paraId="151CDFD2" w14:textId="77777777" w:rsidR="00E4472B" w:rsidRPr="009C3BB4" w:rsidRDefault="00E4472B" w:rsidP="00E4472B">
      <w:pPr>
        <w:spacing w:line="360" w:lineRule="auto"/>
        <w:jc w:val="both"/>
        <w:rPr>
          <w:rFonts w:ascii="Calibri" w:eastAsia="Calibri" w:hAnsi="Calibri"/>
        </w:rPr>
      </w:pPr>
      <w:bookmarkStart w:id="7" w:name="ABSTRACT_END"/>
      <w:bookmarkEnd w:id="7"/>
    </w:p>
    <w:p w14:paraId="0FC338F5" w14:textId="77777777" w:rsidR="00E4472B" w:rsidRPr="009C3BB4" w:rsidRDefault="00E4472B" w:rsidP="00E4472B">
      <w:pPr>
        <w:spacing w:line="360" w:lineRule="auto"/>
        <w:jc w:val="both"/>
        <w:rPr>
          <w:rFonts w:ascii="Calibri" w:eastAsia="Calibri" w:hAnsi="Calibri"/>
          <w:rtl/>
        </w:rPr>
      </w:pPr>
      <w:r w:rsidRPr="009C3BB4">
        <w:rPr>
          <w:rFonts w:ascii="Calibri" w:eastAsia="Calibri" w:hAnsi="Calibri" w:hint="cs"/>
          <w:rtl/>
        </w:rPr>
        <w:t xml:space="preserve">בהתאם לעובדות, בחודש פברואר בשנת 2022 לערך, החל בנו של הנאשם להעסיקו כשליח למכירת קנביס. בנו של הנאשם היה מספק לו כתובות של לקוחות אשר היו מזמינים קנביס באמצעות "טלגראם" או "ווטסאפ". בהתאם, ולבקשת בנו של הנאשם, ביצע הנאשם </w:t>
      </w:r>
      <w:r w:rsidRPr="009C3BB4">
        <w:rPr>
          <w:rFonts w:ascii="Calibri" w:eastAsia="Calibri" w:hAnsi="Calibri" w:hint="cs"/>
          <w:b/>
          <w:bCs/>
          <w:rtl/>
        </w:rPr>
        <w:t>5 שליחויות</w:t>
      </w:r>
      <w:r w:rsidRPr="009C3BB4">
        <w:rPr>
          <w:rFonts w:ascii="Calibri" w:eastAsia="Calibri" w:hAnsi="Calibri" w:hint="cs"/>
          <w:rtl/>
        </w:rPr>
        <w:t xml:space="preserve"> של סמים ביום ללקוחות שונים, כאשר בכל שליחות מכר עד </w:t>
      </w:r>
      <w:r w:rsidRPr="009C3BB4">
        <w:rPr>
          <w:rFonts w:ascii="Calibri" w:eastAsia="Calibri" w:hAnsi="Calibri" w:hint="cs"/>
          <w:b/>
          <w:bCs/>
          <w:rtl/>
        </w:rPr>
        <w:t>10 שקיות קנביס</w:t>
      </w:r>
      <w:r w:rsidRPr="009C3BB4">
        <w:rPr>
          <w:rFonts w:ascii="Calibri" w:eastAsia="Calibri" w:hAnsi="Calibri" w:hint="cs"/>
          <w:rtl/>
        </w:rPr>
        <w:t xml:space="preserve"> ובתמורה קיבל סכום של 300 ₪ </w:t>
      </w:r>
      <w:r w:rsidRPr="009C3BB4">
        <w:rPr>
          <w:rFonts w:ascii="Calibri" w:eastAsia="Calibri" w:hAnsi="Calibri" w:hint="cs"/>
          <w:rtl/>
        </w:rPr>
        <w:lastRenderedPageBreak/>
        <w:t xml:space="preserve">עבור כל שקית סמים. </w:t>
      </w:r>
      <w:r w:rsidRPr="009C3BB4">
        <w:rPr>
          <w:rFonts w:ascii="Calibri" w:eastAsia="Calibri" w:hAnsi="Calibri" w:hint="cs"/>
          <w:b/>
          <w:bCs/>
          <w:rtl/>
        </w:rPr>
        <w:t>הנאשם קיבל מבנו סכום של</w:t>
      </w:r>
      <w:r w:rsidRPr="009C3BB4">
        <w:rPr>
          <w:rFonts w:ascii="Calibri" w:eastAsia="Calibri" w:hAnsi="Calibri" w:hint="cs"/>
          <w:rtl/>
        </w:rPr>
        <w:t xml:space="preserve"> </w:t>
      </w:r>
      <w:r w:rsidRPr="009C3BB4">
        <w:rPr>
          <w:rFonts w:ascii="Calibri" w:eastAsia="Calibri" w:hAnsi="Calibri" w:hint="cs"/>
          <w:b/>
          <w:bCs/>
          <w:rtl/>
        </w:rPr>
        <w:t>100 ₪ עבור כל משלוח</w:t>
      </w:r>
      <w:r w:rsidRPr="009C3BB4">
        <w:rPr>
          <w:rFonts w:ascii="Calibri" w:eastAsia="Calibri" w:hAnsi="Calibri" w:hint="cs"/>
          <w:rtl/>
        </w:rPr>
        <w:t>. סך הכל מכר הנאשם סם מסוג קנביס בסכום של כ-7,500 ₪ בכל יום שליחות. הנאשם סחר בקנביס עד ליום 16.05.22.</w:t>
      </w:r>
    </w:p>
    <w:p w14:paraId="4F6CD549" w14:textId="77777777" w:rsidR="00E4472B" w:rsidRPr="009C3BB4" w:rsidRDefault="00E4472B" w:rsidP="00E4472B">
      <w:pPr>
        <w:spacing w:line="360" w:lineRule="auto"/>
        <w:jc w:val="both"/>
        <w:rPr>
          <w:rFonts w:ascii="Calibri" w:eastAsia="Calibri" w:hAnsi="Calibri"/>
          <w:rtl/>
        </w:rPr>
      </w:pPr>
      <w:r w:rsidRPr="009C3BB4">
        <w:rPr>
          <w:rFonts w:ascii="Calibri" w:eastAsia="Calibri" w:hAnsi="Calibri" w:hint="cs"/>
          <w:rtl/>
        </w:rPr>
        <w:t xml:space="preserve">ביום 05.06.22 הגיע הנאשם יחד עם בנו לדירה בקדמיאל לשם קבלת אספקה של קנביס, לצורך סחר בסמים. בהמשך לכך, פגשו בבר מזל סלומן שהעבירה לשניים קנביס במשקל של </w:t>
      </w:r>
      <w:r w:rsidRPr="009C3BB4">
        <w:rPr>
          <w:rFonts w:ascii="Calibri" w:eastAsia="Calibri" w:hAnsi="Calibri" w:hint="cs"/>
          <w:b/>
          <w:bCs/>
          <w:u w:val="single"/>
          <w:rtl/>
        </w:rPr>
        <w:t>85.3 גרם נטו</w:t>
      </w:r>
      <w:r w:rsidRPr="009C3BB4">
        <w:rPr>
          <w:rFonts w:ascii="Calibri" w:eastAsia="Calibri" w:hAnsi="Calibri" w:hint="cs"/>
          <w:b/>
          <w:bCs/>
          <w:rtl/>
        </w:rPr>
        <w:t xml:space="preserve"> </w:t>
      </w:r>
      <w:r w:rsidRPr="009C3BB4">
        <w:rPr>
          <w:rFonts w:ascii="Calibri" w:eastAsia="Calibri" w:hAnsi="Calibri" w:hint="cs"/>
          <w:rtl/>
        </w:rPr>
        <w:t>מחולק ל-9 קופסאות. הנאשם ובנו העבירו את הסם המסוכן לביתם והחזיקו בו שלא לצריכתם העצמית עד למעצרם ביום 06.06.22.</w:t>
      </w:r>
    </w:p>
    <w:p w14:paraId="1D3F39E6" w14:textId="77777777" w:rsidR="00E4472B" w:rsidRPr="009C3BB4" w:rsidRDefault="00E4472B" w:rsidP="00E4472B">
      <w:pPr>
        <w:spacing w:line="360" w:lineRule="auto"/>
        <w:jc w:val="both"/>
        <w:rPr>
          <w:rFonts w:ascii="Calibri" w:eastAsia="Calibri" w:hAnsi="Calibri"/>
          <w:b/>
          <w:bCs/>
          <w:u w:val="single"/>
          <w:rtl/>
        </w:rPr>
      </w:pPr>
    </w:p>
    <w:p w14:paraId="1D9CE102" w14:textId="77777777" w:rsidR="00E4472B" w:rsidRPr="009C3BB4" w:rsidRDefault="00E4472B" w:rsidP="00E4472B">
      <w:pPr>
        <w:spacing w:line="360" w:lineRule="auto"/>
        <w:jc w:val="both"/>
        <w:rPr>
          <w:rFonts w:ascii="Calibri" w:eastAsia="Calibri" w:hAnsi="Calibri"/>
          <w:b/>
          <w:bCs/>
          <w:u w:val="single"/>
          <w:rtl/>
        </w:rPr>
      </w:pPr>
    </w:p>
    <w:p w14:paraId="2670C2E6" w14:textId="77777777" w:rsidR="00E4472B" w:rsidRPr="009C3BB4" w:rsidRDefault="00E4472B" w:rsidP="00E4472B">
      <w:pPr>
        <w:spacing w:line="360" w:lineRule="auto"/>
        <w:jc w:val="both"/>
        <w:rPr>
          <w:rFonts w:ascii="Calibri" w:eastAsia="Calibri" w:hAnsi="Calibri"/>
          <w:b/>
          <w:bCs/>
          <w:u w:val="single"/>
          <w:rtl/>
        </w:rPr>
      </w:pPr>
      <w:r w:rsidRPr="009C3BB4">
        <w:rPr>
          <w:rFonts w:ascii="Calibri" w:eastAsia="Calibri" w:hAnsi="Calibri" w:hint="cs"/>
          <w:b/>
          <w:bCs/>
          <w:u w:val="single"/>
          <w:rtl/>
        </w:rPr>
        <w:t>תסקיר שירות המבחן</w:t>
      </w:r>
    </w:p>
    <w:p w14:paraId="4EF1BBBC" w14:textId="77777777" w:rsidR="00E4472B" w:rsidRPr="009C3BB4" w:rsidRDefault="00E4472B" w:rsidP="00E4472B">
      <w:pPr>
        <w:spacing w:line="360" w:lineRule="auto"/>
        <w:jc w:val="both"/>
        <w:rPr>
          <w:rFonts w:ascii="Calibri" w:eastAsia="Calibri" w:hAnsi="Calibri"/>
          <w:rtl/>
        </w:rPr>
      </w:pPr>
      <w:r w:rsidRPr="009C3BB4">
        <w:rPr>
          <w:rFonts w:ascii="Calibri" w:eastAsia="Calibri" w:hAnsi="Calibri" w:hint="cs"/>
          <w:u w:val="single"/>
          <w:rtl/>
        </w:rPr>
        <w:t>מתסקיר שירות המבחן מיום 11.02.24</w:t>
      </w:r>
      <w:r w:rsidRPr="009C3BB4">
        <w:rPr>
          <w:rFonts w:ascii="Calibri" w:eastAsia="Calibri" w:hAnsi="Calibri" w:hint="cs"/>
          <w:rtl/>
        </w:rPr>
        <w:t>, עולה כי הנאשם בן 70, עובד למחייתו ועורך מאמצים לתפקוד במישור התעסוקתי. מעיון בגיליון רישומו הפלילי עולה כי הנאשם נעדר הרשעות קודמות ולא עומדים כנגדו תיקי מב"ד נוספים. הנאשם שלל נזקקות טיפולית בפני שירות המבחן, התקשה לקחת אחריות למעשיו והשליך אחריות על גורמים חיצוניים לו. על כן, נמנע שירות המבחן מהמלצה שיקומית והמליץ על הטלת עונש מאסר אשר ירוצה בעבודות שירות לצד מאסר מותנה.</w:t>
      </w:r>
    </w:p>
    <w:p w14:paraId="2ABBEE65" w14:textId="77777777" w:rsidR="00E4472B" w:rsidRPr="009C3BB4" w:rsidRDefault="00E4472B" w:rsidP="00E4472B">
      <w:pPr>
        <w:spacing w:line="360" w:lineRule="auto"/>
        <w:jc w:val="both"/>
        <w:rPr>
          <w:rFonts w:ascii="Calibri" w:eastAsia="Calibri" w:hAnsi="Calibri"/>
          <w:rtl/>
        </w:rPr>
      </w:pPr>
    </w:p>
    <w:p w14:paraId="06B55D08" w14:textId="77777777" w:rsidR="00E4472B" w:rsidRPr="009C3BB4" w:rsidRDefault="00E4472B" w:rsidP="00E4472B">
      <w:pPr>
        <w:spacing w:after="200" w:line="360" w:lineRule="auto"/>
        <w:jc w:val="both"/>
        <w:rPr>
          <w:rFonts w:ascii="Calibri" w:eastAsia="Calibri" w:hAnsi="Calibri"/>
          <w:b/>
          <w:bCs/>
          <w:u w:val="single"/>
          <w:rtl/>
        </w:rPr>
      </w:pPr>
      <w:r w:rsidRPr="009C3BB4">
        <w:rPr>
          <w:rFonts w:ascii="Calibri" w:eastAsia="Calibri" w:hAnsi="Calibri" w:hint="cs"/>
          <w:b/>
          <w:bCs/>
          <w:u w:val="single"/>
          <w:rtl/>
        </w:rPr>
        <w:t>גזר הדין של הנאשמים האחרים</w:t>
      </w:r>
      <w:r w:rsidRPr="009C3BB4">
        <w:rPr>
          <w:rFonts w:ascii="Calibri" w:eastAsia="Calibri" w:hAnsi="Calibri" w:hint="cs"/>
          <w:b/>
          <w:bCs/>
          <w:rtl/>
        </w:rPr>
        <w:t xml:space="preserve">: </w:t>
      </w:r>
    </w:p>
    <w:p w14:paraId="76BEA231" w14:textId="77777777" w:rsidR="00E4472B" w:rsidRPr="009C3BB4" w:rsidRDefault="00E4472B" w:rsidP="00E4472B">
      <w:pPr>
        <w:spacing w:after="200" w:line="360" w:lineRule="auto"/>
        <w:jc w:val="both"/>
        <w:rPr>
          <w:rFonts w:ascii="Calibri" w:eastAsia="Calibri" w:hAnsi="Calibri"/>
          <w:rtl/>
        </w:rPr>
      </w:pPr>
      <w:r w:rsidRPr="009C3BB4">
        <w:rPr>
          <w:rFonts w:ascii="Calibri" w:eastAsia="Calibri" w:hAnsi="Calibri" w:hint="cs"/>
          <w:rtl/>
        </w:rPr>
        <w:t xml:space="preserve">העובדה שהנאשם 2 נותן את הדין במסגרת גזר דין נפרד היא מקרית, ויש לראות בגזר הדין נגד הנאשמים האחרים </w:t>
      </w:r>
      <w:r w:rsidRPr="009C3BB4">
        <w:rPr>
          <w:rFonts w:ascii="Calibri" w:eastAsia="Calibri" w:hAnsi="Calibri" w:hint="cs"/>
          <w:b/>
          <w:bCs/>
          <w:u w:val="single"/>
          <w:rtl/>
        </w:rPr>
        <w:t>חלק בלתי נפרד מגזר הדין של הנאשם</w:t>
      </w:r>
      <w:r w:rsidRPr="009C3BB4">
        <w:rPr>
          <w:rFonts w:ascii="Calibri" w:eastAsia="Calibri" w:hAnsi="Calibri" w:hint="cs"/>
          <w:rtl/>
        </w:rPr>
        <w:t xml:space="preserve"> כאן. לא מצאתי טעם או הצדקה לחזור על דבריי בגזר הדין נגד האחרים גם כאן. תחת זאת, יש לקרוא את שני גזרי הדין כחטיבה אחת. </w:t>
      </w:r>
    </w:p>
    <w:p w14:paraId="0A612B0A" w14:textId="77777777" w:rsidR="00E4472B" w:rsidRPr="009C3BB4" w:rsidRDefault="00E4472B" w:rsidP="00E4472B">
      <w:pPr>
        <w:spacing w:after="200" w:line="360" w:lineRule="auto"/>
        <w:jc w:val="both"/>
        <w:rPr>
          <w:rFonts w:ascii="Calibri" w:eastAsia="Calibri" w:hAnsi="Calibri"/>
        </w:rPr>
      </w:pPr>
      <w:r w:rsidRPr="009C3BB4">
        <w:rPr>
          <w:rFonts w:ascii="Calibri" w:eastAsia="Calibri" w:hAnsi="Calibri" w:hint="cs"/>
          <w:rtl/>
        </w:rPr>
        <w:t xml:space="preserve">דבריי לעניין חומרת הפרשה, לעניין מתחמי העונש, הערכים המוגנים ומדיניות הענישה המקובלת, תקפים גם בעניינו של הנאשם כאן. </w:t>
      </w:r>
    </w:p>
    <w:p w14:paraId="4CBCCE36" w14:textId="77777777" w:rsidR="00E4472B" w:rsidRPr="009C3BB4" w:rsidRDefault="00E4472B" w:rsidP="00E4472B">
      <w:pPr>
        <w:spacing w:after="200" w:line="360" w:lineRule="auto"/>
        <w:jc w:val="both"/>
        <w:rPr>
          <w:rFonts w:ascii="Calibri" w:eastAsia="Calibri" w:hAnsi="Calibri"/>
          <w:b/>
          <w:bCs/>
          <w:rtl/>
        </w:rPr>
      </w:pPr>
      <w:r w:rsidRPr="009C3BB4">
        <w:rPr>
          <w:rFonts w:ascii="Calibri" w:eastAsia="Calibri" w:hAnsi="Calibri" w:hint="cs"/>
          <w:b/>
          <w:bCs/>
          <w:rtl/>
        </w:rPr>
        <w:t xml:space="preserve">הדיון העיקרי שייעשה במסגרת גזר דין זה, יתייחס להשוואה שבין חלקו של הנאשם 3 שדינו נגזר (לא הוגש ערעור), לבין חלקו של הנאשם 2. </w:t>
      </w:r>
    </w:p>
    <w:p w14:paraId="023FD493" w14:textId="77777777" w:rsidR="00E4472B" w:rsidRPr="009C3BB4" w:rsidRDefault="00E4472B" w:rsidP="00E4472B">
      <w:pPr>
        <w:spacing w:line="360" w:lineRule="auto"/>
        <w:jc w:val="both"/>
        <w:rPr>
          <w:rFonts w:ascii="Calibri" w:eastAsia="Calibri" w:hAnsi="Calibri"/>
          <w:b/>
          <w:bCs/>
          <w:u w:val="single"/>
          <w:rtl/>
        </w:rPr>
      </w:pPr>
    </w:p>
    <w:p w14:paraId="65CAAE8B" w14:textId="77777777" w:rsidR="00E4472B" w:rsidRPr="009C3BB4" w:rsidRDefault="00E4472B" w:rsidP="00E4472B">
      <w:pPr>
        <w:spacing w:line="360" w:lineRule="auto"/>
        <w:jc w:val="both"/>
        <w:rPr>
          <w:rFonts w:ascii="Calibri" w:eastAsia="Calibri" w:hAnsi="Calibri"/>
          <w:b/>
          <w:bCs/>
          <w:u w:val="single"/>
          <w:rtl/>
        </w:rPr>
      </w:pPr>
    </w:p>
    <w:p w14:paraId="2B96EB9B" w14:textId="77777777" w:rsidR="00E4472B" w:rsidRPr="009C3BB4" w:rsidRDefault="00E4472B" w:rsidP="00E4472B">
      <w:pPr>
        <w:spacing w:line="360" w:lineRule="auto"/>
        <w:jc w:val="both"/>
        <w:rPr>
          <w:rFonts w:ascii="Calibri" w:eastAsia="Calibri" w:hAnsi="Calibri"/>
          <w:rtl/>
        </w:rPr>
      </w:pPr>
      <w:r w:rsidRPr="009C3BB4">
        <w:rPr>
          <w:rFonts w:ascii="Calibri" w:eastAsia="Calibri" w:hAnsi="Calibri" w:hint="cs"/>
          <w:b/>
          <w:bCs/>
          <w:u w:val="single"/>
          <w:rtl/>
        </w:rPr>
        <w:t>דיון והכרעה</w:t>
      </w:r>
      <w:r w:rsidRPr="009C3BB4">
        <w:rPr>
          <w:rFonts w:ascii="Calibri" w:eastAsia="Calibri" w:hAnsi="Calibri" w:hint="cs"/>
          <w:rtl/>
        </w:rPr>
        <w:t>:</w:t>
      </w:r>
    </w:p>
    <w:p w14:paraId="57D9735F" w14:textId="77777777" w:rsidR="00E4472B" w:rsidRPr="009C3BB4" w:rsidRDefault="00E4472B" w:rsidP="00E4472B">
      <w:pPr>
        <w:spacing w:after="200" w:line="360" w:lineRule="auto"/>
        <w:jc w:val="both"/>
        <w:rPr>
          <w:rFonts w:ascii="Calibri" w:eastAsia="Calibri" w:hAnsi="Calibri"/>
          <w:rtl/>
        </w:rPr>
      </w:pPr>
      <w:r w:rsidRPr="009C3BB4">
        <w:rPr>
          <w:rFonts w:ascii="Calibri" w:eastAsia="Calibri" w:hAnsi="Calibri" w:hint="cs"/>
          <w:rtl/>
        </w:rPr>
        <w:t xml:space="preserve">כזכור קבעתי בעניינו של נאשם 3 כי מתחם העונש נע בין 20-42 חודשי מאסר. עיון בכתב האישום מלמד על קרבה בין עומק מעורבותו של נאשם 2 לזה של נאשם 3. ולו מן הסיבה הפשוטה שנאשם 3 החליף את נאשם 2 "בעבודתו" כשליח של נאשם 1. אלא ששכרו של נאשם 2 היה נמוך מזה של נאשם 3 (100 ₪ למשלוח, לעומת 300 ₪). כמות הסמים (השקיות) שחילק נאשם 3 הייתה כפולה בכל משלוח. מנגד, אינני מתעלם מכך שהתקופה המיוחסת לנאשם 3 קצרה יותר מזו שיוחסה לנאשם 2 (כ- חודשיים לעומת כ- 20 ימים). </w:t>
      </w:r>
    </w:p>
    <w:p w14:paraId="4C2BEA17" w14:textId="77777777" w:rsidR="00E4472B" w:rsidRPr="009C3BB4" w:rsidRDefault="00E4472B" w:rsidP="00E4472B">
      <w:pPr>
        <w:spacing w:after="200" w:line="360" w:lineRule="auto"/>
        <w:jc w:val="both"/>
        <w:rPr>
          <w:rFonts w:ascii="Calibri" w:eastAsia="Calibri" w:hAnsi="Calibri"/>
          <w:rtl/>
        </w:rPr>
      </w:pPr>
      <w:r w:rsidRPr="009C3BB4">
        <w:rPr>
          <w:rFonts w:ascii="Calibri" w:eastAsia="Calibri" w:hAnsi="Calibri" w:hint="cs"/>
          <w:rtl/>
        </w:rPr>
        <w:lastRenderedPageBreak/>
        <w:t xml:space="preserve">מרכיב בולט שמבדיל בין הנאשמים 2 ו- 3 הוא ייחוס העבירה של כמות סמים גדולה מאוד לנאשם 3 </w:t>
      </w:r>
      <w:r w:rsidRPr="009C3BB4">
        <w:rPr>
          <w:rFonts w:ascii="Calibri" w:eastAsia="Calibri" w:hAnsi="Calibri" w:hint="cs"/>
          <w:b/>
          <w:bCs/>
          <w:rtl/>
        </w:rPr>
        <w:t xml:space="preserve">– במשקל של </w:t>
      </w:r>
      <w:r w:rsidRPr="009C3BB4">
        <w:rPr>
          <w:rFonts w:ascii="Calibri" w:eastAsia="Calibri" w:hAnsi="Calibri" w:hint="cs"/>
          <w:b/>
          <w:bCs/>
          <w:u w:val="single"/>
          <w:rtl/>
        </w:rPr>
        <w:t>עשרים ק"ג</w:t>
      </w:r>
      <w:r w:rsidRPr="009C3BB4">
        <w:rPr>
          <w:rFonts w:ascii="Calibri" w:eastAsia="Calibri" w:hAnsi="Calibri" w:hint="cs"/>
          <w:rtl/>
        </w:rPr>
        <w:t xml:space="preserve"> – לעומת ייחוס כמות קטנה בהרבה לנאשם 2 (העברה והחזקה של 85 </w:t>
      </w:r>
      <w:r w:rsidRPr="009C3BB4">
        <w:rPr>
          <w:rFonts w:ascii="Calibri" w:eastAsia="Calibri" w:hAnsi="Calibri" w:hint="cs"/>
          <w:b/>
          <w:bCs/>
          <w:rtl/>
        </w:rPr>
        <w:t>גר'</w:t>
      </w:r>
      <w:r w:rsidRPr="009C3BB4">
        <w:rPr>
          <w:rFonts w:ascii="Calibri" w:eastAsia="Calibri" w:hAnsi="Calibri" w:hint="cs"/>
          <w:rtl/>
        </w:rPr>
        <w:t xml:space="preserve">). </w:t>
      </w:r>
    </w:p>
    <w:p w14:paraId="4BC04162" w14:textId="77777777" w:rsidR="00E4472B" w:rsidRPr="009C3BB4" w:rsidRDefault="00E4472B" w:rsidP="00E4472B">
      <w:pPr>
        <w:spacing w:after="200" w:line="360" w:lineRule="auto"/>
        <w:jc w:val="both"/>
        <w:rPr>
          <w:rFonts w:ascii="Calibri" w:eastAsia="Calibri" w:hAnsi="Calibri"/>
          <w:rtl/>
        </w:rPr>
      </w:pPr>
      <w:r w:rsidRPr="009C3BB4">
        <w:rPr>
          <w:rFonts w:ascii="Calibri" w:eastAsia="Calibri" w:hAnsi="Calibri" w:hint="cs"/>
          <w:rtl/>
        </w:rPr>
        <w:t xml:space="preserve">בהתאם לדיון העקרוני שערכתי בעניין שני הנאשמים האחרים, ולפי לקריטריונים שקבעתי שם, ובהשוואה לנאשם 3, ולמתחם שקבעתי בעניינו, מצאתי לקבוע מתחם </w:t>
      </w:r>
      <w:r w:rsidRPr="009C3BB4">
        <w:rPr>
          <w:rFonts w:ascii="Calibri" w:eastAsia="Calibri" w:hAnsi="Calibri" w:hint="cs"/>
          <w:b/>
          <w:bCs/>
          <w:rtl/>
        </w:rPr>
        <w:t xml:space="preserve">מתון יותר </w:t>
      </w:r>
      <w:r w:rsidRPr="009C3BB4">
        <w:rPr>
          <w:rFonts w:ascii="Calibri" w:eastAsia="Calibri" w:hAnsi="Calibri" w:hint="cs"/>
          <w:rtl/>
        </w:rPr>
        <w:t xml:space="preserve">בעניינו של נאשם 2. </w:t>
      </w:r>
    </w:p>
    <w:p w14:paraId="29991BF4" w14:textId="77777777" w:rsidR="00E4472B" w:rsidRPr="009C3BB4" w:rsidRDefault="00E4472B" w:rsidP="00E4472B">
      <w:pPr>
        <w:spacing w:after="200" w:line="360" w:lineRule="auto"/>
        <w:jc w:val="both"/>
        <w:rPr>
          <w:rFonts w:ascii="Calibri" w:eastAsia="Calibri" w:hAnsi="Calibri"/>
          <w:b/>
          <w:bCs/>
          <w:rtl/>
        </w:rPr>
      </w:pPr>
      <w:r w:rsidRPr="009C3BB4">
        <w:rPr>
          <w:rFonts w:ascii="Calibri" w:eastAsia="Calibri" w:hAnsi="Calibri" w:hint="cs"/>
          <w:b/>
          <w:bCs/>
          <w:rtl/>
        </w:rPr>
        <w:t xml:space="preserve">לשיטתי, מתחם העונש בענייננו של נאשם 2 נע בין 15-36 חודשי מאסר. </w:t>
      </w:r>
    </w:p>
    <w:p w14:paraId="71D220D3" w14:textId="77777777" w:rsidR="00E4472B" w:rsidRPr="009C3BB4" w:rsidRDefault="00E4472B" w:rsidP="00E4472B">
      <w:pPr>
        <w:spacing w:after="200" w:line="360" w:lineRule="auto"/>
        <w:jc w:val="both"/>
        <w:rPr>
          <w:rFonts w:ascii="Calibri" w:eastAsia="Calibri" w:hAnsi="Calibri"/>
          <w:rtl/>
        </w:rPr>
      </w:pPr>
    </w:p>
    <w:p w14:paraId="25423FE8" w14:textId="77777777" w:rsidR="00E4472B" w:rsidRPr="009C3BB4" w:rsidRDefault="00E4472B" w:rsidP="00E4472B">
      <w:pPr>
        <w:spacing w:after="200" w:line="360" w:lineRule="auto"/>
        <w:jc w:val="both"/>
        <w:rPr>
          <w:rFonts w:ascii="Calibri" w:eastAsia="Calibri" w:hAnsi="Calibri"/>
          <w:rtl/>
        </w:rPr>
      </w:pPr>
      <w:r w:rsidRPr="009C3BB4">
        <w:rPr>
          <w:rFonts w:ascii="Calibri" w:eastAsia="Calibri" w:hAnsi="Calibri" w:hint="cs"/>
          <w:rtl/>
        </w:rPr>
        <w:t xml:space="preserve">במקרה דנן לא מצאתי נסיבות מיוחדות המצדיקות סטייה ממתחם העונש ההולם, לחומרה או לקולה. לא מצאתי לקבל את טענת ההגנה לפיה יש לסטות מהמתחם משיקולים של מצב רפואי. הנאשם סובל מבעיות לב, סכרת ובעיות רפואיות שונות ברגלו והוא אף עבר צנתור לפני 4 חודשים. לאור מצבו, הנאשם מחזיק ברישיון לקנאביס רפואי. </w:t>
      </w:r>
    </w:p>
    <w:p w14:paraId="799A677E" w14:textId="77777777" w:rsidR="00E4472B" w:rsidRPr="009C3BB4" w:rsidRDefault="00E4472B" w:rsidP="00E4472B">
      <w:pPr>
        <w:spacing w:after="200" w:line="360" w:lineRule="auto"/>
        <w:jc w:val="both"/>
        <w:rPr>
          <w:rFonts w:ascii="Calibri" w:eastAsia="Calibri" w:hAnsi="Calibri"/>
          <w:rtl/>
        </w:rPr>
      </w:pPr>
      <w:r w:rsidRPr="009C3BB4">
        <w:rPr>
          <w:rFonts w:ascii="Calibri" w:eastAsia="Calibri" w:hAnsi="Calibri" w:hint="cs"/>
          <w:rtl/>
        </w:rPr>
        <w:t xml:space="preserve">אכן, מצבו הרפואי של נאשם 2 איננו טוב, אך איננו כזה אשר יצדיק סטייה מהמתחם. הפסיקה שהכירה במצב רפואי קשה, במקרים נדירים, כשיקול לסטייה מהמתחם, מתייחסת למצבים רפואיים קשים במיוחד. באותם מקרים, שליחת אותם נאשמים לריצוי מאסר במצבם נתפסה כעונש אכזרי במיוחד. עם כל הקושי, מצבו הרפואי של נאשם 2 איננו מגיע לדרגה (קיצונית) כזו. </w:t>
      </w:r>
    </w:p>
    <w:p w14:paraId="3381402A" w14:textId="77777777" w:rsidR="00E4472B" w:rsidRPr="009C3BB4" w:rsidRDefault="00E4472B" w:rsidP="00E4472B">
      <w:pPr>
        <w:spacing w:after="200" w:line="360" w:lineRule="auto"/>
        <w:jc w:val="both"/>
        <w:rPr>
          <w:rFonts w:ascii="Calibri" w:eastAsia="Calibri" w:hAnsi="Calibri"/>
          <w:rtl/>
        </w:rPr>
      </w:pPr>
      <w:r w:rsidRPr="009C3BB4">
        <w:rPr>
          <w:rFonts w:ascii="Calibri" w:eastAsia="Calibri" w:hAnsi="Calibri" w:hint="cs"/>
          <w:rtl/>
        </w:rPr>
        <w:t xml:space="preserve">עיון בתסקיר מלמד שלא ניתן לסטות מהעונש משיקולי שיקום. התסקיר שהוגש נעדר המלצה שיקומית טיפולית. על אף ההמלצה לענישה שאיננה כוללת מאסר בפועל מאחורי סורג ובריח, אין מדובר בתסקיר חיובי, או תסקיר שמצביע על תהליך שיקומי מרשים שעבר הנאשם. בכל הכבוד, הטיפול שעבר הנאשם בשלב המעצר איננו עונה על ההגדרה המצמצמת לעניין סטייה ממתחם העונש משיקולי שיקום. </w:t>
      </w:r>
    </w:p>
    <w:p w14:paraId="00875A9C" w14:textId="77777777" w:rsidR="00E4472B" w:rsidRPr="009C3BB4" w:rsidRDefault="00E4472B" w:rsidP="00E4472B">
      <w:pPr>
        <w:spacing w:after="200" w:line="360" w:lineRule="auto"/>
        <w:ind w:left="720"/>
        <w:jc w:val="both"/>
        <w:rPr>
          <w:rFonts w:ascii="Calibri" w:eastAsia="Calibri" w:hAnsi="Calibri"/>
          <w:rtl/>
        </w:rPr>
      </w:pPr>
    </w:p>
    <w:p w14:paraId="63ABD3DC" w14:textId="77777777" w:rsidR="00E4472B" w:rsidRPr="009C3BB4" w:rsidRDefault="00E4472B" w:rsidP="00E4472B">
      <w:pPr>
        <w:spacing w:after="200" w:line="360" w:lineRule="auto"/>
        <w:jc w:val="both"/>
        <w:rPr>
          <w:rFonts w:ascii="Calibri" w:eastAsia="Calibri" w:hAnsi="Calibri"/>
          <w:u w:val="single"/>
          <w:rtl/>
        </w:rPr>
      </w:pPr>
      <w:r w:rsidRPr="009C3BB4">
        <w:rPr>
          <w:rFonts w:ascii="Calibri" w:eastAsia="Calibri" w:hAnsi="Calibri" w:hint="cs"/>
          <w:u w:val="single"/>
          <w:rtl/>
        </w:rPr>
        <w:t>קביעת העונש בתוך מתחם העונש ההולם</w:t>
      </w:r>
      <w:r w:rsidRPr="009C3BB4">
        <w:rPr>
          <w:rFonts w:ascii="Calibri" w:eastAsia="Calibri" w:hAnsi="Calibri" w:hint="cs"/>
          <w:rtl/>
        </w:rPr>
        <w:t>:</w:t>
      </w:r>
    </w:p>
    <w:p w14:paraId="51EB79CF" w14:textId="77777777" w:rsidR="00E4472B" w:rsidRPr="009C3BB4" w:rsidRDefault="00E4472B" w:rsidP="00E4472B">
      <w:pPr>
        <w:spacing w:after="200" w:line="360" w:lineRule="auto"/>
        <w:jc w:val="both"/>
        <w:rPr>
          <w:rFonts w:ascii="Calibri" w:eastAsia="Calibri" w:hAnsi="Calibri"/>
          <w:rtl/>
        </w:rPr>
      </w:pPr>
      <w:r w:rsidRPr="009C3BB4">
        <w:rPr>
          <w:rFonts w:ascii="Calibri" w:eastAsia="Calibri" w:hAnsi="Calibri" w:hint="cs"/>
          <w:rtl/>
        </w:rPr>
        <w:t>במסגרת הנסיבות שאינן קשורות בביצוע העבירה לקחתי בחשבון את הנתונים הבאים:</w:t>
      </w:r>
    </w:p>
    <w:p w14:paraId="51ACEC2A" w14:textId="77777777" w:rsidR="00E4472B" w:rsidRPr="009C3BB4" w:rsidRDefault="00E4472B" w:rsidP="00E4472B">
      <w:pPr>
        <w:spacing w:after="200" w:line="360" w:lineRule="auto"/>
        <w:jc w:val="both"/>
        <w:rPr>
          <w:rFonts w:ascii="Calibri" w:eastAsia="Calibri" w:hAnsi="Calibri"/>
          <w:rtl/>
        </w:rPr>
      </w:pPr>
      <w:r w:rsidRPr="009C3BB4">
        <w:rPr>
          <w:rFonts w:ascii="Calibri" w:eastAsia="Calibri" w:hAnsi="Calibri" w:hint="cs"/>
          <w:rtl/>
        </w:rPr>
        <w:t xml:space="preserve">עדי האופי (בני משפחתו), עבר פלילי נקי, מצב רפואי קשה, נסיבות אישיות ומשפחתיות, הודאה, לקיחת אחריות, הודאה בנסיבות שהרחבתי עליהם את התיאור במסגר גזר הדין בעניינם של הנאשמים האחרים, ועל אף היבטים שליליים מסוימים בתסקיר (בעניין נטייה לצמצם מחומרת העבירות ושלילת נזקקות טיפולית), מצאתי למקם את העונש </w:t>
      </w:r>
      <w:r w:rsidRPr="009C3BB4">
        <w:rPr>
          <w:rFonts w:ascii="Calibri" w:eastAsia="Calibri" w:hAnsi="Calibri" w:hint="cs"/>
          <w:b/>
          <w:bCs/>
          <w:rtl/>
        </w:rPr>
        <w:t>ברף התחתון שבמתחם</w:t>
      </w:r>
      <w:r w:rsidRPr="009C3BB4">
        <w:rPr>
          <w:rFonts w:ascii="Calibri" w:eastAsia="Calibri" w:hAnsi="Calibri" w:hint="cs"/>
          <w:rtl/>
        </w:rPr>
        <w:t xml:space="preserve">. גם בעניין זה אפנה לנסיבות החריגות של הודאה "נדיבה מאוד" מצד הנאשמים בתיק זה. </w:t>
      </w:r>
    </w:p>
    <w:p w14:paraId="71ECEBA9" w14:textId="77777777" w:rsidR="00E4472B" w:rsidRPr="009C3BB4" w:rsidRDefault="00E4472B" w:rsidP="00E4472B">
      <w:pPr>
        <w:spacing w:after="200" w:line="360" w:lineRule="auto"/>
        <w:jc w:val="both"/>
        <w:rPr>
          <w:rFonts w:ascii="Calibri" w:eastAsia="Calibri" w:hAnsi="Calibri"/>
          <w:rtl/>
        </w:rPr>
      </w:pPr>
    </w:p>
    <w:p w14:paraId="29199B85" w14:textId="77777777" w:rsidR="00E4472B" w:rsidRPr="009C3BB4" w:rsidRDefault="00E4472B" w:rsidP="00E4472B">
      <w:pPr>
        <w:spacing w:after="200" w:line="360" w:lineRule="auto"/>
        <w:jc w:val="both"/>
        <w:rPr>
          <w:rFonts w:ascii="Calibri" w:eastAsia="Calibri" w:hAnsi="Calibri"/>
          <w:rtl/>
        </w:rPr>
      </w:pPr>
      <w:r w:rsidRPr="009C3BB4">
        <w:rPr>
          <w:rFonts w:ascii="Calibri" w:eastAsia="Calibri" w:hAnsi="Calibri" w:hint="cs"/>
          <w:rtl/>
        </w:rPr>
        <w:t>אשר על כן, ולאחר שנתתי דעתי לתיקון 113 ל</w:t>
      </w:r>
      <w:hyperlink r:id="rId15" w:history="1">
        <w:r w:rsidR="00F32BC6" w:rsidRPr="00F32BC6">
          <w:rPr>
            <w:rFonts w:ascii="Calibri" w:eastAsia="Calibri" w:hAnsi="Calibri" w:hint="cs"/>
            <w:color w:val="0000FF"/>
            <w:u w:val="single"/>
            <w:rtl/>
          </w:rPr>
          <w:t>חוק</w:t>
        </w:r>
        <w:r w:rsidR="00F32BC6" w:rsidRPr="00F32BC6">
          <w:rPr>
            <w:rFonts w:ascii="Calibri" w:eastAsia="Calibri" w:hAnsi="Calibri"/>
            <w:color w:val="0000FF"/>
            <w:u w:val="single"/>
            <w:rtl/>
          </w:rPr>
          <w:t xml:space="preserve"> </w:t>
        </w:r>
        <w:r w:rsidR="00F32BC6" w:rsidRPr="00F32BC6">
          <w:rPr>
            <w:rFonts w:ascii="Calibri" w:eastAsia="Calibri" w:hAnsi="Calibri" w:hint="cs"/>
            <w:color w:val="0000FF"/>
            <w:u w:val="single"/>
            <w:rtl/>
          </w:rPr>
          <w:t>העונשין</w:t>
        </w:r>
      </w:hyperlink>
      <w:r w:rsidRPr="009C3BB4">
        <w:rPr>
          <w:rFonts w:ascii="Calibri" w:eastAsia="Calibri" w:hAnsi="Calibri" w:hint="cs"/>
          <w:rtl/>
        </w:rPr>
        <w:t xml:space="preserve"> ולטיעוני הצדדים, החלטתי לגזור על הנאשם את העונשים הבאים:</w:t>
      </w:r>
    </w:p>
    <w:p w14:paraId="56701129" w14:textId="77777777" w:rsidR="00E4472B" w:rsidRPr="009C3BB4" w:rsidRDefault="00E4472B" w:rsidP="00E4472B">
      <w:pPr>
        <w:numPr>
          <w:ilvl w:val="1"/>
          <w:numId w:val="1"/>
        </w:numPr>
        <w:spacing w:after="200" w:line="360" w:lineRule="auto"/>
        <w:contextualSpacing/>
        <w:jc w:val="both"/>
        <w:rPr>
          <w:rFonts w:ascii="Calibri" w:eastAsia="Calibri" w:hAnsi="Calibri"/>
          <w:rtl/>
        </w:rPr>
      </w:pPr>
      <w:r w:rsidRPr="009C3BB4">
        <w:rPr>
          <w:rFonts w:ascii="Calibri" w:eastAsia="Calibri" w:hAnsi="Calibri" w:hint="cs"/>
          <w:b/>
          <w:bCs/>
          <w:u w:val="single"/>
          <w:rtl/>
        </w:rPr>
        <w:t>מאסר בפועל</w:t>
      </w:r>
      <w:r w:rsidRPr="009C3BB4">
        <w:rPr>
          <w:rFonts w:ascii="Calibri" w:eastAsia="Calibri" w:hAnsi="Calibri" w:hint="cs"/>
          <w:rtl/>
        </w:rPr>
        <w:t xml:space="preserve"> למשך 15 חודשים, בניכוי ימי מעצרו.</w:t>
      </w:r>
    </w:p>
    <w:p w14:paraId="244F358D" w14:textId="77777777" w:rsidR="00E4472B" w:rsidRPr="009C3BB4" w:rsidRDefault="00E4472B" w:rsidP="00E4472B">
      <w:pPr>
        <w:numPr>
          <w:ilvl w:val="1"/>
          <w:numId w:val="1"/>
        </w:numPr>
        <w:spacing w:after="200" w:line="360" w:lineRule="auto"/>
        <w:contextualSpacing/>
        <w:jc w:val="both"/>
        <w:rPr>
          <w:rFonts w:ascii="Calibri" w:eastAsia="Calibri" w:hAnsi="Calibri"/>
          <w:rtl/>
        </w:rPr>
      </w:pPr>
      <w:r w:rsidRPr="009C3BB4">
        <w:rPr>
          <w:rFonts w:ascii="Calibri" w:eastAsia="Calibri" w:hAnsi="Calibri" w:hint="cs"/>
          <w:rtl/>
        </w:rPr>
        <w:t xml:space="preserve">6 חודשי </w:t>
      </w:r>
      <w:r w:rsidRPr="009C3BB4">
        <w:rPr>
          <w:rFonts w:ascii="Calibri" w:eastAsia="Calibri" w:hAnsi="Calibri" w:hint="cs"/>
          <w:b/>
          <w:bCs/>
          <w:u w:val="single"/>
          <w:rtl/>
        </w:rPr>
        <w:t>מאסר על תנאי</w:t>
      </w:r>
      <w:r w:rsidRPr="009C3BB4">
        <w:rPr>
          <w:rFonts w:ascii="Calibri" w:eastAsia="Calibri" w:hAnsi="Calibri" w:hint="cs"/>
          <w:rtl/>
        </w:rPr>
        <w:t xml:space="preserve"> למשך שנתיים, שלא יעבור עבירה סמים מסוג פשע. </w:t>
      </w:r>
    </w:p>
    <w:p w14:paraId="0DC62C08" w14:textId="77777777" w:rsidR="00E4472B" w:rsidRPr="009C3BB4" w:rsidRDefault="00E4472B" w:rsidP="00E4472B">
      <w:pPr>
        <w:numPr>
          <w:ilvl w:val="1"/>
          <w:numId w:val="1"/>
        </w:numPr>
        <w:spacing w:after="200" w:line="360" w:lineRule="auto"/>
        <w:contextualSpacing/>
        <w:jc w:val="both"/>
        <w:rPr>
          <w:rFonts w:ascii="Calibri" w:eastAsia="Calibri" w:hAnsi="Calibri"/>
          <w:rtl/>
        </w:rPr>
      </w:pPr>
      <w:r w:rsidRPr="009C3BB4">
        <w:rPr>
          <w:rFonts w:ascii="Calibri" w:eastAsia="Calibri" w:hAnsi="Calibri" w:hint="cs"/>
          <w:b/>
          <w:bCs/>
          <w:u w:val="single"/>
          <w:rtl/>
        </w:rPr>
        <w:t>קנס</w:t>
      </w:r>
      <w:r w:rsidRPr="009C3BB4">
        <w:rPr>
          <w:rFonts w:ascii="Calibri" w:eastAsia="Calibri" w:hAnsi="Calibri" w:hint="cs"/>
          <w:rtl/>
        </w:rPr>
        <w:t xml:space="preserve"> בסך 6,000 ₪ או 60 ימי מאסר תמורתו. הקנס יקוזז מההפקדה והיתרה תשולם ב-4 תשלומים שווים, חודשיים ורצופים, החל מיום 1.6.24, ובהמשך בכל חודש לאחריו.</w:t>
      </w:r>
    </w:p>
    <w:p w14:paraId="0693DF2A" w14:textId="77777777" w:rsidR="00E4472B" w:rsidRPr="009C3BB4" w:rsidRDefault="00E4472B" w:rsidP="00E4472B">
      <w:pPr>
        <w:numPr>
          <w:ilvl w:val="1"/>
          <w:numId w:val="1"/>
        </w:numPr>
        <w:spacing w:after="200" w:line="360" w:lineRule="auto"/>
        <w:contextualSpacing/>
        <w:jc w:val="both"/>
        <w:rPr>
          <w:rFonts w:ascii="David" w:eastAsia="Calibri" w:hAnsi="David"/>
          <w:rtl/>
          <w:lang w:eastAsia="he-IL"/>
        </w:rPr>
      </w:pPr>
      <w:r w:rsidRPr="009C3BB4">
        <w:rPr>
          <w:rFonts w:ascii="Calibri" w:eastAsia="Calibri" w:hAnsi="Calibri" w:hint="cs"/>
          <w:rtl/>
        </w:rPr>
        <w:t>אני פוסל את הנאשם מלקבל או להחזיק רשיון נהיגה למשך 3 חודשים ואולם הנאשם לא ישא עונש זה אם תוך שנתיים יעבור עבירה בה הורשע.</w:t>
      </w:r>
    </w:p>
    <w:p w14:paraId="71E500D5" w14:textId="77777777" w:rsidR="00E4472B" w:rsidRPr="009C3BB4" w:rsidRDefault="00E4472B" w:rsidP="00E4472B">
      <w:pPr>
        <w:spacing w:after="200" w:line="360" w:lineRule="auto"/>
        <w:ind w:left="720"/>
        <w:contextualSpacing/>
        <w:jc w:val="both"/>
        <w:rPr>
          <w:rFonts w:ascii="David" w:eastAsia="Calibri" w:hAnsi="David"/>
          <w:rtl/>
          <w:lang w:eastAsia="he-IL"/>
        </w:rPr>
      </w:pPr>
    </w:p>
    <w:p w14:paraId="795DDC84" w14:textId="77777777" w:rsidR="00E4472B" w:rsidRPr="009C3BB4" w:rsidRDefault="00E4472B" w:rsidP="00E4472B">
      <w:pPr>
        <w:spacing w:after="200" w:line="276" w:lineRule="auto"/>
        <w:jc w:val="both"/>
        <w:rPr>
          <w:rFonts w:ascii="David" w:eastAsia="Calibri" w:hAnsi="David"/>
          <w:lang w:eastAsia="he-IL"/>
        </w:rPr>
      </w:pPr>
      <w:r w:rsidRPr="009C3BB4">
        <w:rPr>
          <w:rFonts w:ascii="David" w:eastAsia="Calibri" w:hAnsi="David" w:hint="cs"/>
          <w:rtl/>
          <w:lang w:eastAsia="he-IL"/>
        </w:rPr>
        <w:t xml:space="preserve">אני שב ומורה על חילוט הכספים והחפצים כפי שעולה בהודעת החילוט שבכתב האישום ובזאת בהסכמת הצדדים. </w:t>
      </w:r>
    </w:p>
    <w:p w14:paraId="20E1BEF3" w14:textId="77777777" w:rsidR="00E4472B" w:rsidRPr="009C3BB4" w:rsidRDefault="00E4472B" w:rsidP="00E4472B">
      <w:pPr>
        <w:spacing w:after="200" w:line="360" w:lineRule="auto"/>
        <w:jc w:val="both"/>
        <w:rPr>
          <w:rFonts w:ascii="David" w:eastAsia="Calibri" w:hAnsi="David"/>
          <w:lang w:eastAsia="he-IL"/>
        </w:rPr>
      </w:pPr>
      <w:r w:rsidRPr="009C3BB4">
        <w:rPr>
          <w:rFonts w:ascii="David" w:eastAsia="Calibri" w:hAnsi="David" w:hint="cs"/>
          <w:rtl/>
          <w:lang w:eastAsia="he-IL"/>
        </w:rPr>
        <w:t>ניתן יהיה לשלם את הקנס/ פיצוי/ ההוצאות כעבור שלושה ימים מיום מתן ההחלטה/</w:t>
      </w:r>
      <w:r w:rsidR="00F32BC6">
        <w:rPr>
          <w:rFonts w:ascii="David" w:eastAsia="Calibri" w:hAnsi="David" w:hint="cs"/>
          <w:rtl/>
          <w:lang w:eastAsia="he-IL"/>
        </w:rPr>
        <w:t xml:space="preserve"> </w:t>
      </w:r>
      <w:r w:rsidRPr="009C3BB4">
        <w:rPr>
          <w:rFonts w:ascii="David" w:eastAsia="Calibri" w:hAnsi="David" w:hint="cs"/>
          <w:rtl/>
          <w:lang w:eastAsia="he-IL"/>
        </w:rPr>
        <w:t>גזר הדין לחשבון המרכז לגביית קנסות, אגרות והוצאות ברשות האכיפה והגבייה באחת מהדרכים הבאות:</w:t>
      </w:r>
    </w:p>
    <w:p w14:paraId="0F6721A9" w14:textId="77777777" w:rsidR="00E4472B" w:rsidRPr="009C3BB4" w:rsidRDefault="00E4472B" w:rsidP="00E4472B">
      <w:pPr>
        <w:numPr>
          <w:ilvl w:val="0"/>
          <w:numId w:val="2"/>
        </w:numPr>
        <w:spacing w:after="200" w:line="360" w:lineRule="auto"/>
        <w:jc w:val="both"/>
        <w:rPr>
          <w:rFonts w:ascii="David" w:eastAsia="Calibri" w:hAnsi="David"/>
          <w:b/>
          <w:bCs/>
          <w:rtl/>
          <w:lang w:eastAsia="he-IL"/>
        </w:rPr>
      </w:pPr>
      <w:r w:rsidRPr="009C3BB4">
        <w:rPr>
          <w:rFonts w:ascii="David" w:eastAsia="Calibri" w:hAnsi="David" w:hint="cs"/>
          <w:b/>
          <w:bCs/>
          <w:rtl/>
          <w:lang w:eastAsia="he-IL"/>
        </w:rPr>
        <w:t>בכרטיס אשראי</w:t>
      </w:r>
      <w:r w:rsidRPr="009C3BB4">
        <w:rPr>
          <w:rFonts w:ascii="David" w:eastAsia="Calibri" w:hAnsi="David" w:hint="cs"/>
          <w:rtl/>
          <w:lang w:eastAsia="he-IL"/>
        </w:rPr>
        <w:t xml:space="preserve"> – באתר המקוון של רשות האכיפה והגבייה, </w:t>
      </w:r>
      <w:hyperlink r:id="rId16" w:history="1">
        <w:r w:rsidRPr="009C3BB4">
          <w:rPr>
            <w:rFonts w:ascii="David" w:eastAsia="Calibri" w:hAnsi="David"/>
            <w:color w:val="0000FF"/>
            <w:u w:val="single"/>
            <w:lang w:eastAsia="he-IL"/>
          </w:rPr>
          <w:t>www.eca.gov.il</w:t>
        </w:r>
      </w:hyperlink>
      <w:r w:rsidRPr="009C3BB4">
        <w:rPr>
          <w:rFonts w:ascii="David" w:eastAsia="Calibri" w:hAnsi="David"/>
          <w:lang w:eastAsia="he-IL"/>
        </w:rPr>
        <w:t xml:space="preserve"> </w:t>
      </w:r>
      <w:r w:rsidR="00F32BC6">
        <w:rPr>
          <w:rFonts w:ascii="David" w:eastAsia="Calibri" w:hAnsi="David" w:hint="cs"/>
          <w:rtl/>
          <w:lang w:eastAsia="he-IL"/>
        </w:rPr>
        <w:t xml:space="preserve"> </w:t>
      </w:r>
    </w:p>
    <w:p w14:paraId="0282F869" w14:textId="77777777" w:rsidR="00E4472B" w:rsidRPr="009C3BB4" w:rsidRDefault="00E4472B" w:rsidP="00E4472B">
      <w:pPr>
        <w:numPr>
          <w:ilvl w:val="0"/>
          <w:numId w:val="2"/>
        </w:numPr>
        <w:spacing w:after="200" w:line="360" w:lineRule="auto"/>
        <w:jc w:val="both"/>
        <w:rPr>
          <w:rFonts w:ascii="David" w:eastAsia="Calibri" w:hAnsi="David"/>
          <w:b/>
          <w:bCs/>
          <w:rtl/>
          <w:lang w:eastAsia="he-IL"/>
        </w:rPr>
      </w:pPr>
      <w:r w:rsidRPr="009C3BB4">
        <w:rPr>
          <w:rFonts w:ascii="David" w:eastAsia="Calibri" w:hAnsi="David" w:hint="cs"/>
          <w:b/>
          <w:bCs/>
          <w:rtl/>
          <w:lang w:eastAsia="he-IL"/>
        </w:rPr>
        <w:t>מוקד שירות טלפוני בשרות עצמי (מרכז גבייה)</w:t>
      </w:r>
      <w:r w:rsidR="00F32BC6">
        <w:rPr>
          <w:rFonts w:ascii="David" w:eastAsia="Calibri" w:hAnsi="David" w:hint="cs"/>
          <w:b/>
          <w:bCs/>
          <w:rtl/>
          <w:lang w:eastAsia="he-IL"/>
        </w:rPr>
        <w:t xml:space="preserve"> </w:t>
      </w:r>
      <w:r w:rsidRPr="009C3BB4">
        <w:rPr>
          <w:rFonts w:ascii="David" w:eastAsia="Calibri" w:hAnsi="David" w:hint="cs"/>
          <w:b/>
          <w:bCs/>
          <w:rtl/>
          <w:lang w:eastAsia="he-IL"/>
        </w:rPr>
        <w:t xml:space="preserve"> – בטלפון 35592* או בטלפון 073-2055000</w:t>
      </w:r>
    </w:p>
    <w:p w14:paraId="75808778" w14:textId="77777777" w:rsidR="00E4472B" w:rsidRPr="009C3BB4" w:rsidRDefault="00E4472B" w:rsidP="00E4472B">
      <w:pPr>
        <w:numPr>
          <w:ilvl w:val="0"/>
          <w:numId w:val="2"/>
        </w:numPr>
        <w:spacing w:after="200" w:line="360" w:lineRule="auto"/>
        <w:jc w:val="both"/>
        <w:rPr>
          <w:rFonts w:ascii="David" w:eastAsia="Calibri" w:hAnsi="David"/>
          <w:b/>
          <w:bCs/>
          <w:lang w:eastAsia="he-IL"/>
        </w:rPr>
      </w:pPr>
      <w:r w:rsidRPr="009C3BB4">
        <w:rPr>
          <w:rFonts w:ascii="David" w:eastAsia="Calibri" w:hAnsi="David" w:hint="cs"/>
          <w:b/>
          <w:bCs/>
          <w:rtl/>
          <w:lang w:eastAsia="he-IL"/>
        </w:rPr>
        <w:t>במזומן בכל סניף של בנק הדואר</w:t>
      </w:r>
      <w:r w:rsidRPr="009C3BB4">
        <w:rPr>
          <w:rFonts w:ascii="David" w:eastAsia="Calibri" w:hAnsi="David" w:hint="cs"/>
          <w:rtl/>
          <w:lang w:eastAsia="he-IL"/>
        </w:rPr>
        <w:t xml:space="preserve"> – בהצגת תעודת זהות בלבד (אין צורך בשוברי תשלום).</w:t>
      </w:r>
    </w:p>
    <w:p w14:paraId="5ED9F0B1" w14:textId="77777777" w:rsidR="00E4472B" w:rsidRPr="009C3BB4" w:rsidRDefault="00E4472B" w:rsidP="00E4472B">
      <w:pPr>
        <w:spacing w:after="200" w:line="276" w:lineRule="auto"/>
        <w:rPr>
          <w:rFonts w:ascii="David" w:eastAsia="Calibri" w:hAnsi="David"/>
        </w:rPr>
      </w:pPr>
    </w:p>
    <w:p w14:paraId="69F3AF02" w14:textId="77777777" w:rsidR="00E4472B" w:rsidRPr="009C3BB4" w:rsidRDefault="00E4472B" w:rsidP="00E4472B">
      <w:pPr>
        <w:spacing w:after="200" w:line="360" w:lineRule="auto"/>
        <w:jc w:val="both"/>
        <w:rPr>
          <w:rFonts w:ascii="Calibri" w:eastAsia="Calibri" w:hAnsi="Calibri"/>
        </w:rPr>
      </w:pPr>
      <w:r w:rsidRPr="009C3BB4">
        <w:rPr>
          <w:rFonts w:ascii="Calibri" w:eastAsia="Calibri" w:hAnsi="Calibri" w:hint="cs"/>
          <w:u w:val="single"/>
          <w:rtl/>
        </w:rPr>
        <w:t>ניתן צו כללי למוצגים. המוצגים יחולטו/יושמדו/יושבו לבעליהם על פי החלטת קצין משטרה</w:t>
      </w:r>
      <w:r w:rsidRPr="009C3BB4">
        <w:rPr>
          <w:rFonts w:ascii="Calibri" w:eastAsia="Calibri" w:hAnsi="Calibri" w:hint="cs"/>
          <w:rtl/>
        </w:rPr>
        <w:t>.</w:t>
      </w:r>
    </w:p>
    <w:p w14:paraId="448DD178" w14:textId="77777777" w:rsidR="00E4472B" w:rsidRPr="009C3BB4" w:rsidRDefault="00E4472B" w:rsidP="00E4472B">
      <w:pPr>
        <w:spacing w:after="200" w:line="360" w:lineRule="auto"/>
        <w:jc w:val="both"/>
        <w:rPr>
          <w:rFonts w:ascii="Calibri" w:eastAsia="Calibri" w:hAnsi="Calibri"/>
          <w:u w:val="single"/>
        </w:rPr>
      </w:pPr>
      <w:r w:rsidRPr="009C3BB4">
        <w:rPr>
          <w:rFonts w:ascii="Calibri" w:eastAsia="Calibri" w:hAnsi="Calibri" w:hint="cs"/>
          <w:u w:val="single"/>
          <w:rtl/>
        </w:rPr>
        <w:t>הכספים שהופקדו עבור הנאשם בתיק זה ובתיקיו הקשורים יועברו לצורך תשלום הקנס ו/או הפיצוי שנפסקו בגזר דין זה, וככל שתיוותר יתרה היא תושב לידי המפקיד, בכפוף לכל עיקול או למגבלה אחרת על פי דין</w:t>
      </w:r>
      <w:r w:rsidRPr="009C3BB4">
        <w:rPr>
          <w:rFonts w:ascii="Calibri" w:eastAsia="Calibri" w:hAnsi="Calibri" w:hint="cs"/>
          <w:rtl/>
        </w:rPr>
        <w:t>.</w:t>
      </w:r>
    </w:p>
    <w:p w14:paraId="0FA9B819" w14:textId="77777777" w:rsidR="00E4472B" w:rsidRPr="009C3BB4" w:rsidRDefault="00F32BC6" w:rsidP="00E4472B">
      <w:pPr>
        <w:spacing w:after="200" w:line="360" w:lineRule="auto"/>
        <w:jc w:val="both"/>
        <w:rPr>
          <w:rFonts w:ascii="Calibri" w:eastAsia="Calibri" w:hAnsi="Calibri"/>
          <w:rtl/>
        </w:rPr>
      </w:pPr>
      <w:r w:rsidRPr="00F32BC6">
        <w:rPr>
          <w:rFonts w:ascii="Calibri" w:eastAsia="Calibri" w:hAnsi="Calibri"/>
          <w:b/>
          <w:bCs/>
          <w:color w:val="FFFFFF"/>
          <w:sz w:val="2"/>
          <w:szCs w:val="2"/>
          <w:u w:val="single"/>
          <w:rtl/>
        </w:rPr>
        <w:t>5129371</w:t>
      </w:r>
      <w:r w:rsidR="00E4472B" w:rsidRPr="009C3BB4">
        <w:rPr>
          <w:rFonts w:ascii="Calibri" w:eastAsia="Calibri" w:hAnsi="Calibri" w:hint="cs"/>
          <w:b/>
          <w:bCs/>
          <w:u w:val="single"/>
          <w:rtl/>
        </w:rPr>
        <w:t>זכות ערעור לבית משפט המחוזי בתוך 45 ימים מהיום</w:t>
      </w:r>
      <w:r w:rsidR="00E4472B" w:rsidRPr="009C3BB4">
        <w:rPr>
          <w:rFonts w:ascii="Calibri" w:eastAsia="Calibri" w:hAnsi="Calibri" w:hint="cs"/>
          <w:rtl/>
        </w:rPr>
        <w:t>.</w:t>
      </w:r>
    </w:p>
    <w:p w14:paraId="7D083FD7" w14:textId="77777777" w:rsidR="00E4472B" w:rsidRPr="00F32BC6" w:rsidRDefault="00F32BC6" w:rsidP="00E4472B">
      <w:pPr>
        <w:rPr>
          <w:rFonts w:ascii="Arial" w:hAnsi="Arial"/>
          <w:b/>
          <w:bCs/>
          <w:color w:val="FFFFFF"/>
          <w:sz w:val="2"/>
          <w:szCs w:val="2"/>
          <w:rtl/>
        </w:rPr>
      </w:pPr>
      <w:r w:rsidRPr="00F32BC6">
        <w:rPr>
          <w:rFonts w:ascii="Arial" w:hAnsi="Arial"/>
          <w:b/>
          <w:bCs/>
          <w:color w:val="FFFFFF"/>
          <w:sz w:val="2"/>
          <w:szCs w:val="2"/>
          <w:rtl/>
        </w:rPr>
        <w:t>54678313</w:t>
      </w:r>
    </w:p>
    <w:p w14:paraId="4086141D" w14:textId="77777777" w:rsidR="00E4472B" w:rsidRPr="000F2247" w:rsidRDefault="00E4472B" w:rsidP="00E4472B">
      <w:pPr>
        <w:rPr>
          <w:rFonts w:ascii="Arial" w:hAnsi="Arial"/>
          <w:b/>
          <w:bCs/>
          <w:sz w:val="26"/>
          <w:szCs w:val="26"/>
          <w:rtl/>
        </w:rPr>
      </w:pPr>
    </w:p>
    <w:p w14:paraId="72BE83DC" w14:textId="77777777" w:rsidR="00E4472B" w:rsidRPr="000F2247" w:rsidRDefault="00F32BC6" w:rsidP="00E4472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אדר ב' תשפ"ד, 12 מרץ 2024, במעמד הצדדים. </w:t>
      </w:r>
      <w:bookmarkEnd w:id="8"/>
      <w:r w:rsidR="00E4472B">
        <w:rPr>
          <w:rFonts w:ascii="Arial" w:hAnsi="Arial"/>
          <w:b/>
          <w:bCs/>
          <w:sz w:val="26"/>
          <w:szCs w:val="26"/>
          <w:rtl/>
        </w:rPr>
        <w:tab/>
      </w:r>
      <w:r w:rsidR="00E4472B">
        <w:rPr>
          <w:rFonts w:ascii="Arial" w:hAnsi="Arial"/>
          <w:b/>
          <w:bCs/>
          <w:sz w:val="26"/>
          <w:szCs w:val="26"/>
          <w:rtl/>
        </w:rPr>
        <w:tab/>
      </w:r>
      <w:r w:rsidR="00E4472B">
        <w:rPr>
          <w:rFonts w:ascii="Arial" w:hAnsi="Arial"/>
          <w:b/>
          <w:bCs/>
          <w:sz w:val="26"/>
          <w:szCs w:val="26"/>
          <w:rtl/>
        </w:rPr>
        <w:tab/>
      </w:r>
      <w:r w:rsidR="00E4472B">
        <w:rPr>
          <w:rFonts w:ascii="Arial" w:hAnsi="Arial"/>
          <w:b/>
          <w:bCs/>
          <w:sz w:val="26"/>
          <w:szCs w:val="26"/>
          <w:rtl/>
        </w:rPr>
        <w:tab/>
      </w:r>
      <w:r w:rsidR="00E4472B">
        <w:rPr>
          <w:rFonts w:ascii="Arial" w:hAnsi="Arial"/>
          <w:b/>
          <w:bCs/>
          <w:sz w:val="26"/>
          <w:szCs w:val="26"/>
          <w:rtl/>
        </w:rPr>
        <w:tab/>
      </w:r>
      <w:r w:rsidR="00E4472B">
        <w:rPr>
          <w:rFonts w:ascii="Arial" w:hAnsi="Arial"/>
          <w:b/>
          <w:bCs/>
          <w:sz w:val="26"/>
          <w:szCs w:val="26"/>
          <w:rtl/>
        </w:rPr>
        <w:tab/>
      </w:r>
      <w:r w:rsidR="00E4472B">
        <w:rPr>
          <w:rFonts w:ascii="Arial" w:hAnsi="Arial"/>
          <w:b/>
          <w:bCs/>
          <w:sz w:val="26"/>
          <w:szCs w:val="26"/>
          <w:rtl/>
        </w:rPr>
        <w:tab/>
      </w:r>
      <w:r w:rsidR="00E4472B">
        <w:rPr>
          <w:rFonts w:ascii="Arial" w:hAnsi="Arial" w:hint="cs"/>
          <w:b/>
          <w:bCs/>
          <w:sz w:val="26"/>
          <w:szCs w:val="26"/>
          <w:rtl/>
        </w:rPr>
        <w:t xml:space="preserve">         </w:t>
      </w:r>
    </w:p>
    <w:p w14:paraId="11D57B45" w14:textId="77777777" w:rsidR="00E4472B" w:rsidRPr="000F2247" w:rsidRDefault="00E4472B" w:rsidP="00F32BC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5E6D2B8" w14:textId="77777777" w:rsidR="00E4472B" w:rsidRPr="00172719" w:rsidRDefault="00172719" w:rsidP="00E4472B">
      <w:pPr>
        <w:jc w:val="center"/>
        <w:rPr>
          <w:rFonts w:ascii="Arial" w:hAnsi="Arial"/>
          <w:b/>
          <w:bCs/>
          <w:color w:val="FFFFFF"/>
          <w:sz w:val="2"/>
          <w:szCs w:val="2"/>
          <w:rtl/>
        </w:rPr>
      </w:pPr>
      <w:r w:rsidRPr="00172719">
        <w:rPr>
          <w:rFonts w:ascii="Arial" w:hAnsi="Arial"/>
          <w:b/>
          <w:bCs/>
          <w:color w:val="FFFFFF"/>
          <w:sz w:val="2"/>
          <w:szCs w:val="2"/>
          <w:rtl/>
        </w:rPr>
        <w:t>5129371</w:t>
      </w:r>
    </w:p>
    <w:p w14:paraId="432EAFB7" w14:textId="77777777" w:rsidR="00F32BC6" w:rsidRDefault="00F32BC6" w:rsidP="00F32BC6">
      <w:pPr>
        <w:rPr>
          <w:rtl/>
        </w:rPr>
      </w:pPr>
    </w:p>
    <w:p w14:paraId="7117D545" w14:textId="77777777" w:rsidR="00F32BC6" w:rsidRDefault="00F32BC6" w:rsidP="00F32BC6">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3A5DB772" w14:textId="77777777" w:rsidR="00172719" w:rsidRPr="00172719" w:rsidRDefault="00172719" w:rsidP="00172719">
      <w:pPr>
        <w:keepNext/>
        <w:rPr>
          <w:rFonts w:ascii="David" w:hAnsi="David"/>
          <w:color w:val="000000"/>
          <w:sz w:val="22"/>
          <w:szCs w:val="22"/>
          <w:rtl/>
        </w:rPr>
      </w:pPr>
    </w:p>
    <w:p w14:paraId="38536229" w14:textId="77777777" w:rsidR="00172719" w:rsidRPr="00172719" w:rsidRDefault="00172719" w:rsidP="00172719">
      <w:pPr>
        <w:keepNext/>
        <w:rPr>
          <w:rFonts w:ascii="David" w:hAnsi="David"/>
          <w:color w:val="000000"/>
          <w:sz w:val="22"/>
          <w:szCs w:val="22"/>
          <w:rtl/>
        </w:rPr>
      </w:pPr>
      <w:r w:rsidRPr="00172719">
        <w:rPr>
          <w:rFonts w:ascii="David" w:hAnsi="David"/>
          <w:color w:val="000000"/>
          <w:sz w:val="22"/>
          <w:szCs w:val="22"/>
          <w:rtl/>
        </w:rPr>
        <w:t>עלאא מסארווה 54678313-/</w:t>
      </w:r>
    </w:p>
    <w:p w14:paraId="71E99F40" w14:textId="77777777" w:rsidR="00F32BC6" w:rsidRPr="00F32BC6" w:rsidRDefault="00172719" w:rsidP="00172719">
      <w:pPr>
        <w:rPr>
          <w:color w:val="0000FF"/>
          <w:u w:val="single"/>
        </w:rPr>
      </w:pPr>
      <w:r w:rsidRPr="00172719">
        <w:rPr>
          <w:color w:val="000000"/>
          <w:u w:val="single"/>
          <w:rtl/>
        </w:rPr>
        <w:t>נוסח מסמך זה כפוף לשינויי ניסוח ועריכה</w:t>
      </w:r>
    </w:p>
    <w:sectPr w:rsidR="00F32BC6" w:rsidRPr="00F32BC6" w:rsidSect="00172719">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5D76A" w14:textId="77777777" w:rsidR="00663B6F" w:rsidRDefault="00663B6F" w:rsidP="00EC68D0">
      <w:r>
        <w:separator/>
      </w:r>
    </w:p>
  </w:endnote>
  <w:endnote w:type="continuationSeparator" w:id="0">
    <w:p w14:paraId="4AD54B39" w14:textId="77777777" w:rsidR="00663B6F" w:rsidRDefault="00663B6F" w:rsidP="00EC6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974B" w14:textId="77777777" w:rsidR="00172719" w:rsidRDefault="00172719" w:rsidP="0017271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C8C3DB" w14:textId="77777777" w:rsidR="005C26A8" w:rsidRPr="00172719" w:rsidRDefault="00172719" w:rsidP="00172719">
    <w:pPr>
      <w:pStyle w:val="a5"/>
      <w:pBdr>
        <w:top w:val="single" w:sz="4" w:space="1" w:color="auto"/>
        <w:between w:val="single" w:sz="4" w:space="0" w:color="auto"/>
      </w:pBdr>
      <w:spacing w:after="60"/>
      <w:jc w:val="center"/>
      <w:rPr>
        <w:rFonts w:ascii="FrankRuehl" w:hAnsi="FrankRuehl" w:cs="FrankRuehl"/>
        <w:color w:val="000000"/>
      </w:rPr>
    </w:pPr>
    <w:r w:rsidRPr="001727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9A79B" w14:textId="77777777" w:rsidR="00172719" w:rsidRDefault="00172719" w:rsidP="0017271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2A1E">
      <w:rPr>
        <w:rFonts w:ascii="FrankRuehl" w:hAnsi="FrankRuehl" w:cs="FrankRuehl"/>
        <w:noProof/>
        <w:rtl/>
      </w:rPr>
      <w:t>1</w:t>
    </w:r>
    <w:r>
      <w:rPr>
        <w:rFonts w:ascii="FrankRuehl" w:hAnsi="FrankRuehl" w:cs="FrankRuehl"/>
        <w:rtl/>
      </w:rPr>
      <w:fldChar w:fldCharType="end"/>
    </w:r>
  </w:p>
  <w:p w14:paraId="626FD8EC" w14:textId="77777777" w:rsidR="005C26A8" w:rsidRPr="00172719" w:rsidRDefault="00172719" w:rsidP="00172719">
    <w:pPr>
      <w:pStyle w:val="a5"/>
      <w:pBdr>
        <w:top w:val="single" w:sz="4" w:space="1" w:color="auto"/>
        <w:between w:val="single" w:sz="4" w:space="0" w:color="auto"/>
      </w:pBdr>
      <w:spacing w:after="60"/>
      <w:jc w:val="center"/>
      <w:rPr>
        <w:rFonts w:ascii="FrankRuehl" w:hAnsi="FrankRuehl" w:cs="FrankRuehl"/>
        <w:color w:val="000000"/>
      </w:rPr>
    </w:pPr>
    <w:r w:rsidRPr="00172719">
      <w:rPr>
        <w:rFonts w:ascii="FrankRuehl" w:hAnsi="FrankRuehl" w:cs="FrankRuehl"/>
        <w:color w:val="000000"/>
      </w:rPr>
      <w:pict w14:anchorId="528F6D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2410B" w14:textId="77777777" w:rsidR="00663B6F" w:rsidRDefault="00663B6F" w:rsidP="00EC68D0">
      <w:r>
        <w:separator/>
      </w:r>
    </w:p>
  </w:footnote>
  <w:footnote w:type="continuationSeparator" w:id="0">
    <w:p w14:paraId="60ED3F2C" w14:textId="77777777" w:rsidR="00663B6F" w:rsidRDefault="00663B6F" w:rsidP="00EC6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D8947" w14:textId="77777777" w:rsidR="00F32BC6" w:rsidRPr="00172719" w:rsidRDefault="00172719" w:rsidP="0017271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27553-06-22</w:t>
    </w:r>
    <w:r>
      <w:rPr>
        <w:rFonts w:ascii="David" w:hAnsi="David"/>
        <w:color w:val="000000"/>
        <w:sz w:val="22"/>
        <w:szCs w:val="22"/>
        <w:rtl/>
      </w:rPr>
      <w:tab/>
      <w:t xml:space="preserve"> מדינת ישראל נ' דוד עזר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F465D" w14:textId="77777777" w:rsidR="00F32BC6" w:rsidRPr="00172719" w:rsidRDefault="00172719" w:rsidP="0017271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27553-06-22</w:t>
    </w:r>
    <w:r>
      <w:rPr>
        <w:rFonts w:ascii="David" w:hAnsi="David"/>
        <w:color w:val="000000"/>
        <w:sz w:val="22"/>
        <w:szCs w:val="22"/>
        <w:rtl/>
      </w:rPr>
      <w:tab/>
      <w:t xml:space="preserve"> מדינת ישראל נ' דוד עזר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7D6A16BE"/>
    <w:multiLevelType w:val="hybridMultilevel"/>
    <w:tmpl w:val="EEAE09B6"/>
    <w:lvl w:ilvl="0" w:tplc="CF905CF4">
      <w:start w:val="1"/>
      <w:numFmt w:val="decimal"/>
      <w:lvlText w:val="%1."/>
      <w:lvlJc w:val="left"/>
      <w:pPr>
        <w:ind w:left="720" w:hanging="360"/>
      </w:pPr>
    </w:lvl>
    <w:lvl w:ilvl="1" w:tplc="5E763F56">
      <w:start w:val="1"/>
      <w:numFmt w:val="hebrew1"/>
      <w:lvlText w:val="%2."/>
      <w:lvlJc w:val="left"/>
      <w:pPr>
        <w:ind w:left="1440" w:hanging="360"/>
      </w:pPr>
      <w:rPr>
        <w:b/>
        <w:strike w:val="0"/>
        <w:dstrike w:val="0"/>
        <w:u w:val="none"/>
        <w:effect w:val="none"/>
      </w:rPr>
    </w:lvl>
    <w:lvl w:ilvl="2" w:tplc="2D70B0EA">
      <w:start w:val="1"/>
      <w:numFmt w:val="lowerRoman"/>
      <w:lvlText w:val="%3."/>
      <w:lvlJc w:val="right"/>
      <w:pPr>
        <w:ind w:left="2160" w:hanging="180"/>
      </w:pPr>
    </w:lvl>
    <w:lvl w:ilvl="3" w:tplc="89D4277C">
      <w:start w:val="1"/>
      <w:numFmt w:val="decimal"/>
      <w:lvlText w:val="%4."/>
      <w:lvlJc w:val="left"/>
      <w:pPr>
        <w:ind w:left="2880" w:hanging="360"/>
      </w:pPr>
    </w:lvl>
    <w:lvl w:ilvl="4" w:tplc="355EDD8A">
      <w:start w:val="1"/>
      <w:numFmt w:val="lowerLetter"/>
      <w:lvlText w:val="%5."/>
      <w:lvlJc w:val="left"/>
      <w:pPr>
        <w:ind w:left="3600" w:hanging="360"/>
      </w:pPr>
    </w:lvl>
    <w:lvl w:ilvl="5" w:tplc="87925DBC">
      <w:start w:val="1"/>
      <w:numFmt w:val="lowerRoman"/>
      <w:lvlText w:val="%6."/>
      <w:lvlJc w:val="right"/>
      <w:pPr>
        <w:ind w:left="4320" w:hanging="180"/>
      </w:pPr>
    </w:lvl>
    <w:lvl w:ilvl="6" w:tplc="4EF216AA">
      <w:start w:val="1"/>
      <w:numFmt w:val="decimal"/>
      <w:lvlText w:val="%7."/>
      <w:lvlJc w:val="left"/>
      <w:pPr>
        <w:ind w:left="5040" w:hanging="360"/>
      </w:pPr>
    </w:lvl>
    <w:lvl w:ilvl="7" w:tplc="CA3AC000">
      <w:start w:val="1"/>
      <w:numFmt w:val="lowerLetter"/>
      <w:lvlText w:val="%8."/>
      <w:lvlJc w:val="left"/>
      <w:pPr>
        <w:ind w:left="5760" w:hanging="360"/>
      </w:pPr>
    </w:lvl>
    <w:lvl w:ilvl="8" w:tplc="54220128">
      <w:start w:val="1"/>
      <w:numFmt w:val="lowerRoman"/>
      <w:lvlText w:val="%9."/>
      <w:lvlJc w:val="right"/>
      <w:pPr>
        <w:ind w:left="6480" w:hanging="180"/>
      </w:pPr>
    </w:lvl>
  </w:abstractNum>
  <w:num w:numId="1" w16cid:durableId="15082060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727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472B"/>
    <w:rsid w:val="00172719"/>
    <w:rsid w:val="001B5A3B"/>
    <w:rsid w:val="002A2A1E"/>
    <w:rsid w:val="003F1E6E"/>
    <w:rsid w:val="00495660"/>
    <w:rsid w:val="005C26A8"/>
    <w:rsid w:val="00663B6F"/>
    <w:rsid w:val="009334D3"/>
    <w:rsid w:val="00BB188C"/>
    <w:rsid w:val="00BF6634"/>
    <w:rsid w:val="00C01852"/>
    <w:rsid w:val="00E4472B"/>
    <w:rsid w:val="00EC68D0"/>
    <w:rsid w:val="00EE11D1"/>
    <w:rsid w:val="00F32BC6"/>
    <w:rsid w:val="00FC17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B424E4"/>
  <w15:chartTrackingRefBased/>
  <w15:docId w15:val="{802EA7FF-C7F4-4F85-966F-7C027A32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47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472B"/>
    <w:pPr>
      <w:tabs>
        <w:tab w:val="center" w:pos="4153"/>
        <w:tab w:val="right" w:pos="8306"/>
      </w:tabs>
    </w:pPr>
  </w:style>
  <w:style w:type="character" w:customStyle="1" w:styleId="a4">
    <w:name w:val="כותרת עליונה תו"/>
    <w:link w:val="a3"/>
    <w:rsid w:val="00E4472B"/>
    <w:rPr>
      <w:rFonts w:ascii="Times New Roman" w:eastAsia="Times New Roman" w:hAnsi="Times New Roman" w:cs="David"/>
      <w:sz w:val="24"/>
      <w:szCs w:val="24"/>
    </w:rPr>
  </w:style>
  <w:style w:type="paragraph" w:styleId="a5">
    <w:name w:val="footer"/>
    <w:basedOn w:val="a"/>
    <w:link w:val="a6"/>
    <w:rsid w:val="00E4472B"/>
    <w:pPr>
      <w:tabs>
        <w:tab w:val="center" w:pos="4153"/>
        <w:tab w:val="right" w:pos="8306"/>
      </w:tabs>
    </w:pPr>
  </w:style>
  <w:style w:type="character" w:customStyle="1" w:styleId="a6">
    <w:name w:val="כותרת תחתונה תו"/>
    <w:link w:val="a5"/>
    <w:rsid w:val="00E4472B"/>
    <w:rPr>
      <w:rFonts w:ascii="Times New Roman" w:eastAsia="Times New Roman" w:hAnsi="Times New Roman" w:cs="David"/>
      <w:sz w:val="24"/>
      <w:szCs w:val="24"/>
    </w:rPr>
  </w:style>
  <w:style w:type="table" w:styleId="a7">
    <w:name w:val="Table Grid"/>
    <w:basedOn w:val="a1"/>
    <w:rsid w:val="00E447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472B"/>
  </w:style>
  <w:style w:type="character" w:styleId="Hyperlink">
    <w:name w:val="Hyperlink"/>
    <w:rsid w:val="00F32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eca.gov.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6734</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7864368</vt:i4>
      </vt:variant>
      <vt:variant>
        <vt:i4>27</vt:i4>
      </vt:variant>
      <vt:variant>
        <vt:i4>0</vt:i4>
      </vt:variant>
      <vt:variant>
        <vt:i4>5</vt:i4>
      </vt:variant>
      <vt:variant>
        <vt:lpwstr>http://www.eca.gov.il/</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2025-04-23T01:29:00Z</dcterms:created>
  <dcterms:modified xsi:type="dcterms:W3CDTF">2025-04-23T01:29:00Z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27553</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עזר</vt:lpwstr>
  </property>
  <property fmtid="{D5CDD505-2E9C-101B-9397-08002B2CF9AE}" pid="10" name="LAWYER">
    <vt:lpwstr>חגית רחמני</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20240312</vt:lpwstr>
  </property>
  <property fmtid="{D5CDD505-2E9C-101B-9397-08002B2CF9AE}" pid="14" name="TYPE_N_DATE">
    <vt:lpwstr>38020240312</vt:lpwstr>
  </property>
  <property fmtid="{D5CDD505-2E9C-101B-9397-08002B2CF9AE}" pid="15" name="WORDNUMPAGES">
    <vt:lpwstr>4</vt:lpwstr>
  </property>
  <property fmtid="{D5CDD505-2E9C-101B-9397-08002B2CF9AE}" pid="16" name="TYPE_ABS_DATE">
    <vt:lpwstr>380020240312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4216/007.a;007.c;013</vt:lpwstr>
  </property>
  <property fmtid="{D5CDD505-2E9C-101B-9397-08002B2CF9AE}" pid="36" name="LAWLISTTMP2">
    <vt:lpwstr>70301</vt:lpwstr>
  </property>
</Properties>
</file>