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22A74" w:rsidRPr="00964977" w14:paraId="5CD4DAAE" w14:textId="77777777" w:rsidTr="003212C5">
        <w:trPr>
          <w:trHeight w:hRule="exact" w:val="418"/>
          <w:jc w:val="center"/>
        </w:trPr>
        <w:tc>
          <w:tcPr>
            <w:tcW w:w="8721" w:type="dxa"/>
            <w:gridSpan w:val="2"/>
          </w:tcPr>
          <w:p w14:paraId="5555EF94" w14:textId="77777777" w:rsidR="00E22A74" w:rsidRPr="00964977" w:rsidRDefault="00E22A74" w:rsidP="0038545E">
            <w:pPr>
              <w:pStyle w:val="a4"/>
              <w:jc w:val="center"/>
              <w:rPr>
                <w:rFonts w:ascii="Tahoma" w:hAnsi="Tahoma" w:cs="Tahoma"/>
                <w:color w:val="000080"/>
                <w:rtl/>
              </w:rPr>
            </w:pPr>
            <w:r w:rsidRPr="00964977">
              <w:rPr>
                <w:rFonts w:ascii="Tahoma" w:hAnsi="Tahoma" w:cs="Tahoma"/>
                <w:b/>
                <w:bCs/>
                <w:color w:val="000080"/>
                <w:rtl/>
              </w:rPr>
              <w:t>בית משפט השלום בבאר שבע</w:t>
            </w:r>
          </w:p>
        </w:tc>
      </w:tr>
      <w:tr w:rsidR="00E22A74" w:rsidRPr="00964977" w14:paraId="3D95BB6D" w14:textId="77777777" w:rsidTr="003212C5">
        <w:trPr>
          <w:trHeight w:val="337"/>
          <w:jc w:val="center"/>
        </w:trPr>
        <w:tc>
          <w:tcPr>
            <w:tcW w:w="5055" w:type="dxa"/>
          </w:tcPr>
          <w:p w14:paraId="6CD61DD9" w14:textId="77777777" w:rsidR="00E22A74" w:rsidRPr="00964977" w:rsidRDefault="00E22A74" w:rsidP="0038545E">
            <w:pPr>
              <w:rPr>
                <w:rFonts w:cs="FrankRuehl"/>
                <w:sz w:val="28"/>
                <w:szCs w:val="28"/>
                <w:rtl/>
              </w:rPr>
            </w:pPr>
            <w:r w:rsidRPr="00964977">
              <w:rPr>
                <w:rFonts w:cs="FrankRuehl"/>
                <w:sz w:val="28"/>
                <w:szCs w:val="28"/>
                <w:rtl/>
              </w:rPr>
              <w:t>ת"פ</w:t>
            </w:r>
            <w:r w:rsidRPr="00964977">
              <w:rPr>
                <w:rFonts w:cs="FrankRuehl" w:hint="cs"/>
                <w:sz w:val="28"/>
                <w:szCs w:val="28"/>
                <w:rtl/>
              </w:rPr>
              <w:t xml:space="preserve"> </w:t>
            </w:r>
            <w:r w:rsidRPr="00964977">
              <w:rPr>
                <w:rFonts w:cs="FrankRuehl"/>
                <w:sz w:val="28"/>
                <w:szCs w:val="28"/>
                <w:rtl/>
              </w:rPr>
              <w:t>34824-06-22</w:t>
            </w:r>
            <w:r w:rsidRPr="00964977">
              <w:rPr>
                <w:rFonts w:cs="FrankRuehl" w:hint="cs"/>
                <w:sz w:val="28"/>
                <w:szCs w:val="28"/>
                <w:rtl/>
              </w:rPr>
              <w:t xml:space="preserve"> </w:t>
            </w:r>
            <w:r w:rsidRPr="00964977">
              <w:rPr>
                <w:rFonts w:cs="FrankRuehl"/>
                <w:sz w:val="28"/>
                <w:szCs w:val="28"/>
                <w:rtl/>
              </w:rPr>
              <w:t>מדינת ישראל נ' עתאיקה</w:t>
            </w:r>
          </w:p>
          <w:p w14:paraId="6D440976" w14:textId="77777777" w:rsidR="00E22A74" w:rsidRPr="00964977" w:rsidRDefault="00E22A74" w:rsidP="0038545E">
            <w:pPr>
              <w:pStyle w:val="a4"/>
              <w:rPr>
                <w:rFonts w:cs="FrankRuehl"/>
                <w:sz w:val="28"/>
                <w:szCs w:val="28"/>
                <w:rtl/>
              </w:rPr>
            </w:pPr>
          </w:p>
        </w:tc>
        <w:tc>
          <w:tcPr>
            <w:tcW w:w="3666" w:type="dxa"/>
          </w:tcPr>
          <w:p w14:paraId="662BE8FA" w14:textId="77777777" w:rsidR="00E22A74" w:rsidRPr="00964977" w:rsidRDefault="00E22A74" w:rsidP="0038545E">
            <w:pPr>
              <w:pStyle w:val="a4"/>
              <w:jc w:val="right"/>
              <w:rPr>
                <w:rFonts w:cs="FrankRuehl"/>
                <w:sz w:val="28"/>
                <w:szCs w:val="28"/>
                <w:rtl/>
              </w:rPr>
            </w:pPr>
          </w:p>
        </w:tc>
      </w:tr>
    </w:tbl>
    <w:p w14:paraId="3444210F" w14:textId="77777777" w:rsidR="00E22A74" w:rsidRPr="00964977" w:rsidRDefault="00E22A74" w:rsidP="00E22A74">
      <w:pPr>
        <w:pStyle w:val="a4"/>
        <w:rPr>
          <w:rtl/>
        </w:rPr>
      </w:pPr>
      <w:r w:rsidRPr="00964977">
        <w:rPr>
          <w:rFonts w:hint="cs"/>
          <w:rtl/>
        </w:rPr>
        <w:t xml:space="preserve"> </w:t>
      </w:r>
    </w:p>
    <w:p w14:paraId="34B51BD5" w14:textId="77777777" w:rsidR="00E22A74" w:rsidRPr="00964977" w:rsidRDefault="00E22A74" w:rsidP="00E22A74">
      <w:pPr>
        <w:rPr>
          <w:rtl/>
        </w:rPr>
      </w:pPr>
    </w:p>
    <w:p w14:paraId="22F99CFD" w14:textId="77777777" w:rsidR="00E22A74" w:rsidRPr="00964977" w:rsidRDefault="00E22A74" w:rsidP="00E22A7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22A74" w:rsidRPr="00964977" w14:paraId="140FE0E8" w14:textId="77777777" w:rsidTr="00E22A74">
        <w:trPr>
          <w:trHeight w:val="295"/>
          <w:jc w:val="center"/>
        </w:trPr>
        <w:tc>
          <w:tcPr>
            <w:tcW w:w="923" w:type="dxa"/>
            <w:tcBorders>
              <w:top w:val="nil"/>
              <w:left w:val="nil"/>
              <w:bottom w:val="nil"/>
              <w:right w:val="nil"/>
            </w:tcBorders>
            <w:shd w:val="clear" w:color="auto" w:fill="auto"/>
          </w:tcPr>
          <w:p w14:paraId="5D084AE2" w14:textId="77777777" w:rsidR="00E22A74" w:rsidRPr="00964977" w:rsidRDefault="00E22A74" w:rsidP="00E22A74">
            <w:pPr>
              <w:jc w:val="both"/>
              <w:rPr>
                <w:rFonts w:ascii="David" w:hAnsi="David"/>
                <w:sz w:val="26"/>
                <w:szCs w:val="26"/>
              </w:rPr>
            </w:pPr>
            <w:r w:rsidRPr="0096497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22DAA0D" w14:textId="77777777" w:rsidR="00E22A74" w:rsidRPr="00964977" w:rsidRDefault="00E22A74" w:rsidP="0038545E">
            <w:pPr>
              <w:rPr>
                <w:rFonts w:ascii="David" w:hAnsi="David"/>
                <w:b/>
                <w:bCs/>
                <w:sz w:val="26"/>
                <w:szCs w:val="26"/>
                <w:rtl/>
              </w:rPr>
            </w:pPr>
            <w:r w:rsidRPr="00964977">
              <w:rPr>
                <w:rFonts w:ascii="David" w:hAnsi="David"/>
                <w:b/>
                <w:bCs/>
                <w:sz w:val="26"/>
                <w:szCs w:val="26"/>
                <w:rtl/>
              </w:rPr>
              <w:t>כבוד השופט, סגן הנשיא  אבישי כהן</w:t>
            </w:r>
          </w:p>
          <w:p w14:paraId="4CE1886B" w14:textId="77777777" w:rsidR="00E22A74" w:rsidRPr="00964977" w:rsidRDefault="00E22A74" w:rsidP="0038545E">
            <w:pPr>
              <w:rPr>
                <w:rFonts w:ascii="David" w:hAnsi="David"/>
                <w:sz w:val="26"/>
                <w:szCs w:val="26"/>
                <w:rtl/>
              </w:rPr>
            </w:pPr>
          </w:p>
          <w:p w14:paraId="033B4698" w14:textId="77777777" w:rsidR="00E22A74" w:rsidRPr="00964977" w:rsidRDefault="00E22A74" w:rsidP="00E22A74">
            <w:pPr>
              <w:jc w:val="both"/>
              <w:rPr>
                <w:rFonts w:ascii="David" w:hAnsi="David"/>
                <w:sz w:val="26"/>
                <w:szCs w:val="26"/>
              </w:rPr>
            </w:pPr>
          </w:p>
        </w:tc>
      </w:tr>
      <w:tr w:rsidR="00E22A74" w:rsidRPr="00964977" w14:paraId="3D655797" w14:textId="77777777" w:rsidTr="00E22A74">
        <w:trPr>
          <w:trHeight w:val="355"/>
          <w:jc w:val="center"/>
        </w:trPr>
        <w:tc>
          <w:tcPr>
            <w:tcW w:w="923" w:type="dxa"/>
            <w:tcBorders>
              <w:top w:val="nil"/>
              <w:left w:val="nil"/>
              <w:bottom w:val="nil"/>
              <w:right w:val="nil"/>
            </w:tcBorders>
            <w:shd w:val="clear" w:color="auto" w:fill="auto"/>
          </w:tcPr>
          <w:p w14:paraId="4033D3CA" w14:textId="77777777" w:rsidR="00E22A74" w:rsidRPr="00964977" w:rsidRDefault="00E22A74" w:rsidP="00E22A74">
            <w:pPr>
              <w:jc w:val="both"/>
              <w:rPr>
                <w:rFonts w:ascii="David" w:hAnsi="David"/>
                <w:sz w:val="26"/>
                <w:szCs w:val="26"/>
              </w:rPr>
            </w:pPr>
            <w:bookmarkStart w:id="0" w:name="FirstAppellant"/>
            <w:bookmarkStart w:id="1" w:name="FirstLawyer"/>
            <w:bookmarkStart w:id="2" w:name="LastJudge"/>
            <w:bookmarkEnd w:id="2"/>
            <w:r w:rsidRPr="00964977">
              <w:rPr>
                <w:rFonts w:ascii="David" w:hAnsi="David"/>
                <w:sz w:val="26"/>
                <w:szCs w:val="26"/>
                <w:rtl/>
              </w:rPr>
              <w:t>בעניין:</w:t>
            </w:r>
          </w:p>
        </w:tc>
        <w:tc>
          <w:tcPr>
            <w:tcW w:w="3219" w:type="dxa"/>
            <w:tcBorders>
              <w:top w:val="nil"/>
              <w:left w:val="nil"/>
              <w:bottom w:val="nil"/>
              <w:right w:val="nil"/>
            </w:tcBorders>
            <w:shd w:val="clear" w:color="auto" w:fill="auto"/>
          </w:tcPr>
          <w:p w14:paraId="1F50BD02" w14:textId="77777777" w:rsidR="00E22A74" w:rsidRPr="00964977" w:rsidRDefault="00E22A74" w:rsidP="00E22A74">
            <w:pPr>
              <w:suppressLineNumbers/>
            </w:pPr>
            <w:r w:rsidRPr="00964977">
              <w:rPr>
                <w:rFonts w:ascii="Arial" w:hAnsi="Arial" w:hint="cs"/>
                <w:b/>
                <w:bCs/>
                <w:sz w:val="26"/>
                <w:szCs w:val="26"/>
                <w:rtl/>
              </w:rPr>
              <w:t>ה</w:t>
            </w:r>
            <w:r w:rsidRPr="00964977">
              <w:rPr>
                <w:rFonts w:ascii="Arial" w:hAnsi="Arial"/>
                <w:b/>
                <w:bCs/>
                <w:sz w:val="26"/>
                <w:szCs w:val="26"/>
                <w:rtl/>
              </w:rPr>
              <w:t>מאשימה</w:t>
            </w:r>
          </w:p>
          <w:p w14:paraId="776FBA48" w14:textId="77777777" w:rsidR="00E22A74" w:rsidRPr="00964977" w:rsidRDefault="00E22A74" w:rsidP="0038545E">
            <w:pPr>
              <w:rPr>
                <w:rFonts w:ascii="David" w:hAnsi="David"/>
                <w:sz w:val="26"/>
                <w:szCs w:val="26"/>
              </w:rPr>
            </w:pPr>
          </w:p>
        </w:tc>
        <w:tc>
          <w:tcPr>
            <w:tcW w:w="4678" w:type="dxa"/>
            <w:tcBorders>
              <w:top w:val="nil"/>
              <w:left w:val="nil"/>
              <w:bottom w:val="nil"/>
              <w:right w:val="nil"/>
            </w:tcBorders>
            <w:shd w:val="clear" w:color="auto" w:fill="auto"/>
            <w:vAlign w:val="center"/>
          </w:tcPr>
          <w:p w14:paraId="144A6414" w14:textId="77777777" w:rsidR="00E22A74" w:rsidRPr="00964977" w:rsidRDefault="00E22A74" w:rsidP="00E22A74">
            <w:pPr>
              <w:suppressLineNumbers/>
              <w:rPr>
                <w:rFonts w:ascii="Arial" w:hAnsi="Arial"/>
                <w:b/>
                <w:bCs/>
                <w:sz w:val="26"/>
                <w:szCs w:val="26"/>
                <w:rtl/>
              </w:rPr>
            </w:pPr>
            <w:r w:rsidRPr="00964977">
              <w:rPr>
                <w:rFonts w:ascii="Arial" w:hAnsi="Arial"/>
                <w:b/>
                <w:bCs/>
                <w:sz w:val="26"/>
                <w:szCs w:val="26"/>
                <w:rtl/>
              </w:rPr>
              <w:t>מדינת ישראל</w:t>
            </w:r>
            <w:r w:rsidRPr="00964977">
              <w:rPr>
                <w:rFonts w:ascii="Arial" w:hAnsi="Arial" w:hint="cs"/>
                <w:b/>
                <w:bCs/>
                <w:sz w:val="26"/>
                <w:szCs w:val="26"/>
                <w:rtl/>
              </w:rPr>
              <w:t xml:space="preserve"> </w:t>
            </w:r>
          </w:p>
          <w:p w14:paraId="04EE19ED" w14:textId="77777777" w:rsidR="00E22A74" w:rsidRPr="00964977" w:rsidRDefault="00E22A74" w:rsidP="00E22A74">
            <w:pPr>
              <w:suppressLineNumbers/>
            </w:pPr>
            <w:r w:rsidRPr="00964977">
              <w:rPr>
                <w:rFonts w:ascii="Arial" w:hAnsi="Arial"/>
                <w:b/>
                <w:bCs/>
                <w:sz w:val="26"/>
                <w:szCs w:val="26"/>
                <w:rtl/>
              </w:rPr>
              <w:t>ע"י ב"כ עוה"ד</w:t>
            </w:r>
            <w:r w:rsidRPr="00964977">
              <w:rPr>
                <w:rFonts w:ascii="Arial" w:hAnsi="Arial" w:hint="cs"/>
                <w:b/>
                <w:bCs/>
                <w:sz w:val="26"/>
                <w:szCs w:val="26"/>
                <w:rtl/>
              </w:rPr>
              <w:t xml:space="preserve"> כרמית כהן</w:t>
            </w:r>
          </w:p>
        </w:tc>
      </w:tr>
      <w:bookmarkEnd w:id="0"/>
      <w:bookmarkEnd w:id="1"/>
      <w:tr w:rsidR="00E22A74" w:rsidRPr="00964977" w14:paraId="0A023858" w14:textId="77777777" w:rsidTr="00E22A74">
        <w:trPr>
          <w:trHeight w:val="355"/>
          <w:jc w:val="center"/>
        </w:trPr>
        <w:tc>
          <w:tcPr>
            <w:tcW w:w="923" w:type="dxa"/>
            <w:tcBorders>
              <w:top w:val="nil"/>
              <w:left w:val="nil"/>
              <w:bottom w:val="nil"/>
              <w:right w:val="nil"/>
            </w:tcBorders>
            <w:shd w:val="clear" w:color="auto" w:fill="auto"/>
          </w:tcPr>
          <w:p w14:paraId="73DE020F" w14:textId="77777777" w:rsidR="00E22A74" w:rsidRPr="00964977" w:rsidRDefault="00E22A74" w:rsidP="00E22A7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7020139" w14:textId="77777777" w:rsidR="00E22A74" w:rsidRPr="00964977" w:rsidRDefault="00E22A74" w:rsidP="00E22A74">
            <w:pPr>
              <w:jc w:val="center"/>
              <w:rPr>
                <w:rFonts w:ascii="David" w:hAnsi="David"/>
                <w:b/>
                <w:bCs/>
                <w:sz w:val="26"/>
                <w:szCs w:val="26"/>
                <w:rtl/>
              </w:rPr>
            </w:pPr>
          </w:p>
          <w:p w14:paraId="12F5A048" w14:textId="77777777" w:rsidR="00E22A74" w:rsidRPr="00964977" w:rsidRDefault="00E22A74" w:rsidP="00E22A74">
            <w:pPr>
              <w:jc w:val="center"/>
              <w:rPr>
                <w:rFonts w:ascii="David" w:hAnsi="David"/>
                <w:b/>
                <w:bCs/>
                <w:sz w:val="26"/>
                <w:szCs w:val="26"/>
                <w:rtl/>
              </w:rPr>
            </w:pPr>
            <w:r w:rsidRPr="00964977">
              <w:rPr>
                <w:rFonts w:ascii="David" w:hAnsi="David"/>
                <w:b/>
                <w:bCs/>
                <w:sz w:val="26"/>
                <w:szCs w:val="26"/>
                <w:rtl/>
              </w:rPr>
              <w:t>נגד</w:t>
            </w:r>
          </w:p>
          <w:p w14:paraId="7412A2F3" w14:textId="77777777" w:rsidR="00E22A74" w:rsidRPr="00964977" w:rsidRDefault="00E22A74" w:rsidP="00E22A74">
            <w:pPr>
              <w:jc w:val="both"/>
              <w:rPr>
                <w:rFonts w:ascii="David" w:hAnsi="David"/>
                <w:sz w:val="26"/>
                <w:szCs w:val="26"/>
              </w:rPr>
            </w:pPr>
          </w:p>
        </w:tc>
      </w:tr>
      <w:tr w:rsidR="00E22A74" w:rsidRPr="00964977" w14:paraId="48442F67" w14:textId="77777777" w:rsidTr="00E22A74">
        <w:trPr>
          <w:trHeight w:val="355"/>
          <w:jc w:val="center"/>
        </w:trPr>
        <w:tc>
          <w:tcPr>
            <w:tcW w:w="923" w:type="dxa"/>
            <w:tcBorders>
              <w:top w:val="nil"/>
              <w:left w:val="nil"/>
              <w:bottom w:val="nil"/>
              <w:right w:val="nil"/>
            </w:tcBorders>
            <w:shd w:val="clear" w:color="auto" w:fill="auto"/>
          </w:tcPr>
          <w:p w14:paraId="12384962" w14:textId="77777777" w:rsidR="00E22A74" w:rsidRPr="00964977" w:rsidRDefault="00E22A74" w:rsidP="0038545E">
            <w:pPr>
              <w:rPr>
                <w:rFonts w:ascii="David" w:hAnsi="David"/>
                <w:sz w:val="26"/>
                <w:szCs w:val="26"/>
                <w:rtl/>
              </w:rPr>
            </w:pPr>
          </w:p>
        </w:tc>
        <w:tc>
          <w:tcPr>
            <w:tcW w:w="3219" w:type="dxa"/>
            <w:tcBorders>
              <w:top w:val="nil"/>
              <w:left w:val="nil"/>
              <w:bottom w:val="nil"/>
              <w:right w:val="nil"/>
            </w:tcBorders>
            <w:shd w:val="clear" w:color="auto" w:fill="auto"/>
          </w:tcPr>
          <w:p w14:paraId="1463FE09" w14:textId="77777777" w:rsidR="00E22A74" w:rsidRPr="00964977" w:rsidRDefault="00E22A74" w:rsidP="0038545E">
            <w:pPr>
              <w:rPr>
                <w:rFonts w:ascii="Arial" w:hAnsi="Arial"/>
                <w:b/>
                <w:bCs/>
                <w:sz w:val="26"/>
                <w:szCs w:val="26"/>
                <w:rtl/>
              </w:rPr>
            </w:pPr>
            <w:r w:rsidRPr="0096497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B15530B" w14:textId="77777777" w:rsidR="00E22A74" w:rsidRPr="00964977" w:rsidRDefault="00E22A74" w:rsidP="00E22A74">
            <w:pPr>
              <w:suppressLineNumbers/>
              <w:rPr>
                <w:rFonts w:ascii="Arial" w:hAnsi="Arial"/>
                <w:b/>
                <w:bCs/>
                <w:sz w:val="26"/>
                <w:szCs w:val="26"/>
                <w:rtl/>
              </w:rPr>
            </w:pPr>
            <w:r w:rsidRPr="00964977">
              <w:rPr>
                <w:rFonts w:ascii="Arial" w:hAnsi="Arial"/>
                <w:b/>
                <w:bCs/>
                <w:sz w:val="26"/>
                <w:szCs w:val="26"/>
                <w:rtl/>
              </w:rPr>
              <w:t xml:space="preserve">עיסא עתאיקה – בעצמו </w:t>
            </w:r>
          </w:p>
          <w:p w14:paraId="5C1FBA8A" w14:textId="77777777" w:rsidR="00E22A74" w:rsidRPr="00964977" w:rsidRDefault="00E22A74" w:rsidP="00E22A74">
            <w:pPr>
              <w:suppressLineNumbers/>
            </w:pPr>
            <w:r w:rsidRPr="00964977">
              <w:rPr>
                <w:rFonts w:ascii="Arial" w:hAnsi="Arial"/>
                <w:b/>
                <w:bCs/>
                <w:sz w:val="26"/>
                <w:szCs w:val="26"/>
                <w:rtl/>
              </w:rPr>
              <w:t>ע"י ב"כ עוה"ד</w:t>
            </w:r>
            <w:r w:rsidRPr="00964977">
              <w:rPr>
                <w:rFonts w:ascii="Arial" w:hAnsi="Arial" w:hint="cs"/>
                <w:b/>
                <w:bCs/>
                <w:sz w:val="26"/>
                <w:szCs w:val="26"/>
                <w:rtl/>
              </w:rPr>
              <w:t xml:space="preserve"> ויקטור אוזן</w:t>
            </w:r>
          </w:p>
        </w:tc>
      </w:tr>
    </w:tbl>
    <w:p w14:paraId="7ADB5223" w14:textId="77777777" w:rsidR="00FD7AAE" w:rsidRPr="00FD7AAE" w:rsidRDefault="00FD7AAE" w:rsidP="00FD7AAE">
      <w:pPr>
        <w:spacing w:before="120" w:after="120" w:line="240" w:lineRule="exact"/>
        <w:ind w:left="283" w:hanging="283"/>
        <w:jc w:val="both"/>
        <w:rPr>
          <w:rFonts w:ascii="FrankRuehl" w:hAnsi="FrankRuehl" w:cs="FrankRuehl"/>
          <w:rtl/>
        </w:rPr>
      </w:pPr>
    </w:p>
    <w:p w14:paraId="4AEB131B" w14:textId="77777777" w:rsidR="00027214" w:rsidRDefault="00027214" w:rsidP="00027214">
      <w:pPr>
        <w:jc w:val="center"/>
        <w:rPr>
          <w:rFonts w:ascii="David" w:hAnsi="David"/>
          <w:sz w:val="32"/>
          <w:szCs w:val="32"/>
          <w:rtl/>
        </w:rPr>
      </w:pPr>
      <w:bookmarkStart w:id="3" w:name="LawTable"/>
      <w:bookmarkEnd w:id="3"/>
    </w:p>
    <w:p w14:paraId="3748DF88" w14:textId="77777777" w:rsidR="00027214" w:rsidRPr="00027214" w:rsidRDefault="00027214" w:rsidP="00027214">
      <w:pPr>
        <w:spacing w:before="120" w:after="120" w:line="240" w:lineRule="exact"/>
        <w:ind w:left="283" w:hanging="283"/>
        <w:jc w:val="both"/>
        <w:rPr>
          <w:rFonts w:ascii="FrankRuehl" w:hAnsi="FrankRuehl" w:cs="FrankRuehl"/>
          <w:rtl/>
        </w:rPr>
      </w:pPr>
    </w:p>
    <w:p w14:paraId="01B42D64" w14:textId="77777777" w:rsidR="00027214" w:rsidRPr="00027214" w:rsidRDefault="00027214" w:rsidP="00027214">
      <w:pPr>
        <w:spacing w:before="120" w:after="120" w:line="240" w:lineRule="exact"/>
        <w:ind w:left="283" w:hanging="283"/>
        <w:jc w:val="both"/>
        <w:rPr>
          <w:rFonts w:ascii="FrankRuehl" w:hAnsi="FrankRuehl" w:cs="FrankRuehl"/>
          <w:rtl/>
        </w:rPr>
      </w:pPr>
    </w:p>
    <w:p w14:paraId="783E05A7" w14:textId="77777777" w:rsidR="00027214" w:rsidRPr="00027214" w:rsidRDefault="00027214" w:rsidP="00027214">
      <w:pPr>
        <w:spacing w:before="120" w:after="120" w:line="240" w:lineRule="exact"/>
        <w:ind w:left="283" w:hanging="283"/>
        <w:jc w:val="both"/>
        <w:rPr>
          <w:rFonts w:ascii="FrankRuehl" w:hAnsi="FrankRuehl" w:cs="FrankRuehl"/>
          <w:rtl/>
        </w:rPr>
      </w:pPr>
      <w:r w:rsidRPr="00027214">
        <w:rPr>
          <w:rFonts w:ascii="FrankRuehl" w:hAnsi="FrankRuehl" w:cs="FrankRuehl"/>
          <w:rtl/>
        </w:rPr>
        <w:t xml:space="preserve">חקיקה שאוזכרה: </w:t>
      </w:r>
    </w:p>
    <w:p w14:paraId="7E6BDDF0" w14:textId="77777777" w:rsidR="00027214" w:rsidRPr="00027214" w:rsidRDefault="00027214" w:rsidP="00027214">
      <w:pPr>
        <w:spacing w:before="120" w:after="120" w:line="240" w:lineRule="exact"/>
        <w:ind w:left="283" w:hanging="283"/>
        <w:jc w:val="both"/>
        <w:rPr>
          <w:rFonts w:ascii="FrankRuehl" w:hAnsi="FrankRuehl" w:cs="FrankRuehl"/>
          <w:rtl/>
        </w:rPr>
      </w:pPr>
      <w:hyperlink r:id="rId7" w:history="1">
        <w:r w:rsidRPr="00027214">
          <w:rPr>
            <w:rFonts w:ascii="FrankRuehl" w:hAnsi="FrankRuehl" w:cs="FrankRuehl"/>
            <w:color w:val="0000FF"/>
            <w:rtl/>
          </w:rPr>
          <w:t>פקודת הסמים המסוכנים [נוסח חדש], תשל"ג-1973</w:t>
        </w:r>
      </w:hyperlink>
      <w:r w:rsidRPr="00027214">
        <w:rPr>
          <w:rFonts w:ascii="FrankRuehl" w:hAnsi="FrankRuehl" w:cs="FrankRuehl"/>
          <w:rtl/>
        </w:rPr>
        <w:t xml:space="preserve">: סע'  </w:t>
      </w:r>
      <w:hyperlink r:id="rId8" w:history="1">
        <w:r w:rsidRPr="00027214">
          <w:rPr>
            <w:rFonts w:ascii="FrankRuehl" w:hAnsi="FrankRuehl" w:cs="FrankRuehl"/>
            <w:color w:val="0000FF"/>
            <w:rtl/>
          </w:rPr>
          <w:t>7 (א)</w:t>
        </w:r>
      </w:hyperlink>
      <w:r w:rsidRPr="00027214">
        <w:rPr>
          <w:rFonts w:ascii="FrankRuehl" w:hAnsi="FrankRuehl" w:cs="FrankRuehl"/>
          <w:rtl/>
        </w:rPr>
        <w:t xml:space="preserve">, </w:t>
      </w:r>
      <w:hyperlink r:id="rId9" w:history="1">
        <w:r w:rsidRPr="00027214">
          <w:rPr>
            <w:rFonts w:ascii="FrankRuehl" w:hAnsi="FrankRuehl" w:cs="FrankRuehl"/>
            <w:color w:val="0000FF"/>
            <w:rtl/>
          </w:rPr>
          <w:t>7 (ג)</w:t>
        </w:r>
      </w:hyperlink>
    </w:p>
    <w:p w14:paraId="0B2E444A" w14:textId="77777777" w:rsidR="00027214" w:rsidRPr="00027214" w:rsidRDefault="00027214" w:rsidP="00027214">
      <w:pPr>
        <w:spacing w:before="120" w:after="120" w:line="240" w:lineRule="exact"/>
        <w:ind w:left="283" w:hanging="283"/>
        <w:jc w:val="both"/>
        <w:rPr>
          <w:rFonts w:ascii="FrankRuehl" w:hAnsi="FrankRuehl" w:cs="FrankRuehl"/>
          <w:rtl/>
        </w:rPr>
      </w:pPr>
      <w:hyperlink r:id="rId10" w:history="1">
        <w:r w:rsidRPr="00027214">
          <w:rPr>
            <w:rFonts w:ascii="FrankRuehl" w:hAnsi="FrankRuehl" w:cs="FrankRuehl"/>
            <w:color w:val="0000FF"/>
            <w:rtl/>
          </w:rPr>
          <w:t>חוק העונשין, תשל"ז-1977</w:t>
        </w:r>
      </w:hyperlink>
      <w:r w:rsidRPr="00027214">
        <w:rPr>
          <w:rFonts w:ascii="FrankRuehl" w:hAnsi="FrankRuehl" w:cs="FrankRuehl"/>
          <w:rtl/>
        </w:rPr>
        <w:t xml:space="preserve">: סע'  </w:t>
      </w:r>
      <w:hyperlink r:id="rId11" w:history="1">
        <w:r w:rsidRPr="00027214">
          <w:rPr>
            <w:rFonts w:ascii="FrankRuehl" w:hAnsi="FrankRuehl" w:cs="FrankRuehl"/>
            <w:color w:val="0000FF"/>
            <w:rtl/>
          </w:rPr>
          <w:t>40 ט'</w:t>
        </w:r>
      </w:hyperlink>
      <w:r w:rsidRPr="00027214">
        <w:rPr>
          <w:rFonts w:ascii="FrankRuehl" w:hAnsi="FrankRuehl" w:cs="FrankRuehl"/>
          <w:rtl/>
        </w:rPr>
        <w:t xml:space="preserve">, </w:t>
      </w:r>
      <w:hyperlink r:id="rId12" w:history="1">
        <w:r w:rsidRPr="00027214">
          <w:rPr>
            <w:rFonts w:ascii="FrankRuehl" w:hAnsi="FrankRuehl" w:cs="FrankRuehl"/>
            <w:color w:val="0000FF"/>
            <w:rtl/>
          </w:rPr>
          <w:t>71א (ב)</w:t>
        </w:r>
      </w:hyperlink>
    </w:p>
    <w:p w14:paraId="08FE875B" w14:textId="77777777" w:rsidR="00027214" w:rsidRPr="00027214" w:rsidRDefault="00027214" w:rsidP="00027214">
      <w:pPr>
        <w:spacing w:before="120" w:after="120" w:line="240" w:lineRule="exact"/>
        <w:ind w:left="283" w:hanging="283"/>
        <w:jc w:val="both"/>
        <w:rPr>
          <w:rFonts w:ascii="FrankRuehl" w:hAnsi="FrankRuehl" w:cs="FrankRuehl"/>
          <w:rtl/>
        </w:rPr>
      </w:pPr>
      <w:hyperlink r:id="rId13" w:history="1">
        <w:r w:rsidRPr="00027214">
          <w:rPr>
            <w:rFonts w:ascii="FrankRuehl" w:hAnsi="FrankRuehl" w:cs="FrankRuehl"/>
            <w:color w:val="0000FF"/>
            <w:rtl/>
          </w:rPr>
          <w:t>תקנות העונשין (התחייבות להימנע מעבירה), תש"ף-2019</w:t>
        </w:r>
      </w:hyperlink>
    </w:p>
    <w:p w14:paraId="279B5194" w14:textId="77777777" w:rsidR="00027214" w:rsidRPr="00027214" w:rsidRDefault="00027214" w:rsidP="00027214">
      <w:pPr>
        <w:jc w:val="center"/>
        <w:rPr>
          <w:rFonts w:ascii="David" w:hAnsi="David"/>
          <w:sz w:val="32"/>
          <w:szCs w:val="32"/>
          <w:rtl/>
        </w:rPr>
      </w:pPr>
      <w:bookmarkStart w:id="4" w:name="LawTable_End"/>
      <w:bookmarkEnd w:id="4"/>
    </w:p>
    <w:p w14:paraId="0C9551FE" w14:textId="77777777" w:rsidR="003212C5" w:rsidRPr="00FD7AAE" w:rsidRDefault="003212C5" w:rsidP="00FD7AAE">
      <w:pPr>
        <w:jc w:val="center"/>
        <w:rPr>
          <w:rFonts w:ascii="David" w:hAnsi="David"/>
          <w:sz w:val="32"/>
          <w:szCs w:val="32"/>
          <w:rtl/>
        </w:rPr>
      </w:pPr>
    </w:p>
    <w:p w14:paraId="57772BBA" w14:textId="77777777" w:rsidR="003212C5" w:rsidRPr="00964977" w:rsidRDefault="003212C5" w:rsidP="00964977">
      <w:pPr>
        <w:jc w:val="center"/>
        <w:rPr>
          <w:rFonts w:ascii="David" w:hAnsi="David"/>
          <w:b/>
          <w:bCs/>
          <w:sz w:val="32"/>
          <w:szCs w:val="32"/>
          <w:u w:val="single"/>
          <w:rtl/>
        </w:rPr>
      </w:pPr>
      <w:bookmarkStart w:id="5" w:name="PsakDin"/>
      <w:r w:rsidRPr="00964977">
        <w:rPr>
          <w:rFonts w:ascii="David" w:hAnsi="David"/>
          <w:b/>
          <w:bCs/>
          <w:sz w:val="32"/>
          <w:szCs w:val="32"/>
          <w:u w:val="single"/>
          <w:rtl/>
        </w:rPr>
        <w:t>גזר דין</w:t>
      </w:r>
    </w:p>
    <w:bookmarkEnd w:id="5"/>
    <w:p w14:paraId="11D57017" w14:textId="77777777" w:rsidR="003212C5" w:rsidRPr="00E22A74" w:rsidRDefault="003212C5" w:rsidP="00E22A74">
      <w:pPr>
        <w:jc w:val="center"/>
        <w:rPr>
          <w:rFonts w:ascii="David" w:hAnsi="David"/>
          <w:sz w:val="32"/>
          <w:szCs w:val="32"/>
          <w:u w:val="single"/>
          <w:rtl/>
        </w:rPr>
      </w:pPr>
    </w:p>
    <w:p w14:paraId="4439DCF3" w14:textId="77777777" w:rsidR="00E22A74" w:rsidRPr="000F2247" w:rsidRDefault="00E22A74" w:rsidP="00E22A74">
      <w:pPr>
        <w:rPr>
          <w:rFonts w:ascii="Arial" w:hAnsi="Arial"/>
          <w:b/>
          <w:bCs/>
          <w:sz w:val="26"/>
          <w:szCs w:val="26"/>
          <w:rtl/>
        </w:rPr>
      </w:pPr>
    </w:p>
    <w:p w14:paraId="7ADE31C3" w14:textId="77777777" w:rsidR="00E22A74" w:rsidRDefault="00E22A74" w:rsidP="00E22A74">
      <w:pPr>
        <w:pStyle w:val="ab"/>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בעובדות כתב האישום המתוקן בעבירות של  </w:t>
      </w:r>
      <w:r>
        <w:rPr>
          <w:rFonts w:ascii="David" w:hAnsi="David" w:cs="David"/>
          <w:b/>
          <w:bCs/>
          <w:sz w:val="24"/>
          <w:szCs w:val="24"/>
          <w:rtl/>
        </w:rPr>
        <w:t>החזקת סם מסוכן שלא לצריכה עצמית</w:t>
      </w:r>
      <w:r>
        <w:rPr>
          <w:rFonts w:ascii="David" w:hAnsi="David" w:cs="David"/>
          <w:sz w:val="24"/>
          <w:szCs w:val="24"/>
          <w:rtl/>
        </w:rPr>
        <w:t xml:space="preserve">, לפי </w:t>
      </w:r>
      <w:hyperlink r:id="rId14" w:history="1">
        <w:r w:rsidR="001B2106" w:rsidRPr="001B2106">
          <w:rPr>
            <w:rStyle w:val="Hyperlink"/>
            <w:rFonts w:ascii="David" w:hAnsi="David" w:cs="David"/>
            <w:sz w:val="24"/>
            <w:szCs w:val="24"/>
            <w:rtl/>
          </w:rPr>
          <w:t>סעיף 7 (א)</w:t>
        </w:r>
      </w:hyperlink>
      <w:r>
        <w:rPr>
          <w:rFonts w:ascii="David" w:hAnsi="David" w:cs="David"/>
          <w:sz w:val="24"/>
          <w:szCs w:val="24"/>
          <w:rtl/>
        </w:rPr>
        <w:t xml:space="preserve"> ביחד עם </w:t>
      </w:r>
      <w:hyperlink r:id="rId15" w:history="1">
        <w:r w:rsidR="001B2106" w:rsidRPr="001B2106">
          <w:rPr>
            <w:rStyle w:val="Hyperlink"/>
            <w:rFonts w:ascii="David" w:hAnsi="David" w:cs="David"/>
            <w:sz w:val="24"/>
            <w:szCs w:val="24"/>
            <w:rtl/>
          </w:rPr>
          <w:t>סעיף 7 (ג)</w:t>
        </w:r>
      </w:hyperlink>
      <w:r>
        <w:rPr>
          <w:rFonts w:ascii="David" w:hAnsi="David" w:cs="David"/>
          <w:sz w:val="24"/>
          <w:szCs w:val="24"/>
          <w:rtl/>
        </w:rPr>
        <w:t xml:space="preserve"> רישא ל</w:t>
      </w:r>
      <w:hyperlink r:id="rId16" w:history="1">
        <w:r w:rsidR="00964977" w:rsidRPr="0096497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w:t>
      </w:r>
    </w:p>
    <w:p w14:paraId="3927FDBA" w14:textId="77777777" w:rsidR="00E22A74" w:rsidRDefault="00E22A74" w:rsidP="00E22A74">
      <w:pPr>
        <w:pStyle w:val="ab"/>
        <w:spacing w:line="360" w:lineRule="auto"/>
        <w:rPr>
          <w:rFonts w:ascii="David" w:hAnsi="David" w:cs="David"/>
          <w:sz w:val="24"/>
          <w:szCs w:val="24"/>
          <w:rtl/>
        </w:rPr>
      </w:pPr>
      <w:bookmarkStart w:id="7" w:name="ABSTRACT_END"/>
      <w:bookmarkEnd w:id="7"/>
    </w:p>
    <w:p w14:paraId="4E3D9406" w14:textId="77777777" w:rsidR="00E22A74" w:rsidRDefault="00E22A74" w:rsidP="00E22A74">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על פי עובדות כתב האישום  המתוקן, בתאריך 12.06.22 בשעה 20:13, נהג הנאשם ברכב מסוג טויוטה בכביש 6 צפונית לכיוון בית קמה. באותו מעמד נמצא הנאשם מחזיק שקית שקופה ובתוכה שקית שחורה מונחת על שטיח הרכב במושב האחורי של הרכב, שבתוכה </w:t>
      </w:r>
      <w:r>
        <w:rPr>
          <w:rFonts w:ascii="David" w:hAnsi="David" w:cs="David"/>
          <w:b/>
          <w:bCs/>
          <w:sz w:val="24"/>
          <w:szCs w:val="24"/>
          <w:rtl/>
        </w:rPr>
        <w:t>סם מסוג קנבוס במשקל כולל של 422.27 גרם</w:t>
      </w:r>
      <w:r>
        <w:rPr>
          <w:rFonts w:ascii="David" w:hAnsi="David" w:cs="David"/>
          <w:sz w:val="24"/>
          <w:szCs w:val="24"/>
          <w:rtl/>
        </w:rPr>
        <w:t xml:space="preserve">, שלא לצריכה עצמית, ללא היתר ושלא כדין. </w:t>
      </w:r>
    </w:p>
    <w:p w14:paraId="2B6480A6" w14:textId="77777777" w:rsidR="00E22A74" w:rsidRDefault="00E22A74" w:rsidP="00E22A74">
      <w:pPr>
        <w:pStyle w:val="ab"/>
        <w:spacing w:line="360" w:lineRule="auto"/>
        <w:jc w:val="both"/>
        <w:rPr>
          <w:rFonts w:ascii="David" w:hAnsi="David" w:cs="David"/>
          <w:sz w:val="24"/>
          <w:szCs w:val="24"/>
        </w:rPr>
      </w:pPr>
    </w:p>
    <w:p w14:paraId="49A82B4F" w14:textId="77777777" w:rsidR="00E22A74" w:rsidRDefault="00E22A74" w:rsidP="00E22A74">
      <w:pPr>
        <w:pStyle w:val="ab"/>
        <w:numPr>
          <w:ilvl w:val="0"/>
          <w:numId w:val="2"/>
        </w:numPr>
        <w:spacing w:line="360" w:lineRule="auto"/>
        <w:jc w:val="both"/>
        <w:rPr>
          <w:rFonts w:ascii="David" w:hAnsi="David" w:cs="David"/>
          <w:sz w:val="24"/>
          <w:szCs w:val="24"/>
        </w:rPr>
      </w:pPr>
      <w:r>
        <w:rPr>
          <w:rFonts w:ascii="David" w:hAnsi="David" w:cs="David"/>
          <w:sz w:val="24"/>
          <w:szCs w:val="24"/>
          <w:rtl/>
        </w:rPr>
        <w:lastRenderedPageBreak/>
        <w:t xml:space="preserve">בתאריך 15.09.22 הגיעו הצדדים להסדר דיוני לפיו כתב האישום תוקן והנאשם הודה והורשע במיוחס לו בכתב האישום המתוקן. ההסדר לא כלל הסכמה עונשית למעט הטלת קנס כספי בסך 5,000 ₪ שישולם ב-10 תשלומים. נוכח גילו  נשלח הנאשם לקבלת תסקיר שירות מבחן. </w:t>
      </w:r>
    </w:p>
    <w:p w14:paraId="539248B8" w14:textId="77777777" w:rsidR="00E22A74" w:rsidRDefault="00E22A74" w:rsidP="00E22A74">
      <w:pPr>
        <w:spacing w:line="360" w:lineRule="auto"/>
        <w:ind w:left="360"/>
        <w:rPr>
          <w:rFonts w:ascii="David" w:hAnsi="David"/>
          <w:b/>
          <w:bCs/>
          <w:u w:val="single"/>
          <w:rtl/>
        </w:rPr>
      </w:pPr>
    </w:p>
    <w:p w14:paraId="2DFC9E93" w14:textId="77777777" w:rsidR="00E22A74" w:rsidRDefault="00E22A74" w:rsidP="00E22A74">
      <w:pPr>
        <w:spacing w:line="360" w:lineRule="auto"/>
        <w:ind w:left="360"/>
        <w:rPr>
          <w:rFonts w:ascii="David" w:hAnsi="David"/>
          <w:b/>
          <w:bCs/>
          <w:u w:val="single"/>
        </w:rPr>
      </w:pPr>
      <w:r>
        <w:rPr>
          <w:rFonts w:ascii="David" w:hAnsi="David"/>
          <w:b/>
          <w:bCs/>
          <w:u w:val="single"/>
          <w:rtl/>
        </w:rPr>
        <w:t>תסקיר שירות מבחן</w:t>
      </w:r>
    </w:p>
    <w:p w14:paraId="4F5C3E2D" w14:textId="77777777" w:rsidR="00E22A74" w:rsidRDefault="00E22A74" w:rsidP="00E22A74">
      <w:pPr>
        <w:pStyle w:val="ab"/>
        <w:numPr>
          <w:ilvl w:val="0"/>
          <w:numId w:val="2"/>
        </w:numPr>
        <w:spacing w:line="360" w:lineRule="auto"/>
        <w:jc w:val="both"/>
        <w:rPr>
          <w:rFonts w:ascii="David" w:hAnsi="David" w:cs="David"/>
          <w:sz w:val="24"/>
          <w:szCs w:val="24"/>
          <w:rtl/>
        </w:rPr>
      </w:pPr>
      <w:r>
        <w:rPr>
          <w:rFonts w:ascii="David" w:hAnsi="David" w:cs="David"/>
          <w:b/>
          <w:bCs/>
          <w:sz w:val="24"/>
          <w:szCs w:val="24"/>
          <w:rtl/>
        </w:rPr>
        <w:t xml:space="preserve">בתסקיר שהוגש ביום 09.01.23 </w:t>
      </w:r>
      <w:r>
        <w:rPr>
          <w:rFonts w:ascii="David" w:hAnsi="David" w:cs="David"/>
          <w:sz w:val="24"/>
          <w:szCs w:val="24"/>
          <w:rtl/>
        </w:rPr>
        <w:t xml:space="preserve">סקר שירות מבחן קורות חייו של הנאשם, בן 19, נשוי בשנית כחודשיים, מתגורר בבית הוריו בשבט מסעודין אל עזאזמה,  עובד כרועה צאן ביחד עם אביו בחודשים האחרונים. הנאשם עזב את הלימודים לאחר 10 שנות לימוד בשל קשיים לימודיים, לאחר מכן שולב במסגרת תעסוקתית ברעיית צאן ביחד עם אביו, תקופה קצרה ניסה לעבוד בשטיפת אוטובוסים. בשל הקושי בתנאים המגבילים בהם שוהה שב לרעיית צאן עם אביו. </w:t>
      </w:r>
    </w:p>
    <w:p w14:paraId="20CA16D9" w14:textId="77777777" w:rsidR="00E22A74" w:rsidRDefault="00E22A74" w:rsidP="00E22A74">
      <w:pPr>
        <w:pStyle w:val="ab"/>
        <w:spacing w:line="360" w:lineRule="auto"/>
        <w:jc w:val="both"/>
        <w:rPr>
          <w:rFonts w:ascii="David" w:hAnsi="David" w:cs="David"/>
          <w:sz w:val="24"/>
          <w:szCs w:val="24"/>
        </w:rPr>
      </w:pPr>
      <w:r>
        <w:rPr>
          <w:rFonts w:ascii="David" w:hAnsi="David" w:cs="David"/>
          <w:sz w:val="24"/>
          <w:szCs w:val="24"/>
          <w:rtl/>
        </w:rPr>
        <w:t xml:space="preserve">הנאשם גדל במשפחה נורמטיבית, בני משפחתו אינם מעורבים בפלילים, הנאשם בקשר קרוב עם הוריו ויתר בני משפחתו. כאמור הנאשם נשא לפני זמן קצר, נישואי שידוך לאחר שהיה נשוי קודם לכן לתקופה קצרה אולם אשתו עזבה וניתקה את הקשר. </w:t>
      </w:r>
    </w:p>
    <w:p w14:paraId="03DB35CA" w14:textId="77777777" w:rsidR="00E22A74" w:rsidRDefault="00E22A74" w:rsidP="00E22A74">
      <w:pPr>
        <w:pStyle w:val="ab"/>
        <w:spacing w:line="360" w:lineRule="auto"/>
        <w:jc w:val="both"/>
        <w:rPr>
          <w:rFonts w:ascii="David" w:hAnsi="David" w:cs="David"/>
          <w:sz w:val="24"/>
          <w:szCs w:val="24"/>
          <w:rtl/>
        </w:rPr>
      </w:pPr>
      <w:r>
        <w:rPr>
          <w:rFonts w:ascii="David" w:hAnsi="David" w:cs="David"/>
          <w:sz w:val="24"/>
          <w:szCs w:val="24"/>
          <w:rtl/>
        </w:rPr>
        <w:t xml:space="preserve">הנאשם נעדר עבר פלילי, בנוגע לעברו התעבורתי לחובתו 4 תיקים. </w:t>
      </w:r>
    </w:p>
    <w:p w14:paraId="0BAB2748" w14:textId="77777777" w:rsidR="00E22A74" w:rsidRDefault="00E22A74" w:rsidP="00E22A74">
      <w:pPr>
        <w:pStyle w:val="ab"/>
        <w:spacing w:line="360" w:lineRule="auto"/>
        <w:jc w:val="both"/>
        <w:rPr>
          <w:rFonts w:ascii="David" w:hAnsi="David" w:cs="David"/>
          <w:sz w:val="24"/>
          <w:szCs w:val="24"/>
          <w:rtl/>
        </w:rPr>
      </w:pPr>
      <w:r>
        <w:rPr>
          <w:rFonts w:ascii="David" w:hAnsi="David" w:cs="David"/>
          <w:sz w:val="24"/>
          <w:szCs w:val="24"/>
          <w:rtl/>
        </w:rPr>
        <w:t xml:space="preserve">בהתייחס לעבירה הנוכחית, הנאשם הביע חרטה אך לקח אחריות חלקית על המיוחס לו, הנאשם מסר כי הרכב שנסע בו הוא רכב משותף לכלל בני המשפחה הגרעינית והמורחבת, הוא התבקש על ידי בן דודו לנסוע לירושלים, שם נעצר ונמצאו אצלו סמים. הוא ציין שמבין ההשלכות לחברה מהשימוש ומכירת סמים. הנאשם שלל שימוש בחומרים משני תודעה. </w:t>
      </w:r>
    </w:p>
    <w:p w14:paraId="400E9EAB" w14:textId="77777777" w:rsidR="00E22A74" w:rsidRDefault="00E22A74" w:rsidP="00E22A74">
      <w:pPr>
        <w:pStyle w:val="ab"/>
        <w:spacing w:line="360" w:lineRule="auto"/>
        <w:jc w:val="both"/>
        <w:rPr>
          <w:rFonts w:ascii="David" w:hAnsi="David" w:cs="David"/>
          <w:sz w:val="24"/>
          <w:szCs w:val="24"/>
          <w:rtl/>
        </w:rPr>
      </w:pPr>
      <w:r>
        <w:rPr>
          <w:rFonts w:ascii="David" w:hAnsi="David" w:cs="David"/>
          <w:sz w:val="24"/>
          <w:szCs w:val="24"/>
          <w:rtl/>
        </w:rPr>
        <w:t xml:space="preserve">שירות המבחן התרשם, כי הנאשם מתקשה לשתף מעולמו הפנימי יחד עם זאת ציין כי ההליך הפלילי היווה עבורו גורם מרתיע וכי מבין חומרת מעשיו, בנוסף התרשם שירות המבחן שהרקע לביצוע העבירה נעוץ בקושי של הנאשם בהצבת גבולות פנימיים וחיצוניים וכי לא הבין באותה עת השלכות מעשיו. שירות המבחן לקח בחשבון היעדר עבר פלילי. לאור המפורט, סבר שירות המבחן כי קיים סיכון להתנהגות עוברת חוק בעתיד אך לא ברף גבוה. שרות המבחן ציין שבמסגרת הליך המעצר הועמד הנאשם בצו פיקוח אולם בשל אילוצים מערכתיים, לא שולב בקבוצה טיפולית, נערכו עימו שיחות מעקב, הנאשם התקשה לשתף מעולמו הפנימי ולבחון התנהלותו לעומק אך יחד עם זאת גייס מאמציו לחזור לניהול חיים נורמטיביים על ידי יציבות תעסוקתית, הקמת משפחה וניתוק קשריו עם חברה שולית. שירות המבחן ציין  כי הנאשם עתיד להיות משולב בקבוצה טיפולית במהלך חודש ינואר השנה. </w:t>
      </w:r>
    </w:p>
    <w:p w14:paraId="0BE9D1BA" w14:textId="77777777" w:rsidR="00E22A74" w:rsidRDefault="00E22A74" w:rsidP="00E22A74">
      <w:pPr>
        <w:pStyle w:val="ab"/>
        <w:spacing w:line="360" w:lineRule="auto"/>
        <w:jc w:val="both"/>
        <w:rPr>
          <w:rFonts w:ascii="David" w:hAnsi="David" w:cs="David"/>
          <w:sz w:val="24"/>
          <w:szCs w:val="24"/>
          <w:rtl/>
        </w:rPr>
      </w:pPr>
      <w:r>
        <w:rPr>
          <w:rFonts w:ascii="David" w:hAnsi="David" w:cs="David"/>
          <w:sz w:val="24"/>
          <w:szCs w:val="24"/>
          <w:rtl/>
        </w:rPr>
        <w:t xml:space="preserve">לאור המפורט, התרשם שירות המבחן שקיימת נזקקות טיפולית, הנאשם נעתר להצעה לשילוב בטיפול. לפיכך, עתר שירות המבחן לדחיית הדיון ב 3 חודשים לצורך בחינת ההליך הטיפולי. </w:t>
      </w:r>
    </w:p>
    <w:p w14:paraId="241F8A9D" w14:textId="77777777" w:rsidR="00E22A74" w:rsidRDefault="00E22A74" w:rsidP="00E22A74">
      <w:pPr>
        <w:pStyle w:val="ab"/>
        <w:spacing w:line="360" w:lineRule="auto"/>
        <w:jc w:val="both"/>
        <w:rPr>
          <w:rFonts w:ascii="David" w:hAnsi="David" w:cs="David"/>
          <w:sz w:val="24"/>
          <w:szCs w:val="24"/>
          <w:rtl/>
        </w:rPr>
      </w:pPr>
      <w:r>
        <w:rPr>
          <w:rFonts w:ascii="David" w:hAnsi="David" w:cs="David"/>
          <w:sz w:val="24"/>
          <w:szCs w:val="24"/>
          <w:rtl/>
        </w:rPr>
        <w:lastRenderedPageBreak/>
        <w:t xml:space="preserve">לחילופין, המליץ שירות המבחן  על שילוב הנאשם בקבוצה טיפולית במסגרת צו מבחן והטלת ענישה מוחשית בדמות של מאסר לריצוי בעבודת שירות וכן הטלת עונש מאסר מותנה. </w:t>
      </w:r>
    </w:p>
    <w:p w14:paraId="69156BCB" w14:textId="77777777" w:rsidR="00E22A74" w:rsidRDefault="00E22A74" w:rsidP="00E22A74">
      <w:pPr>
        <w:pStyle w:val="ab"/>
        <w:spacing w:line="360" w:lineRule="auto"/>
        <w:jc w:val="both"/>
        <w:rPr>
          <w:rFonts w:ascii="David" w:hAnsi="David" w:cs="David"/>
          <w:sz w:val="24"/>
          <w:szCs w:val="24"/>
        </w:rPr>
      </w:pPr>
      <w:r>
        <w:rPr>
          <w:rFonts w:ascii="David" w:hAnsi="David" w:cs="David"/>
          <w:b/>
          <w:bCs/>
          <w:sz w:val="24"/>
          <w:szCs w:val="24"/>
          <w:rtl/>
        </w:rPr>
        <w:t>בתסקיר משלים מיום  25.04.23</w:t>
      </w:r>
      <w:r>
        <w:rPr>
          <w:rFonts w:ascii="David" w:hAnsi="David" w:cs="David"/>
          <w:sz w:val="24"/>
          <w:szCs w:val="24"/>
          <w:rtl/>
        </w:rPr>
        <w:t xml:space="preserve">, עלה כי הנאשם עבר תאונת דרכים בחודש ינואר 2023  אשר הובילה לאשפוז ולהתאוששות ממושכת, עקב זאת התקשה הנאשם להגיע למפגשי הקבוצה. לאור זאת העריך שירות המבחן כי בשל מצבו הרפואי של הנאשם אינו פנוי להליך הטיפולי ולא נערך ניסיון לשלבו בשנית בקבוצה. </w:t>
      </w:r>
    </w:p>
    <w:p w14:paraId="75D544E0" w14:textId="77777777" w:rsidR="00E22A74" w:rsidRDefault="00E22A74" w:rsidP="00E22A74">
      <w:pPr>
        <w:pStyle w:val="ab"/>
        <w:spacing w:line="360" w:lineRule="auto"/>
        <w:jc w:val="both"/>
        <w:rPr>
          <w:rFonts w:ascii="David" w:hAnsi="David" w:cs="David"/>
          <w:sz w:val="24"/>
          <w:szCs w:val="24"/>
          <w:rtl/>
        </w:rPr>
      </w:pPr>
      <w:r>
        <w:rPr>
          <w:rFonts w:ascii="David" w:hAnsi="David" w:cs="David"/>
          <w:sz w:val="24"/>
          <w:szCs w:val="24"/>
          <w:rtl/>
        </w:rPr>
        <w:t xml:space="preserve">שירות המבחן שב וחזר על התרשמותו מהנאשם, וציין גורמי הסיכוי והסיכון וציין שקיימת נזקקות טיפולית אולם נוכח מצבו הרפואי אינו ערוך לטיפול משמעותי. יחד עם זאת ציין שירות המבחן שהנאשם אינו מנהל אורח חיים שולי מושרש, יחד עם מאפייני אישיותו והתרשמות שירות המבחן שהליך המעצר היוו עבורו אלמנט מרתיע ומציב גבולות. בשקלול כלל הגורמים סבר שירות המבחן שהטלת עונש מאסר קצר בעבודות שירות יכול להוות עבורו עונש מחדד אחריות להתנהגותו וכן הטלת עונש מאסר מותנה. </w:t>
      </w:r>
    </w:p>
    <w:p w14:paraId="11C0486D" w14:textId="77777777" w:rsidR="00E22A74" w:rsidRDefault="00E22A74" w:rsidP="00E22A74">
      <w:pPr>
        <w:spacing w:line="360" w:lineRule="auto"/>
        <w:jc w:val="both"/>
        <w:rPr>
          <w:rFonts w:ascii="David" w:hAnsi="David"/>
          <w:bCs/>
          <w:u w:val="single"/>
          <w:rtl/>
        </w:rPr>
      </w:pPr>
    </w:p>
    <w:p w14:paraId="18A74B9A" w14:textId="77777777" w:rsidR="00E22A74" w:rsidRDefault="00E22A74" w:rsidP="00E22A74">
      <w:pPr>
        <w:spacing w:line="360" w:lineRule="auto"/>
        <w:jc w:val="both"/>
        <w:rPr>
          <w:rFonts w:ascii="David" w:hAnsi="David"/>
          <w:bCs/>
          <w:u w:val="single"/>
          <w:rtl/>
        </w:rPr>
      </w:pPr>
    </w:p>
    <w:p w14:paraId="650C09CA" w14:textId="77777777" w:rsidR="00E22A74" w:rsidRDefault="00E22A74" w:rsidP="00E22A74">
      <w:pPr>
        <w:spacing w:line="360" w:lineRule="auto"/>
        <w:jc w:val="both"/>
        <w:rPr>
          <w:rFonts w:ascii="David" w:hAnsi="David"/>
          <w:bCs/>
          <w:u w:val="single"/>
          <w:rtl/>
        </w:rPr>
      </w:pPr>
    </w:p>
    <w:p w14:paraId="19E08917" w14:textId="77777777" w:rsidR="00E22A74" w:rsidRDefault="00E22A74" w:rsidP="00E22A74">
      <w:pPr>
        <w:spacing w:line="360" w:lineRule="auto"/>
        <w:jc w:val="both"/>
        <w:rPr>
          <w:rFonts w:ascii="David" w:hAnsi="David"/>
          <w:bCs/>
          <w:u w:val="single"/>
          <w:rtl/>
        </w:rPr>
      </w:pPr>
    </w:p>
    <w:p w14:paraId="55F7F0C0" w14:textId="77777777" w:rsidR="00E22A74" w:rsidRDefault="00E22A74" w:rsidP="00E22A74">
      <w:pPr>
        <w:spacing w:line="360" w:lineRule="auto"/>
        <w:jc w:val="both"/>
        <w:rPr>
          <w:rFonts w:ascii="David" w:hAnsi="David"/>
          <w:bCs/>
          <w:u w:val="single"/>
          <w:rtl/>
        </w:rPr>
      </w:pPr>
      <w:r>
        <w:rPr>
          <w:rFonts w:ascii="David" w:hAnsi="David"/>
          <w:bCs/>
          <w:u w:val="single"/>
          <w:rtl/>
        </w:rPr>
        <w:t>ראיות וטיעוני הצדדים לעונש</w:t>
      </w:r>
    </w:p>
    <w:p w14:paraId="23DBD4D6" w14:textId="77777777" w:rsidR="00E22A74" w:rsidRDefault="00E22A74" w:rsidP="00E22A74">
      <w:pPr>
        <w:pStyle w:val="ab"/>
        <w:numPr>
          <w:ilvl w:val="0"/>
          <w:numId w:val="2"/>
        </w:numPr>
        <w:spacing w:line="360" w:lineRule="auto"/>
        <w:jc w:val="both"/>
        <w:rPr>
          <w:rFonts w:ascii="David" w:hAnsi="David" w:cs="David"/>
          <w:b/>
          <w:sz w:val="24"/>
          <w:szCs w:val="24"/>
        </w:rPr>
      </w:pPr>
      <w:r>
        <w:rPr>
          <w:rFonts w:ascii="David" w:hAnsi="David" w:cs="David"/>
          <w:bCs/>
          <w:sz w:val="24"/>
          <w:szCs w:val="24"/>
          <w:rtl/>
        </w:rPr>
        <w:t>ב"כ המאשימה</w:t>
      </w:r>
      <w:r>
        <w:rPr>
          <w:rFonts w:ascii="David" w:hAnsi="David" w:cs="David"/>
          <w:b/>
          <w:sz w:val="24"/>
          <w:szCs w:val="24"/>
          <w:rtl/>
        </w:rPr>
        <w:t xml:space="preserve"> הגיש טיעונים בכתב (ת/1) וגיליון הרישום</w:t>
      </w:r>
      <w:r>
        <w:rPr>
          <w:rFonts w:ascii="David" w:hAnsi="David" w:cs="David"/>
          <w:bCs/>
          <w:sz w:val="24"/>
          <w:szCs w:val="24"/>
          <w:u w:val="single"/>
          <w:rtl/>
        </w:rPr>
        <w:t xml:space="preserve"> </w:t>
      </w:r>
      <w:r>
        <w:rPr>
          <w:rFonts w:ascii="David" w:hAnsi="David" w:cs="David"/>
          <w:b/>
          <w:sz w:val="24"/>
          <w:szCs w:val="24"/>
          <w:rtl/>
        </w:rPr>
        <w:t xml:space="preserve">התעבורתי של הנאשם (ת/2). </w:t>
      </w:r>
    </w:p>
    <w:p w14:paraId="4380DC79" w14:textId="77777777" w:rsidR="00E22A74" w:rsidRDefault="00E22A74" w:rsidP="00E22A74">
      <w:pPr>
        <w:pStyle w:val="ab"/>
        <w:spacing w:line="360" w:lineRule="auto"/>
        <w:jc w:val="both"/>
        <w:rPr>
          <w:rFonts w:ascii="David" w:hAnsi="David" w:cs="David"/>
          <w:b/>
          <w:sz w:val="24"/>
          <w:szCs w:val="24"/>
        </w:rPr>
      </w:pPr>
      <w:r>
        <w:rPr>
          <w:rFonts w:ascii="David" w:hAnsi="David" w:cs="David"/>
          <w:b/>
          <w:sz w:val="24"/>
          <w:szCs w:val="24"/>
          <w:rtl/>
        </w:rPr>
        <w:t xml:space="preserve">במסגרת הטיעונים לעונש הפנה ב"כ המאשימה, לנסיבות כתב האישום, לערכים המוגנים שנפגעו ולמידת הפגיעה בהם. ב"כ המאשימה הדגיש הנזקים הנגרמים לכלל הציבור מעצם השימוש בסמים והפצתם, בנוסף ציין שאין בעובדה שהנאשם נמצא מחזיק סם מסוג קנבוס כדי להביא להקלה כלשהי שכן עדיין נחשב סם זה למזיק והמחוקק אסר השימוש בו. ב"כ המאשימה עתר לקביעת מתחם ענישה הנע בין 8 ל 18 חודשים והפנה לפסיקה כתימוכין לכך. </w:t>
      </w:r>
    </w:p>
    <w:p w14:paraId="4196F9C7" w14:textId="77777777" w:rsidR="00E22A74" w:rsidRDefault="00E22A74" w:rsidP="00E22A74">
      <w:pPr>
        <w:pStyle w:val="ab"/>
        <w:spacing w:line="360" w:lineRule="auto"/>
        <w:jc w:val="both"/>
        <w:rPr>
          <w:rFonts w:ascii="David" w:hAnsi="David" w:cs="David"/>
          <w:b/>
          <w:sz w:val="24"/>
          <w:szCs w:val="24"/>
          <w:rtl/>
        </w:rPr>
      </w:pPr>
      <w:r>
        <w:rPr>
          <w:rFonts w:ascii="David" w:hAnsi="David" w:cs="David"/>
          <w:b/>
          <w:sz w:val="24"/>
          <w:szCs w:val="24"/>
          <w:rtl/>
        </w:rPr>
        <w:t xml:space="preserve">בהתייחס לתסקירי שירות המבחן שהוגשו ציין ב"כ המאשימה, שהנאשם מביע חרטה אך לוקח אחריות חלקית, ניכר שהעבירה בוצעה על רקע רצונו של הנאשם להפיק רווח כלכלי מבלי שהפנים השלכות מעשיו. כמו כן ניכר שהנאשם התקשה לשתף פעולה עם שירות המבחן. המלצת שירות המבחן הינה להטלת מאסר בעבודת שירות. </w:t>
      </w:r>
    </w:p>
    <w:p w14:paraId="57F92FBE" w14:textId="77777777" w:rsidR="00E22A74" w:rsidRDefault="00E22A74" w:rsidP="00E22A74">
      <w:pPr>
        <w:pStyle w:val="ab"/>
        <w:spacing w:line="360" w:lineRule="auto"/>
        <w:jc w:val="both"/>
        <w:rPr>
          <w:rFonts w:ascii="David" w:hAnsi="David" w:cs="David"/>
          <w:b/>
          <w:sz w:val="24"/>
          <w:szCs w:val="24"/>
          <w:rtl/>
        </w:rPr>
      </w:pPr>
      <w:r>
        <w:rPr>
          <w:rFonts w:ascii="David" w:hAnsi="David" w:cs="David"/>
          <w:b/>
          <w:sz w:val="24"/>
          <w:szCs w:val="24"/>
          <w:rtl/>
        </w:rPr>
        <w:t xml:space="preserve">בסופו של הטיעון, עתר ב"כ המאשימה למקם עונשו של הנאשם, ברף התחתון של המתחם לו עתר לצד הטלת ענישה נלווית וקנס מוסכם בסך 5,000 ₪ וחילוט הרכב שבו נתפסו הסמים. </w:t>
      </w:r>
    </w:p>
    <w:p w14:paraId="0DA96DCF" w14:textId="77777777" w:rsidR="00E22A74" w:rsidRDefault="00E22A74" w:rsidP="00E22A74">
      <w:pPr>
        <w:pStyle w:val="ab"/>
        <w:numPr>
          <w:ilvl w:val="0"/>
          <w:numId w:val="2"/>
        </w:numPr>
        <w:spacing w:line="360" w:lineRule="auto"/>
        <w:jc w:val="both"/>
        <w:rPr>
          <w:rFonts w:ascii="David" w:hAnsi="David" w:cs="David"/>
          <w:b/>
          <w:sz w:val="24"/>
          <w:szCs w:val="24"/>
          <w:rtl/>
        </w:rPr>
      </w:pPr>
      <w:r>
        <w:rPr>
          <w:rFonts w:ascii="David" w:hAnsi="David" w:cs="David"/>
          <w:bCs/>
          <w:sz w:val="24"/>
          <w:szCs w:val="24"/>
          <w:rtl/>
        </w:rPr>
        <w:t>ב"כ הנאשם</w:t>
      </w:r>
      <w:r>
        <w:rPr>
          <w:rFonts w:ascii="David" w:hAnsi="David" w:cs="David"/>
          <w:b/>
          <w:sz w:val="24"/>
          <w:szCs w:val="24"/>
          <w:rtl/>
        </w:rPr>
        <w:t>, טען תחילה שהמאשימה חרג</w:t>
      </w:r>
      <w:r>
        <w:rPr>
          <w:rFonts w:ascii="David" w:hAnsi="David" w:cs="David" w:hint="cs"/>
          <w:b/>
          <w:sz w:val="24"/>
          <w:szCs w:val="24"/>
          <w:rtl/>
        </w:rPr>
        <w:t>ה</w:t>
      </w:r>
      <w:r>
        <w:rPr>
          <w:rFonts w:ascii="David" w:hAnsi="David" w:cs="David"/>
          <w:b/>
          <w:sz w:val="24"/>
          <w:szCs w:val="24"/>
          <w:rtl/>
        </w:rPr>
        <w:t xml:space="preserve"> מההסכמות עליהם הגיעו הצדדים, היות והרכב הושב בהסכמה, ועניין חילוט הרכב לא עלה כלל. </w:t>
      </w:r>
    </w:p>
    <w:p w14:paraId="37E65340" w14:textId="77777777" w:rsidR="00E22A74" w:rsidRDefault="00E22A74" w:rsidP="00E22A74">
      <w:pPr>
        <w:pStyle w:val="ab"/>
        <w:spacing w:line="360" w:lineRule="auto"/>
        <w:jc w:val="both"/>
        <w:rPr>
          <w:rFonts w:ascii="David" w:hAnsi="David" w:cs="David"/>
          <w:b/>
          <w:sz w:val="24"/>
          <w:szCs w:val="24"/>
        </w:rPr>
      </w:pPr>
      <w:r>
        <w:rPr>
          <w:rFonts w:ascii="David" w:hAnsi="David" w:cs="David"/>
          <w:b/>
          <w:sz w:val="24"/>
          <w:szCs w:val="24"/>
          <w:rtl/>
        </w:rPr>
        <w:t xml:space="preserve">לגבי המתחם לו עתרה המאשימה, הדגיש ב"כ הנאשם שמדובר בהחזקת סם מסוג קנבוס במשקל של 400 גרם. </w:t>
      </w:r>
    </w:p>
    <w:p w14:paraId="1A1488CE" w14:textId="77777777" w:rsidR="00E22A74" w:rsidRDefault="00E22A74" w:rsidP="00E22A74">
      <w:pPr>
        <w:pStyle w:val="ab"/>
        <w:spacing w:line="360" w:lineRule="auto"/>
        <w:jc w:val="both"/>
        <w:rPr>
          <w:rFonts w:ascii="David" w:hAnsi="David" w:cs="David"/>
          <w:b/>
          <w:sz w:val="24"/>
          <w:szCs w:val="24"/>
          <w:rtl/>
        </w:rPr>
      </w:pPr>
      <w:r>
        <w:rPr>
          <w:rFonts w:ascii="David" w:hAnsi="David" w:cs="David"/>
          <w:b/>
          <w:sz w:val="24"/>
          <w:szCs w:val="24"/>
          <w:rtl/>
        </w:rPr>
        <w:t xml:space="preserve">מדובר בנאשם נעדר עבר פלילי אשר מנהל אורח חיים נורמטיבי, שירות המבחן בחן עניינו לעומק, ב"כ הנאשם עתר לבטל הרשעתו של הנאשם, למרות ששירות המבחן התייחס לסוגיית ביטול ההרשעה ולא המליץ על כך נוכח העדר פגיעה ממשית או פוטנציאלית בתחום התעסוקה. לטענתו, מדובר בנאשם צעיר, הנמצא בשלבי סיום לימודיו עובד באופן רציף, נמצא בראשית דרכו התעסוקתית ולכן לא ניתן לאמוד האם הרשעתו אכן תפגע בפרנסתו בעתיד. ב"כ הנאשם, עמד על נסיבותיו חייו האישיות של הנאשם, הפנה להודאתו במיוחס לו, לקח אחריות מלאה על מעשיו, הביע חרטה, הפנים השלכות מעשיו. אומנם שירות המבחן  התרשם שקיים סיכון להישנות אך לא ברף הגבוה. במהלך ניהול ההליך עבר הנאשם תאונת דרכים ועד היום נמצא בטיפול. הנאשם אינו מנהל אורח חיים שולי המדובר במעידה חד פעמית, יש לתת לו הזדמנות לשיקום ולכן יש לבטל הרשעתו. </w:t>
      </w:r>
    </w:p>
    <w:p w14:paraId="20D11669" w14:textId="77777777" w:rsidR="00E22A74" w:rsidRDefault="00E22A74" w:rsidP="00E22A74">
      <w:pPr>
        <w:pStyle w:val="ab"/>
        <w:spacing w:line="360" w:lineRule="auto"/>
        <w:jc w:val="both"/>
        <w:rPr>
          <w:rFonts w:ascii="David" w:hAnsi="David" w:cs="David"/>
          <w:b/>
          <w:sz w:val="24"/>
          <w:szCs w:val="24"/>
          <w:rtl/>
        </w:rPr>
      </w:pPr>
      <w:r>
        <w:rPr>
          <w:rFonts w:ascii="David" w:hAnsi="David" w:cs="David"/>
          <w:b/>
          <w:sz w:val="24"/>
          <w:szCs w:val="24"/>
          <w:rtl/>
        </w:rPr>
        <w:t xml:space="preserve">לחילופין טען ב"כ הנאשם, שאם יסבור בית המשפט שיש להותיר ההרשעה על כנה אזי לאזן הדברים והטיל על הנאשם עונש צופה פני עתיד בנוסף לקנס הכספי שהוסכם וכן פסילה על תנאי. </w:t>
      </w:r>
    </w:p>
    <w:p w14:paraId="1055903E" w14:textId="77777777" w:rsidR="00E22A74" w:rsidRDefault="00E22A74" w:rsidP="00E22A74">
      <w:pPr>
        <w:spacing w:line="360" w:lineRule="auto"/>
        <w:jc w:val="both"/>
        <w:rPr>
          <w:rFonts w:ascii="David" w:hAnsi="David"/>
          <w:bCs/>
          <w:u w:val="single"/>
          <w:rtl/>
        </w:rPr>
      </w:pPr>
      <w:r>
        <w:rPr>
          <w:rFonts w:ascii="David" w:hAnsi="David"/>
          <w:bCs/>
          <w:u w:val="single"/>
          <w:rtl/>
        </w:rPr>
        <w:t>דיון</w:t>
      </w:r>
    </w:p>
    <w:p w14:paraId="3D8B42AF" w14:textId="77777777" w:rsidR="00E22A74" w:rsidRDefault="00E22A74" w:rsidP="00E22A74">
      <w:pPr>
        <w:spacing w:line="360" w:lineRule="auto"/>
        <w:jc w:val="both"/>
        <w:rPr>
          <w:rFonts w:ascii="David" w:hAnsi="David"/>
          <w:b/>
          <w:bCs/>
          <w:u w:val="single"/>
          <w:rtl/>
        </w:rPr>
      </w:pPr>
      <w:r>
        <w:rPr>
          <w:rFonts w:ascii="David" w:hAnsi="David"/>
          <w:b/>
          <w:bCs/>
          <w:u w:val="single"/>
          <w:rtl/>
        </w:rPr>
        <w:t xml:space="preserve">סוגיות ביטול ההרשעה </w:t>
      </w:r>
    </w:p>
    <w:p w14:paraId="228A1B34" w14:textId="77777777" w:rsidR="00E22A74" w:rsidRDefault="00E22A74" w:rsidP="00E22A74">
      <w:pPr>
        <w:pStyle w:val="ab"/>
        <w:numPr>
          <w:ilvl w:val="0"/>
          <w:numId w:val="2"/>
        </w:numPr>
        <w:spacing w:line="360" w:lineRule="auto"/>
        <w:jc w:val="both"/>
        <w:rPr>
          <w:rFonts w:ascii="David" w:hAnsi="David" w:cs="David"/>
          <w:b/>
          <w:sz w:val="24"/>
          <w:szCs w:val="24"/>
          <w:rtl/>
        </w:rPr>
      </w:pPr>
      <w:r>
        <w:rPr>
          <w:rFonts w:ascii="David" w:hAnsi="David" w:cs="David"/>
          <w:b/>
          <w:sz w:val="24"/>
          <w:szCs w:val="24"/>
          <w:rtl/>
        </w:rPr>
        <w:t xml:space="preserve">כלל יסוד במשפט הפלילי </w:t>
      </w:r>
      <w:r>
        <w:rPr>
          <w:rFonts w:ascii="David" w:hAnsi="David" w:cs="David"/>
          <w:bCs/>
          <w:sz w:val="24"/>
          <w:szCs w:val="24"/>
          <w:rtl/>
        </w:rPr>
        <w:t>הינו כי מי שנמצא אשם בביצוע עבירה</w:t>
      </w:r>
      <w:r>
        <w:rPr>
          <w:rFonts w:ascii="David" w:hAnsi="David" w:cs="David"/>
          <w:b/>
          <w:sz w:val="24"/>
          <w:szCs w:val="24"/>
          <w:rtl/>
        </w:rPr>
        <w:t xml:space="preserve">, </w:t>
      </w:r>
      <w:r>
        <w:rPr>
          <w:rFonts w:ascii="David" w:hAnsi="David" w:cs="David"/>
          <w:bCs/>
          <w:sz w:val="24"/>
          <w:szCs w:val="24"/>
          <w:rtl/>
        </w:rPr>
        <w:t xml:space="preserve">יורשע </w:t>
      </w:r>
      <w:r>
        <w:rPr>
          <w:rFonts w:ascii="David" w:hAnsi="David" w:cs="David"/>
          <w:b/>
          <w:sz w:val="24"/>
          <w:szCs w:val="24"/>
          <w:rtl/>
        </w:rPr>
        <w:t>(</w:t>
      </w:r>
      <w:hyperlink r:id="rId17" w:history="1">
        <w:r w:rsidR="00964977" w:rsidRPr="00964977">
          <w:rPr>
            <w:rFonts w:ascii="David" w:hAnsi="David" w:cs="David"/>
            <w:b/>
            <w:color w:val="0000FF"/>
            <w:sz w:val="24"/>
            <w:szCs w:val="24"/>
            <w:u w:val="single"/>
            <w:rtl/>
          </w:rPr>
          <w:t>ע"פ 2513/96</w:t>
        </w:r>
      </w:hyperlink>
      <w:r>
        <w:rPr>
          <w:rFonts w:ascii="David" w:hAnsi="David" w:cs="David"/>
          <w:b/>
          <w:sz w:val="24"/>
          <w:szCs w:val="24"/>
          <w:rtl/>
        </w:rPr>
        <w:t xml:space="preserve"> מדינת ישראל נ' שמש, פ"ד נ (3) 682, 683 (1996).  סעיף </w:t>
      </w:r>
      <w:hyperlink r:id="rId18" w:history="1">
        <w:r w:rsidR="001B2106" w:rsidRPr="001B2106">
          <w:rPr>
            <w:rStyle w:val="Hyperlink"/>
            <w:rFonts w:ascii="David" w:hAnsi="David" w:cs="David"/>
            <w:b/>
            <w:sz w:val="24"/>
            <w:szCs w:val="24"/>
            <w:rtl/>
          </w:rPr>
          <w:t>71א (ב)</w:t>
        </w:r>
      </w:hyperlink>
      <w:r>
        <w:rPr>
          <w:rFonts w:ascii="David" w:hAnsi="David" w:cs="David"/>
          <w:b/>
          <w:sz w:val="24"/>
          <w:szCs w:val="24"/>
          <w:rtl/>
        </w:rPr>
        <w:t xml:space="preserve"> ל</w:t>
      </w:r>
      <w:hyperlink r:id="rId19" w:history="1">
        <w:r w:rsidR="00964977" w:rsidRPr="00964977">
          <w:rPr>
            <w:rFonts w:ascii="David" w:hAnsi="David" w:cs="David"/>
            <w:b/>
            <w:color w:val="0000FF"/>
            <w:sz w:val="24"/>
            <w:szCs w:val="24"/>
            <w:u w:val="single"/>
            <w:rtl/>
          </w:rPr>
          <w:t>חוק העונשין</w:t>
        </w:r>
      </w:hyperlink>
      <w:r>
        <w:rPr>
          <w:rFonts w:ascii="David" w:hAnsi="David" w:cs="David"/>
          <w:b/>
          <w:sz w:val="24"/>
          <w:szCs w:val="24"/>
          <w:rtl/>
        </w:rPr>
        <w:t xml:space="preserve"> מסמיך בית המשפט להימנע מהרשעת נאשם שביצע עבירה, מדובר בחריג לכלל ההרשעה, אשר ייושם במקרים מיוחדים ויוצאי דופן בלבד. </w:t>
      </w:r>
    </w:p>
    <w:p w14:paraId="27425563" w14:textId="77777777" w:rsidR="00E22A74" w:rsidRDefault="00E22A74" w:rsidP="00E22A74">
      <w:pPr>
        <w:numPr>
          <w:ilvl w:val="0"/>
          <w:numId w:val="2"/>
        </w:numPr>
        <w:spacing w:after="160" w:line="360" w:lineRule="auto"/>
        <w:jc w:val="both"/>
        <w:rPr>
          <w:rFonts w:ascii="David" w:hAnsi="David"/>
          <w:b/>
        </w:rPr>
      </w:pPr>
      <w:r>
        <w:rPr>
          <w:rFonts w:ascii="David" w:hAnsi="David"/>
          <w:b/>
          <w:rtl/>
        </w:rPr>
        <w:t xml:space="preserve">בפסיקה נקבעו </w:t>
      </w:r>
      <w:r>
        <w:rPr>
          <w:rFonts w:ascii="David" w:hAnsi="David"/>
          <w:bCs/>
          <w:rtl/>
        </w:rPr>
        <w:t>שני תנאים מצטברים</w:t>
      </w:r>
      <w:r>
        <w:rPr>
          <w:rFonts w:ascii="David" w:hAnsi="David"/>
          <w:b/>
          <w:rtl/>
        </w:rPr>
        <w:t>, להימנעות מרשעה:</w:t>
      </w:r>
      <w:r>
        <w:rPr>
          <w:rFonts w:ascii="David" w:hAnsi="David"/>
          <w:bCs/>
          <w:rtl/>
        </w:rPr>
        <w:t xml:space="preserve"> האחד</w:t>
      </w:r>
      <w:r>
        <w:rPr>
          <w:rFonts w:ascii="David" w:hAnsi="David"/>
          <w:b/>
          <w:rtl/>
        </w:rPr>
        <w:t>, על ההרשעה לפגוע פגיעה חמורה בשיקום הנאשם, ו</w:t>
      </w:r>
      <w:r>
        <w:rPr>
          <w:rFonts w:ascii="David" w:hAnsi="David"/>
          <w:bCs/>
          <w:rtl/>
        </w:rPr>
        <w:t>השני</w:t>
      </w:r>
      <w:r>
        <w:rPr>
          <w:rFonts w:ascii="David" w:hAnsi="David"/>
          <w:b/>
          <w:rtl/>
        </w:rPr>
        <w:t xml:space="preserve">, סוג העבירה מאפשר לוותר בנסיבות המקרה המסוים על ההרשעה בלי לפגוע באופן מהותי בשיקולי הענישה האחרים (ראה </w:t>
      </w:r>
      <w:hyperlink r:id="rId20" w:history="1">
        <w:r w:rsidR="00964977" w:rsidRPr="00964977">
          <w:rPr>
            <w:rFonts w:ascii="David" w:hAnsi="David"/>
            <w:b/>
            <w:color w:val="0000FF"/>
            <w:u w:val="single"/>
            <w:rtl/>
          </w:rPr>
          <w:t>ע"פ 2083/96</w:t>
        </w:r>
      </w:hyperlink>
      <w:r>
        <w:rPr>
          <w:rFonts w:ascii="David" w:hAnsi="David"/>
          <w:b/>
          <w:rtl/>
        </w:rPr>
        <w:t xml:space="preserve"> כתב נ' מדינת ישראל פ"ד נב (3) 337 (1997) (להלן: "הלכת כתב")). </w:t>
      </w:r>
    </w:p>
    <w:p w14:paraId="36D272FC" w14:textId="77777777" w:rsidR="00E22A74" w:rsidRDefault="00E22A74" w:rsidP="00E22A74">
      <w:pPr>
        <w:numPr>
          <w:ilvl w:val="0"/>
          <w:numId w:val="2"/>
        </w:numPr>
        <w:spacing w:after="160" w:line="360" w:lineRule="auto"/>
        <w:jc w:val="both"/>
        <w:rPr>
          <w:rFonts w:ascii="David" w:hAnsi="David"/>
          <w:b/>
        </w:rPr>
      </w:pPr>
      <w:r>
        <w:rPr>
          <w:rFonts w:ascii="David" w:hAnsi="David"/>
          <w:b/>
          <w:rtl/>
        </w:rPr>
        <w:t xml:space="preserve">על ההגנה מוטל נטל השכנוע כי בנסיבות המקרה יש לחרוג מן הכלל ולהעדיף האינטרס האישי של הנאשם לביטול הרשעתו על פני האינטרס הציבורי בהותרת ההרשעה על כנה בהתחשב בשיקולים הבאים: חומרת העבירה, נסיבות ביצועה, הנזק שנגרם כתוצאה מביצוע העבירה, עקרון ההלימה והוקעת העבירה, הרתעת הרבים. אם הנזק שייגרם לנאשם כתוצאה מהרשעה קיצוני ביחס לאינטרס הציבורי, ניתן יהיה להימנע מהרשעתו. </w:t>
      </w:r>
    </w:p>
    <w:p w14:paraId="4291F3FB" w14:textId="77777777" w:rsidR="00E22A74" w:rsidRDefault="00E22A74" w:rsidP="00E22A74">
      <w:pPr>
        <w:numPr>
          <w:ilvl w:val="0"/>
          <w:numId w:val="2"/>
        </w:numPr>
        <w:spacing w:after="160" w:line="360" w:lineRule="auto"/>
        <w:jc w:val="both"/>
        <w:rPr>
          <w:rFonts w:ascii="David" w:hAnsi="David"/>
          <w:b/>
        </w:rPr>
      </w:pPr>
      <w:r>
        <w:rPr>
          <w:rFonts w:ascii="David" w:hAnsi="David"/>
          <w:b/>
          <w:rtl/>
        </w:rPr>
        <w:t xml:space="preserve">נסיבות ביצוע העבירה הינן כפי שפורטו לעיל, הנאשם החזיק ברכב, למעלה מ 400 גרם סם מסוג קנבוס. אין להקל בהחזקת סמים, ששימוש בהם עלולה לגרום לפגיעה קשה, הנאשם מסר לשירות המבחן שהרכב בו נסע הינו רכב משותף לכלל בני המשפחה הגרעינית והמורחבת, הוא התבקש על ידי בן דודו לנסוע לירושלים, שם נעצר ונמצאו אצלו סמים. </w:t>
      </w:r>
    </w:p>
    <w:p w14:paraId="7449B421" w14:textId="77777777" w:rsidR="00E22A74" w:rsidRDefault="00E22A74" w:rsidP="00E22A74">
      <w:pPr>
        <w:numPr>
          <w:ilvl w:val="0"/>
          <w:numId w:val="2"/>
        </w:numPr>
        <w:spacing w:after="160" w:line="360" w:lineRule="auto"/>
        <w:jc w:val="both"/>
        <w:rPr>
          <w:rFonts w:ascii="David" w:hAnsi="David"/>
          <w:b/>
          <w:rtl/>
        </w:rPr>
      </w:pPr>
      <w:r>
        <w:rPr>
          <w:rFonts w:ascii="David" w:hAnsi="David"/>
          <w:b/>
          <w:rtl/>
        </w:rPr>
        <w:t xml:space="preserve">בנוגע לתנאי השני, שעניינו פגיעה חמורה בשיקומו או בתעסוקתו של הנאשם – כאמור, לא המליץ שירות המבחן על ביטול הרשעת הנאשם, בעודו מציין  נטילת האחריות החלקית והיעדר אינדיקציה לפגיעה ממשית בתחום התעסוקה.  </w:t>
      </w:r>
    </w:p>
    <w:p w14:paraId="4A904EEC" w14:textId="77777777" w:rsidR="00E22A74" w:rsidRDefault="00E22A74" w:rsidP="00E22A74">
      <w:pPr>
        <w:spacing w:line="360" w:lineRule="auto"/>
        <w:ind w:left="720"/>
        <w:jc w:val="both"/>
        <w:rPr>
          <w:rFonts w:ascii="David" w:hAnsi="David"/>
          <w:bCs/>
          <w:u w:val="single"/>
          <w:rtl/>
        </w:rPr>
      </w:pPr>
      <w:r>
        <w:rPr>
          <w:rFonts w:ascii="David" w:hAnsi="David"/>
          <w:b/>
          <w:rtl/>
        </w:rPr>
        <w:t xml:space="preserve">לאור המפורט לעיל ולאחר ששקלתי טיעוני הצדדים, </w:t>
      </w:r>
      <w:r>
        <w:rPr>
          <w:rFonts w:ascii="Calibri" w:hAnsi="Calibri"/>
          <w:rtl/>
        </w:rPr>
        <w:t>אני סבור שלא עלה בידי הנאשם להצביע על קיומו של נזק קונקרטי, למרות נסיבותיו האישות והעובדה כי לכאורה הינו נעדר עבר פלילי, אין זה המקרה אותו ניתן לסיים ללא הרשעה וזאת לנוכח חומרת העבירה, עבירת החזקת סם שלא לצריכה עצמית טומנת בחובה סיכון ממשי לשלום הציבור, הדברים נכונים ביתר שאת בעניינו שכן הנאשם לא הפנים לעומק  מהות מעשיו והשלכות מעשיו. לא מצאתי פגיעה קונקרטית בתחום התעסוקה והפגיעה הפוטנציאלית, לגבי</w:t>
      </w:r>
      <w:r>
        <w:rPr>
          <w:rFonts w:ascii="Calibri" w:hAnsi="Calibri" w:hint="cs"/>
          <w:rtl/>
        </w:rPr>
        <w:t>ה</w:t>
      </w:r>
      <w:r>
        <w:rPr>
          <w:rFonts w:ascii="Calibri" w:hAnsi="Calibri"/>
          <w:rtl/>
        </w:rPr>
        <w:t xml:space="preserve"> נטען על ידי ההגנה, אינו כזו המאפשרת הימנעות מהרשעה בנסיבות העושה והמעשה.  </w:t>
      </w:r>
    </w:p>
    <w:p w14:paraId="1D30942B" w14:textId="77777777" w:rsidR="00E22A74" w:rsidRDefault="00E22A74" w:rsidP="00E22A74">
      <w:pPr>
        <w:spacing w:line="360" w:lineRule="auto"/>
        <w:jc w:val="both"/>
        <w:rPr>
          <w:rFonts w:ascii="David" w:hAnsi="David"/>
          <w:bCs/>
          <w:u w:val="single"/>
          <w:rtl/>
        </w:rPr>
      </w:pPr>
    </w:p>
    <w:p w14:paraId="6BB106B1" w14:textId="77777777" w:rsidR="00E22A74" w:rsidRDefault="00E22A74" w:rsidP="00E22A74">
      <w:pPr>
        <w:spacing w:line="360" w:lineRule="auto"/>
        <w:jc w:val="both"/>
        <w:rPr>
          <w:rFonts w:ascii="David" w:hAnsi="David"/>
          <w:bCs/>
          <w:u w:val="single"/>
          <w:rtl/>
        </w:rPr>
      </w:pPr>
      <w:r>
        <w:rPr>
          <w:rFonts w:ascii="David" w:hAnsi="David"/>
          <w:bCs/>
          <w:u w:val="single"/>
          <w:rtl/>
        </w:rPr>
        <w:t xml:space="preserve">קביעת מתחם העונש ההולם </w:t>
      </w:r>
    </w:p>
    <w:p w14:paraId="015AA2AD" w14:textId="77777777" w:rsidR="00E22A74" w:rsidRDefault="00E22A74" w:rsidP="00E22A74">
      <w:pPr>
        <w:pStyle w:val="ab"/>
        <w:numPr>
          <w:ilvl w:val="0"/>
          <w:numId w:val="2"/>
        </w:numPr>
        <w:rPr>
          <w:rFonts w:ascii="David" w:hAnsi="David" w:cs="David"/>
          <w:color w:val="000000"/>
          <w:sz w:val="24"/>
          <w:szCs w:val="24"/>
          <w:rtl/>
        </w:rPr>
      </w:pPr>
      <w:r>
        <w:rPr>
          <w:rFonts w:ascii="David" w:hAnsi="David" w:cs="David"/>
          <w:color w:val="000000"/>
          <w:sz w:val="24"/>
          <w:szCs w:val="24"/>
          <w:rtl/>
        </w:rPr>
        <w:t xml:space="preserve">כתב האישום מתאר אירוע אחד, ומכאן שיש לקבוע בגינו מתחם עונש הולם אחד. </w:t>
      </w:r>
    </w:p>
    <w:p w14:paraId="0D1F6965" w14:textId="77777777" w:rsidR="00E22A74" w:rsidRDefault="00E22A74" w:rsidP="00E22A74">
      <w:pPr>
        <w:pStyle w:val="a"/>
        <w:numPr>
          <w:ilvl w:val="0"/>
          <w:numId w:val="2"/>
        </w:numPr>
        <w:tabs>
          <w:tab w:val="left" w:pos="720"/>
        </w:tabs>
        <w:jc w:val="both"/>
        <w:rPr>
          <w:rtl/>
        </w:rPr>
      </w:pPr>
      <w:r>
        <w:rPr>
          <w:rFonts w:hint="cs"/>
          <w:rtl/>
        </w:rPr>
        <w:t xml:space="preserve">המלחמה בנגע הסמים הינה קשה ובלתי פוסקת, </w:t>
      </w:r>
      <w:r>
        <w:rPr>
          <w:rFonts w:hint="cs"/>
          <w:b/>
          <w:bCs/>
          <w:rtl/>
        </w:rPr>
        <w:t>עבירת החזקת סם שלא לצריכה עצמית פוגעת בערכים חברתיים</w:t>
      </w:r>
      <w:r>
        <w:rPr>
          <w:rFonts w:hint="cs"/>
          <w:rtl/>
        </w:rPr>
        <w:t xml:space="preserve"> של</w:t>
      </w:r>
      <w:r>
        <w:rPr>
          <w:rFonts w:hint="cs"/>
          <w:b/>
          <w:bCs/>
          <w:rtl/>
        </w:rPr>
        <w:t xml:space="preserve"> </w:t>
      </w:r>
      <w:r>
        <w:rPr>
          <w:rFonts w:hint="cs"/>
          <w:rtl/>
        </w:rPr>
        <w:t xml:space="preserve">הגנה על הציבור בכללותו מפני הנזקים הישירים והעקיפים אשר נגרמים עקב השימוש בסמים וזאת לצד הנזקים הכלכליים והחברתיים הנגרמים עקב שימוש בסמים.  </w:t>
      </w:r>
      <w:r>
        <w:rPr>
          <w:rFonts w:hint="cs"/>
          <w:b/>
          <w:bCs/>
          <w:rtl/>
        </w:rPr>
        <w:t>מידת הפגיעה בערך המוגן</w:t>
      </w:r>
      <w:r>
        <w:rPr>
          <w:rFonts w:hint="cs"/>
          <w:rtl/>
        </w:rPr>
        <w:t xml:space="preserve">  בעבירה של החזקת סם שלא לצריכה עצמית הינה ברף הבינוני, בשים לב לכמות הסמים וסוג הסם שנתפס, שאינו נכלל בגדר הסמים המוגדרים כ"קשים".  </w:t>
      </w:r>
    </w:p>
    <w:p w14:paraId="091AF10F" w14:textId="77777777" w:rsidR="00E22A74" w:rsidRDefault="00E22A74" w:rsidP="00E22A74">
      <w:pPr>
        <w:pStyle w:val="a"/>
        <w:numPr>
          <w:ilvl w:val="0"/>
          <w:numId w:val="0"/>
        </w:numPr>
        <w:tabs>
          <w:tab w:val="left" w:pos="720"/>
        </w:tabs>
        <w:ind w:left="720"/>
        <w:jc w:val="both"/>
        <w:rPr>
          <w:rtl/>
        </w:rPr>
      </w:pPr>
      <w:r>
        <w:rPr>
          <w:rFonts w:hint="cs"/>
          <w:rtl/>
        </w:rPr>
        <w:t xml:space="preserve">על הצורך להילחם בנגע הסמים וחומרת הענישה שיש לנקוט כלפי המעורבים במערך הפצת הסמים, דובר רבות בפסיקה. </w:t>
      </w:r>
    </w:p>
    <w:p w14:paraId="699E6F40" w14:textId="77777777" w:rsidR="00E22A74" w:rsidRDefault="00E22A74" w:rsidP="00E22A74">
      <w:pPr>
        <w:pStyle w:val="a"/>
        <w:numPr>
          <w:ilvl w:val="0"/>
          <w:numId w:val="0"/>
        </w:numPr>
        <w:tabs>
          <w:tab w:val="left" w:pos="720"/>
        </w:tabs>
        <w:ind w:left="720"/>
        <w:jc w:val="both"/>
        <w:rPr>
          <w:rtl/>
        </w:rPr>
      </w:pPr>
      <w:r>
        <w:rPr>
          <w:rFonts w:hint="cs"/>
          <w:rtl/>
        </w:rPr>
        <w:t>ראה הנאמר ב</w:t>
      </w:r>
      <w:hyperlink r:id="rId21" w:history="1">
        <w:r w:rsidR="00964977" w:rsidRPr="00964977">
          <w:rPr>
            <w:color w:val="0000FF"/>
            <w:u w:val="single"/>
            <w:rtl/>
          </w:rPr>
          <w:t>ע"פ 211/09</w:t>
        </w:r>
      </w:hyperlink>
      <w:r>
        <w:rPr>
          <w:rFonts w:hint="cs"/>
          <w:rtl/>
        </w:rPr>
        <w:t xml:space="preserve"> </w:t>
      </w:r>
      <w:r>
        <w:rPr>
          <w:rFonts w:hint="cs"/>
          <w:b/>
          <w:bCs/>
          <w:rtl/>
        </w:rPr>
        <w:t xml:space="preserve">אזולאי נ' מדינת ישראל( 22.06.10) : </w:t>
      </w:r>
    </w:p>
    <w:p w14:paraId="7E1EE58B" w14:textId="77777777" w:rsidR="00E22A74" w:rsidRDefault="00E22A74" w:rsidP="00E22A74">
      <w:pPr>
        <w:pStyle w:val="a"/>
        <w:numPr>
          <w:ilvl w:val="0"/>
          <w:numId w:val="0"/>
        </w:numPr>
        <w:tabs>
          <w:tab w:val="left" w:pos="720"/>
        </w:tabs>
        <w:ind w:left="720"/>
        <w:jc w:val="both"/>
        <w:rPr>
          <w:rtl/>
        </w:rPr>
      </w:pPr>
      <w:r>
        <w:rPr>
          <w:rFonts w:hint="cs"/>
          <w:rtl/>
        </w:rPr>
        <w:t>"</w:t>
      </w:r>
      <w:r w:rsidR="00964977">
        <w:rPr>
          <w:rFonts w:hint="cs"/>
          <w:rtl/>
        </w:rPr>
        <w:t xml:space="preserve"> </w:t>
      </w:r>
      <w:r>
        <w:rPr>
          <w:rFonts w:hint="cs"/>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rtl/>
        </w:rPr>
        <w:t xml:space="preserve">." </w:t>
      </w:r>
    </w:p>
    <w:p w14:paraId="0258EE40" w14:textId="77777777" w:rsidR="00E22A74" w:rsidRDefault="00E22A74" w:rsidP="00E22A74">
      <w:pPr>
        <w:numPr>
          <w:ilvl w:val="0"/>
          <w:numId w:val="2"/>
        </w:numPr>
        <w:spacing w:after="160" w:line="360" w:lineRule="auto"/>
        <w:jc w:val="both"/>
        <w:rPr>
          <w:rFonts w:ascii="David" w:hAnsi="David"/>
          <w:b/>
          <w:bCs/>
          <w:rtl/>
        </w:rPr>
      </w:pPr>
      <w:r>
        <w:rPr>
          <w:rFonts w:ascii="David" w:hAnsi="David"/>
          <w:rtl/>
        </w:rPr>
        <w:t xml:space="preserve">במסגרת </w:t>
      </w:r>
      <w:r>
        <w:rPr>
          <w:rFonts w:ascii="David" w:hAnsi="David"/>
          <w:b/>
          <w:bCs/>
          <w:rtl/>
        </w:rPr>
        <w:t xml:space="preserve">הנסיבות הקשורות בביצוע העבירה </w:t>
      </w:r>
      <w:r>
        <w:rPr>
          <w:rFonts w:ascii="David" w:hAnsi="David"/>
          <w:rtl/>
        </w:rPr>
        <w:t xml:space="preserve">(סעיף </w:t>
      </w:r>
      <w:hyperlink r:id="rId22" w:history="1">
        <w:r w:rsidR="001B2106" w:rsidRPr="001B2106">
          <w:rPr>
            <w:rStyle w:val="Hyperlink"/>
            <w:rFonts w:ascii="David" w:hAnsi="David"/>
            <w:rtl/>
          </w:rPr>
          <w:t>40 ט'</w:t>
        </w:r>
      </w:hyperlink>
      <w:r>
        <w:rPr>
          <w:rFonts w:ascii="David" w:hAnsi="David"/>
          <w:rtl/>
        </w:rPr>
        <w:t xml:space="preserve"> לחוק), יש לתת את הדעת לכך שהנאשם נמצא מחזיק מחוץ לביתו, ברכב בו נהג, למעלה מ 400 גרם סם מסוג קנבוס. לכאורה מדובר בסמים </w:t>
      </w:r>
      <w:r>
        <w:rPr>
          <w:rtl/>
        </w:rPr>
        <w:t xml:space="preserve">המוגדרים כסמים "קלים" יחסית ואשר הענישה לגביהם פחותה יותר ביחס לסמים אחרים. עם זאת, אין להתעלם מהנזק ומהסיכון הרב הטמון בעבירת החזקה שלא לצריכה עצמית. </w:t>
      </w:r>
    </w:p>
    <w:p w14:paraId="28B8BE54" w14:textId="77777777" w:rsidR="00E22A74" w:rsidRDefault="00E22A74" w:rsidP="00E22A74">
      <w:pPr>
        <w:numPr>
          <w:ilvl w:val="0"/>
          <w:numId w:val="2"/>
        </w:numPr>
        <w:spacing w:after="160" w:line="360" w:lineRule="auto"/>
        <w:jc w:val="both"/>
        <w:rPr>
          <w:rFonts w:ascii="David" w:hAnsi="David"/>
          <w:b/>
          <w:bCs/>
        </w:rPr>
      </w:pPr>
      <w:r>
        <w:rPr>
          <w:rFonts w:ascii="David" w:hAnsi="David"/>
          <w:b/>
          <w:bCs/>
          <w:rtl/>
        </w:rPr>
        <w:t>בחינת מדיניות הענישה הנוהגת בעבירות של דומות  מעלה שהוטלו על נאשמים עונשים במנעד רחב כמפורט להלן:</w:t>
      </w:r>
    </w:p>
    <w:p w14:paraId="526A7562" w14:textId="77777777" w:rsidR="00E22A74" w:rsidRDefault="00964977" w:rsidP="00E22A74">
      <w:pPr>
        <w:pStyle w:val="a"/>
        <w:numPr>
          <w:ilvl w:val="1"/>
          <w:numId w:val="2"/>
        </w:numPr>
        <w:tabs>
          <w:tab w:val="left" w:pos="720"/>
        </w:tabs>
        <w:jc w:val="both"/>
        <w:rPr>
          <w:u w:val="single"/>
        </w:rPr>
      </w:pPr>
      <w:hyperlink r:id="rId23" w:history="1">
        <w:r w:rsidRPr="00964977">
          <w:rPr>
            <w:color w:val="0000FF"/>
            <w:u w:val="single"/>
            <w:rtl/>
          </w:rPr>
          <w:t>רע"פ 1267/23</w:t>
        </w:r>
      </w:hyperlink>
      <w:r w:rsidR="00E22A74">
        <w:rPr>
          <w:rFonts w:hint="cs"/>
          <w:u w:val="single"/>
          <w:rtl/>
        </w:rPr>
        <w:t xml:space="preserve"> </w:t>
      </w:r>
      <w:r w:rsidR="00E22A74">
        <w:rPr>
          <w:rFonts w:hint="cs"/>
          <w:b/>
          <w:bCs/>
          <w:u w:val="single"/>
          <w:rtl/>
        </w:rPr>
        <w:t>בלקר נ' מדינת ישראל</w:t>
      </w:r>
      <w:r w:rsidR="00E22A74">
        <w:rPr>
          <w:rFonts w:hint="cs"/>
          <w:u w:val="single"/>
          <w:rtl/>
        </w:rPr>
        <w:t xml:space="preserve"> (06.03.23)</w:t>
      </w:r>
      <w:r w:rsidR="00E22A74">
        <w:rPr>
          <w:rFonts w:hint="cs"/>
          <w:rtl/>
        </w:rPr>
        <w:t xml:space="preserve"> -  עבירה של החזקת סם מסוג קנבוס למעלה מ 650 גרם, וכן נתפסו שני משקלים דיגיטליים. בית משפט השלום קבע מתחם ענישה הנע בין מאסר מותנה לשנת מאסר בפועל, הנאשם צעיר שאינו מנהל אורח חיים עברייני  נדון ל-6 חודשי מאסר מותנה , ערעור המדינה התקבל ועונשו של הנאשם הומר ל 2 חודשי מאסר בעבודת שירות. בקשת ערעור שהגיש הנאשם נדחתה. </w:t>
      </w:r>
    </w:p>
    <w:p w14:paraId="59260B6A" w14:textId="77777777" w:rsidR="00E22A74" w:rsidRDefault="00964977" w:rsidP="00E22A74">
      <w:pPr>
        <w:pStyle w:val="a"/>
        <w:numPr>
          <w:ilvl w:val="1"/>
          <w:numId w:val="2"/>
        </w:numPr>
        <w:tabs>
          <w:tab w:val="left" w:pos="720"/>
        </w:tabs>
        <w:jc w:val="both"/>
      </w:pPr>
      <w:hyperlink r:id="rId24" w:history="1">
        <w:r w:rsidRPr="00964977">
          <w:rPr>
            <w:b/>
            <w:bCs/>
            <w:color w:val="0000FF"/>
            <w:u w:val="single"/>
            <w:rtl/>
          </w:rPr>
          <w:t>רע"פ  636/21</w:t>
        </w:r>
      </w:hyperlink>
      <w:r w:rsidR="00E22A74">
        <w:rPr>
          <w:rFonts w:hint="cs"/>
          <w:b/>
          <w:bCs/>
          <w:u w:val="single"/>
          <w:rtl/>
        </w:rPr>
        <w:t xml:space="preserve"> ברוך לוי נ' מדינת ישראל</w:t>
      </w:r>
      <w:r w:rsidR="00E22A74">
        <w:rPr>
          <w:rFonts w:hint="cs"/>
          <w:u w:val="single"/>
          <w:rtl/>
        </w:rPr>
        <w:t xml:space="preserve"> (16.02.21) </w:t>
      </w:r>
      <w:r w:rsidR="00E22A74">
        <w:rPr>
          <w:rFonts w:hint="cs"/>
          <w:rtl/>
        </w:rPr>
        <w:t xml:space="preserve">– עבירה של החזקת סם מסוג חשיש במשקל כולל של כ-760 גרם, </w:t>
      </w:r>
      <w:r w:rsidR="00E22A74">
        <w:rPr>
          <w:rFonts w:hint="cs"/>
          <w:b/>
          <w:bCs/>
          <w:rtl/>
        </w:rPr>
        <w:t>בית משפט השלום קבע כי מתחם העונש ההולם נע בין 6 חודשי מאסר בפועל לריצוי בדרך של עבודות שירות ועד 12 חודשי מאסר בפועל,</w:t>
      </w:r>
      <w:r w:rsidR="00E22A74">
        <w:rPr>
          <w:rFonts w:hint="cs"/>
          <w:rtl/>
        </w:rPr>
        <w:t xml:space="preserve"> נוכח שיקולי שיקום סטה בית משפט השלום ממתחם הענישה שנקבע והשית על הנאשם 4 חודשי מאסר בפועל שירוצו בעבודת שירות בצירוף ענישה נלווית. ערעור ובקשת רשות ערעור שהגיש הנאשם נדחו. </w:t>
      </w:r>
    </w:p>
    <w:p w14:paraId="2390C10B" w14:textId="77777777" w:rsidR="00E22A74" w:rsidRDefault="00964977" w:rsidP="00E22A74">
      <w:pPr>
        <w:pStyle w:val="a"/>
        <w:numPr>
          <w:ilvl w:val="1"/>
          <w:numId w:val="2"/>
        </w:numPr>
        <w:tabs>
          <w:tab w:val="left" w:pos="720"/>
        </w:tabs>
        <w:jc w:val="both"/>
      </w:pPr>
      <w:hyperlink r:id="rId25" w:history="1">
        <w:r w:rsidRPr="00964977">
          <w:rPr>
            <w:color w:val="0000FF"/>
            <w:u w:val="single"/>
            <w:rtl/>
          </w:rPr>
          <w:t>רע"פ 8759/21</w:t>
        </w:r>
      </w:hyperlink>
      <w:r w:rsidR="00E22A74">
        <w:rPr>
          <w:rFonts w:hint="cs"/>
          <w:u w:val="single"/>
          <w:rtl/>
        </w:rPr>
        <w:t xml:space="preserve"> </w:t>
      </w:r>
      <w:r w:rsidR="00E22A74">
        <w:rPr>
          <w:rFonts w:hint="cs"/>
          <w:b/>
          <w:bCs/>
          <w:u w:val="single"/>
          <w:rtl/>
        </w:rPr>
        <w:t>אלעד וקסלר נ' מדינת ישראל</w:t>
      </w:r>
      <w:r w:rsidR="00E22A74">
        <w:rPr>
          <w:rFonts w:hint="cs"/>
          <w:u w:val="single"/>
          <w:rtl/>
        </w:rPr>
        <w:t xml:space="preserve"> (23.12.21)</w:t>
      </w:r>
      <w:r w:rsidR="00E22A74">
        <w:rPr>
          <w:rFonts w:hint="cs"/>
          <w:rtl/>
        </w:rPr>
        <w:t xml:space="preserve"> –עבירה של החזקת סם שלא לצריכה עצמית ועבירה של  החזקת אגרופן או סכין שלא כדין. הנאשם החזיק בביתו סם קנבוס במשקל כולל של 229.35 גרם, ובתיק שצורף החזיק באגרופן, מחוץ לתחום ביתו, </w:t>
      </w:r>
      <w:r w:rsidR="00E22A74">
        <w:rPr>
          <w:rFonts w:hint="cs"/>
          <w:b/>
          <w:bCs/>
          <w:rtl/>
        </w:rPr>
        <w:t>בנוגע לעבירה החזקת הסם שלא לצריכה עצמית, בית המשפט השלום קבע מתחם העונש ההולם הנע בין מאסר על תנאי לצד צו של"צ, וענישה נלווית ועד ל-8 חודשי מאסר בפועל. בנוגע לעבירה של החזקת סכין  נקבע מתחם הנע בין מאסר על תנאי ל-6 חודשי מאסר בפועל</w:t>
      </w:r>
      <w:r w:rsidR="00E22A74">
        <w:rPr>
          <w:rFonts w:hint="cs"/>
          <w:rtl/>
        </w:rPr>
        <w:t xml:space="preserve">. בית המשפט השלום גזר על המערער, יליד 1993, נעדר עבר פלילי, אשר הוציא מאז ביצוע העבירה רישיון לקנאביס רפואי, לא שיתף פעולה עם שירות המבחן, מאסר לתקופה של 30 יום לריצוי בעבודת וענישה נלווית. ערעור שהגיש הנאשם לבית משפט מחוזי ובקשת רשות ערעור שהוגשה לבית משפט העליון – נדחו.  </w:t>
      </w:r>
    </w:p>
    <w:p w14:paraId="034A8D2E" w14:textId="77777777" w:rsidR="00E22A74" w:rsidRDefault="00964977" w:rsidP="00E22A74">
      <w:pPr>
        <w:pStyle w:val="a"/>
        <w:numPr>
          <w:ilvl w:val="1"/>
          <w:numId w:val="2"/>
        </w:numPr>
        <w:tabs>
          <w:tab w:val="left" w:pos="720"/>
        </w:tabs>
        <w:jc w:val="both"/>
        <w:rPr>
          <w:u w:val="single"/>
          <w:rtl/>
        </w:rPr>
      </w:pPr>
      <w:hyperlink r:id="rId26" w:history="1">
        <w:r w:rsidRPr="00964977">
          <w:rPr>
            <w:b/>
            <w:bCs/>
            <w:color w:val="0000FF"/>
            <w:u w:val="single"/>
            <w:rtl/>
          </w:rPr>
          <w:t>ת"פ (ב"ש) 29859-05-16</w:t>
        </w:r>
      </w:hyperlink>
      <w:r w:rsidR="00E22A74">
        <w:rPr>
          <w:rFonts w:hint="cs"/>
          <w:b/>
          <w:bCs/>
          <w:u w:val="single"/>
          <w:rtl/>
        </w:rPr>
        <w:t xml:space="preserve"> מדינת ישראל נ' מרהלי</w:t>
      </w:r>
      <w:r w:rsidR="00E22A74">
        <w:rPr>
          <w:rFonts w:hint="cs"/>
          <w:u w:val="single"/>
          <w:rtl/>
        </w:rPr>
        <w:t xml:space="preserve"> </w:t>
      </w:r>
      <w:r w:rsidR="00E22A74">
        <w:rPr>
          <w:rFonts w:hint="cs"/>
          <w:rtl/>
        </w:rPr>
        <w:t xml:space="preserve">( 06.02.17) – הנאשם הורשע על פי הודאתו בעבירה של סיוע להחזקת סם מסוג חשיש שלא לצריכה עצמית במשקל 1,000 גר'  ועבירה של החזקת שני גר' סם מסוג קנבוס לצריכה עצמית.  </w:t>
      </w:r>
      <w:r w:rsidR="00E22A74">
        <w:rPr>
          <w:rFonts w:hint="cs"/>
          <w:b/>
          <w:bCs/>
          <w:rtl/>
        </w:rPr>
        <w:t>הצדדים עתרו במשותף להטלת עונש של 6 חודשי עבודת שירות בכפוף להליך טיפולי.</w:t>
      </w:r>
      <w:r w:rsidR="00E22A74">
        <w:rPr>
          <w:rFonts w:hint="cs"/>
          <w:rtl/>
        </w:rPr>
        <w:t xml:space="preserve"> הנאשם נעדר עבר פלילי, עבר הליך טיפולי. בית המשפט קיבל הסדר הטיעון. </w:t>
      </w:r>
    </w:p>
    <w:p w14:paraId="5E16CA71" w14:textId="77777777" w:rsidR="00E22A74" w:rsidRDefault="00964977" w:rsidP="00E22A74">
      <w:pPr>
        <w:pStyle w:val="a"/>
        <w:numPr>
          <w:ilvl w:val="1"/>
          <w:numId w:val="2"/>
        </w:numPr>
        <w:tabs>
          <w:tab w:val="left" w:pos="720"/>
        </w:tabs>
        <w:jc w:val="both"/>
      </w:pPr>
      <w:hyperlink r:id="rId27" w:history="1">
        <w:r w:rsidRPr="00964977">
          <w:rPr>
            <w:b/>
            <w:bCs/>
            <w:color w:val="0000FF"/>
            <w:u w:val="single"/>
            <w:rtl/>
          </w:rPr>
          <w:t>עפ"ג (ב"ש) 24043-04-17</w:t>
        </w:r>
      </w:hyperlink>
      <w:r w:rsidR="00E22A74">
        <w:rPr>
          <w:rFonts w:hint="cs"/>
          <w:b/>
          <w:bCs/>
          <w:u w:val="single"/>
          <w:rtl/>
        </w:rPr>
        <w:t xml:space="preserve"> אל קשכר נ' מדינת ישראל (14.06.17)</w:t>
      </w:r>
      <w:r w:rsidR="00E22A74">
        <w:rPr>
          <w:rFonts w:hint="cs"/>
          <w:rtl/>
        </w:rPr>
        <w:t xml:space="preserve">)  הנאשם הורשע בהתאם להודאתו בעבירה של החזקת סם שלא לצריכה עצמית, בכך שהחזיק שקית שהכילה סם מסוג קנבוס במשקל של 922.40 גרם, וניסה להשליכה מהחלון בעת שכרזו לו שוטרים. </w:t>
      </w:r>
      <w:r w:rsidR="00E22A74">
        <w:rPr>
          <w:rFonts w:hint="cs"/>
          <w:b/>
          <w:bCs/>
          <w:rtl/>
        </w:rPr>
        <w:t>בית משפט השלום קבע מתחם עונש שנע בין 6 חודשי מאסר ל- 12 חודשים,</w:t>
      </w:r>
      <w:r w:rsidR="00E22A74">
        <w:rPr>
          <w:rFonts w:hint="cs"/>
          <w:rtl/>
        </w:rPr>
        <w:t xml:space="preserve"> וגזר על הנאשם בעל עבר פלילי בתחום הסמים, עונש מאסר בפועל למשך 7 חודשים. ערעור שהגיש הנאשם על חומרת העונש נדחה.</w:t>
      </w:r>
    </w:p>
    <w:p w14:paraId="2B613BC1" w14:textId="77777777" w:rsidR="00E22A74" w:rsidRDefault="00964977" w:rsidP="00E22A74">
      <w:pPr>
        <w:pStyle w:val="a"/>
        <w:numPr>
          <w:ilvl w:val="1"/>
          <w:numId w:val="2"/>
        </w:numPr>
        <w:tabs>
          <w:tab w:val="left" w:pos="720"/>
        </w:tabs>
        <w:jc w:val="both"/>
      </w:pPr>
      <w:hyperlink r:id="rId28" w:history="1">
        <w:r w:rsidRPr="00964977">
          <w:rPr>
            <w:color w:val="0000FF"/>
            <w:u w:val="single"/>
            <w:rtl/>
          </w:rPr>
          <w:t>עפ"ג (חיפה) 63945-07-18</w:t>
        </w:r>
      </w:hyperlink>
      <w:r w:rsidR="00E22A74">
        <w:rPr>
          <w:rFonts w:hint="cs"/>
          <w:u w:val="single"/>
          <w:rtl/>
        </w:rPr>
        <w:t xml:space="preserve"> </w:t>
      </w:r>
      <w:r w:rsidR="00E22A74">
        <w:rPr>
          <w:rFonts w:hint="cs"/>
          <w:b/>
          <w:bCs/>
          <w:u w:val="single"/>
          <w:rtl/>
        </w:rPr>
        <w:t>מדינת ישראל נ' אזריאל</w:t>
      </w:r>
      <w:r w:rsidR="00E22A74">
        <w:rPr>
          <w:rFonts w:hint="cs"/>
          <w:u w:val="single"/>
          <w:rtl/>
        </w:rPr>
        <w:t xml:space="preserve"> (08.11.18</w:t>
      </w:r>
      <w:r w:rsidR="00E22A74">
        <w:rPr>
          <w:rFonts w:hint="cs"/>
          <w:rtl/>
        </w:rPr>
        <w:t xml:space="preserve">) נאשם הורשע בעבירה של החזקת סם מסוג קנבוס במשקל 758 גרם שלא לצריכה עצמית בצוותא עם אחר, בדירה. בית משפט השלום  קבע מתחם ענישה </w:t>
      </w:r>
      <w:r w:rsidR="00E22A74">
        <w:rPr>
          <w:rFonts w:hint="cs"/>
          <w:b/>
          <w:bCs/>
          <w:rtl/>
        </w:rPr>
        <w:t>נע בין מאסר מותנה ל-6 חודשי מאסר שיכול וירוצה בעבודות שירות,</w:t>
      </w:r>
      <w:r w:rsidR="00E22A74">
        <w:rPr>
          <w:rFonts w:hint="cs"/>
          <w:rtl/>
        </w:rPr>
        <w:t xml:space="preserve"> וגזר על הנאשם 9 ימי מאסר, כימי מעצרו, וענישה נלווית, וזאת בין היתר עקב אי התאמתו לביצוע עבודות שירות נוכח שאריות סם שנמצאו בבדיקות שעשה. ערעור שהגישה המדינה על קולת העונש התקבל ועונשו של הנאשם </w:t>
      </w:r>
      <w:r w:rsidR="00E22A74">
        <w:rPr>
          <w:rFonts w:hint="cs"/>
          <w:b/>
          <w:bCs/>
          <w:rtl/>
        </w:rPr>
        <w:t>הועמד על 5 חודשי מאסר בפועל</w:t>
      </w:r>
      <w:r w:rsidR="00E22A74">
        <w:rPr>
          <w:rFonts w:hint="cs"/>
          <w:rtl/>
        </w:rPr>
        <w:t xml:space="preserve">, בהתחשב בגילו הצעיר, בהרשעתו בעבירת מרמה סמוך לפני ביצוע העבירה, והיות שתסקירי שירות המבחן בעניינו היו שליליים. בנוסף ציין  בית המשפט המחוזי כי מתחם העונש בעבירת החזקה של סמים שלא לצריכה עצמית בכמות גדולה, כבמקרה זה, </w:t>
      </w:r>
      <w:r w:rsidR="00E22A74">
        <w:rPr>
          <w:rFonts w:hint="cs"/>
          <w:b/>
          <w:bCs/>
          <w:rtl/>
        </w:rPr>
        <w:t>נע בין מספר חודשי מאסר בעבודות שירות ועד 12 חודשי מאסר בפועל</w:t>
      </w:r>
      <w:r w:rsidR="00E22A74">
        <w:rPr>
          <w:rFonts w:hint="cs"/>
          <w:rtl/>
        </w:rPr>
        <w:t>, לכל הפחות.</w:t>
      </w:r>
    </w:p>
    <w:p w14:paraId="4C3E1867" w14:textId="77777777" w:rsidR="00E22A74" w:rsidRDefault="00E22A74" w:rsidP="00E22A74">
      <w:pPr>
        <w:pStyle w:val="a"/>
        <w:numPr>
          <w:ilvl w:val="0"/>
          <w:numId w:val="2"/>
        </w:numPr>
        <w:tabs>
          <w:tab w:val="left" w:pos="720"/>
        </w:tabs>
        <w:jc w:val="both"/>
      </w:pPr>
      <w:r>
        <w:rPr>
          <w:rFonts w:hint="cs"/>
          <w:rtl/>
        </w:rPr>
        <w:t xml:space="preserve">לאחר ששקלתי נסיבות ביצוע העבירות, כמות הסם וסוג הסם, אני קובע שמתחם העונש ההולם במקרה שבפני </w:t>
      </w:r>
      <w:r>
        <w:rPr>
          <w:rFonts w:hint="cs"/>
          <w:b/>
          <w:bCs/>
          <w:rtl/>
        </w:rPr>
        <w:t>נע ממספר חודשי מאסר בפועל שיכול וירוצו בעבודות שירות ועד 12 חודשי מאסר בפועל בצירוף ענישה נלווית</w:t>
      </w:r>
      <w:r>
        <w:rPr>
          <w:rFonts w:hint="cs"/>
          <w:rtl/>
        </w:rPr>
        <w:t>.</w:t>
      </w:r>
    </w:p>
    <w:p w14:paraId="053B1797" w14:textId="77777777" w:rsidR="00E22A74" w:rsidRDefault="00E22A74" w:rsidP="00E22A74">
      <w:pPr>
        <w:pStyle w:val="a"/>
        <w:numPr>
          <w:ilvl w:val="0"/>
          <w:numId w:val="2"/>
        </w:numPr>
        <w:tabs>
          <w:tab w:val="left" w:pos="720"/>
        </w:tabs>
        <w:jc w:val="both"/>
      </w:pPr>
      <w:r>
        <w:rPr>
          <w:rFonts w:hint="cs"/>
          <w:rtl/>
        </w:rPr>
        <w:t>במקרה דנן לא מצאתי כי קיימים שיקולים שמצדיקים סטייה מהמתחם לחומרה או לקולא.</w:t>
      </w:r>
    </w:p>
    <w:p w14:paraId="4704AC1C" w14:textId="77777777" w:rsidR="00E22A74" w:rsidRDefault="00E22A74" w:rsidP="00E22A74">
      <w:pPr>
        <w:spacing w:line="360" w:lineRule="auto"/>
        <w:ind w:left="720"/>
        <w:jc w:val="both"/>
        <w:rPr>
          <w:rFonts w:ascii="David" w:hAnsi="David"/>
          <w:bCs/>
          <w:u w:val="single"/>
          <w:rtl/>
        </w:rPr>
      </w:pPr>
    </w:p>
    <w:p w14:paraId="194B871D" w14:textId="77777777" w:rsidR="00E22A74" w:rsidRDefault="00E22A74" w:rsidP="00E22A74">
      <w:pPr>
        <w:spacing w:line="360" w:lineRule="auto"/>
        <w:ind w:firstLine="720"/>
        <w:jc w:val="both"/>
        <w:rPr>
          <w:rFonts w:ascii="David" w:hAnsi="David"/>
          <w:bCs/>
          <w:u w:val="single"/>
          <w:rtl/>
        </w:rPr>
      </w:pPr>
      <w:r>
        <w:rPr>
          <w:rFonts w:ascii="David" w:hAnsi="David"/>
          <w:bCs/>
          <w:u w:val="single"/>
          <w:rtl/>
        </w:rPr>
        <w:t>גזירת העונש המתאים לנאשם</w:t>
      </w:r>
    </w:p>
    <w:p w14:paraId="018B2E51" w14:textId="77777777" w:rsidR="00E22A74" w:rsidRDefault="00E22A74" w:rsidP="00E22A74">
      <w:pPr>
        <w:spacing w:line="360" w:lineRule="auto"/>
        <w:jc w:val="both"/>
        <w:rPr>
          <w:rFonts w:ascii="David" w:hAnsi="David"/>
          <w:b/>
          <w:rtl/>
        </w:rPr>
      </w:pPr>
      <w:r>
        <w:rPr>
          <w:rFonts w:ascii="David" w:hAnsi="David"/>
          <w:b/>
          <w:rtl/>
        </w:rPr>
        <w:tab/>
        <w:t xml:space="preserve">הנאשם בן 19, נישא לאחרונה, טרם מעצרו עבד ברעיית צאן ביחד עם אביו. </w:t>
      </w:r>
    </w:p>
    <w:p w14:paraId="537C978A" w14:textId="77777777" w:rsidR="00E22A74" w:rsidRDefault="00E22A74" w:rsidP="00E22A74">
      <w:pPr>
        <w:spacing w:line="360" w:lineRule="auto"/>
        <w:ind w:left="720"/>
        <w:jc w:val="both"/>
        <w:rPr>
          <w:rFonts w:ascii="David" w:hAnsi="David"/>
          <w:b/>
          <w:rtl/>
        </w:rPr>
      </w:pPr>
      <w:r>
        <w:rPr>
          <w:rFonts w:ascii="David" w:hAnsi="David"/>
          <w:b/>
          <w:rtl/>
        </w:rPr>
        <w:t>הנאשם הודה במיוחס לו במסגרת הסדר דיוני בכתב אישום מתוקן ובכך חסך בזמן שיפוטי, הנאשם אומנם הביע חרטה אך נטל אחריות חלקית למעשיו, שכן בפני שירות המבחן טען שהרכב בו נסע משמש בני משפחה רבים, הוא טען שהתבקש על ידי בן דודו לנסוע לירושלים, ובדרך נעצר. גרסה זו של הנאשם מעלה ספקות רבות לגבי יכולתו להפנים החומרה והשלכות מעשיו.</w:t>
      </w:r>
    </w:p>
    <w:p w14:paraId="6DCE7939" w14:textId="77777777" w:rsidR="00E22A74" w:rsidRDefault="00E22A74" w:rsidP="00E22A74">
      <w:pPr>
        <w:spacing w:line="360" w:lineRule="auto"/>
        <w:ind w:left="720"/>
        <w:jc w:val="both"/>
        <w:rPr>
          <w:rFonts w:ascii="David" w:hAnsi="David"/>
          <w:b/>
        </w:rPr>
      </w:pPr>
      <w:r>
        <w:rPr>
          <w:rFonts w:ascii="David" w:hAnsi="David"/>
          <w:b/>
          <w:rtl/>
        </w:rPr>
        <w:t xml:space="preserve">הנאשם נעדר עבר פלילי קודם, שלל שימוש בחומרים משני תודעה. מצוי בתנאים מגבילים במסגרת תיק המעצר החל מחודש יוני 2022. </w:t>
      </w:r>
    </w:p>
    <w:p w14:paraId="250D812F" w14:textId="77777777" w:rsidR="00E22A74" w:rsidRDefault="00E22A74" w:rsidP="00E22A74">
      <w:pPr>
        <w:spacing w:line="360" w:lineRule="auto"/>
        <w:ind w:left="720"/>
        <w:jc w:val="both"/>
        <w:rPr>
          <w:rFonts w:ascii="David" w:hAnsi="David"/>
          <w:b/>
          <w:rtl/>
        </w:rPr>
      </w:pPr>
    </w:p>
    <w:p w14:paraId="1221BD1F" w14:textId="77777777" w:rsidR="00E22A74" w:rsidRDefault="00E22A74" w:rsidP="00E22A74">
      <w:pPr>
        <w:spacing w:line="360" w:lineRule="auto"/>
        <w:ind w:left="720"/>
        <w:jc w:val="both"/>
        <w:rPr>
          <w:rFonts w:ascii="David" w:hAnsi="David"/>
          <w:b/>
          <w:rtl/>
        </w:rPr>
      </w:pPr>
      <w:r>
        <w:rPr>
          <w:rFonts w:ascii="David" w:hAnsi="David"/>
          <w:b/>
          <w:rtl/>
        </w:rPr>
        <w:t>לעניין חילוט הרכב שהתבקש בכתב האישום, בשים לב להסכמת המאשימה להשבת הרכב ובהעדר תנאים הכוללים הפקדה ובטוחות כספיות, נראה כי המאשימה חזרה בה מבקשה זו. נסיבות המקרה שבפני, בשים לב לכמות הסמים שנתפסה וסוג הסם, נוכח הטענה, שלא נסתרה, כי הרכב אינו של הנאשם ומשמש בני משפחה נוספים, לא מצאתי כי זהו המקרה המצדיק חילוט הרכב. לפיכך, העונש לא יכלול רכיב זה של חילוט.</w:t>
      </w:r>
    </w:p>
    <w:p w14:paraId="336107F5" w14:textId="77777777" w:rsidR="00E22A74" w:rsidRDefault="00E22A74" w:rsidP="00E22A74">
      <w:pPr>
        <w:spacing w:line="360" w:lineRule="auto"/>
        <w:ind w:left="360"/>
        <w:jc w:val="both"/>
        <w:rPr>
          <w:rFonts w:ascii="David" w:hAnsi="David"/>
          <w:b/>
          <w:rtl/>
        </w:rPr>
      </w:pPr>
    </w:p>
    <w:p w14:paraId="2C7B1699" w14:textId="77777777" w:rsidR="00E22A74" w:rsidRDefault="00E22A74" w:rsidP="00E22A74">
      <w:pPr>
        <w:numPr>
          <w:ilvl w:val="0"/>
          <w:numId w:val="2"/>
        </w:numPr>
        <w:spacing w:after="160" w:line="360" w:lineRule="auto"/>
        <w:jc w:val="both"/>
        <w:rPr>
          <w:rFonts w:ascii="David" w:hAnsi="David"/>
        </w:rPr>
      </w:pPr>
      <w:r>
        <w:rPr>
          <w:rFonts w:ascii="David" w:hAnsi="David"/>
          <w:b/>
          <w:bCs/>
          <w:u w:val="single"/>
          <w:rtl/>
        </w:rPr>
        <w:t>אשר על-כן, אני גוזר על הנאשם את העונשים הבאים</w:t>
      </w:r>
      <w:r>
        <w:rPr>
          <w:rFonts w:ascii="David" w:hAnsi="David"/>
          <w:rtl/>
        </w:rPr>
        <w:t>:</w:t>
      </w:r>
    </w:p>
    <w:p w14:paraId="091EC832" w14:textId="77777777" w:rsidR="00E22A74" w:rsidRDefault="00E22A74" w:rsidP="00E22A74">
      <w:pPr>
        <w:numPr>
          <w:ilvl w:val="0"/>
          <w:numId w:val="3"/>
        </w:numPr>
        <w:tabs>
          <w:tab w:val="num" w:pos="716"/>
        </w:tabs>
        <w:spacing w:line="360" w:lineRule="auto"/>
        <w:ind w:left="925" w:hanging="539"/>
        <w:jc w:val="both"/>
        <w:rPr>
          <w:rtl/>
        </w:rPr>
      </w:pPr>
      <w:r>
        <w:rPr>
          <w:rFonts w:hint="cs"/>
          <w:rtl/>
        </w:rPr>
        <w:t>4 חודשי מאסר בפועל, אשר ירוצו בדרך של עבודות שירות בפארק עירוני באר שבע, ברחוב גרשון דוינבוים 29 באר שבע, במשך חמישה ימים בשבוע, 8.5 שעות ביום או לפי קביעה אחרת של הממונה על עבודות השירות.</w:t>
      </w:r>
    </w:p>
    <w:p w14:paraId="7CF2ED1E" w14:textId="77777777" w:rsidR="00E22A74" w:rsidRDefault="00E22A74" w:rsidP="00E22A74">
      <w:pPr>
        <w:spacing w:line="360" w:lineRule="auto"/>
        <w:ind w:left="925"/>
        <w:jc w:val="both"/>
      </w:pPr>
      <w:r>
        <w:rPr>
          <w:rFonts w:hint="cs"/>
          <w:rtl/>
        </w:rPr>
        <w:t>הנאשם יתייצב לריצוי עונשו ביום 7.11.23 בשעה 08:30 במשרדי הממונה על עבודות השירות במפקדת מחוז דרום של שב"ס ליד כלא באר-שבע.</w:t>
      </w:r>
    </w:p>
    <w:p w14:paraId="0E7F98A1" w14:textId="77777777" w:rsidR="00E22A74" w:rsidRDefault="00E22A74" w:rsidP="00E22A74">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500F0E5C" w14:textId="77777777" w:rsidR="00E22A74" w:rsidRDefault="00E22A74" w:rsidP="00E22A74">
      <w:pPr>
        <w:numPr>
          <w:ilvl w:val="0"/>
          <w:numId w:val="3"/>
        </w:numPr>
        <w:tabs>
          <w:tab w:val="num" w:pos="716"/>
        </w:tabs>
        <w:spacing w:line="360" w:lineRule="auto"/>
        <w:ind w:left="925" w:hanging="539"/>
        <w:jc w:val="both"/>
        <w:rPr>
          <w:rtl/>
        </w:rPr>
      </w:pPr>
      <w:r>
        <w:rPr>
          <w:rFonts w:hint="cs"/>
          <w:rtl/>
        </w:rPr>
        <w:t xml:space="preserve">7 חודשי מאסר על תנאי, לתקופה של 3 שנים מהיום, שלא יעבור כל עבֵרה על </w:t>
      </w:r>
      <w:hyperlink r:id="rId29" w:history="1">
        <w:r w:rsidR="00964977" w:rsidRPr="00964977">
          <w:rPr>
            <w:color w:val="0000FF"/>
            <w:u w:val="single"/>
            <w:rtl/>
          </w:rPr>
          <w:t>פקודת הסמים המסוכנים</w:t>
        </w:r>
      </w:hyperlink>
      <w:r>
        <w:rPr>
          <w:rFonts w:hint="cs"/>
          <w:rtl/>
        </w:rPr>
        <w:t xml:space="preserve"> מסוג פשע. </w:t>
      </w:r>
    </w:p>
    <w:p w14:paraId="6CA6D043" w14:textId="77777777" w:rsidR="00E22A74" w:rsidRDefault="00E22A74" w:rsidP="00E22A74">
      <w:pPr>
        <w:numPr>
          <w:ilvl w:val="0"/>
          <w:numId w:val="3"/>
        </w:numPr>
        <w:tabs>
          <w:tab w:val="num" w:pos="716"/>
        </w:tabs>
        <w:spacing w:line="360" w:lineRule="auto"/>
        <w:ind w:left="925" w:hanging="539"/>
        <w:jc w:val="both"/>
      </w:pPr>
      <w:r>
        <w:rPr>
          <w:rFonts w:hint="cs"/>
          <w:rtl/>
        </w:rPr>
        <w:t xml:space="preserve">3 חודשי מאסר על תנאי, לתקופה של 3 שנים מהיום, שלא יעבור כל עבֵרה על </w:t>
      </w:r>
      <w:hyperlink r:id="rId30" w:history="1">
        <w:r w:rsidR="00964977" w:rsidRPr="00964977">
          <w:rPr>
            <w:color w:val="0000FF"/>
            <w:u w:val="single"/>
            <w:rtl/>
          </w:rPr>
          <w:t>פקודת הסמים המסוכנים</w:t>
        </w:r>
      </w:hyperlink>
      <w:r>
        <w:rPr>
          <w:rFonts w:hint="cs"/>
          <w:rtl/>
        </w:rPr>
        <w:t xml:space="preserve"> מסוג עוון. </w:t>
      </w:r>
    </w:p>
    <w:p w14:paraId="5690894F" w14:textId="77777777" w:rsidR="00E22A74" w:rsidRDefault="00E22A74" w:rsidP="00E22A74">
      <w:pPr>
        <w:numPr>
          <w:ilvl w:val="0"/>
          <w:numId w:val="3"/>
        </w:numPr>
        <w:tabs>
          <w:tab w:val="num" w:pos="716"/>
        </w:tabs>
        <w:spacing w:line="360" w:lineRule="auto"/>
        <w:ind w:left="925" w:hanging="539"/>
        <w:jc w:val="both"/>
      </w:pPr>
      <w:r>
        <w:rPr>
          <w:rFonts w:hint="cs"/>
          <w:rtl/>
        </w:rPr>
        <w:t>קנס כספי בסך 5,000 ₪ או 50 ימי מאסר תמורתו. הקנס ישולם ב - 10 תשלומים חודשיים שווים ורצופים, החל מיום 1.11.23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01F075FE" w14:textId="77777777" w:rsidR="00E22A74" w:rsidRDefault="00E22A74" w:rsidP="00E22A74">
      <w:pPr>
        <w:spacing w:line="360" w:lineRule="auto"/>
        <w:ind w:firstLine="720"/>
        <w:jc w:val="both"/>
      </w:pPr>
      <w:r>
        <w:rPr>
          <w:rFonts w:hint="cs"/>
          <w:rtl/>
        </w:rPr>
        <w:t xml:space="preserve">את הקנס ניתן לשלם באחת מהדרכים הבאות: </w:t>
      </w:r>
    </w:p>
    <w:p w14:paraId="00EB4008" w14:textId="77777777" w:rsidR="00E22A74" w:rsidRDefault="00E22A74" w:rsidP="00E22A74">
      <w:pPr>
        <w:numPr>
          <w:ilvl w:val="0"/>
          <w:numId w:val="4"/>
        </w:numPr>
        <w:spacing w:line="360" w:lineRule="auto"/>
        <w:jc w:val="both"/>
      </w:pPr>
      <w:r>
        <w:rPr>
          <w:rFonts w:hint="cs"/>
          <w:rtl/>
        </w:rPr>
        <w:t xml:space="preserve">בכרטיס אשראי – באתר המקוון של רשות האכיפה והגבייה, </w:t>
      </w:r>
      <w:hyperlink r:id="rId31" w:history="1">
        <w:r>
          <w:rPr>
            <w:rStyle w:val="Hyperlink"/>
          </w:rPr>
          <w:t>www.eca.gov.il</w:t>
        </w:r>
      </w:hyperlink>
      <w:r>
        <w:t xml:space="preserve"> </w:t>
      </w:r>
      <w:r>
        <w:rPr>
          <w:rFonts w:hint="cs"/>
          <w:rtl/>
        </w:rPr>
        <w:t>.</w:t>
      </w:r>
    </w:p>
    <w:p w14:paraId="5C043392" w14:textId="77777777" w:rsidR="00E22A74" w:rsidRDefault="00E22A74" w:rsidP="00E22A74">
      <w:pPr>
        <w:numPr>
          <w:ilvl w:val="0"/>
          <w:numId w:val="4"/>
        </w:numPr>
        <w:spacing w:line="360" w:lineRule="auto"/>
        <w:jc w:val="both"/>
        <w:rPr>
          <w:rtl/>
        </w:rPr>
      </w:pPr>
      <w:r>
        <w:rPr>
          <w:rFonts w:hint="cs"/>
          <w:rtl/>
        </w:rPr>
        <w:t>מוקד שירות טלפוני בשרות עצמי (מרכז גבייה)</w:t>
      </w:r>
      <w:r w:rsidR="00964977">
        <w:rPr>
          <w:rFonts w:hint="cs"/>
          <w:rtl/>
        </w:rPr>
        <w:t xml:space="preserve"> </w:t>
      </w:r>
      <w:r>
        <w:rPr>
          <w:rFonts w:hint="cs"/>
          <w:rtl/>
        </w:rPr>
        <w:t xml:space="preserve"> – בטלפון 35592* או בטלפון 073-2055000.</w:t>
      </w:r>
    </w:p>
    <w:p w14:paraId="283B4F83" w14:textId="77777777" w:rsidR="00E22A74" w:rsidRDefault="00E22A74" w:rsidP="00E22A74">
      <w:pPr>
        <w:numPr>
          <w:ilvl w:val="0"/>
          <w:numId w:val="4"/>
        </w:numPr>
        <w:spacing w:line="360" w:lineRule="auto"/>
        <w:jc w:val="both"/>
        <w:rPr>
          <w:rtl/>
        </w:rPr>
      </w:pPr>
      <w:r>
        <w:rPr>
          <w:rFonts w:hint="cs"/>
          <w:rtl/>
        </w:rPr>
        <w:t>במזומן בכל סניף של בנק הדואר – בהצגת תעודת זהות בלבד (אין צורך בהצגת בשוברי תשלום).</w:t>
      </w:r>
    </w:p>
    <w:p w14:paraId="06661568" w14:textId="77777777" w:rsidR="00E22A74" w:rsidRDefault="00E22A74" w:rsidP="00E22A74">
      <w:pPr>
        <w:numPr>
          <w:ilvl w:val="0"/>
          <w:numId w:val="3"/>
        </w:numPr>
        <w:tabs>
          <w:tab w:val="num" w:pos="716"/>
        </w:tabs>
        <w:spacing w:line="360" w:lineRule="auto"/>
        <w:ind w:left="925" w:hanging="539"/>
        <w:jc w:val="both"/>
      </w:pPr>
      <w:r>
        <w:rPr>
          <w:rFonts w:hint="cs"/>
          <w:rtl/>
        </w:rPr>
        <w:t>הנאשם יצהיר בהתאם ל</w:t>
      </w:r>
      <w:hyperlink r:id="rId32" w:history="1">
        <w:r w:rsidR="001B2106" w:rsidRPr="001B2106">
          <w:rPr>
            <w:rStyle w:val="Hyperlink"/>
            <w:rFonts w:hint="eastAsia"/>
            <w:rtl/>
          </w:rPr>
          <w:t>תקנות</w:t>
        </w:r>
        <w:r w:rsidR="001B2106" w:rsidRPr="001B2106">
          <w:rPr>
            <w:rStyle w:val="Hyperlink"/>
            <w:rtl/>
          </w:rPr>
          <w:t xml:space="preserve"> העונשין (התחייבות להימנע מעבירה)</w:t>
        </w:r>
      </w:hyperlink>
      <w:r>
        <w:rPr>
          <w:rFonts w:hint="cs"/>
          <w:rtl/>
        </w:rPr>
        <w:t xml:space="preserve">, התש"ף-2019, על התחייבות כספית שלא לעבור כל עבירה על </w:t>
      </w:r>
      <w:hyperlink r:id="rId33" w:history="1">
        <w:r w:rsidR="00964977" w:rsidRPr="00964977">
          <w:rPr>
            <w:color w:val="0000FF"/>
            <w:u w:val="single"/>
            <w:rtl/>
          </w:rPr>
          <w:t>פקודת הסמים המסוכנים</w:t>
        </w:r>
      </w:hyperlink>
      <w:r>
        <w:rPr>
          <w:rFonts w:hint="cs"/>
          <w:rtl/>
        </w:rPr>
        <w:t xml:space="preserve">. ההתחייבות תהא לתקופה של שנתיים מהיום ובסך של 2,500 ₪. </w:t>
      </w:r>
      <w:r>
        <w:rPr>
          <w:rFonts w:hint="cs"/>
          <w:b/>
          <w:bCs/>
          <w:rtl/>
        </w:rPr>
        <w:t>[ההתחייבות תוצהר לפרוטוקול]</w:t>
      </w:r>
    </w:p>
    <w:p w14:paraId="154FEED5" w14:textId="77777777" w:rsidR="00E22A74" w:rsidRDefault="00E22A74" w:rsidP="00E22A74">
      <w:pPr>
        <w:numPr>
          <w:ilvl w:val="0"/>
          <w:numId w:val="3"/>
        </w:numPr>
        <w:tabs>
          <w:tab w:val="num" w:pos="716"/>
        </w:tabs>
        <w:spacing w:line="360" w:lineRule="auto"/>
        <w:ind w:left="716" w:hanging="348"/>
        <w:contextualSpacing/>
        <w:jc w:val="both"/>
        <w:rPr>
          <w:rtl/>
        </w:rPr>
      </w:pPr>
      <w:r>
        <w:rPr>
          <w:rFonts w:hint="cs"/>
          <w:rtl/>
        </w:rPr>
        <w:t xml:space="preserve">פסילה על תנאי למשך 4 חודשים מלהחזיק או לקבל רישיון נהיגה, וזאת למשך שנתיים מהיום, שלא יעבור עבירה כלשהי על </w:t>
      </w:r>
      <w:hyperlink r:id="rId34" w:history="1">
        <w:r w:rsidR="00964977" w:rsidRPr="00964977">
          <w:rPr>
            <w:color w:val="0000FF"/>
            <w:u w:val="single"/>
            <w:rtl/>
          </w:rPr>
          <w:t>פקודת הסמים המסוכנים</w:t>
        </w:r>
      </w:hyperlink>
      <w:r>
        <w:rPr>
          <w:rFonts w:hint="cs"/>
          <w:rtl/>
        </w:rPr>
        <w:t xml:space="preserve">. </w:t>
      </w:r>
    </w:p>
    <w:p w14:paraId="368A0FC3" w14:textId="77777777" w:rsidR="00E22A74" w:rsidRDefault="00E22A74" w:rsidP="00E22A74">
      <w:pPr>
        <w:spacing w:line="360" w:lineRule="auto"/>
        <w:jc w:val="both"/>
        <w:rPr>
          <w:rtl/>
        </w:rPr>
      </w:pPr>
    </w:p>
    <w:p w14:paraId="698B7006" w14:textId="77777777" w:rsidR="00E22A74" w:rsidRDefault="00E22A74" w:rsidP="00E22A74">
      <w:pPr>
        <w:spacing w:line="360" w:lineRule="auto"/>
        <w:jc w:val="both"/>
        <w:rPr>
          <w:b/>
          <w:bCs/>
          <w:u w:val="single"/>
          <w:rtl/>
        </w:rPr>
      </w:pPr>
      <w:r w:rsidRPr="0027663B">
        <w:rPr>
          <w:rFonts w:hint="cs"/>
          <w:b/>
          <w:bCs/>
          <w:u w:val="single"/>
          <w:rtl/>
        </w:rPr>
        <w:t xml:space="preserve">המזכירות תסגור את התיק. </w:t>
      </w:r>
    </w:p>
    <w:p w14:paraId="25557B43" w14:textId="77777777" w:rsidR="00E22A74" w:rsidRPr="0027663B" w:rsidRDefault="00E22A74" w:rsidP="00E22A74">
      <w:pPr>
        <w:spacing w:line="360" w:lineRule="auto"/>
        <w:jc w:val="both"/>
        <w:rPr>
          <w:b/>
          <w:bCs/>
          <w:u w:val="single"/>
          <w:rtl/>
        </w:rPr>
      </w:pPr>
      <w:r>
        <w:rPr>
          <w:rFonts w:hint="cs"/>
          <w:b/>
          <w:bCs/>
          <w:u w:val="single"/>
          <w:rtl/>
        </w:rPr>
        <w:t>מורה על השמדת הסמים.</w:t>
      </w:r>
    </w:p>
    <w:p w14:paraId="5B666E17" w14:textId="77777777" w:rsidR="00E22A74" w:rsidRPr="00964977" w:rsidRDefault="00964977" w:rsidP="00E22A74">
      <w:pPr>
        <w:spacing w:line="360" w:lineRule="auto"/>
        <w:jc w:val="both"/>
        <w:rPr>
          <w:color w:val="FFFFFF"/>
          <w:sz w:val="2"/>
          <w:szCs w:val="2"/>
        </w:rPr>
      </w:pPr>
      <w:r w:rsidRPr="00964977">
        <w:rPr>
          <w:color w:val="FFFFFF"/>
          <w:sz w:val="2"/>
          <w:szCs w:val="2"/>
          <w:rtl/>
        </w:rPr>
        <w:t>5129371</w:t>
      </w:r>
    </w:p>
    <w:p w14:paraId="039A3D67" w14:textId="77777777" w:rsidR="00E22A74" w:rsidRDefault="00964977" w:rsidP="00E22A74">
      <w:pPr>
        <w:spacing w:line="360" w:lineRule="auto"/>
        <w:jc w:val="both"/>
        <w:rPr>
          <w:rFonts w:ascii="David" w:hAnsi="David"/>
        </w:rPr>
      </w:pPr>
      <w:r w:rsidRPr="00964977">
        <w:rPr>
          <w:rFonts w:ascii="David" w:hAnsi="David"/>
          <w:b/>
          <w:bCs/>
          <w:color w:val="FFFFFF"/>
          <w:sz w:val="2"/>
          <w:szCs w:val="2"/>
          <w:rtl/>
        </w:rPr>
        <w:t>54678313</w:t>
      </w:r>
      <w:r w:rsidR="00E22A74">
        <w:rPr>
          <w:rFonts w:ascii="David" w:hAnsi="David"/>
          <w:b/>
          <w:bCs/>
          <w:rtl/>
        </w:rPr>
        <w:t xml:space="preserve">הודעה זכות ערעור לבית-המשפט המחוזי תוך 45 ימים. </w:t>
      </w:r>
    </w:p>
    <w:p w14:paraId="4F32521D" w14:textId="77777777" w:rsidR="00E22A74" w:rsidRPr="000F2247" w:rsidRDefault="00E22A74" w:rsidP="00E22A74">
      <w:pPr>
        <w:rPr>
          <w:rFonts w:ascii="Arial" w:hAnsi="Arial"/>
          <w:b/>
          <w:bCs/>
          <w:sz w:val="26"/>
          <w:szCs w:val="26"/>
          <w:rtl/>
        </w:rPr>
      </w:pPr>
    </w:p>
    <w:p w14:paraId="5884F721" w14:textId="77777777" w:rsidR="00E22A74" w:rsidRPr="000F2247" w:rsidRDefault="00964977" w:rsidP="00E22A7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אלול תשפ"ג, 06 ספטמבר 2023, בהעדר הצדדים. </w:t>
      </w:r>
      <w:bookmarkEnd w:id="8"/>
      <w:r w:rsidR="00E22A74">
        <w:rPr>
          <w:rFonts w:ascii="Arial" w:hAnsi="Arial"/>
          <w:b/>
          <w:bCs/>
          <w:sz w:val="26"/>
          <w:szCs w:val="26"/>
          <w:rtl/>
        </w:rPr>
        <w:tab/>
      </w:r>
      <w:r w:rsidR="00E22A74">
        <w:rPr>
          <w:rFonts w:ascii="Arial" w:hAnsi="Arial"/>
          <w:b/>
          <w:bCs/>
          <w:sz w:val="26"/>
          <w:szCs w:val="26"/>
          <w:rtl/>
        </w:rPr>
        <w:tab/>
      </w:r>
      <w:r w:rsidR="00E22A74">
        <w:rPr>
          <w:rFonts w:ascii="Arial" w:hAnsi="Arial"/>
          <w:b/>
          <w:bCs/>
          <w:sz w:val="26"/>
          <w:szCs w:val="26"/>
          <w:rtl/>
        </w:rPr>
        <w:tab/>
      </w:r>
      <w:r w:rsidR="00E22A74">
        <w:rPr>
          <w:rFonts w:ascii="Arial" w:hAnsi="Arial"/>
          <w:b/>
          <w:bCs/>
          <w:sz w:val="26"/>
          <w:szCs w:val="26"/>
          <w:rtl/>
        </w:rPr>
        <w:tab/>
      </w:r>
      <w:r w:rsidR="00E22A74">
        <w:rPr>
          <w:rFonts w:ascii="Arial" w:hAnsi="Arial"/>
          <w:b/>
          <w:bCs/>
          <w:sz w:val="26"/>
          <w:szCs w:val="26"/>
          <w:rtl/>
        </w:rPr>
        <w:tab/>
      </w:r>
      <w:r w:rsidR="00E22A74">
        <w:rPr>
          <w:rFonts w:ascii="Arial" w:hAnsi="Arial"/>
          <w:b/>
          <w:bCs/>
          <w:sz w:val="26"/>
          <w:szCs w:val="26"/>
          <w:rtl/>
        </w:rPr>
        <w:tab/>
      </w:r>
      <w:r w:rsidR="00E22A74">
        <w:rPr>
          <w:rFonts w:ascii="Arial" w:hAnsi="Arial"/>
          <w:b/>
          <w:bCs/>
          <w:sz w:val="26"/>
          <w:szCs w:val="26"/>
          <w:rtl/>
        </w:rPr>
        <w:tab/>
      </w:r>
      <w:r w:rsidR="00E22A74">
        <w:rPr>
          <w:rFonts w:ascii="Arial" w:hAnsi="Arial" w:hint="cs"/>
          <w:b/>
          <w:bCs/>
          <w:sz w:val="26"/>
          <w:szCs w:val="26"/>
          <w:rtl/>
        </w:rPr>
        <w:t xml:space="preserve">         </w:t>
      </w:r>
    </w:p>
    <w:p w14:paraId="0009899B" w14:textId="77777777" w:rsidR="00E22A74" w:rsidRPr="000F2247" w:rsidRDefault="00E22A74" w:rsidP="0096497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8F09FE8" w14:textId="77777777" w:rsidR="00E22A74" w:rsidRPr="001B2106" w:rsidRDefault="001B2106" w:rsidP="00E22A74">
      <w:pPr>
        <w:jc w:val="center"/>
        <w:rPr>
          <w:rFonts w:ascii="Arial" w:hAnsi="Arial"/>
          <w:b/>
          <w:bCs/>
          <w:color w:val="FFFFFF"/>
          <w:sz w:val="2"/>
          <w:szCs w:val="2"/>
          <w:rtl/>
        </w:rPr>
      </w:pPr>
      <w:r w:rsidRPr="001B2106">
        <w:rPr>
          <w:rFonts w:ascii="Arial" w:hAnsi="Arial"/>
          <w:b/>
          <w:bCs/>
          <w:color w:val="FFFFFF"/>
          <w:sz w:val="2"/>
          <w:szCs w:val="2"/>
          <w:rtl/>
        </w:rPr>
        <w:t>5129371</w:t>
      </w:r>
    </w:p>
    <w:p w14:paraId="12333B49" w14:textId="77777777" w:rsidR="00443222" w:rsidRPr="001B2106" w:rsidRDefault="001B2106" w:rsidP="00964977">
      <w:pPr>
        <w:keepNext/>
        <w:rPr>
          <w:rFonts w:ascii="David" w:hAnsi="David"/>
          <w:color w:val="FFFFFF"/>
          <w:sz w:val="2"/>
          <w:szCs w:val="2"/>
          <w:rtl/>
        </w:rPr>
      </w:pPr>
      <w:r w:rsidRPr="001B2106">
        <w:rPr>
          <w:rFonts w:ascii="David" w:hAnsi="David"/>
          <w:color w:val="FFFFFF"/>
          <w:sz w:val="2"/>
          <w:szCs w:val="2"/>
          <w:rtl/>
        </w:rPr>
        <w:t>54678313</w:t>
      </w:r>
    </w:p>
    <w:p w14:paraId="527622E6" w14:textId="77777777" w:rsidR="00964977" w:rsidRPr="00964977" w:rsidRDefault="00964977" w:rsidP="00964977">
      <w:pPr>
        <w:keepNext/>
        <w:rPr>
          <w:rFonts w:ascii="David" w:hAnsi="David"/>
          <w:color w:val="000000"/>
          <w:sz w:val="22"/>
          <w:szCs w:val="22"/>
          <w:rtl/>
        </w:rPr>
      </w:pPr>
      <w:r w:rsidRPr="00964977">
        <w:rPr>
          <w:rFonts w:ascii="David" w:hAnsi="David"/>
          <w:color w:val="000000"/>
          <w:sz w:val="22"/>
          <w:szCs w:val="22"/>
          <w:rtl/>
        </w:rPr>
        <w:t>אבישי כהן 54678313</w:t>
      </w:r>
    </w:p>
    <w:p w14:paraId="1925AEDD" w14:textId="77777777" w:rsidR="00964977" w:rsidRDefault="00964977" w:rsidP="00964977">
      <w:r w:rsidRPr="00964977">
        <w:rPr>
          <w:color w:val="000000"/>
          <w:rtl/>
        </w:rPr>
        <w:t>נוסח מסמך זה כפוף לשינויי ניסוח ועריכה</w:t>
      </w:r>
    </w:p>
    <w:p w14:paraId="55B2055D" w14:textId="77777777" w:rsidR="00964977" w:rsidRDefault="00964977" w:rsidP="00964977">
      <w:pPr>
        <w:rPr>
          <w:rtl/>
        </w:rPr>
      </w:pPr>
    </w:p>
    <w:p w14:paraId="298499A7" w14:textId="77777777" w:rsidR="00964977" w:rsidRDefault="00964977" w:rsidP="00964977">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F075F7A" w14:textId="77777777" w:rsidR="001B2106" w:rsidRPr="001B2106" w:rsidRDefault="001B2106" w:rsidP="001B2106">
      <w:pPr>
        <w:keepNext/>
        <w:rPr>
          <w:rFonts w:ascii="David" w:hAnsi="David"/>
          <w:color w:val="000000"/>
          <w:sz w:val="22"/>
          <w:szCs w:val="22"/>
          <w:rtl/>
        </w:rPr>
      </w:pPr>
    </w:p>
    <w:sectPr w:rsidR="001B2106" w:rsidRPr="001B2106" w:rsidSect="001B2106">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C7488" w14:textId="77777777" w:rsidR="00A007C7" w:rsidRDefault="00A007C7" w:rsidP="00537BCB">
      <w:r>
        <w:separator/>
      </w:r>
    </w:p>
  </w:endnote>
  <w:endnote w:type="continuationSeparator" w:id="0">
    <w:p w14:paraId="1A6372A0" w14:textId="77777777" w:rsidR="00A007C7" w:rsidRDefault="00A007C7" w:rsidP="0053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858B" w14:textId="77777777" w:rsidR="001B2106" w:rsidRDefault="001B2106" w:rsidP="001B210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B400D6" w14:textId="77777777" w:rsidR="0038545E" w:rsidRPr="001B2106" w:rsidRDefault="001B2106" w:rsidP="001B2106">
    <w:pPr>
      <w:pStyle w:val="a6"/>
      <w:pBdr>
        <w:top w:val="single" w:sz="4" w:space="1" w:color="auto"/>
        <w:between w:val="single" w:sz="4" w:space="0" w:color="auto"/>
      </w:pBdr>
      <w:spacing w:after="60"/>
      <w:jc w:val="center"/>
      <w:rPr>
        <w:rFonts w:ascii="FrankRuehl" w:hAnsi="FrankRuehl" w:cs="FrankRuehl"/>
        <w:color w:val="000000"/>
      </w:rPr>
    </w:pPr>
    <w:r w:rsidRPr="001B21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4CB36" w14:textId="77777777" w:rsidR="001B2106" w:rsidRDefault="001B2106" w:rsidP="001B210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0BCB">
      <w:rPr>
        <w:rFonts w:ascii="FrankRuehl" w:hAnsi="FrankRuehl" w:cs="FrankRuehl"/>
        <w:noProof/>
        <w:rtl/>
      </w:rPr>
      <w:t>1</w:t>
    </w:r>
    <w:r>
      <w:rPr>
        <w:rFonts w:ascii="FrankRuehl" w:hAnsi="FrankRuehl" w:cs="FrankRuehl"/>
        <w:rtl/>
      </w:rPr>
      <w:fldChar w:fldCharType="end"/>
    </w:r>
  </w:p>
  <w:p w14:paraId="3C04C357" w14:textId="77777777" w:rsidR="0038545E" w:rsidRPr="001B2106" w:rsidRDefault="001B2106" w:rsidP="001B2106">
    <w:pPr>
      <w:pStyle w:val="a6"/>
      <w:pBdr>
        <w:top w:val="single" w:sz="4" w:space="1" w:color="auto"/>
        <w:between w:val="single" w:sz="4" w:space="0" w:color="auto"/>
      </w:pBdr>
      <w:spacing w:after="60"/>
      <w:jc w:val="center"/>
      <w:rPr>
        <w:rFonts w:ascii="FrankRuehl" w:hAnsi="FrankRuehl" w:cs="FrankRuehl"/>
        <w:color w:val="000000"/>
      </w:rPr>
    </w:pPr>
    <w:r w:rsidRPr="001B2106">
      <w:rPr>
        <w:rFonts w:ascii="FrankRuehl" w:hAnsi="FrankRuehl" w:cs="FrankRuehl"/>
        <w:color w:val="000000"/>
      </w:rPr>
      <w:pict w14:anchorId="57AE0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12E18" w14:textId="77777777" w:rsidR="00A007C7" w:rsidRDefault="00A007C7" w:rsidP="00537BCB">
      <w:r>
        <w:separator/>
      </w:r>
    </w:p>
  </w:footnote>
  <w:footnote w:type="continuationSeparator" w:id="0">
    <w:p w14:paraId="3A3B3559" w14:textId="77777777" w:rsidR="00A007C7" w:rsidRDefault="00A007C7" w:rsidP="00537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4AB5B" w14:textId="77777777" w:rsidR="00964977" w:rsidRPr="001B2106" w:rsidRDefault="001B2106" w:rsidP="001B210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34824-06-22</w:t>
    </w:r>
    <w:r>
      <w:rPr>
        <w:rFonts w:ascii="David" w:hAnsi="David"/>
        <w:color w:val="000000"/>
        <w:sz w:val="22"/>
        <w:szCs w:val="22"/>
        <w:rtl/>
      </w:rPr>
      <w:tab/>
      <w:t xml:space="preserve"> מדינת ישראל נ' עיסא עתאיקה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5E0A7" w14:textId="77777777" w:rsidR="00964977" w:rsidRPr="001B2106" w:rsidRDefault="001B2106" w:rsidP="001B210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34824-06-22</w:t>
    </w:r>
    <w:r>
      <w:rPr>
        <w:rFonts w:ascii="David" w:hAnsi="David"/>
        <w:color w:val="000000"/>
        <w:sz w:val="22"/>
        <w:szCs w:val="22"/>
        <w:rtl/>
      </w:rPr>
      <w:tab/>
      <w:t xml:space="preserve"> מדינת ישראל נ' עיסא עתאיקה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43542A63"/>
    <w:multiLevelType w:val="hybridMultilevel"/>
    <w:tmpl w:val="CA1640AA"/>
    <w:lvl w:ilvl="0" w:tplc="0C521A14">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9760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817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2520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306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2A74"/>
    <w:rsid w:val="00027214"/>
    <w:rsid w:val="00166F5C"/>
    <w:rsid w:val="001B2106"/>
    <w:rsid w:val="00282035"/>
    <w:rsid w:val="003212C5"/>
    <w:rsid w:val="00322869"/>
    <w:rsid w:val="0038545E"/>
    <w:rsid w:val="00443222"/>
    <w:rsid w:val="00537BCB"/>
    <w:rsid w:val="005F5A17"/>
    <w:rsid w:val="006B0BCB"/>
    <w:rsid w:val="007D4AF9"/>
    <w:rsid w:val="00964977"/>
    <w:rsid w:val="00A007C7"/>
    <w:rsid w:val="00E22A74"/>
    <w:rsid w:val="00E53243"/>
    <w:rsid w:val="00FD7AAE"/>
    <w:rsid w:val="00FE3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7919BE"/>
  <w15:chartTrackingRefBased/>
  <w15:docId w15:val="{DB380B6F-D30D-4296-AE5A-56CD3AD7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22A74"/>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22A74"/>
    <w:pPr>
      <w:tabs>
        <w:tab w:val="center" w:pos="4153"/>
        <w:tab w:val="right" w:pos="8306"/>
      </w:tabs>
    </w:pPr>
  </w:style>
  <w:style w:type="character" w:customStyle="1" w:styleId="a5">
    <w:name w:val="כותרת עליונה תו"/>
    <w:link w:val="a4"/>
    <w:rsid w:val="00E22A74"/>
    <w:rPr>
      <w:rFonts w:ascii="Times New Roman" w:eastAsia="Times New Roman" w:hAnsi="Times New Roman" w:cs="David"/>
      <w:sz w:val="24"/>
      <w:szCs w:val="24"/>
    </w:rPr>
  </w:style>
  <w:style w:type="paragraph" w:styleId="a6">
    <w:name w:val="footer"/>
    <w:basedOn w:val="a0"/>
    <w:link w:val="a7"/>
    <w:rsid w:val="00E22A74"/>
    <w:pPr>
      <w:tabs>
        <w:tab w:val="center" w:pos="4153"/>
        <w:tab w:val="right" w:pos="8306"/>
      </w:tabs>
    </w:pPr>
  </w:style>
  <w:style w:type="character" w:customStyle="1" w:styleId="a7">
    <w:name w:val="כותרת תחתונה תו"/>
    <w:link w:val="a6"/>
    <w:rsid w:val="00E22A74"/>
    <w:rPr>
      <w:rFonts w:ascii="Times New Roman" w:eastAsia="Times New Roman" w:hAnsi="Times New Roman" w:cs="David"/>
      <w:sz w:val="24"/>
      <w:szCs w:val="24"/>
    </w:rPr>
  </w:style>
  <w:style w:type="table" w:styleId="a8">
    <w:name w:val="Table Grid"/>
    <w:basedOn w:val="a2"/>
    <w:rsid w:val="00E22A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E22A74"/>
  </w:style>
  <w:style w:type="character" w:customStyle="1" w:styleId="aa">
    <w:name w:val="פיסקת רשימה תו"/>
    <w:link w:val="ab"/>
    <w:locked/>
    <w:rsid w:val="00E22A74"/>
  </w:style>
  <w:style w:type="paragraph" w:styleId="ab">
    <w:name w:val="List Paragraph"/>
    <w:basedOn w:val="a0"/>
    <w:link w:val="aa"/>
    <w:qFormat/>
    <w:rsid w:val="00E22A74"/>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E22A74"/>
    <w:pPr>
      <w:numPr>
        <w:numId w:val="1"/>
      </w:numPr>
      <w:spacing w:after="120" w:line="360" w:lineRule="auto"/>
    </w:pPr>
    <w:rPr>
      <w:rFonts w:ascii="David" w:hAnsi="David"/>
      <w:color w:val="000000"/>
    </w:rPr>
  </w:style>
  <w:style w:type="character" w:styleId="Hyperlink">
    <w:name w:val="Hyperlink"/>
    <w:rsid w:val="00E22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63224" TargetMode="External"/><Relationship Id="rId18" Type="http://schemas.openxmlformats.org/officeDocument/2006/relationships/hyperlink" Target="http://www.nevo.co.il/law/70301/71a.b" TargetMode="External"/><Relationship Id="rId26" Type="http://schemas.openxmlformats.org/officeDocument/2006/relationships/hyperlink" Target="http://www.nevo.co.il/case/21927518" TargetMode="External"/><Relationship Id="rId39" Type="http://schemas.openxmlformats.org/officeDocument/2006/relationships/footer" Target="footer2.xml"/><Relationship Id="rId21" Type="http://schemas.openxmlformats.org/officeDocument/2006/relationships/hyperlink" Target="http://www.nevo.co.il/case/5698919"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810781" TargetMode="External"/><Relationship Id="rId29" Type="http://schemas.openxmlformats.org/officeDocument/2006/relationships/hyperlink" Target="http://www.nevo.co.il/law/421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7361147" TargetMode="External"/><Relationship Id="rId32" Type="http://schemas.openxmlformats.org/officeDocument/2006/relationships/hyperlink" Target="http://www.nevo.co.il/law/16322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9396498" TargetMode="External"/><Relationship Id="rId28" Type="http://schemas.openxmlformats.org/officeDocument/2006/relationships/hyperlink" Target="http://www.nevo.co.il/case/24417058"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2535152" TargetMode="External"/><Relationship Id="rId30" Type="http://schemas.openxmlformats.org/officeDocument/2006/relationships/hyperlink" Target="http://www.nevo.co.il/law/421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71a.b" TargetMode="External"/><Relationship Id="rId17" Type="http://schemas.openxmlformats.org/officeDocument/2006/relationships/hyperlink" Target="http://www.nevo.co.il/case/17916229" TargetMode="External"/><Relationship Id="rId25" Type="http://schemas.openxmlformats.org/officeDocument/2006/relationships/hyperlink" Target="http://www.nevo.co.il/case/28190928"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2886</Words>
  <Characters>14432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17284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4849744</vt:i4>
      </vt:variant>
      <vt:variant>
        <vt:i4>75</vt:i4>
      </vt:variant>
      <vt:variant>
        <vt:i4>0</vt:i4>
      </vt:variant>
      <vt:variant>
        <vt:i4>5</vt:i4>
      </vt:variant>
      <vt:variant>
        <vt:lpwstr>http://www.nevo.co.il/law/163224</vt:lpwstr>
      </vt:variant>
      <vt:variant>
        <vt:lpwstr/>
      </vt:variant>
      <vt:variant>
        <vt:i4>7864368</vt:i4>
      </vt:variant>
      <vt:variant>
        <vt:i4>72</vt:i4>
      </vt:variant>
      <vt:variant>
        <vt:i4>0</vt:i4>
      </vt:variant>
      <vt:variant>
        <vt:i4>5</vt:i4>
      </vt:variant>
      <vt:variant>
        <vt:lpwstr>http://www.eca.gov.il/</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3407985</vt:i4>
      </vt:variant>
      <vt:variant>
        <vt:i4>63</vt:i4>
      </vt:variant>
      <vt:variant>
        <vt:i4>0</vt:i4>
      </vt:variant>
      <vt:variant>
        <vt:i4>5</vt:i4>
      </vt:variant>
      <vt:variant>
        <vt:lpwstr>http://www.nevo.co.il/case/24417058</vt:lpwstr>
      </vt:variant>
      <vt:variant>
        <vt:lpwstr/>
      </vt:variant>
      <vt:variant>
        <vt:i4>3604596</vt:i4>
      </vt:variant>
      <vt:variant>
        <vt:i4>60</vt:i4>
      </vt:variant>
      <vt:variant>
        <vt:i4>0</vt:i4>
      </vt:variant>
      <vt:variant>
        <vt:i4>5</vt:i4>
      </vt:variant>
      <vt:variant>
        <vt:lpwstr>http://www.nevo.co.il/case/22535152</vt:lpwstr>
      </vt:variant>
      <vt:variant>
        <vt:lpwstr/>
      </vt:variant>
      <vt:variant>
        <vt:i4>3997810</vt:i4>
      </vt:variant>
      <vt:variant>
        <vt:i4>57</vt:i4>
      </vt:variant>
      <vt:variant>
        <vt:i4>0</vt:i4>
      </vt:variant>
      <vt:variant>
        <vt:i4>5</vt:i4>
      </vt:variant>
      <vt:variant>
        <vt:lpwstr>http://www.nevo.co.il/case/21927518</vt:lpwstr>
      </vt:variant>
      <vt:variant>
        <vt:lpwstr/>
      </vt:variant>
      <vt:variant>
        <vt:i4>3211388</vt:i4>
      </vt:variant>
      <vt:variant>
        <vt:i4>54</vt:i4>
      </vt:variant>
      <vt:variant>
        <vt:i4>0</vt:i4>
      </vt:variant>
      <vt:variant>
        <vt:i4>5</vt:i4>
      </vt:variant>
      <vt:variant>
        <vt:lpwstr>http://www.nevo.co.il/case/28190928</vt:lpwstr>
      </vt:variant>
      <vt:variant>
        <vt:lpwstr/>
      </vt:variant>
      <vt:variant>
        <vt:i4>3407988</vt:i4>
      </vt:variant>
      <vt:variant>
        <vt:i4>51</vt:i4>
      </vt:variant>
      <vt:variant>
        <vt:i4>0</vt:i4>
      </vt:variant>
      <vt:variant>
        <vt:i4>5</vt:i4>
      </vt:variant>
      <vt:variant>
        <vt:lpwstr>http://www.nevo.co.il/case/27361147</vt:lpwstr>
      </vt:variant>
      <vt:variant>
        <vt:lpwstr/>
      </vt:variant>
      <vt:variant>
        <vt:i4>4063344</vt:i4>
      </vt:variant>
      <vt:variant>
        <vt:i4>48</vt:i4>
      </vt:variant>
      <vt:variant>
        <vt:i4>0</vt:i4>
      </vt:variant>
      <vt:variant>
        <vt:i4>5</vt:i4>
      </vt:variant>
      <vt:variant>
        <vt:lpwstr>http://www.nevo.co.il/case/29396498</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7995492</vt:i4>
      </vt:variant>
      <vt:variant>
        <vt:i4>36</vt:i4>
      </vt:variant>
      <vt:variant>
        <vt:i4>0</vt:i4>
      </vt:variant>
      <vt:variant>
        <vt:i4>5</vt:i4>
      </vt:variant>
      <vt:variant>
        <vt:lpwstr>http://www.nevo.co.il/law/70301</vt:lpwstr>
      </vt:variant>
      <vt:variant>
        <vt:lpwstr/>
      </vt:variant>
      <vt:variant>
        <vt:i4>4849667</vt:i4>
      </vt:variant>
      <vt:variant>
        <vt:i4>33</vt:i4>
      </vt:variant>
      <vt:variant>
        <vt:i4>0</vt:i4>
      </vt:variant>
      <vt:variant>
        <vt:i4>5</vt:i4>
      </vt:variant>
      <vt:variant>
        <vt:lpwstr>http://www.nevo.co.il/law/70301/71a.b</vt:lpwstr>
      </vt:variant>
      <vt:variant>
        <vt:lpwstr/>
      </vt:variant>
      <vt:variant>
        <vt:i4>3932272</vt:i4>
      </vt:variant>
      <vt:variant>
        <vt:i4>30</vt:i4>
      </vt:variant>
      <vt:variant>
        <vt:i4>0</vt:i4>
      </vt:variant>
      <vt:variant>
        <vt:i4>5</vt:i4>
      </vt:variant>
      <vt:variant>
        <vt:lpwstr>http://www.nevo.co.il/case/17916229</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4849744</vt:i4>
      </vt:variant>
      <vt:variant>
        <vt:i4>18</vt:i4>
      </vt:variant>
      <vt:variant>
        <vt:i4>0</vt:i4>
      </vt:variant>
      <vt:variant>
        <vt:i4>5</vt:i4>
      </vt:variant>
      <vt:variant>
        <vt:lpwstr>http://www.nevo.co.il/law/163224</vt:lpwstr>
      </vt:variant>
      <vt:variant>
        <vt:lpwstr/>
      </vt:variant>
      <vt:variant>
        <vt:i4>4849667</vt:i4>
      </vt:variant>
      <vt:variant>
        <vt:i4>15</vt:i4>
      </vt:variant>
      <vt:variant>
        <vt:i4>0</vt:i4>
      </vt:variant>
      <vt:variant>
        <vt:i4>5</vt:i4>
      </vt:variant>
      <vt:variant>
        <vt:lpwstr>http://www.nevo.co.il/law/70301/71a.b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2025-04-23T01:30:00Z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34824</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עיסא עתאיקה</vt:lpwstr>
  </property>
  <property fmtid="{D5CDD505-2E9C-101B-9397-08002B2CF9AE}" pid="10" name="LAWYER">
    <vt:lpwstr>כרמית כהן;ויקטור אוזן</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20230906</vt:lpwstr>
  </property>
  <property fmtid="{D5CDD505-2E9C-101B-9397-08002B2CF9AE}" pid="14" name="TYPE_N_DATE">
    <vt:lpwstr>38020230906</vt:lpwstr>
  </property>
  <property fmtid="{D5CDD505-2E9C-101B-9397-08002B2CF9AE}" pid="15" name="WORDNUMPAGES">
    <vt:lpwstr>9</vt:lpwstr>
  </property>
  <property fmtid="{D5CDD505-2E9C-101B-9397-08002B2CF9AE}" pid="16" name="TYPE_ABS_DATE">
    <vt:lpwstr>380020230906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17916229;5810781;5698919;29396498;27361147;28190928;21927518;22535152;24417058</vt:lpwstr>
  </property>
  <property fmtid="{D5CDD505-2E9C-101B-9397-08002B2CF9AE}" pid="36" name="LAWLISTTMP1">
    <vt:lpwstr>4216/007.a;007.c</vt:lpwstr>
  </property>
  <property fmtid="{D5CDD505-2E9C-101B-9397-08002B2CF9AE}" pid="37" name="LAWLISTTMP2">
    <vt:lpwstr>70301/071a.b;040i</vt:lpwstr>
  </property>
  <property fmtid="{D5CDD505-2E9C-101B-9397-08002B2CF9AE}" pid="38" name="LAWLISTTMP3">
    <vt:lpwstr>163224</vt:lpwstr>
  </property>
</Properties>
</file>