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70748" w:rsidRPr="00712B3D" w14:paraId="48E0039F" w14:textId="77777777" w:rsidTr="001654A1">
        <w:trPr>
          <w:trHeight w:hRule="exact" w:val="418"/>
          <w:jc w:val="center"/>
        </w:trPr>
        <w:tc>
          <w:tcPr>
            <w:tcW w:w="8721" w:type="dxa"/>
            <w:gridSpan w:val="2"/>
          </w:tcPr>
          <w:p w14:paraId="530D8624" w14:textId="77777777" w:rsidR="00A70748" w:rsidRPr="00712B3D" w:rsidRDefault="00A70748" w:rsidP="000A0E02">
            <w:pPr>
              <w:pStyle w:val="a3"/>
              <w:jc w:val="center"/>
              <w:rPr>
                <w:rFonts w:ascii="Tahoma" w:hAnsi="Tahoma" w:cs="Tahoma"/>
                <w:color w:val="000080"/>
                <w:rtl/>
              </w:rPr>
            </w:pPr>
            <w:r w:rsidRPr="00712B3D">
              <w:rPr>
                <w:rFonts w:ascii="Tahoma" w:hAnsi="Tahoma" w:cs="Tahoma"/>
                <w:b/>
                <w:bCs/>
                <w:color w:val="000080"/>
                <w:rtl/>
              </w:rPr>
              <w:t>בית משפט השלום בקריות</w:t>
            </w:r>
          </w:p>
        </w:tc>
      </w:tr>
      <w:tr w:rsidR="00A70748" w:rsidRPr="00712B3D" w14:paraId="2AB6305C" w14:textId="77777777" w:rsidTr="001654A1">
        <w:trPr>
          <w:trHeight w:val="337"/>
          <w:jc w:val="center"/>
        </w:trPr>
        <w:tc>
          <w:tcPr>
            <w:tcW w:w="5054" w:type="dxa"/>
          </w:tcPr>
          <w:p w14:paraId="54F7BDDB" w14:textId="77777777" w:rsidR="00A70748" w:rsidRPr="00712B3D" w:rsidRDefault="00A70748" w:rsidP="000A0E02">
            <w:pPr>
              <w:rPr>
                <w:rFonts w:cs="FrankRuehl"/>
                <w:sz w:val="28"/>
                <w:szCs w:val="28"/>
                <w:rtl/>
              </w:rPr>
            </w:pPr>
            <w:r w:rsidRPr="00712B3D">
              <w:rPr>
                <w:rFonts w:cs="FrankRuehl"/>
                <w:sz w:val="28"/>
                <w:szCs w:val="28"/>
                <w:rtl/>
              </w:rPr>
              <w:t>ת"פ</w:t>
            </w:r>
            <w:r w:rsidRPr="00712B3D">
              <w:rPr>
                <w:rFonts w:cs="FrankRuehl" w:hint="cs"/>
                <w:sz w:val="28"/>
                <w:szCs w:val="28"/>
                <w:rtl/>
              </w:rPr>
              <w:t xml:space="preserve"> </w:t>
            </w:r>
            <w:r w:rsidRPr="00712B3D">
              <w:rPr>
                <w:rFonts w:cs="FrankRuehl"/>
                <w:sz w:val="28"/>
                <w:szCs w:val="28"/>
                <w:rtl/>
              </w:rPr>
              <w:t>52205-06-22</w:t>
            </w:r>
            <w:r w:rsidRPr="00712B3D">
              <w:rPr>
                <w:rFonts w:cs="FrankRuehl" w:hint="cs"/>
                <w:sz w:val="28"/>
                <w:szCs w:val="28"/>
                <w:rtl/>
              </w:rPr>
              <w:t xml:space="preserve"> </w:t>
            </w:r>
            <w:r w:rsidRPr="00712B3D">
              <w:rPr>
                <w:rFonts w:cs="FrankRuehl"/>
                <w:sz w:val="28"/>
                <w:szCs w:val="28"/>
                <w:rtl/>
              </w:rPr>
              <w:t>מדינת ישראל נ' לבדב</w:t>
            </w:r>
          </w:p>
          <w:p w14:paraId="3F3B6542" w14:textId="77777777" w:rsidR="00A70748" w:rsidRPr="00712B3D" w:rsidRDefault="00A70748" w:rsidP="000A0E02">
            <w:pPr>
              <w:pStyle w:val="a3"/>
              <w:rPr>
                <w:rFonts w:cs="FrankRuehl"/>
                <w:sz w:val="28"/>
                <w:szCs w:val="28"/>
                <w:rtl/>
              </w:rPr>
            </w:pPr>
          </w:p>
        </w:tc>
        <w:tc>
          <w:tcPr>
            <w:tcW w:w="3667" w:type="dxa"/>
          </w:tcPr>
          <w:p w14:paraId="64A861A0" w14:textId="77777777" w:rsidR="00A70748" w:rsidRPr="00712B3D" w:rsidRDefault="00A70748" w:rsidP="000A0E02">
            <w:pPr>
              <w:pStyle w:val="a3"/>
              <w:jc w:val="right"/>
              <w:rPr>
                <w:rFonts w:cs="FrankRuehl"/>
                <w:sz w:val="28"/>
                <w:szCs w:val="28"/>
                <w:rtl/>
              </w:rPr>
            </w:pPr>
          </w:p>
        </w:tc>
      </w:tr>
    </w:tbl>
    <w:p w14:paraId="2A6A0F37" w14:textId="77777777" w:rsidR="00A70748" w:rsidRPr="00712B3D" w:rsidRDefault="00A70748" w:rsidP="001654A1">
      <w:pPr>
        <w:pStyle w:val="a3"/>
        <w:rPr>
          <w:rFonts w:ascii="David" w:hAnsi="David"/>
          <w:sz w:val="26"/>
          <w:szCs w:val="26"/>
          <w:rtl/>
        </w:rPr>
      </w:pPr>
      <w:r w:rsidRPr="00712B3D">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70748" w:rsidRPr="00712B3D" w14:paraId="5CACE115" w14:textId="77777777" w:rsidTr="00A70748">
        <w:trPr>
          <w:trHeight w:val="295"/>
          <w:jc w:val="center"/>
        </w:trPr>
        <w:tc>
          <w:tcPr>
            <w:tcW w:w="923" w:type="dxa"/>
            <w:tcBorders>
              <w:top w:val="nil"/>
              <w:left w:val="nil"/>
              <w:bottom w:val="nil"/>
              <w:right w:val="nil"/>
            </w:tcBorders>
            <w:shd w:val="clear" w:color="auto" w:fill="auto"/>
          </w:tcPr>
          <w:p w14:paraId="41D689FF" w14:textId="77777777" w:rsidR="00A70748" w:rsidRPr="00712B3D" w:rsidRDefault="00A70748" w:rsidP="00A70748">
            <w:pPr>
              <w:jc w:val="both"/>
              <w:rPr>
                <w:rFonts w:ascii="David" w:hAnsi="David"/>
                <w:b/>
                <w:bCs/>
              </w:rPr>
            </w:pPr>
            <w:r w:rsidRPr="00712B3D">
              <w:rPr>
                <w:rFonts w:ascii="David" w:hAnsi="David"/>
                <w:b/>
                <w:bCs/>
                <w:rtl/>
              </w:rPr>
              <w:t xml:space="preserve">בפני </w:t>
            </w:r>
          </w:p>
        </w:tc>
        <w:tc>
          <w:tcPr>
            <w:tcW w:w="7897" w:type="dxa"/>
            <w:gridSpan w:val="2"/>
            <w:tcBorders>
              <w:top w:val="nil"/>
              <w:left w:val="nil"/>
              <w:bottom w:val="nil"/>
              <w:right w:val="nil"/>
            </w:tcBorders>
            <w:shd w:val="clear" w:color="auto" w:fill="auto"/>
          </w:tcPr>
          <w:p w14:paraId="5E78CD62" w14:textId="77777777" w:rsidR="00A70748" w:rsidRPr="00712B3D" w:rsidRDefault="00A70748" w:rsidP="000A0E02">
            <w:pPr>
              <w:rPr>
                <w:rFonts w:ascii="David" w:hAnsi="David"/>
                <w:b/>
                <w:bCs/>
                <w:rtl/>
              </w:rPr>
            </w:pPr>
            <w:r w:rsidRPr="00712B3D">
              <w:rPr>
                <w:rFonts w:ascii="Arial" w:hAnsi="Arial"/>
                <w:b/>
                <w:bCs/>
                <w:rtl/>
              </w:rPr>
              <w:t>כב' השופט יוסי טורס , סגן הנשיאה</w:t>
            </w:r>
          </w:p>
          <w:p w14:paraId="5B6C08F5" w14:textId="77777777" w:rsidR="00A70748" w:rsidRPr="00712B3D" w:rsidRDefault="00A70748" w:rsidP="000A0E02">
            <w:pPr>
              <w:rPr>
                <w:rFonts w:ascii="David" w:hAnsi="David"/>
                <w:b/>
                <w:bCs/>
                <w:rtl/>
              </w:rPr>
            </w:pPr>
          </w:p>
          <w:p w14:paraId="5AA08F78" w14:textId="77777777" w:rsidR="00A70748" w:rsidRPr="00712B3D" w:rsidRDefault="00A70748" w:rsidP="000A0E02">
            <w:pPr>
              <w:rPr>
                <w:rFonts w:ascii="David" w:hAnsi="David"/>
                <w:b/>
                <w:bCs/>
              </w:rPr>
            </w:pPr>
          </w:p>
        </w:tc>
      </w:tr>
      <w:tr w:rsidR="00A70748" w:rsidRPr="00712B3D" w14:paraId="00232277" w14:textId="77777777" w:rsidTr="00A70748">
        <w:trPr>
          <w:trHeight w:val="355"/>
          <w:jc w:val="center"/>
        </w:trPr>
        <w:tc>
          <w:tcPr>
            <w:tcW w:w="923" w:type="dxa"/>
            <w:tcBorders>
              <w:top w:val="nil"/>
              <w:left w:val="nil"/>
              <w:bottom w:val="nil"/>
              <w:right w:val="nil"/>
            </w:tcBorders>
            <w:shd w:val="clear" w:color="auto" w:fill="auto"/>
          </w:tcPr>
          <w:p w14:paraId="6F43D172" w14:textId="77777777" w:rsidR="00A70748" w:rsidRPr="00712B3D" w:rsidRDefault="00A70748" w:rsidP="00A70748">
            <w:pPr>
              <w:jc w:val="both"/>
              <w:rPr>
                <w:rFonts w:ascii="David" w:hAnsi="David"/>
                <w:b/>
                <w:bCs/>
              </w:rPr>
            </w:pPr>
            <w:bookmarkStart w:id="0" w:name="FirstAppellant"/>
            <w:bookmarkStart w:id="1" w:name="LastJudge"/>
            <w:bookmarkEnd w:id="1"/>
            <w:r w:rsidRPr="00712B3D">
              <w:rPr>
                <w:rFonts w:ascii="David" w:hAnsi="David"/>
                <w:b/>
                <w:bCs/>
                <w:rtl/>
              </w:rPr>
              <w:t>בעניין:</w:t>
            </w:r>
          </w:p>
        </w:tc>
        <w:tc>
          <w:tcPr>
            <w:tcW w:w="4126" w:type="dxa"/>
            <w:tcBorders>
              <w:top w:val="nil"/>
              <w:left w:val="nil"/>
              <w:bottom w:val="nil"/>
              <w:right w:val="nil"/>
            </w:tcBorders>
            <w:shd w:val="clear" w:color="auto" w:fill="auto"/>
          </w:tcPr>
          <w:p w14:paraId="17C6F50F" w14:textId="77777777" w:rsidR="00A70748" w:rsidRPr="00712B3D" w:rsidRDefault="00A70748" w:rsidP="000A0E02">
            <w:pPr>
              <w:rPr>
                <w:rFonts w:ascii="David" w:hAnsi="David"/>
                <w:b/>
                <w:bCs/>
              </w:rPr>
            </w:pPr>
            <w:r w:rsidRPr="00712B3D">
              <w:rPr>
                <w:rFonts w:ascii="David" w:hAnsi="David"/>
                <w:b/>
                <w:bCs/>
                <w:rtl/>
              </w:rPr>
              <w:t>מדינת ישראל</w:t>
            </w:r>
          </w:p>
        </w:tc>
        <w:tc>
          <w:tcPr>
            <w:tcW w:w="3771" w:type="dxa"/>
            <w:tcBorders>
              <w:top w:val="nil"/>
              <w:left w:val="nil"/>
              <w:bottom w:val="nil"/>
              <w:right w:val="nil"/>
            </w:tcBorders>
            <w:shd w:val="clear" w:color="auto" w:fill="auto"/>
          </w:tcPr>
          <w:p w14:paraId="46B3F0A1" w14:textId="77777777" w:rsidR="00A70748" w:rsidRPr="00712B3D" w:rsidRDefault="00A70748" w:rsidP="00A70748">
            <w:pPr>
              <w:jc w:val="right"/>
              <w:rPr>
                <w:rFonts w:ascii="David" w:hAnsi="David"/>
                <w:b/>
                <w:bCs/>
                <w:rtl/>
              </w:rPr>
            </w:pPr>
            <w:r w:rsidRPr="00712B3D">
              <w:rPr>
                <w:rFonts w:ascii="David" w:hAnsi="David"/>
                <w:b/>
                <w:bCs/>
                <w:rtl/>
              </w:rPr>
              <w:t>המאשימה</w:t>
            </w:r>
          </w:p>
        </w:tc>
      </w:tr>
      <w:bookmarkEnd w:id="0"/>
      <w:tr w:rsidR="00A70748" w:rsidRPr="00712B3D" w14:paraId="01C13AB4" w14:textId="77777777" w:rsidTr="00A70748">
        <w:trPr>
          <w:trHeight w:val="355"/>
          <w:jc w:val="center"/>
        </w:trPr>
        <w:tc>
          <w:tcPr>
            <w:tcW w:w="923" w:type="dxa"/>
            <w:tcBorders>
              <w:top w:val="nil"/>
              <w:left w:val="nil"/>
              <w:bottom w:val="nil"/>
              <w:right w:val="nil"/>
            </w:tcBorders>
            <w:shd w:val="clear" w:color="auto" w:fill="auto"/>
          </w:tcPr>
          <w:p w14:paraId="5EEDD7C4" w14:textId="77777777" w:rsidR="00A70748" w:rsidRPr="00712B3D" w:rsidRDefault="00A70748" w:rsidP="00A70748">
            <w:pPr>
              <w:jc w:val="both"/>
              <w:rPr>
                <w:rFonts w:ascii="David" w:hAnsi="David"/>
                <w:b/>
                <w:bCs/>
                <w:rtl/>
              </w:rPr>
            </w:pPr>
          </w:p>
        </w:tc>
        <w:tc>
          <w:tcPr>
            <w:tcW w:w="4126" w:type="dxa"/>
            <w:tcBorders>
              <w:top w:val="nil"/>
              <w:left w:val="nil"/>
              <w:bottom w:val="nil"/>
              <w:right w:val="nil"/>
            </w:tcBorders>
            <w:shd w:val="clear" w:color="auto" w:fill="auto"/>
          </w:tcPr>
          <w:p w14:paraId="657B5E4F" w14:textId="77777777" w:rsidR="00A70748" w:rsidRPr="00712B3D" w:rsidRDefault="00A70748" w:rsidP="00A70748">
            <w:pPr>
              <w:jc w:val="both"/>
              <w:rPr>
                <w:rFonts w:ascii="David" w:hAnsi="David"/>
                <w:b/>
                <w:bCs/>
                <w:rtl/>
              </w:rPr>
            </w:pPr>
          </w:p>
        </w:tc>
        <w:tc>
          <w:tcPr>
            <w:tcW w:w="3771" w:type="dxa"/>
            <w:tcBorders>
              <w:top w:val="nil"/>
              <w:left w:val="nil"/>
              <w:bottom w:val="nil"/>
              <w:right w:val="nil"/>
            </w:tcBorders>
            <w:shd w:val="clear" w:color="auto" w:fill="auto"/>
          </w:tcPr>
          <w:p w14:paraId="48DDD856" w14:textId="77777777" w:rsidR="00A70748" w:rsidRPr="00712B3D" w:rsidRDefault="00A70748" w:rsidP="00A70748">
            <w:pPr>
              <w:jc w:val="right"/>
              <w:rPr>
                <w:rFonts w:ascii="David" w:hAnsi="David"/>
                <w:b/>
                <w:bCs/>
                <w:rtl/>
              </w:rPr>
            </w:pPr>
          </w:p>
        </w:tc>
      </w:tr>
      <w:tr w:rsidR="00A70748" w:rsidRPr="00712B3D" w14:paraId="2C2885C1" w14:textId="77777777" w:rsidTr="00A70748">
        <w:trPr>
          <w:trHeight w:val="355"/>
          <w:jc w:val="center"/>
        </w:trPr>
        <w:tc>
          <w:tcPr>
            <w:tcW w:w="923" w:type="dxa"/>
            <w:tcBorders>
              <w:top w:val="nil"/>
              <w:left w:val="nil"/>
              <w:bottom w:val="nil"/>
              <w:right w:val="nil"/>
            </w:tcBorders>
            <w:shd w:val="clear" w:color="auto" w:fill="auto"/>
          </w:tcPr>
          <w:p w14:paraId="6CF5CE99" w14:textId="77777777" w:rsidR="00A70748" w:rsidRPr="00712B3D" w:rsidRDefault="00A70748" w:rsidP="00A70748">
            <w:pPr>
              <w:jc w:val="both"/>
              <w:rPr>
                <w:rFonts w:ascii="David" w:hAnsi="David"/>
                <w:b/>
                <w:bCs/>
                <w:rtl/>
              </w:rPr>
            </w:pPr>
          </w:p>
        </w:tc>
        <w:tc>
          <w:tcPr>
            <w:tcW w:w="7897" w:type="dxa"/>
            <w:gridSpan w:val="2"/>
            <w:tcBorders>
              <w:top w:val="nil"/>
              <w:left w:val="nil"/>
              <w:bottom w:val="nil"/>
              <w:right w:val="nil"/>
            </w:tcBorders>
            <w:shd w:val="clear" w:color="auto" w:fill="auto"/>
          </w:tcPr>
          <w:p w14:paraId="2D03C12A" w14:textId="77777777" w:rsidR="00A70748" w:rsidRPr="00712B3D" w:rsidRDefault="00A70748" w:rsidP="00A70748">
            <w:pPr>
              <w:jc w:val="center"/>
              <w:rPr>
                <w:rFonts w:ascii="David" w:hAnsi="David"/>
                <w:b/>
                <w:bCs/>
                <w:rtl/>
              </w:rPr>
            </w:pPr>
          </w:p>
          <w:p w14:paraId="0416434D" w14:textId="77777777" w:rsidR="00A70748" w:rsidRPr="00712B3D" w:rsidRDefault="00A70748" w:rsidP="00A70748">
            <w:pPr>
              <w:jc w:val="center"/>
              <w:rPr>
                <w:rFonts w:ascii="David" w:hAnsi="David"/>
                <w:b/>
                <w:bCs/>
                <w:rtl/>
              </w:rPr>
            </w:pPr>
            <w:r w:rsidRPr="00712B3D">
              <w:rPr>
                <w:rFonts w:ascii="David" w:hAnsi="David"/>
                <w:b/>
                <w:bCs/>
                <w:rtl/>
              </w:rPr>
              <w:t>נגד</w:t>
            </w:r>
          </w:p>
          <w:p w14:paraId="652088AF" w14:textId="77777777" w:rsidR="00A70748" w:rsidRPr="00712B3D" w:rsidRDefault="00A70748" w:rsidP="00A70748">
            <w:pPr>
              <w:jc w:val="both"/>
              <w:rPr>
                <w:rFonts w:ascii="David" w:hAnsi="David"/>
                <w:b/>
                <w:bCs/>
              </w:rPr>
            </w:pPr>
          </w:p>
        </w:tc>
      </w:tr>
      <w:tr w:rsidR="00A70748" w:rsidRPr="00712B3D" w14:paraId="1BFCCF50" w14:textId="77777777" w:rsidTr="00A70748">
        <w:trPr>
          <w:trHeight w:val="355"/>
          <w:jc w:val="center"/>
        </w:trPr>
        <w:tc>
          <w:tcPr>
            <w:tcW w:w="923" w:type="dxa"/>
            <w:tcBorders>
              <w:top w:val="nil"/>
              <w:left w:val="nil"/>
              <w:bottom w:val="nil"/>
              <w:right w:val="nil"/>
            </w:tcBorders>
            <w:shd w:val="clear" w:color="auto" w:fill="auto"/>
          </w:tcPr>
          <w:p w14:paraId="29A01156" w14:textId="77777777" w:rsidR="00A70748" w:rsidRPr="00712B3D" w:rsidRDefault="00A70748" w:rsidP="000A0E02">
            <w:pPr>
              <w:rPr>
                <w:rFonts w:ascii="David" w:hAnsi="David"/>
                <w:b/>
                <w:bCs/>
                <w:rtl/>
              </w:rPr>
            </w:pPr>
          </w:p>
        </w:tc>
        <w:tc>
          <w:tcPr>
            <w:tcW w:w="4126" w:type="dxa"/>
            <w:tcBorders>
              <w:top w:val="nil"/>
              <w:left w:val="nil"/>
              <w:bottom w:val="nil"/>
              <w:right w:val="nil"/>
            </w:tcBorders>
            <w:shd w:val="clear" w:color="auto" w:fill="auto"/>
          </w:tcPr>
          <w:p w14:paraId="7CC5CA02" w14:textId="77777777" w:rsidR="00A70748" w:rsidRPr="00712B3D" w:rsidRDefault="00A70748" w:rsidP="000A0E02">
            <w:pPr>
              <w:rPr>
                <w:rFonts w:ascii="David" w:hAnsi="David"/>
                <w:b/>
                <w:bCs/>
                <w:rtl/>
              </w:rPr>
            </w:pPr>
            <w:r w:rsidRPr="00712B3D">
              <w:rPr>
                <w:rFonts w:ascii="David" w:hAnsi="David"/>
                <w:b/>
                <w:bCs/>
                <w:rtl/>
              </w:rPr>
              <w:t>ניקיטה לבדב</w:t>
            </w:r>
          </w:p>
        </w:tc>
        <w:tc>
          <w:tcPr>
            <w:tcW w:w="3771" w:type="dxa"/>
            <w:tcBorders>
              <w:top w:val="nil"/>
              <w:left w:val="nil"/>
              <w:bottom w:val="nil"/>
              <w:right w:val="nil"/>
            </w:tcBorders>
            <w:shd w:val="clear" w:color="auto" w:fill="auto"/>
          </w:tcPr>
          <w:p w14:paraId="4AE3B0A7" w14:textId="77777777" w:rsidR="00A70748" w:rsidRPr="00712B3D" w:rsidRDefault="00A70748" w:rsidP="00A70748">
            <w:pPr>
              <w:jc w:val="right"/>
              <w:rPr>
                <w:rFonts w:ascii="David" w:hAnsi="David"/>
                <w:b/>
                <w:bCs/>
              </w:rPr>
            </w:pPr>
            <w:r w:rsidRPr="00712B3D">
              <w:rPr>
                <w:rFonts w:ascii="David" w:hAnsi="David" w:hint="cs"/>
                <w:b/>
                <w:bCs/>
                <w:rtl/>
              </w:rPr>
              <w:t>הנאשם</w:t>
            </w:r>
          </w:p>
        </w:tc>
      </w:tr>
    </w:tbl>
    <w:p w14:paraId="4CA9DEF8" w14:textId="77777777" w:rsidR="00712B3D" w:rsidRPr="00712B3D" w:rsidRDefault="00712B3D" w:rsidP="00712B3D">
      <w:pPr>
        <w:spacing w:before="120" w:after="120" w:line="240" w:lineRule="exact"/>
        <w:ind w:left="283" w:hanging="283"/>
        <w:jc w:val="both"/>
        <w:rPr>
          <w:rFonts w:ascii="FrankRuehl" w:hAnsi="FrankRuehl" w:cs="FrankRuehl"/>
          <w:rtl/>
        </w:rPr>
      </w:pPr>
    </w:p>
    <w:p w14:paraId="2BDB9EB2" w14:textId="77777777" w:rsidR="00712B3D" w:rsidRPr="00712B3D" w:rsidRDefault="00712B3D" w:rsidP="00712B3D">
      <w:pPr>
        <w:rPr>
          <w:rtl/>
        </w:rPr>
      </w:pPr>
    </w:p>
    <w:p w14:paraId="2363DAE6" w14:textId="77777777" w:rsidR="001654A1" w:rsidRPr="001654A1" w:rsidRDefault="001654A1" w:rsidP="001654A1">
      <w:pPr>
        <w:spacing w:before="120" w:after="120" w:line="240" w:lineRule="exact"/>
        <w:ind w:left="283" w:hanging="283"/>
        <w:jc w:val="both"/>
        <w:rPr>
          <w:rFonts w:ascii="FrankRuehl" w:hAnsi="FrankRuehl" w:cs="FrankRuehl"/>
          <w:rtl/>
        </w:rPr>
      </w:pPr>
    </w:p>
    <w:p w14:paraId="48D160ED" w14:textId="77777777" w:rsidR="00C3191D" w:rsidRPr="00C3191D" w:rsidRDefault="00C3191D" w:rsidP="00C3191D">
      <w:pPr>
        <w:spacing w:before="120" w:after="120" w:line="240" w:lineRule="exact"/>
        <w:ind w:left="283" w:hanging="283"/>
        <w:jc w:val="both"/>
        <w:rPr>
          <w:rFonts w:ascii="FrankRuehl" w:hAnsi="FrankRuehl" w:cs="FrankRuehl"/>
          <w:rtl/>
        </w:rPr>
      </w:pPr>
    </w:p>
    <w:p w14:paraId="238046DB" w14:textId="77777777" w:rsidR="007B5089" w:rsidRDefault="007B5089" w:rsidP="007B5089">
      <w:pPr>
        <w:rPr>
          <w:rtl/>
        </w:rPr>
      </w:pPr>
      <w:bookmarkStart w:id="2" w:name="LawTable"/>
      <w:bookmarkEnd w:id="2"/>
    </w:p>
    <w:p w14:paraId="0B2B0279" w14:textId="77777777" w:rsidR="007B5089" w:rsidRPr="007B5089" w:rsidRDefault="007B5089" w:rsidP="007B5089">
      <w:pPr>
        <w:spacing w:before="120" w:after="120" w:line="240" w:lineRule="exact"/>
        <w:ind w:left="283" w:hanging="283"/>
        <w:jc w:val="both"/>
        <w:rPr>
          <w:rFonts w:ascii="FrankRuehl" w:hAnsi="FrankRuehl" w:cs="FrankRuehl"/>
          <w:rtl/>
        </w:rPr>
      </w:pPr>
    </w:p>
    <w:p w14:paraId="0C0A974E" w14:textId="77777777" w:rsidR="007B5089" w:rsidRPr="007B5089" w:rsidRDefault="007B5089" w:rsidP="007B5089">
      <w:pPr>
        <w:spacing w:before="120" w:after="120" w:line="240" w:lineRule="exact"/>
        <w:ind w:left="283" w:hanging="283"/>
        <w:jc w:val="both"/>
        <w:rPr>
          <w:rFonts w:ascii="FrankRuehl" w:hAnsi="FrankRuehl" w:cs="FrankRuehl"/>
          <w:rtl/>
        </w:rPr>
      </w:pPr>
    </w:p>
    <w:p w14:paraId="0D5B396C" w14:textId="77777777" w:rsidR="007B5089" w:rsidRPr="007B5089" w:rsidRDefault="007B5089" w:rsidP="007B5089">
      <w:pPr>
        <w:spacing w:before="120" w:after="120" w:line="240" w:lineRule="exact"/>
        <w:ind w:left="283" w:hanging="283"/>
        <w:jc w:val="both"/>
        <w:rPr>
          <w:rFonts w:ascii="FrankRuehl" w:hAnsi="FrankRuehl" w:cs="FrankRuehl"/>
          <w:rtl/>
        </w:rPr>
      </w:pPr>
      <w:r w:rsidRPr="007B5089">
        <w:rPr>
          <w:rFonts w:ascii="FrankRuehl" w:hAnsi="FrankRuehl" w:cs="FrankRuehl"/>
          <w:rtl/>
        </w:rPr>
        <w:t xml:space="preserve">חקיקה שאוזכרה: </w:t>
      </w:r>
    </w:p>
    <w:p w14:paraId="7FB68C8B" w14:textId="77777777" w:rsidR="007B5089" w:rsidRPr="007B5089" w:rsidRDefault="007B5089" w:rsidP="007B5089">
      <w:pPr>
        <w:spacing w:before="120" w:after="120" w:line="240" w:lineRule="exact"/>
        <w:ind w:left="283" w:hanging="283"/>
        <w:jc w:val="both"/>
        <w:rPr>
          <w:rFonts w:ascii="FrankRuehl" w:hAnsi="FrankRuehl" w:cs="FrankRuehl"/>
          <w:rtl/>
        </w:rPr>
      </w:pPr>
      <w:hyperlink r:id="rId7" w:history="1">
        <w:r w:rsidRPr="007B5089">
          <w:rPr>
            <w:rFonts w:ascii="FrankRuehl" w:hAnsi="FrankRuehl" w:cs="FrankRuehl"/>
            <w:color w:val="0000FF"/>
            <w:rtl/>
          </w:rPr>
          <w:t>פקודת הסמים המסוכנים [נוסח חדש], תשל"ג-1973</w:t>
        </w:r>
      </w:hyperlink>
      <w:r w:rsidRPr="007B5089">
        <w:rPr>
          <w:rFonts w:ascii="FrankRuehl" w:hAnsi="FrankRuehl" w:cs="FrankRuehl"/>
          <w:rtl/>
        </w:rPr>
        <w:t xml:space="preserve">: סע'  </w:t>
      </w:r>
      <w:hyperlink r:id="rId8" w:history="1">
        <w:r w:rsidRPr="007B5089">
          <w:rPr>
            <w:rFonts w:ascii="FrankRuehl" w:hAnsi="FrankRuehl" w:cs="FrankRuehl"/>
            <w:color w:val="0000FF"/>
            <w:rtl/>
          </w:rPr>
          <w:t>7.א.</w:t>
        </w:r>
      </w:hyperlink>
      <w:r w:rsidRPr="007B5089">
        <w:rPr>
          <w:rFonts w:ascii="FrankRuehl" w:hAnsi="FrankRuehl" w:cs="FrankRuehl"/>
          <w:rtl/>
        </w:rPr>
        <w:t xml:space="preserve">, </w:t>
      </w:r>
      <w:hyperlink r:id="rId9" w:history="1">
        <w:r w:rsidRPr="007B5089">
          <w:rPr>
            <w:rFonts w:ascii="FrankRuehl" w:hAnsi="FrankRuehl" w:cs="FrankRuehl"/>
            <w:color w:val="0000FF"/>
            <w:rtl/>
          </w:rPr>
          <w:t>7.ג</w:t>
        </w:r>
      </w:hyperlink>
    </w:p>
    <w:p w14:paraId="193AA610" w14:textId="77777777" w:rsidR="007B5089" w:rsidRPr="007B5089" w:rsidRDefault="007B5089" w:rsidP="007B5089">
      <w:pPr>
        <w:spacing w:before="120" w:after="120" w:line="240" w:lineRule="exact"/>
        <w:ind w:left="283" w:hanging="283"/>
        <w:jc w:val="both"/>
        <w:rPr>
          <w:rFonts w:ascii="FrankRuehl" w:hAnsi="FrankRuehl" w:cs="FrankRuehl"/>
          <w:rtl/>
        </w:rPr>
      </w:pPr>
      <w:hyperlink r:id="rId10" w:history="1">
        <w:r w:rsidRPr="007B5089">
          <w:rPr>
            <w:rFonts w:ascii="FrankRuehl" w:hAnsi="FrankRuehl" w:cs="FrankRuehl"/>
            <w:color w:val="0000FF"/>
            <w:rtl/>
          </w:rPr>
          <w:t>חוק העונשין, תשל"ז-1977</w:t>
        </w:r>
      </w:hyperlink>
      <w:r w:rsidRPr="007B5089">
        <w:rPr>
          <w:rFonts w:ascii="FrankRuehl" w:hAnsi="FrankRuehl" w:cs="FrankRuehl"/>
          <w:rtl/>
        </w:rPr>
        <w:t xml:space="preserve">: סע'  </w:t>
      </w:r>
      <w:hyperlink r:id="rId11" w:history="1">
        <w:r w:rsidRPr="007B5089">
          <w:rPr>
            <w:rFonts w:ascii="FrankRuehl" w:hAnsi="FrankRuehl" w:cs="FrankRuehl"/>
            <w:color w:val="0000FF"/>
            <w:rtl/>
          </w:rPr>
          <w:t>40ד'</w:t>
        </w:r>
      </w:hyperlink>
      <w:r w:rsidRPr="007B5089">
        <w:rPr>
          <w:rFonts w:ascii="FrankRuehl" w:hAnsi="FrankRuehl" w:cs="FrankRuehl"/>
          <w:rtl/>
        </w:rPr>
        <w:t xml:space="preserve">, </w:t>
      </w:r>
      <w:hyperlink r:id="rId12" w:history="1">
        <w:r w:rsidRPr="007B5089">
          <w:rPr>
            <w:rFonts w:ascii="FrankRuehl" w:hAnsi="FrankRuehl" w:cs="FrankRuehl"/>
            <w:color w:val="0000FF"/>
            <w:rtl/>
          </w:rPr>
          <w:t>287 (א)</w:t>
        </w:r>
      </w:hyperlink>
    </w:p>
    <w:p w14:paraId="7A016723" w14:textId="77777777" w:rsidR="007B5089" w:rsidRPr="007B5089" w:rsidRDefault="007B5089" w:rsidP="007B5089">
      <w:pPr>
        <w:rPr>
          <w:rtl/>
        </w:rPr>
      </w:pPr>
      <w:bookmarkStart w:id="3" w:name="LawTable_End"/>
      <w:bookmarkEnd w:id="3"/>
    </w:p>
    <w:p w14:paraId="22DE93D1" w14:textId="77777777" w:rsidR="001654A1" w:rsidRPr="00C3191D" w:rsidRDefault="001654A1" w:rsidP="00C3191D">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0748" w:rsidRPr="00910BA5" w14:paraId="3D06B960" w14:textId="77777777" w:rsidTr="00A70748">
        <w:trPr>
          <w:trHeight w:val="355"/>
          <w:jc w:val="center"/>
        </w:trPr>
        <w:tc>
          <w:tcPr>
            <w:tcW w:w="8820" w:type="dxa"/>
            <w:tcBorders>
              <w:top w:val="nil"/>
              <w:left w:val="nil"/>
              <w:bottom w:val="nil"/>
              <w:right w:val="nil"/>
            </w:tcBorders>
            <w:shd w:val="clear" w:color="auto" w:fill="auto"/>
          </w:tcPr>
          <w:p w14:paraId="4FD97432" w14:textId="77777777" w:rsidR="00712B3D" w:rsidRPr="00712B3D" w:rsidRDefault="00712B3D" w:rsidP="00712B3D">
            <w:pPr>
              <w:jc w:val="center"/>
              <w:rPr>
                <w:rFonts w:ascii="David" w:hAnsi="David"/>
                <w:b/>
                <w:bCs/>
                <w:sz w:val="32"/>
                <w:szCs w:val="32"/>
                <w:rtl/>
              </w:rPr>
            </w:pPr>
            <w:bookmarkStart w:id="4" w:name="PsakDin" w:colFirst="0" w:colLast="0"/>
            <w:r w:rsidRPr="00712B3D">
              <w:rPr>
                <w:rFonts w:ascii="David" w:hAnsi="David"/>
                <w:b/>
                <w:bCs/>
                <w:sz w:val="32"/>
                <w:szCs w:val="32"/>
                <w:rtl/>
              </w:rPr>
              <w:t>גזר דין</w:t>
            </w:r>
          </w:p>
          <w:p w14:paraId="644B6FA3" w14:textId="77777777" w:rsidR="00A70748" w:rsidRPr="00712B3D" w:rsidRDefault="00A70748" w:rsidP="00712B3D">
            <w:pPr>
              <w:jc w:val="center"/>
              <w:rPr>
                <w:rFonts w:ascii="David" w:hAnsi="David"/>
                <w:bCs/>
                <w:sz w:val="32"/>
                <w:szCs w:val="32"/>
                <w:rtl/>
              </w:rPr>
            </w:pPr>
          </w:p>
        </w:tc>
      </w:tr>
      <w:bookmarkEnd w:id="4"/>
    </w:tbl>
    <w:p w14:paraId="460266B3" w14:textId="77777777" w:rsidR="00A70748" w:rsidRDefault="00A70748" w:rsidP="00A70748">
      <w:pPr>
        <w:rPr>
          <w:rFonts w:ascii="David" w:hAnsi="David"/>
          <w:sz w:val="26"/>
          <w:szCs w:val="26"/>
          <w:rtl/>
        </w:rPr>
      </w:pPr>
    </w:p>
    <w:p w14:paraId="652ABE29" w14:textId="77777777" w:rsidR="00A70748" w:rsidRPr="00DF1EFC" w:rsidRDefault="00A70748" w:rsidP="00A70748">
      <w:pPr>
        <w:rPr>
          <w:rFonts w:ascii="David" w:hAnsi="David"/>
          <w:b/>
          <w:bCs/>
          <w:u w:val="single"/>
          <w:rtl/>
        </w:rPr>
      </w:pPr>
      <w:r w:rsidRPr="00DF1EFC">
        <w:rPr>
          <w:rFonts w:ascii="David" w:hAnsi="David" w:hint="cs"/>
          <w:b/>
          <w:bCs/>
          <w:u w:val="single"/>
          <w:rtl/>
        </w:rPr>
        <w:t>כתב האישום וההליכים</w:t>
      </w:r>
    </w:p>
    <w:p w14:paraId="33CE22A2" w14:textId="77777777" w:rsidR="00A70748" w:rsidRDefault="00A70748" w:rsidP="00A70748">
      <w:pPr>
        <w:rPr>
          <w:rFonts w:ascii="David" w:hAnsi="David"/>
          <w:sz w:val="26"/>
          <w:szCs w:val="26"/>
          <w:rtl/>
        </w:rPr>
      </w:pPr>
    </w:p>
    <w:p w14:paraId="06135E5F" w14:textId="77777777" w:rsidR="00A70748" w:rsidRDefault="00A70748" w:rsidP="00A70748">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במסגרת צירוף תיקים בשלוש עבירות של החזקת סם שלא לצריכה עצמית לפי </w:t>
      </w:r>
      <w:hyperlink r:id="rId13" w:history="1">
        <w:r w:rsidR="001654A1" w:rsidRPr="001654A1">
          <w:rPr>
            <w:rStyle w:val="Hyperlink"/>
            <w:rFonts w:ascii="David" w:hAnsi="David" w:hint="eastAsia"/>
            <w:rtl/>
          </w:rPr>
          <w:t>סעיף</w:t>
        </w:r>
        <w:r w:rsidR="001654A1" w:rsidRPr="001654A1">
          <w:rPr>
            <w:rStyle w:val="Hyperlink"/>
            <w:rFonts w:ascii="David" w:hAnsi="David"/>
            <w:rtl/>
          </w:rPr>
          <w:t xml:space="preserve"> 7(א)+7(ג)</w:t>
        </w:r>
      </w:hyperlink>
      <w:r>
        <w:rPr>
          <w:rFonts w:ascii="David" w:hAnsi="David" w:hint="cs"/>
          <w:rtl/>
        </w:rPr>
        <w:t xml:space="preserve"> רישא ל</w:t>
      </w:r>
      <w:hyperlink r:id="rId14" w:history="1">
        <w:r w:rsidR="00712B3D" w:rsidRPr="00712B3D">
          <w:rPr>
            <w:rFonts w:ascii="David" w:hAnsi="David"/>
            <w:color w:val="0000FF"/>
            <w:u w:val="single"/>
            <w:rtl/>
          </w:rPr>
          <w:t>פקודת הסמים המסוכנים</w:t>
        </w:r>
      </w:hyperlink>
      <w:r>
        <w:rPr>
          <w:rFonts w:ascii="David" w:hAnsi="David" w:hint="cs"/>
          <w:rtl/>
        </w:rPr>
        <w:t xml:space="preserve"> (נוסח חדש) תשל"ג- 1973 (להלן</w:t>
      </w:r>
      <w:r>
        <w:rPr>
          <w:rFonts w:ascii="Miriam" w:hAnsi="Miriam" w:cs="Miriam" w:hint="cs"/>
          <w:rtl/>
        </w:rPr>
        <w:t xml:space="preserve"> </w:t>
      </w:r>
      <w:r>
        <w:rPr>
          <w:rFonts w:ascii="Miriam" w:hAnsi="Miriam" w:cs="Miriam"/>
          <w:rtl/>
        </w:rPr>
        <w:t>–</w:t>
      </w:r>
      <w:r w:rsidRPr="00BF4AA0">
        <w:rPr>
          <w:rFonts w:ascii="Miriam" w:hAnsi="Miriam" w:cs="Miriam"/>
          <w:rtl/>
        </w:rPr>
        <w:t>פקודת הסמים</w:t>
      </w:r>
      <w:r>
        <w:rPr>
          <w:rFonts w:ascii="David" w:hAnsi="David" w:hint="cs"/>
          <w:rtl/>
        </w:rPr>
        <w:t xml:space="preserve">) ובעבירה של הפרת הוראה חוקית לפי סעיף </w:t>
      </w:r>
      <w:hyperlink r:id="rId15" w:history="1">
        <w:r w:rsidR="001654A1" w:rsidRPr="001654A1">
          <w:rPr>
            <w:rStyle w:val="Hyperlink"/>
            <w:rFonts w:ascii="David" w:hAnsi="David"/>
            <w:rtl/>
          </w:rPr>
          <w:t>287 (א)</w:t>
        </w:r>
      </w:hyperlink>
      <w:r>
        <w:rPr>
          <w:rFonts w:ascii="David" w:hAnsi="David" w:hint="cs"/>
          <w:rtl/>
        </w:rPr>
        <w:t xml:space="preserve"> ל</w:t>
      </w:r>
      <w:hyperlink r:id="rId16" w:history="1">
        <w:r w:rsidR="00712B3D" w:rsidRPr="00712B3D">
          <w:rPr>
            <w:rFonts w:ascii="David" w:hAnsi="David"/>
            <w:color w:val="0000FF"/>
            <w:u w:val="single"/>
            <w:rtl/>
          </w:rPr>
          <w:t>חוק העונשין</w:t>
        </w:r>
      </w:hyperlink>
      <w:r>
        <w:rPr>
          <w:rFonts w:ascii="David" w:hAnsi="David" w:hint="cs"/>
          <w:rtl/>
        </w:rPr>
        <w:t xml:space="preserve">, תשל"ז </w:t>
      </w:r>
      <w:r>
        <w:rPr>
          <w:rFonts w:ascii="David" w:hAnsi="David"/>
          <w:rtl/>
        </w:rPr>
        <w:t>–</w:t>
      </w:r>
      <w:r>
        <w:rPr>
          <w:rFonts w:ascii="David" w:hAnsi="David" w:hint="cs"/>
          <w:rtl/>
        </w:rPr>
        <w:t xml:space="preserve"> 1977  (להלן </w:t>
      </w:r>
      <w:r>
        <w:rPr>
          <w:rFonts w:ascii="David" w:hAnsi="David"/>
          <w:rtl/>
        </w:rPr>
        <w:t>–</w:t>
      </w:r>
      <w:r>
        <w:rPr>
          <w:rFonts w:ascii="David" w:hAnsi="David" w:hint="cs"/>
          <w:rtl/>
        </w:rPr>
        <w:t xml:space="preserve"> </w:t>
      </w:r>
      <w:r w:rsidRPr="00BF4AA0">
        <w:rPr>
          <w:rFonts w:ascii="Miriam" w:hAnsi="Miriam" w:cs="Miriam"/>
          <w:rtl/>
        </w:rPr>
        <w:t>חוק העונשין</w:t>
      </w:r>
      <w:r w:rsidRPr="00DF1EFC">
        <w:rPr>
          <w:rFonts w:ascii="David" w:hAnsi="David"/>
          <w:rtl/>
        </w:rPr>
        <w:t xml:space="preserve">). </w:t>
      </w:r>
      <w:r>
        <w:rPr>
          <w:rFonts w:ascii="David" w:hAnsi="David" w:hint="cs"/>
          <w:rtl/>
        </w:rPr>
        <w:t xml:space="preserve">אפרט להלן את עובדות כתבי האישום: </w:t>
      </w:r>
    </w:p>
    <w:p w14:paraId="30181ADC" w14:textId="77777777" w:rsidR="00A70748" w:rsidRPr="00DF1EFC" w:rsidRDefault="00A70748" w:rsidP="00A70748">
      <w:pPr>
        <w:pStyle w:val="a9"/>
        <w:ind w:left="0"/>
        <w:jc w:val="both"/>
        <w:rPr>
          <w:rFonts w:ascii="David" w:hAnsi="David"/>
        </w:rPr>
      </w:pPr>
    </w:p>
    <w:p w14:paraId="27CB342D" w14:textId="77777777" w:rsidR="00A70748" w:rsidRDefault="00A70748" w:rsidP="00A70748">
      <w:pPr>
        <w:pStyle w:val="a9"/>
        <w:spacing w:line="360" w:lineRule="auto"/>
        <w:jc w:val="both"/>
        <w:rPr>
          <w:rFonts w:ascii="David" w:hAnsi="David"/>
        </w:rPr>
      </w:pPr>
      <w:bookmarkStart w:id="6" w:name="ABSTRACT_END"/>
      <w:bookmarkEnd w:id="6"/>
      <w:r>
        <w:rPr>
          <w:rFonts w:ascii="David" w:hAnsi="David" w:hint="cs"/>
          <w:rtl/>
        </w:rPr>
        <w:t>(-)</w:t>
      </w:r>
      <w:r>
        <w:rPr>
          <w:rFonts w:ascii="David" w:hAnsi="David"/>
          <w:rtl/>
        </w:rPr>
        <w:tab/>
      </w:r>
      <w:r>
        <w:rPr>
          <w:rFonts w:ascii="David" w:hAnsi="David" w:hint="cs"/>
          <w:rtl/>
        </w:rPr>
        <w:t xml:space="preserve">ביום 16.02.22 החזיק הנאשם במקומות שונים בביתו, סם מסוג קנביס מחולק לשקיות במשקל כולל של 1.010 קילו וכן סם מסוג חשיש במשקל 257.12 גרם המחולק אף הוא למספר יחידות. כן החזיק במשקל אלקטרוני. </w:t>
      </w:r>
    </w:p>
    <w:p w14:paraId="399D7C6A" w14:textId="77777777" w:rsidR="00A70748" w:rsidRPr="008F7944" w:rsidRDefault="00A70748" w:rsidP="00A70748">
      <w:pPr>
        <w:pStyle w:val="a9"/>
        <w:rPr>
          <w:rFonts w:ascii="David" w:hAnsi="David"/>
          <w:rtl/>
        </w:rPr>
      </w:pPr>
    </w:p>
    <w:p w14:paraId="69BAAEB8" w14:textId="77777777" w:rsidR="00A70748" w:rsidRDefault="00A70748" w:rsidP="00A70748">
      <w:pPr>
        <w:pStyle w:val="a9"/>
        <w:spacing w:line="360" w:lineRule="auto"/>
        <w:jc w:val="both"/>
        <w:rPr>
          <w:rFonts w:ascii="David" w:hAnsi="David"/>
        </w:rPr>
      </w:pPr>
      <w:r>
        <w:rPr>
          <w:rFonts w:ascii="David" w:hAnsi="David" w:hint="cs"/>
          <w:rtl/>
        </w:rPr>
        <w:lastRenderedPageBreak/>
        <w:t>(-)</w:t>
      </w:r>
      <w:r>
        <w:rPr>
          <w:rFonts w:ascii="David" w:hAnsi="David"/>
          <w:rtl/>
        </w:rPr>
        <w:tab/>
      </w:r>
      <w:r>
        <w:rPr>
          <w:rFonts w:ascii="David" w:hAnsi="David" w:hint="cs"/>
          <w:rtl/>
        </w:rPr>
        <w:t xml:space="preserve">במסגרת </w:t>
      </w:r>
      <w:hyperlink r:id="rId17" w:history="1">
        <w:r w:rsidR="00712B3D" w:rsidRPr="00712B3D">
          <w:rPr>
            <w:rFonts w:ascii="David" w:hAnsi="David"/>
            <w:color w:val="0000FF"/>
            <w:u w:val="single"/>
            <w:rtl/>
          </w:rPr>
          <w:t>ת"פ 25471-03-22</w:t>
        </w:r>
      </w:hyperlink>
      <w:r>
        <w:rPr>
          <w:rFonts w:ascii="David" w:hAnsi="David" w:hint="cs"/>
          <w:rtl/>
        </w:rPr>
        <w:t xml:space="preserve">, הורשע הנאשם בכך שביום 08.12.20 החזיק בביתו 248.47 גרם קנביס וכן 91.78 גרם של חשיש. </w:t>
      </w:r>
    </w:p>
    <w:p w14:paraId="39CDBC3C" w14:textId="77777777" w:rsidR="00A70748" w:rsidRPr="004A0FF4" w:rsidRDefault="00A70748" w:rsidP="00A70748">
      <w:pPr>
        <w:pStyle w:val="a9"/>
        <w:rPr>
          <w:rFonts w:ascii="David" w:hAnsi="David"/>
          <w:rtl/>
        </w:rPr>
      </w:pPr>
      <w:r>
        <w:rPr>
          <w:rFonts w:ascii="David" w:hAnsi="David"/>
          <w:rtl/>
        </w:rPr>
        <w:tab/>
      </w:r>
    </w:p>
    <w:p w14:paraId="24BB1926" w14:textId="77777777" w:rsidR="00A70748" w:rsidRDefault="00A70748" w:rsidP="00A70748">
      <w:pPr>
        <w:pStyle w:val="a9"/>
        <w:spacing w:line="360" w:lineRule="auto"/>
        <w:jc w:val="both"/>
        <w:rPr>
          <w:rFonts w:ascii="David" w:hAnsi="David"/>
        </w:rPr>
      </w:pPr>
      <w:r>
        <w:rPr>
          <w:rFonts w:ascii="David" w:hAnsi="David" w:hint="cs"/>
          <w:rtl/>
        </w:rPr>
        <w:t>(-)</w:t>
      </w:r>
      <w:r>
        <w:rPr>
          <w:rFonts w:ascii="David" w:hAnsi="David"/>
          <w:rtl/>
        </w:rPr>
        <w:tab/>
      </w:r>
      <w:r>
        <w:rPr>
          <w:rFonts w:ascii="David" w:hAnsi="David" w:hint="cs"/>
          <w:rtl/>
        </w:rPr>
        <w:t xml:space="preserve">במסגרת </w:t>
      </w:r>
      <w:hyperlink r:id="rId18" w:history="1">
        <w:r w:rsidR="00712B3D" w:rsidRPr="00712B3D">
          <w:rPr>
            <w:rFonts w:ascii="David" w:hAnsi="David"/>
            <w:color w:val="0000FF"/>
            <w:u w:val="single"/>
            <w:rtl/>
          </w:rPr>
          <w:t>ת"פ 5058-03-23</w:t>
        </w:r>
      </w:hyperlink>
      <w:r>
        <w:rPr>
          <w:rFonts w:ascii="David" w:hAnsi="David" w:hint="cs"/>
          <w:rtl/>
        </w:rPr>
        <w:t xml:space="preserve">, הורשע הנאשם בכך שביום 23.08.21 החזיק בביתו 798 גרם סם מסוג קנביס וכן 11.4 גרם סם מסוג חשיש. כן החזיק בביתו במשקל אלקטרוני. אציין שכתב האישום מציין גם החזקת 19 גרם ברוטו של סם מסוג חשיש ללא ציין כמות הסם נטו. </w:t>
      </w:r>
    </w:p>
    <w:p w14:paraId="38C087FE" w14:textId="77777777" w:rsidR="00A70748" w:rsidRPr="00197DD8" w:rsidRDefault="00A70748" w:rsidP="00A70748">
      <w:pPr>
        <w:pStyle w:val="a9"/>
        <w:rPr>
          <w:rFonts w:ascii="David" w:hAnsi="David"/>
          <w:rtl/>
        </w:rPr>
      </w:pPr>
    </w:p>
    <w:p w14:paraId="4D2DF629" w14:textId="77777777" w:rsidR="00A70748" w:rsidRDefault="00A70748" w:rsidP="00A70748">
      <w:pPr>
        <w:pStyle w:val="a9"/>
        <w:spacing w:line="360" w:lineRule="auto"/>
        <w:jc w:val="both"/>
        <w:rPr>
          <w:rFonts w:ascii="David" w:hAnsi="David"/>
        </w:rPr>
      </w:pPr>
      <w:r>
        <w:rPr>
          <w:rFonts w:ascii="David" w:hAnsi="David" w:hint="cs"/>
          <w:rtl/>
        </w:rPr>
        <w:t>(-)</w:t>
      </w:r>
      <w:r>
        <w:rPr>
          <w:rFonts w:ascii="David" w:hAnsi="David"/>
          <w:rtl/>
        </w:rPr>
        <w:tab/>
      </w:r>
      <w:r>
        <w:rPr>
          <w:rFonts w:ascii="David" w:hAnsi="David" w:hint="cs"/>
          <w:rtl/>
        </w:rPr>
        <w:t xml:space="preserve">במסגרת </w:t>
      </w:r>
      <w:hyperlink r:id="rId19" w:history="1">
        <w:r w:rsidR="00712B3D" w:rsidRPr="00712B3D">
          <w:rPr>
            <w:rFonts w:ascii="David" w:hAnsi="David"/>
            <w:color w:val="0000FF"/>
            <w:u w:val="single"/>
            <w:rtl/>
          </w:rPr>
          <w:t>ת"פ 53787-04-23</w:t>
        </w:r>
      </w:hyperlink>
      <w:r>
        <w:rPr>
          <w:rFonts w:ascii="David" w:hAnsi="David" w:hint="cs"/>
          <w:rtl/>
        </w:rPr>
        <w:t xml:space="preserve">, הורשע הנאשם בכך שביום 25.03.23, הפר את תנאי השחרור בערובה שהוטלו עליו, בכך ששהה בחצות הלילה בחוף הים עם חבריו וזאת בניגוד לתנאי שחייבו לשהות בביתו בשעה זו (להלן </w:t>
      </w:r>
      <w:r>
        <w:rPr>
          <w:rFonts w:ascii="David" w:hAnsi="David"/>
          <w:rtl/>
        </w:rPr>
        <w:t>–</w:t>
      </w:r>
      <w:r>
        <w:rPr>
          <w:rFonts w:ascii="David" w:hAnsi="David" w:hint="cs"/>
          <w:rtl/>
        </w:rPr>
        <w:t xml:space="preserve"> </w:t>
      </w:r>
      <w:r w:rsidRPr="00F64641">
        <w:rPr>
          <w:rFonts w:ascii="Miriam" w:hAnsi="Miriam" w:cs="Miriam"/>
          <w:rtl/>
        </w:rPr>
        <w:t>תיק ההפרה</w:t>
      </w:r>
      <w:r>
        <w:rPr>
          <w:rFonts w:ascii="David" w:hAnsi="David" w:hint="cs"/>
          <w:rtl/>
        </w:rPr>
        <w:t xml:space="preserve">). </w:t>
      </w:r>
    </w:p>
    <w:p w14:paraId="77496965" w14:textId="77777777" w:rsidR="00A70748" w:rsidRPr="004C663D" w:rsidRDefault="00A70748" w:rsidP="00A70748">
      <w:pPr>
        <w:pStyle w:val="a9"/>
        <w:rPr>
          <w:rFonts w:ascii="David" w:hAnsi="David"/>
          <w:rtl/>
        </w:rPr>
      </w:pPr>
    </w:p>
    <w:p w14:paraId="565D341D" w14:textId="77777777" w:rsidR="00A70748" w:rsidRDefault="00A70748" w:rsidP="00A70748">
      <w:pPr>
        <w:spacing w:line="360" w:lineRule="auto"/>
        <w:jc w:val="both"/>
        <w:rPr>
          <w:rFonts w:ascii="David" w:hAnsi="David"/>
          <w:b/>
          <w:bCs/>
          <w:u w:val="single"/>
          <w:rtl/>
        </w:rPr>
      </w:pPr>
      <w:r>
        <w:rPr>
          <w:rFonts w:ascii="David" w:hAnsi="David" w:hint="cs"/>
          <w:b/>
          <w:bCs/>
          <w:u w:val="single"/>
          <w:rtl/>
        </w:rPr>
        <w:t>תסקיר שירות המבחן</w:t>
      </w:r>
    </w:p>
    <w:p w14:paraId="50A51014" w14:textId="77777777" w:rsidR="00A70748" w:rsidRDefault="00A70748" w:rsidP="00A70748">
      <w:pPr>
        <w:jc w:val="both"/>
        <w:rPr>
          <w:rFonts w:ascii="David" w:hAnsi="David"/>
          <w:b/>
          <w:bCs/>
          <w:u w:val="single"/>
          <w:rtl/>
        </w:rPr>
      </w:pPr>
    </w:p>
    <w:p w14:paraId="6766BD68" w14:textId="77777777" w:rsidR="00A70748" w:rsidRPr="0025467B" w:rsidRDefault="00A70748" w:rsidP="00A70748">
      <w:pPr>
        <w:pStyle w:val="a9"/>
        <w:numPr>
          <w:ilvl w:val="0"/>
          <w:numId w:val="1"/>
        </w:numPr>
        <w:spacing w:line="360" w:lineRule="auto"/>
        <w:jc w:val="both"/>
        <w:rPr>
          <w:rFonts w:ascii="David" w:hAnsi="David"/>
          <w:rtl/>
        </w:rPr>
      </w:pPr>
      <w:r w:rsidRPr="0025467B">
        <w:rPr>
          <w:rFonts w:ascii="Arial" w:hAnsi="Arial"/>
          <w:rtl/>
        </w:rPr>
        <w:t xml:space="preserve">בעניינו של הנאשם הוגשו </w:t>
      </w:r>
      <w:r w:rsidRPr="0025467B">
        <w:rPr>
          <w:rFonts w:ascii="Arial" w:hAnsi="Arial" w:hint="cs"/>
          <w:rtl/>
        </w:rPr>
        <w:t xml:space="preserve">מספר </w:t>
      </w:r>
      <w:r w:rsidRPr="0025467B">
        <w:rPr>
          <w:rFonts w:ascii="Arial" w:hAnsi="Arial"/>
          <w:rtl/>
        </w:rPr>
        <w:t xml:space="preserve">תסקירים </w:t>
      </w:r>
      <w:r w:rsidRPr="0025467B">
        <w:rPr>
          <w:rFonts w:ascii="Arial" w:hAnsi="Arial" w:hint="cs"/>
          <w:rtl/>
        </w:rPr>
        <w:t xml:space="preserve">שהתפרשו על פני תקופה ארוכה. </w:t>
      </w:r>
      <w:r w:rsidRPr="0025467B">
        <w:rPr>
          <w:rFonts w:ascii="Arial" w:hAnsi="Arial"/>
          <w:rtl/>
        </w:rPr>
        <w:t xml:space="preserve">משיקולים של צנעת הפרט לא אפרט יתר על המידה </w:t>
      </w:r>
      <w:r>
        <w:rPr>
          <w:rFonts w:ascii="Arial" w:hAnsi="Arial" w:hint="cs"/>
          <w:rtl/>
        </w:rPr>
        <w:t xml:space="preserve">בדבר נסיבות חייו </w:t>
      </w:r>
      <w:r w:rsidRPr="0025467B">
        <w:rPr>
          <w:rFonts w:ascii="Arial" w:hAnsi="Arial"/>
          <w:rtl/>
        </w:rPr>
        <w:t xml:space="preserve">ובתמצית ייאמר כי מדובר </w:t>
      </w:r>
      <w:r w:rsidRPr="0025467B">
        <w:rPr>
          <w:rFonts w:ascii="Arial" w:hAnsi="Arial" w:hint="cs"/>
          <w:rtl/>
        </w:rPr>
        <w:t xml:space="preserve">בצעיר שעשה שימוש בסמים מגיל צעיר. עם זאת, עברו הפלילי נקי ושירות המבחן התרשם כי הוא בעל יכולות תפקודיים טובים ואינו בעל מאפיינים עברייניים. הנאשם הביע רצון לשינוי אורחות חייו ולכן שולב בהליך טיפולי תואם. גורמי הטיפול התרשמו </w:t>
      </w:r>
      <w:r w:rsidRPr="0025467B">
        <w:rPr>
          <w:rFonts w:ascii="David" w:hAnsi="David" w:hint="cs"/>
          <w:rtl/>
        </w:rPr>
        <w:t xml:space="preserve">שהנאשם משתף פעולה בצורה מלאה, מגלה הבנה לחומרת מעשיו ומבטא מוטיבציה כנה לשינוי. כמו כן בדיקות השתן שנערכו לו </w:t>
      </w:r>
      <w:r>
        <w:rPr>
          <w:rFonts w:ascii="David" w:hAnsi="David" w:hint="cs"/>
          <w:rtl/>
        </w:rPr>
        <w:t xml:space="preserve">לאורך זמן </w:t>
      </w:r>
      <w:r w:rsidRPr="0025467B">
        <w:rPr>
          <w:rFonts w:ascii="David" w:hAnsi="David" w:hint="cs"/>
          <w:rtl/>
        </w:rPr>
        <w:t xml:space="preserve">הצביעו על ניקיון מסמים. לאור כך העריך שירות המבחן שהסיכון בעניינו פחת והמליץ </w:t>
      </w:r>
      <w:r w:rsidRPr="0025467B">
        <w:rPr>
          <w:rFonts w:ascii="Arial" w:hAnsi="Arial" w:hint="cs"/>
          <w:rtl/>
        </w:rPr>
        <w:t xml:space="preserve">לשלבו בצו </w:t>
      </w:r>
      <w:r w:rsidRPr="0025467B">
        <w:rPr>
          <w:rFonts w:ascii="Arial" w:hAnsi="Arial"/>
          <w:rtl/>
        </w:rPr>
        <w:t>מבחן</w:t>
      </w:r>
      <w:r w:rsidRPr="0025467B">
        <w:rPr>
          <w:rFonts w:ascii="Arial" w:hAnsi="Arial" w:hint="cs"/>
          <w:rtl/>
        </w:rPr>
        <w:t xml:space="preserve"> למשך שנה במסגרתו ימשיך בהליך הטיפולי. כן המליץ שירות המבחן להטיל צו של"צ בהיקף 250 שעות. </w:t>
      </w:r>
    </w:p>
    <w:p w14:paraId="6B7D3F6E" w14:textId="77777777" w:rsidR="00A70748" w:rsidRPr="002F2F9E" w:rsidRDefault="00A70748" w:rsidP="00A70748">
      <w:pPr>
        <w:jc w:val="both"/>
        <w:rPr>
          <w:rFonts w:ascii="David" w:hAnsi="David"/>
          <w:b/>
          <w:bCs/>
          <w:u w:val="single"/>
          <w:rtl/>
        </w:rPr>
      </w:pPr>
    </w:p>
    <w:p w14:paraId="3EF75A71" w14:textId="77777777" w:rsidR="00A70748" w:rsidRDefault="00A70748" w:rsidP="00A70748">
      <w:pPr>
        <w:spacing w:line="360" w:lineRule="auto"/>
        <w:jc w:val="both"/>
        <w:rPr>
          <w:rFonts w:ascii="David" w:hAnsi="David"/>
          <w:b/>
          <w:bCs/>
          <w:u w:val="single"/>
          <w:rtl/>
        </w:rPr>
      </w:pPr>
      <w:r>
        <w:rPr>
          <w:rFonts w:ascii="David" w:hAnsi="David" w:hint="cs"/>
          <w:b/>
          <w:bCs/>
          <w:u w:val="single"/>
          <w:rtl/>
        </w:rPr>
        <w:t>טיעוני הצדדים והראיות לעונש</w:t>
      </w:r>
    </w:p>
    <w:p w14:paraId="32558814" w14:textId="77777777" w:rsidR="00A70748" w:rsidRDefault="00A70748" w:rsidP="00A70748">
      <w:pPr>
        <w:jc w:val="both"/>
        <w:rPr>
          <w:rFonts w:ascii="David" w:hAnsi="David"/>
          <w:b/>
          <w:bCs/>
          <w:u w:val="single"/>
          <w:rtl/>
        </w:rPr>
      </w:pPr>
    </w:p>
    <w:p w14:paraId="165237BE" w14:textId="77777777" w:rsidR="00A70748" w:rsidRDefault="00A70748" w:rsidP="00A70748">
      <w:pPr>
        <w:pStyle w:val="a9"/>
        <w:numPr>
          <w:ilvl w:val="0"/>
          <w:numId w:val="1"/>
        </w:numPr>
        <w:spacing w:line="360" w:lineRule="auto"/>
        <w:jc w:val="both"/>
        <w:rPr>
          <w:rFonts w:ascii="David" w:hAnsi="David"/>
        </w:rPr>
      </w:pPr>
      <w:r>
        <w:rPr>
          <w:rFonts w:ascii="David" w:hAnsi="David" w:hint="cs"/>
          <w:rtl/>
        </w:rPr>
        <w:t xml:space="preserve">ב"כ המאשימה הגישה טיעונים בכתב וכן השלימה טיעון על פה. נטען כי הערכים המוגנים שנפגעו הם שלום הציבור ובריאותו וזאת בין היתר על רקע נזקי הסמים לציבור בשים לב לכמות הגבוהה שנתפסה. ביחס לנסיבות המקרה נטען כי הנאשם החזיק סמים במספר הזדמנויות שונות ולכן עתרה המאשימה לקביעת מספר מתחמים כאשר בכל תיק סמים ייקבע מתחם ענישה הנע בין 6-12 חודשי מאסר ואילו בתיק ההפרה עתרה למתחם ענישה הנע בין מאסר מותנה ועד מספר חודשי מאסר. ביחס לעונש שיש להטיל על הנאשם טענה המאשימה שהמלצת שירות מבחן כשמה כן היא ובית המשפט אינו מחויב לה. כן טענה שהליך הגמילה מסמים שעבר הנאשם אינו תואם את העבירות שעבר שעניינן החזקת סם שלא לשימוש עצמי. לאור כך עתרה המאשימה להטיל על הנאשם עונש מאסר בן 9 חודשים שירוצו בדרך של עבודות שירות לצד ענישה נלווית לרבות פסילת רישיון. </w:t>
      </w:r>
    </w:p>
    <w:p w14:paraId="6B312AA5" w14:textId="77777777" w:rsidR="00A70748" w:rsidRPr="00486D51" w:rsidRDefault="00A70748" w:rsidP="00A70748">
      <w:pPr>
        <w:jc w:val="both"/>
        <w:rPr>
          <w:rFonts w:ascii="David" w:hAnsi="David"/>
          <w:rtl/>
        </w:rPr>
      </w:pPr>
    </w:p>
    <w:p w14:paraId="583DE5BD" w14:textId="77777777" w:rsidR="00A70748" w:rsidRDefault="00A70748" w:rsidP="00A70748">
      <w:pPr>
        <w:pStyle w:val="a9"/>
        <w:numPr>
          <w:ilvl w:val="0"/>
          <w:numId w:val="1"/>
        </w:numPr>
        <w:spacing w:line="360" w:lineRule="auto"/>
        <w:jc w:val="both"/>
        <w:rPr>
          <w:rFonts w:ascii="David" w:hAnsi="David"/>
        </w:rPr>
      </w:pPr>
      <w:r>
        <w:rPr>
          <w:rFonts w:ascii="David" w:hAnsi="David" w:hint="cs"/>
          <w:rtl/>
        </w:rPr>
        <w:lastRenderedPageBreak/>
        <w:t>ב"כ הנאשם הדגיש שמדובר בתיקים ישנים יחסית וכי המאשימה פעלה בשיהוי בהגשת שני כתבי אישום מבלי שהייתה הצדקה לכך. הסנגור ביקש לראות בכל כתבי האישום כאירוע אחד ולקבוע מתחם ענישה הנע בין מספר חודשי מאסר ועד 12 חודשים. ביחס לעונש הקונקרטי טען הסנגור שמדובר בנאשם צעיר, נעדר עבר פלילי אשר הודה כבר בחקירתו, קיבל אחריות בבית המשפט ושיתף פעולה עם שירות המבחן. לאור כך ביקש הסנגור לאמץ את המלצות שירות המבחן וטען כי הנאשם עובד תקופה ארוכה ועונש בעבודות שירות עלול לפגוע בסיכויי שיקומו. כן ביקש הסנגור להימנע מפסילה לאור כך שהנאשם נעדר רישיון ומבקש להתחיל בתהליך הוצאת רישיון.</w:t>
      </w:r>
    </w:p>
    <w:p w14:paraId="59A36FC8" w14:textId="77777777" w:rsidR="00A70748" w:rsidRPr="00556F33" w:rsidRDefault="00A70748" w:rsidP="00A70748">
      <w:pPr>
        <w:pStyle w:val="a9"/>
        <w:rPr>
          <w:rFonts w:ascii="David" w:hAnsi="David"/>
          <w:rtl/>
        </w:rPr>
      </w:pPr>
    </w:p>
    <w:p w14:paraId="6E04299D" w14:textId="77777777" w:rsidR="00A70748" w:rsidRPr="006A5AAE" w:rsidRDefault="00A70748" w:rsidP="00A70748">
      <w:pPr>
        <w:pStyle w:val="a9"/>
        <w:numPr>
          <w:ilvl w:val="0"/>
          <w:numId w:val="1"/>
        </w:numPr>
        <w:spacing w:line="360" w:lineRule="auto"/>
        <w:jc w:val="both"/>
        <w:rPr>
          <w:rFonts w:ascii="David" w:hAnsi="David"/>
        </w:rPr>
      </w:pPr>
      <w:r w:rsidRPr="006A5AAE">
        <w:rPr>
          <w:rFonts w:ascii="David" w:hAnsi="David" w:hint="cs"/>
          <w:rtl/>
        </w:rPr>
        <w:t xml:space="preserve">הנאשם בדברו האחרון </w:t>
      </w:r>
      <w:r>
        <w:rPr>
          <w:rFonts w:ascii="David" w:hAnsi="David" w:hint="cs"/>
          <w:rtl/>
        </w:rPr>
        <w:t xml:space="preserve">הביע שביעות רצון מההליך הטיפולי וממצבו, הסביר כי לראשונה בחייו הוא עובד בעבודה מסודרת והביע רצון להמשך ההליך הטיפולי. </w:t>
      </w:r>
    </w:p>
    <w:p w14:paraId="30BD63B2" w14:textId="77777777" w:rsidR="00A70748" w:rsidRPr="006A5AAE" w:rsidRDefault="00A70748" w:rsidP="00A70748">
      <w:pPr>
        <w:pStyle w:val="a9"/>
        <w:jc w:val="both"/>
        <w:rPr>
          <w:rFonts w:ascii="David" w:hAnsi="David"/>
          <w:rtl/>
        </w:rPr>
      </w:pPr>
    </w:p>
    <w:p w14:paraId="6CA680A6" w14:textId="77777777" w:rsidR="00A70748" w:rsidRDefault="00A70748" w:rsidP="00A70748">
      <w:pPr>
        <w:spacing w:line="360" w:lineRule="auto"/>
        <w:jc w:val="both"/>
        <w:rPr>
          <w:rFonts w:ascii="David" w:hAnsi="David"/>
          <w:b/>
          <w:bCs/>
          <w:u w:val="single"/>
          <w:rtl/>
        </w:rPr>
      </w:pPr>
      <w:r w:rsidRPr="006A5AAE">
        <w:rPr>
          <w:rFonts w:ascii="David" w:hAnsi="David" w:hint="cs"/>
          <w:b/>
          <w:bCs/>
          <w:u w:val="single"/>
          <w:rtl/>
        </w:rPr>
        <w:t>דיון והכרעה</w:t>
      </w:r>
    </w:p>
    <w:p w14:paraId="4AA24A1A" w14:textId="77777777" w:rsidR="00A70748" w:rsidRDefault="00A70748" w:rsidP="00A70748">
      <w:pPr>
        <w:spacing w:line="360" w:lineRule="auto"/>
        <w:jc w:val="both"/>
        <w:rPr>
          <w:rFonts w:ascii="David" w:hAnsi="David"/>
          <w:b/>
          <w:bCs/>
          <w:u w:val="single"/>
          <w:rtl/>
        </w:rPr>
      </w:pPr>
      <w:r>
        <w:rPr>
          <w:b/>
          <w:bCs/>
          <w:u w:val="single"/>
          <w:rtl/>
        </w:rPr>
        <w:t>קביעת מתחם העונש</w:t>
      </w:r>
    </w:p>
    <w:p w14:paraId="4F01B391" w14:textId="77777777" w:rsidR="00A70748" w:rsidRPr="006A5AAE" w:rsidRDefault="00A70748" w:rsidP="00A70748">
      <w:pPr>
        <w:jc w:val="both"/>
        <w:rPr>
          <w:rFonts w:ascii="David" w:hAnsi="David"/>
          <w:b/>
          <w:bCs/>
          <w:u w:val="single"/>
          <w:rtl/>
        </w:rPr>
      </w:pPr>
    </w:p>
    <w:p w14:paraId="0F529FA4" w14:textId="77777777" w:rsidR="00A70748" w:rsidRPr="00391719" w:rsidRDefault="00A70748" w:rsidP="00A70748">
      <w:pPr>
        <w:pStyle w:val="a9"/>
        <w:numPr>
          <w:ilvl w:val="0"/>
          <w:numId w:val="1"/>
        </w:numPr>
        <w:spacing w:line="360" w:lineRule="auto"/>
        <w:jc w:val="both"/>
        <w:rPr>
          <w:rFonts w:ascii="David" w:hAnsi="David"/>
        </w:rPr>
      </w:pPr>
      <w:r>
        <w:rPr>
          <w:rtl/>
        </w:rPr>
        <w:t xml:space="preserve">הצדדים חלוקים </w:t>
      </w:r>
      <w:r>
        <w:rPr>
          <w:rFonts w:hint="cs"/>
          <w:rtl/>
        </w:rPr>
        <w:t>בדבר מספר מתחמי הענישה שיש לקבוע</w:t>
      </w:r>
      <w:r>
        <w:rPr>
          <w:rtl/>
        </w:rPr>
        <w:t xml:space="preserve">. לדידי, יש לראות </w:t>
      </w:r>
      <w:r>
        <w:rPr>
          <w:rFonts w:hint="cs"/>
          <w:rtl/>
        </w:rPr>
        <w:t xml:space="preserve">בתיק ההפרה כאירוע נפרד ואילו </w:t>
      </w:r>
      <w:r>
        <w:rPr>
          <w:rtl/>
        </w:rPr>
        <w:t xml:space="preserve">את כל עבירות </w:t>
      </w:r>
      <w:r>
        <w:rPr>
          <w:rFonts w:hint="cs"/>
          <w:rtl/>
        </w:rPr>
        <w:t xml:space="preserve">הסמים יש לראות </w:t>
      </w:r>
      <w:r>
        <w:rPr>
          <w:rtl/>
        </w:rPr>
        <w:t>כאירוע אחד וזאת על-פי מבחן הקשר ההדוק (</w:t>
      </w:r>
      <w:hyperlink r:id="rId20" w:history="1">
        <w:r w:rsidR="00712B3D" w:rsidRPr="00712B3D">
          <w:rPr>
            <w:color w:val="0000FF"/>
            <w:u w:val="single"/>
            <w:rtl/>
          </w:rPr>
          <w:t>ע"פ 4910/13</w:t>
        </w:r>
      </w:hyperlink>
      <w:r>
        <w:rPr>
          <w:rtl/>
        </w:rPr>
        <w:t xml:space="preserve"> </w:t>
      </w:r>
      <w:r w:rsidRPr="00391719">
        <w:rPr>
          <w:b/>
          <w:bCs/>
          <w:rtl/>
        </w:rPr>
        <w:t>ג'אבר נ' מדינת ישראל</w:t>
      </w:r>
      <w:r>
        <w:rPr>
          <w:rtl/>
        </w:rPr>
        <w:t xml:space="preserve"> (29.10.2014)). מדובר בעבירות </w:t>
      </w:r>
      <w:r>
        <w:rPr>
          <w:rFonts w:hint="cs"/>
          <w:rtl/>
        </w:rPr>
        <w:t xml:space="preserve">זהות, שבוצעו באותו מקום, אשר נבעו מאותו מניע עברייני והן מהוות יחדיו </w:t>
      </w:r>
      <w:r>
        <w:rPr>
          <w:rtl/>
        </w:rPr>
        <w:t xml:space="preserve">תכנית עבריינית אחת שלמה. משכך, קיים קשר ברור והדוק בין המעשים ויש לראותם כאירוע אחד בגינו יש לקבוע מתחם עונש אחד. </w:t>
      </w:r>
      <w:r w:rsidRPr="00391719">
        <w:rPr>
          <w:rFonts w:ascii="David" w:hAnsi="David"/>
          <w:rtl/>
        </w:rPr>
        <w:t xml:space="preserve">לא התעלמתי </w:t>
      </w:r>
      <w:r w:rsidRPr="00391719">
        <w:rPr>
          <w:rFonts w:ascii="David" w:hAnsi="David" w:hint="cs"/>
          <w:rtl/>
        </w:rPr>
        <w:t>מפרקי הזמן ה</w:t>
      </w:r>
      <w:r w:rsidRPr="00391719">
        <w:rPr>
          <w:rFonts w:ascii="David" w:hAnsi="David"/>
          <w:rtl/>
        </w:rPr>
        <w:t xml:space="preserve">מפרידים </w:t>
      </w:r>
      <w:r>
        <w:rPr>
          <w:rFonts w:hint="cs"/>
          <w:rtl/>
        </w:rPr>
        <w:t xml:space="preserve">בין העבירות </w:t>
      </w:r>
      <w:r>
        <w:rPr>
          <w:rtl/>
        </w:rPr>
        <w:t>ואולם מדובר בסמיכות זמנים המתיישבת עם התכלית העומדת בבסיס הפרשנות שניתנה בפסיקה למונח "אירוע" (</w:t>
      </w:r>
      <w:hyperlink r:id="rId21" w:history="1">
        <w:r w:rsidR="00712B3D" w:rsidRPr="00712B3D">
          <w:rPr>
            <w:color w:val="0000FF"/>
            <w:u w:val="single"/>
            <w:rtl/>
          </w:rPr>
          <w:t>ע"פ 5643/14</w:t>
        </w:r>
      </w:hyperlink>
      <w:r>
        <w:rPr>
          <w:rtl/>
        </w:rPr>
        <w:t xml:space="preserve"> </w:t>
      </w:r>
      <w:r w:rsidRPr="00391719">
        <w:rPr>
          <w:b/>
          <w:bCs/>
          <w:rtl/>
        </w:rPr>
        <w:t>אחמד עיסא נ' מדינת ישראל</w:t>
      </w:r>
      <w:r>
        <w:rPr>
          <w:rtl/>
        </w:rPr>
        <w:t xml:space="preserve"> (23.6.2015); </w:t>
      </w:r>
      <w:hyperlink r:id="rId22" w:history="1">
        <w:r w:rsidR="00712B3D" w:rsidRPr="00712B3D">
          <w:rPr>
            <w:color w:val="0000FF"/>
            <w:u w:val="single"/>
            <w:rtl/>
          </w:rPr>
          <w:t>ע"פ 4910/13</w:t>
        </w:r>
      </w:hyperlink>
      <w:r>
        <w:rPr>
          <w:rtl/>
        </w:rPr>
        <w:t xml:space="preserve"> </w:t>
      </w:r>
      <w:r w:rsidRPr="00391719">
        <w:rPr>
          <w:b/>
          <w:bCs/>
          <w:rtl/>
        </w:rPr>
        <w:t>ג'אבר נ' מדינת ישראל</w:t>
      </w:r>
      <w:r>
        <w:rPr>
          <w:rtl/>
        </w:rPr>
        <w:t xml:space="preserve"> (29.10.2014)). עם זאת, אביא כמובן בחשבון את העובדה שמדובר במספר עבירות נפרדות לצורך קביעת גבולות המתחם </w:t>
      </w:r>
      <w:r w:rsidRPr="00391719">
        <w:rPr>
          <w:rFonts w:ascii="Arial TUR" w:hAnsi="Arial TUR"/>
          <w:spacing w:val="10"/>
          <w:rtl/>
        </w:rPr>
        <w:t>(</w:t>
      </w:r>
      <w:hyperlink r:id="rId23" w:history="1">
        <w:r w:rsidR="00712B3D" w:rsidRPr="00712B3D">
          <w:rPr>
            <w:rFonts w:ascii="Arial TUR" w:hAnsi="Arial TUR"/>
            <w:color w:val="0000FF"/>
            <w:spacing w:val="10"/>
            <w:u w:val="single"/>
            <w:rtl/>
          </w:rPr>
          <w:t>רע"פ 4760/14</w:t>
        </w:r>
      </w:hyperlink>
      <w:r w:rsidRPr="00391719">
        <w:rPr>
          <w:rFonts w:ascii="Arial TUR" w:hAnsi="Arial TUR"/>
          <w:spacing w:val="10"/>
          <w:rtl/>
        </w:rPr>
        <w:t xml:space="preserve"> </w:t>
      </w:r>
      <w:r w:rsidRPr="00391719">
        <w:rPr>
          <w:b/>
          <w:bCs/>
          <w:rtl/>
        </w:rPr>
        <w:t>קיסלמן נ' מדינת ישראל</w:t>
      </w:r>
      <w:r w:rsidRPr="00391719">
        <w:rPr>
          <w:rFonts w:ascii="Arial TUR" w:hAnsi="Arial TUR"/>
          <w:spacing w:val="10"/>
          <w:rtl/>
        </w:rPr>
        <w:t xml:space="preserve"> (7.5.2015)</w:t>
      </w:r>
      <w:r>
        <w:rPr>
          <w:rtl/>
        </w:rPr>
        <w:t xml:space="preserve">; </w:t>
      </w:r>
      <w:hyperlink r:id="rId24" w:history="1">
        <w:r w:rsidR="00712B3D" w:rsidRPr="00712B3D">
          <w:rPr>
            <w:rFonts w:ascii="Calibri" w:hAnsi="Calibri" w:hint="eastAsia"/>
            <w:color w:val="0000FF"/>
            <w:u w:val="single"/>
            <w:rtl/>
          </w:rPr>
          <w:t>דנ</w:t>
        </w:r>
        <w:r w:rsidR="00712B3D" w:rsidRPr="00712B3D">
          <w:rPr>
            <w:rFonts w:ascii="Calibri" w:hAnsi="Calibri"/>
            <w:color w:val="0000FF"/>
            <w:u w:val="single"/>
            <w:rtl/>
          </w:rPr>
          <w:t>"</w:t>
        </w:r>
        <w:r w:rsidR="00712B3D" w:rsidRPr="00712B3D">
          <w:rPr>
            <w:rFonts w:ascii="Calibri" w:hAnsi="Calibri" w:hint="eastAsia"/>
            <w:color w:val="0000FF"/>
            <w:u w:val="single"/>
            <w:rtl/>
          </w:rPr>
          <w:t>פ</w:t>
        </w:r>
        <w:r w:rsidR="00712B3D" w:rsidRPr="00712B3D">
          <w:rPr>
            <w:rFonts w:ascii="Calibri" w:hAnsi="Calibri"/>
            <w:color w:val="0000FF"/>
            <w:u w:val="single"/>
            <w:rtl/>
          </w:rPr>
          <w:t xml:space="preserve"> 2999/16</w:t>
        </w:r>
      </w:hyperlink>
      <w:r w:rsidRPr="00391719">
        <w:rPr>
          <w:rFonts w:ascii="Calibri" w:hAnsi="Calibri"/>
          <w:rtl/>
        </w:rPr>
        <w:t xml:space="preserve"> </w:t>
      </w:r>
      <w:r w:rsidRPr="00391719">
        <w:rPr>
          <w:rFonts w:ascii="Calibri" w:hAnsi="Calibri"/>
          <w:b/>
          <w:bCs/>
          <w:rtl/>
        </w:rPr>
        <w:t>מזרחי נ' מדינת ישראל</w:t>
      </w:r>
      <w:r w:rsidRPr="00391719">
        <w:rPr>
          <w:rFonts w:ascii="Calibri" w:hAnsi="Calibri"/>
          <w:rtl/>
        </w:rPr>
        <w:t xml:space="preserve"> (22.5.2016)).</w:t>
      </w:r>
    </w:p>
    <w:p w14:paraId="6FC30182" w14:textId="77777777" w:rsidR="00A70748" w:rsidRPr="00260B74" w:rsidRDefault="00A70748" w:rsidP="00A70748">
      <w:pPr>
        <w:pStyle w:val="a9"/>
        <w:spacing w:line="360" w:lineRule="auto"/>
        <w:ind w:left="0"/>
        <w:jc w:val="both"/>
        <w:rPr>
          <w:rFonts w:ascii="David" w:hAnsi="David"/>
          <w:rtl/>
        </w:rPr>
      </w:pPr>
    </w:p>
    <w:p w14:paraId="271DDB81" w14:textId="77777777" w:rsidR="00A70748" w:rsidRPr="00C605E5" w:rsidRDefault="00A70748" w:rsidP="00A70748">
      <w:pPr>
        <w:pStyle w:val="a9"/>
        <w:numPr>
          <w:ilvl w:val="0"/>
          <w:numId w:val="1"/>
        </w:numPr>
        <w:spacing w:line="360" w:lineRule="auto"/>
        <w:jc w:val="both"/>
        <w:rPr>
          <w:rFonts w:ascii="David" w:hAnsi="David"/>
        </w:rPr>
      </w:pPr>
      <w:r>
        <w:rPr>
          <w:rFonts w:ascii="David" w:hAnsi="David"/>
          <w:rtl/>
        </w:rPr>
        <w:t xml:space="preserve">במעשיו פגע הנאשם בערכים המוגנים של בטחון הציבור ושלומו. הסכנות הטמונות בהחזקת סם מסוכן שלא לשימוש עצמי בלבד ידועות ואין צורך להכביר מילים על הנזקים העקיפים והישירים שעלולים להיגרם לחברה ולפרט מעבירות הסמים. הדברים מתעצמים לנוכח כמות הסם הכוללת בה החזיק הנאשם, </w:t>
      </w:r>
      <w:r>
        <w:rPr>
          <w:rFonts w:ascii="David" w:hAnsi="David" w:hint="cs"/>
          <w:rtl/>
        </w:rPr>
        <w:t>בשלוש</w:t>
      </w:r>
      <w:r>
        <w:rPr>
          <w:rFonts w:ascii="David" w:hAnsi="David"/>
          <w:rtl/>
        </w:rPr>
        <w:t xml:space="preserve"> הזדמנויות שונות</w:t>
      </w:r>
      <w:r>
        <w:rPr>
          <w:rFonts w:ascii="David" w:hAnsi="David" w:hint="cs"/>
          <w:rtl/>
        </w:rPr>
        <w:t xml:space="preserve">. לצד זאת, הנאשם פגע גם בשלטון החוק ובצורך לכבד צווים שיפוטיים. בעניין זה אציין גם </w:t>
      </w:r>
      <w:r w:rsidRPr="00C605E5">
        <w:rPr>
          <w:rFonts w:ascii="David" w:hAnsi="David"/>
          <w:rtl/>
        </w:rPr>
        <w:t xml:space="preserve">כי שחרור חשוד בערובה מבטא את הרעיון לפיו יש להעדיף אמצעי מידתי יותר להשגת תכלית המעצר. ככל </w:t>
      </w:r>
      <w:r>
        <w:rPr>
          <w:rFonts w:ascii="David" w:hAnsi="David" w:hint="cs"/>
          <w:rtl/>
        </w:rPr>
        <w:t xml:space="preserve">שמשוחררים בערובה </w:t>
      </w:r>
      <w:r w:rsidRPr="00C605E5">
        <w:rPr>
          <w:rFonts w:ascii="David" w:hAnsi="David"/>
          <w:rtl/>
        </w:rPr>
        <w:t xml:space="preserve">לא יכבדו את תנאי השחרור עלול מוסד השחרור בערובה להיפגע בשל כך שיוטל ספק ביכולתו למלא אחר תכליתו ובכך יפגעו </w:t>
      </w:r>
      <w:r>
        <w:rPr>
          <w:rFonts w:ascii="David" w:hAnsi="David" w:hint="cs"/>
          <w:rtl/>
        </w:rPr>
        <w:t xml:space="preserve">נאשמים </w:t>
      </w:r>
      <w:r w:rsidRPr="00C605E5">
        <w:rPr>
          <w:rFonts w:ascii="David" w:hAnsi="David"/>
          <w:rtl/>
        </w:rPr>
        <w:t xml:space="preserve">אחרים. </w:t>
      </w:r>
    </w:p>
    <w:p w14:paraId="3F7AA055" w14:textId="77777777" w:rsidR="00A70748" w:rsidRPr="00C605E5" w:rsidRDefault="00A70748" w:rsidP="00A70748">
      <w:pPr>
        <w:pStyle w:val="a9"/>
        <w:rPr>
          <w:rFonts w:ascii="David" w:hAnsi="David"/>
          <w:rtl/>
        </w:rPr>
      </w:pPr>
    </w:p>
    <w:p w14:paraId="5E65A6C2" w14:textId="77777777" w:rsidR="00A70748" w:rsidRPr="00CB5F8D" w:rsidRDefault="00A70748" w:rsidP="00A70748">
      <w:pPr>
        <w:pStyle w:val="a9"/>
        <w:numPr>
          <w:ilvl w:val="0"/>
          <w:numId w:val="1"/>
        </w:numPr>
        <w:spacing w:line="360" w:lineRule="auto"/>
        <w:jc w:val="both"/>
        <w:rPr>
          <w:rFonts w:ascii="David" w:hAnsi="David"/>
        </w:rPr>
      </w:pPr>
      <w:r w:rsidRPr="00CB5F8D">
        <w:rPr>
          <w:rFonts w:ascii="David" w:hAnsi="David"/>
          <w:rtl/>
        </w:rPr>
        <w:t>ביחס לנסיבות הקשורות לביצוע העבירות אציין שמדובר בסם מסוג קנבוס</w:t>
      </w:r>
      <w:r>
        <w:rPr>
          <w:rFonts w:ascii="David" w:hAnsi="David" w:hint="cs"/>
          <w:rtl/>
        </w:rPr>
        <w:t xml:space="preserve"> וחשיש</w:t>
      </w:r>
      <w:r w:rsidRPr="00CB5F8D">
        <w:rPr>
          <w:rFonts w:ascii="David" w:hAnsi="David"/>
          <w:rtl/>
        </w:rPr>
        <w:t xml:space="preserve"> וכי</w:t>
      </w:r>
      <w:r>
        <w:rPr>
          <w:rFonts w:ascii="David" w:hAnsi="David"/>
          <w:rtl/>
        </w:rPr>
        <w:t xml:space="preserve"> כמות הסם שהחזיק הנאשם משמעותית</w:t>
      </w:r>
      <w:r>
        <w:rPr>
          <w:rFonts w:ascii="David" w:hAnsi="David" w:hint="cs"/>
          <w:rtl/>
        </w:rPr>
        <w:t xml:space="preserve">, היא הייתה מחולקת ולא הייתה לשימוש עצמי בלבד. כן החזיק הנאשם משקל אלקטרוני בשתי הזדמנויות. ביחס להפרת תנאי השחרור, אציין שמדובר בהפרה בוטה יחסית, בשעת לילה מאוחרת אם כי להפרה לא נלוותה עבירה והיא בוצעה לאחר תקופה ארוכה. </w:t>
      </w:r>
    </w:p>
    <w:p w14:paraId="7CBB3E0F" w14:textId="77777777" w:rsidR="00A70748" w:rsidRPr="009831CB" w:rsidRDefault="00A70748" w:rsidP="00A70748">
      <w:pPr>
        <w:jc w:val="both"/>
        <w:rPr>
          <w:rFonts w:ascii="David" w:hAnsi="David"/>
          <w:rtl/>
        </w:rPr>
      </w:pPr>
    </w:p>
    <w:p w14:paraId="3648C0A2" w14:textId="77777777" w:rsidR="00A70748" w:rsidRDefault="00A70748" w:rsidP="00A70748">
      <w:pPr>
        <w:pStyle w:val="a9"/>
        <w:numPr>
          <w:ilvl w:val="0"/>
          <w:numId w:val="1"/>
        </w:numPr>
        <w:spacing w:line="360" w:lineRule="auto"/>
        <w:jc w:val="both"/>
        <w:rPr>
          <w:rFonts w:ascii="David" w:hAnsi="David"/>
        </w:rPr>
      </w:pPr>
      <w:r>
        <w:rPr>
          <w:b/>
          <w:bCs/>
          <w:rtl/>
        </w:rPr>
        <w:t>מדיניות הענישה:</w:t>
      </w:r>
      <w:r>
        <w:rPr>
          <w:rtl/>
        </w:rPr>
        <w:t xml:space="preserve"> מדיניות הענישה בעבירות סמים הקשורות לשרשרת ההפצה מחמירה ולנסיבות האישיות ניתן, ככלל, משקל מופחת. בעניין זה נקבע לא אחת כי </w:t>
      </w:r>
      <w:r>
        <w:rPr>
          <w:rFonts w:cs="Miriam"/>
          <w:rtl/>
        </w:rPr>
        <w:t>"ההלכה בעניין עבירות סמים קובעת כי נוכח חומרתן הרבה של אותן העבירות יש להתמודד מולן באמצעות ענישה משמעותית ומחמירה ... [ו]כי יש לבכר את שיקולי ההרתעה על השיקולים האישיים בעבירות מסוג זה"</w:t>
      </w:r>
      <w:r>
        <w:rPr>
          <w:rtl/>
        </w:rPr>
        <w:t xml:space="preserve"> </w:t>
      </w:r>
      <w:r>
        <w:rPr>
          <w:rFonts w:ascii="David" w:hAnsi="David"/>
          <w:rtl/>
        </w:rPr>
        <w:t>(</w:t>
      </w:r>
      <w:hyperlink r:id="rId25" w:history="1">
        <w:r w:rsidR="00712B3D" w:rsidRPr="00712B3D">
          <w:rPr>
            <w:rFonts w:ascii="David" w:hAnsi="David"/>
            <w:color w:val="0000FF"/>
            <w:u w:val="single"/>
            <w:rtl/>
          </w:rPr>
          <w:t>ע"פ 8988/16</w:t>
        </w:r>
      </w:hyperlink>
      <w:r w:rsidRPr="00CB5F8D">
        <w:rPr>
          <w:rFonts w:ascii="David" w:hAnsi="David"/>
          <w:rtl/>
        </w:rPr>
        <w:t xml:space="preserve"> </w:t>
      </w:r>
      <w:r w:rsidRPr="00CB5F8D">
        <w:rPr>
          <w:rFonts w:ascii="David" w:hAnsi="David" w:hint="cs"/>
          <w:b/>
          <w:bCs/>
          <w:rtl/>
        </w:rPr>
        <w:t>אשר</w:t>
      </w:r>
      <w:r w:rsidRPr="00CB5F8D">
        <w:rPr>
          <w:b/>
          <w:bCs/>
          <w:rtl/>
        </w:rPr>
        <w:t xml:space="preserve"> בן סימון נ' מדינת ישראל</w:t>
      </w:r>
      <w:r w:rsidRPr="00CB5F8D">
        <w:rPr>
          <w:rtl/>
        </w:rPr>
        <w:t xml:space="preserve"> (8.3.2017)).</w:t>
      </w:r>
      <w:r w:rsidRPr="00CB5F8D">
        <w:rPr>
          <w:rFonts w:ascii="David" w:hAnsi="David"/>
          <w:rtl/>
        </w:rPr>
        <w:t xml:space="preserve"> </w:t>
      </w:r>
      <w:r w:rsidRPr="00A70748">
        <w:rPr>
          <w:rFonts w:ascii="Calibri" w:hAnsi="Calibri"/>
          <w:rtl/>
        </w:rPr>
        <w:t xml:space="preserve">הענישה המחמירה נועדה להרתיע מפני ביצוען וזאת על מנת להגן על הציבור מפני השפעותיו הקשות של הסם </w:t>
      </w:r>
      <w:r>
        <w:rPr>
          <w:rFonts w:ascii="David" w:hAnsi="David"/>
          <w:rtl/>
        </w:rPr>
        <w:t>(</w:t>
      </w:r>
      <w:hyperlink r:id="rId26" w:history="1">
        <w:r w:rsidR="00712B3D" w:rsidRPr="00712B3D">
          <w:rPr>
            <w:rFonts w:ascii="David" w:hAnsi="David"/>
            <w:color w:val="0000FF"/>
            <w:u w:val="single"/>
            <w:rtl/>
          </w:rPr>
          <w:t>רע"פ 4512/15</w:t>
        </w:r>
      </w:hyperlink>
      <w:r>
        <w:rPr>
          <w:rFonts w:ascii="David" w:hAnsi="David"/>
          <w:rtl/>
        </w:rPr>
        <w:t xml:space="preserve"> </w:t>
      </w:r>
      <w:r>
        <w:rPr>
          <w:rFonts w:ascii="David" w:hAnsi="David"/>
          <w:b/>
          <w:bCs/>
          <w:rtl/>
        </w:rPr>
        <w:t>הרוש נ' מדינת ישראל</w:t>
      </w:r>
      <w:r>
        <w:rPr>
          <w:rFonts w:ascii="David" w:hAnsi="David"/>
          <w:rtl/>
        </w:rPr>
        <w:t xml:space="preserve"> (6.7.2015); </w:t>
      </w:r>
      <w:hyperlink r:id="rId27" w:history="1">
        <w:r w:rsidR="00712B3D" w:rsidRPr="00712B3D">
          <w:rPr>
            <w:rFonts w:ascii="David" w:hAnsi="David"/>
            <w:color w:val="0000FF"/>
            <w:spacing w:val="10"/>
            <w:u w:val="single"/>
            <w:rtl/>
          </w:rPr>
          <w:t>ע"פ 211/09</w:t>
        </w:r>
      </w:hyperlink>
      <w:r>
        <w:rPr>
          <w:rFonts w:ascii="David" w:hAnsi="David"/>
          <w:spacing w:val="10"/>
          <w:rtl/>
        </w:rPr>
        <w:t xml:space="preserve"> </w:t>
      </w:r>
      <w:r>
        <w:rPr>
          <w:rFonts w:ascii="David" w:hAnsi="David"/>
          <w:b/>
          <w:bCs/>
          <w:rtl/>
        </w:rPr>
        <w:t>אזולאי נ' מדינת ישראל</w:t>
      </w:r>
      <w:r>
        <w:rPr>
          <w:rFonts w:ascii="David" w:hAnsi="David"/>
          <w:spacing w:val="10"/>
          <w:rtl/>
        </w:rPr>
        <w:t xml:space="preserve"> (22.6.2010))</w:t>
      </w:r>
      <w:r>
        <w:rPr>
          <w:rFonts w:ascii="David" w:hAnsi="David"/>
          <w:rtl/>
        </w:rPr>
        <w:t xml:space="preserve">.  </w:t>
      </w:r>
    </w:p>
    <w:p w14:paraId="2012D202" w14:textId="77777777" w:rsidR="00A70748" w:rsidRDefault="00A70748" w:rsidP="00A70748">
      <w:pPr>
        <w:pStyle w:val="a9"/>
        <w:rPr>
          <w:rFonts w:ascii="David" w:hAnsi="David"/>
        </w:rPr>
      </w:pPr>
    </w:p>
    <w:p w14:paraId="0D0F5153" w14:textId="77777777" w:rsidR="00A70748" w:rsidRDefault="00A70748" w:rsidP="00A70748">
      <w:pPr>
        <w:pStyle w:val="a9"/>
        <w:numPr>
          <w:ilvl w:val="0"/>
          <w:numId w:val="1"/>
        </w:numPr>
        <w:spacing w:line="360" w:lineRule="auto"/>
        <w:jc w:val="both"/>
        <w:rPr>
          <w:rFonts w:ascii="David" w:hAnsi="David"/>
        </w:rPr>
      </w:pPr>
      <w:r>
        <w:rPr>
          <w:rFonts w:ascii="David" w:hAnsi="David"/>
          <w:rtl/>
        </w:rPr>
        <w:t xml:space="preserve">בעניין מדיניות הענישה בעבירות של החזקת סמים </w:t>
      </w:r>
      <w:r>
        <w:rPr>
          <w:rFonts w:ascii="David" w:hAnsi="David" w:hint="cs"/>
          <w:rtl/>
        </w:rPr>
        <w:t xml:space="preserve">מסוג קנביס </w:t>
      </w:r>
      <w:r>
        <w:rPr>
          <w:rFonts w:ascii="David" w:hAnsi="David"/>
          <w:rtl/>
        </w:rPr>
        <w:t>שלא לצריכה עצמית אפנה ל</w:t>
      </w:r>
      <w:hyperlink r:id="rId28" w:history="1">
        <w:r w:rsidR="00712B3D" w:rsidRPr="00712B3D">
          <w:rPr>
            <w:rFonts w:ascii="David" w:hAnsi="David"/>
            <w:color w:val="0000FF"/>
            <w:u w:val="single"/>
            <w:rtl/>
          </w:rPr>
          <w:t>רע"פ 636/21</w:t>
        </w:r>
      </w:hyperlink>
      <w:r>
        <w:rPr>
          <w:rFonts w:ascii="David" w:hAnsi="David"/>
          <w:rtl/>
        </w:rPr>
        <w:t xml:space="preserve"> ‏ </w:t>
      </w:r>
      <w:r>
        <w:rPr>
          <w:rFonts w:ascii="David" w:hAnsi="David"/>
          <w:b/>
          <w:bCs/>
          <w:rtl/>
        </w:rPr>
        <w:t>ברוך לוי נ' מדינת ישראל</w:t>
      </w:r>
      <w:r>
        <w:rPr>
          <w:rFonts w:ascii="David" w:hAnsi="David"/>
          <w:rtl/>
        </w:rPr>
        <w:t xml:space="preserve"> (16.2.2021), בו נידון נאשם שהורשע בהחזקת חשיש במשקל כולל של כ-760 גרם נטו. בית משפט השלום קבע מתחם הנע בין 6 חודשי מאסר לריצוי בדרך של עבודות שירות ועד 12 חודשי מאסר בפועל ועל אף תסקיר חיובי שהמליץ על של"צ נגזרו 4 חודשי מאסר בעבודות שירות; </w:t>
      </w:r>
      <w:hyperlink r:id="rId29" w:history="1">
        <w:r w:rsidR="00712B3D" w:rsidRPr="00712B3D">
          <w:rPr>
            <w:rFonts w:ascii="David" w:hAnsi="David"/>
            <w:color w:val="0000FF"/>
            <w:u w:val="single"/>
            <w:rtl/>
          </w:rPr>
          <w:t>רע"פ 8759/21</w:t>
        </w:r>
      </w:hyperlink>
      <w:r>
        <w:rPr>
          <w:rFonts w:ascii="David" w:hAnsi="David"/>
          <w:rtl/>
        </w:rPr>
        <w:t xml:space="preserve"> </w:t>
      </w:r>
      <w:r>
        <w:rPr>
          <w:rFonts w:ascii="David" w:hAnsi="David"/>
          <w:b/>
          <w:bCs/>
          <w:rtl/>
        </w:rPr>
        <w:t>אלעד קסלר נ' מדינת ישראל</w:t>
      </w:r>
      <w:r>
        <w:rPr>
          <w:rFonts w:ascii="David" w:hAnsi="David"/>
          <w:rtl/>
        </w:rPr>
        <w:t xml:space="preserve"> (23.12.2021), בו הנאשם הורשע בהחזקת 229 גרם קנבוס והחזקת סכין והוטלו עליו 30 ימי מאסר בעבודות שירות, צו מבחן ועונשים נלווים; </w:t>
      </w:r>
      <w:hyperlink r:id="rId30" w:history="1">
        <w:r w:rsidR="00712B3D" w:rsidRPr="00712B3D">
          <w:rPr>
            <w:rFonts w:ascii="David" w:hAnsi="David"/>
            <w:color w:val="0000FF"/>
            <w:u w:val="single"/>
            <w:rtl/>
          </w:rPr>
          <w:t>עפ"ג 23393-01-20</w:t>
        </w:r>
      </w:hyperlink>
      <w:r>
        <w:rPr>
          <w:rFonts w:ascii="David" w:hAnsi="David"/>
          <w:rtl/>
        </w:rPr>
        <w:t xml:space="preserve"> </w:t>
      </w:r>
      <w:r>
        <w:rPr>
          <w:rFonts w:ascii="David" w:hAnsi="David"/>
          <w:b/>
          <w:bCs/>
          <w:rtl/>
        </w:rPr>
        <w:t>יוני אברהם נ' מדינת ישראל</w:t>
      </w:r>
      <w:r>
        <w:rPr>
          <w:rFonts w:ascii="David" w:hAnsi="David"/>
          <w:rtl/>
        </w:rPr>
        <w:t xml:space="preserve"> (20.5.2020), בו נידון עניינו של נאשם שהחזיק סם מסוג קנבוס </w:t>
      </w:r>
      <w:r w:rsidRPr="00F01981">
        <w:rPr>
          <w:rFonts w:ascii="David" w:hAnsi="David"/>
          <w:rtl/>
        </w:rPr>
        <w:t xml:space="preserve">במשקל של 1.44 קילוגרם נטו, משקל אלקטרוני ושקיות חלוקה ונקבע שהמתחם נע בין 6 חודשי מאסר בעבודות שירות ל- 20 חודשי מאסר בפועל. על הנאשם הוטלו 9 חודשי מאסר בפועל ועונשים נלווים. ערכאת הערעור קבעה כי </w:t>
      </w:r>
      <w:r w:rsidRPr="00635940">
        <w:rPr>
          <w:rFonts w:ascii="Miriam" w:hAnsi="Miriam" w:cs="Miriam"/>
          <w:rtl/>
        </w:rPr>
        <w:t>"עונש המאסר שנקבע למערער איננו חורג מהעונשים המוטלים בדרך כלל על החזקת סם בנסיבות דומות, והוא הולם את חומרת מעשה המערער בנסיבותיו ואת מידת אשמו של המערער"</w:t>
      </w:r>
      <w:r w:rsidRPr="00F01981">
        <w:rPr>
          <w:rFonts w:ascii="David" w:hAnsi="David"/>
          <w:rtl/>
        </w:rPr>
        <w:t xml:space="preserve">; </w:t>
      </w:r>
      <w:hyperlink r:id="rId31" w:history="1">
        <w:r w:rsidR="00712B3D" w:rsidRPr="00712B3D">
          <w:rPr>
            <w:rFonts w:ascii="David" w:hAnsi="David"/>
            <w:color w:val="0000FF"/>
            <w:u w:val="single"/>
            <w:rtl/>
            <w:lang w:eastAsia="he-IL"/>
          </w:rPr>
          <w:t>רע"פ 8374/06</w:t>
        </w:r>
      </w:hyperlink>
      <w:r w:rsidRPr="00F01981">
        <w:rPr>
          <w:rFonts w:ascii="David" w:hAnsi="David"/>
          <w:rtl/>
          <w:lang w:eastAsia="he-IL"/>
        </w:rPr>
        <w:t xml:space="preserve"> </w:t>
      </w:r>
      <w:r w:rsidRPr="00F01981">
        <w:rPr>
          <w:rFonts w:ascii="David" w:hAnsi="David"/>
          <w:b/>
          <w:bCs/>
          <w:rtl/>
          <w:lang w:eastAsia="he-IL"/>
        </w:rPr>
        <w:t>גילילוב נ' מדינת ישראל</w:t>
      </w:r>
      <w:r w:rsidRPr="00F01981">
        <w:rPr>
          <w:rFonts w:ascii="David" w:hAnsi="David"/>
          <w:rtl/>
          <w:lang w:eastAsia="he-IL"/>
        </w:rPr>
        <w:t xml:space="preserve"> (12.12.2006) </w:t>
      </w:r>
      <w:r>
        <w:rPr>
          <w:rFonts w:ascii="David" w:hAnsi="David" w:hint="cs"/>
          <w:rtl/>
          <w:lang w:eastAsia="he-IL"/>
        </w:rPr>
        <w:t>בו</w:t>
      </w:r>
      <w:r w:rsidRPr="00F01981">
        <w:rPr>
          <w:rFonts w:ascii="David" w:hAnsi="David"/>
          <w:rtl/>
          <w:lang w:eastAsia="he-IL"/>
        </w:rPr>
        <w:t xml:space="preserve"> נדחתה בקשת רשות ערעור </w:t>
      </w:r>
      <w:r>
        <w:rPr>
          <w:rFonts w:ascii="David" w:hAnsi="David" w:hint="cs"/>
          <w:rtl/>
          <w:lang w:eastAsia="he-IL"/>
        </w:rPr>
        <w:t xml:space="preserve">ביחס לעונש מאסר בן 5 חודשים בעבודות שירות </w:t>
      </w:r>
      <w:r w:rsidRPr="00F01981">
        <w:rPr>
          <w:rFonts w:ascii="David" w:hAnsi="David"/>
          <w:rtl/>
          <w:lang w:eastAsia="he-IL"/>
        </w:rPr>
        <w:t xml:space="preserve">שהוטל על נאשם, נעדר עבר פלילי, שהורשע </w:t>
      </w:r>
      <w:r>
        <w:rPr>
          <w:rFonts w:ascii="David" w:hAnsi="David" w:hint="cs"/>
          <w:rtl/>
          <w:lang w:eastAsia="he-IL"/>
        </w:rPr>
        <w:t xml:space="preserve">בהחזקת </w:t>
      </w:r>
      <w:r w:rsidRPr="00F01981">
        <w:rPr>
          <w:rFonts w:ascii="David" w:hAnsi="David"/>
          <w:rtl/>
          <w:lang w:eastAsia="he-IL"/>
        </w:rPr>
        <w:t>קנבוס במשקל של 869.14 גרם</w:t>
      </w:r>
      <w:r>
        <w:rPr>
          <w:rFonts w:ascii="David" w:hAnsi="David" w:hint="cs"/>
          <w:rtl/>
          <w:lang w:eastAsia="he-IL"/>
        </w:rPr>
        <w:t xml:space="preserve"> שלא לשימוש עצמי.</w:t>
      </w:r>
      <w:r w:rsidRPr="00F01981">
        <w:rPr>
          <w:rFonts w:ascii="David" w:hAnsi="David"/>
          <w:rtl/>
          <w:lang w:eastAsia="he-IL"/>
        </w:rPr>
        <w:t xml:space="preserve"> </w:t>
      </w:r>
    </w:p>
    <w:p w14:paraId="1FAF9247" w14:textId="77777777" w:rsidR="00A70748" w:rsidRPr="00CE1DAE" w:rsidRDefault="00A70748" w:rsidP="00A70748">
      <w:pPr>
        <w:pStyle w:val="a9"/>
        <w:rPr>
          <w:rFonts w:ascii="David" w:hAnsi="David"/>
          <w:rtl/>
        </w:rPr>
      </w:pPr>
    </w:p>
    <w:p w14:paraId="2D8B7F51" w14:textId="77777777" w:rsidR="00A70748" w:rsidRPr="00635940" w:rsidRDefault="00A70748" w:rsidP="00A70748">
      <w:pPr>
        <w:pStyle w:val="a9"/>
        <w:spacing w:line="360" w:lineRule="auto"/>
        <w:ind w:left="0" w:firstLine="720"/>
        <w:jc w:val="both"/>
        <w:rPr>
          <w:rFonts w:ascii="David" w:hAnsi="David"/>
          <w:rtl/>
        </w:rPr>
      </w:pPr>
      <w:r w:rsidRPr="00CE1DAE">
        <w:rPr>
          <w:rFonts w:ascii="David" w:hAnsi="David"/>
          <w:rtl/>
        </w:rPr>
        <w:t xml:space="preserve">לצורך בחינת מדיניות הענישה </w:t>
      </w:r>
      <w:r>
        <w:rPr>
          <w:rFonts w:ascii="David" w:hAnsi="David" w:hint="cs"/>
          <w:rtl/>
        </w:rPr>
        <w:t>ב</w:t>
      </w:r>
      <w:r w:rsidRPr="00CE1DAE">
        <w:rPr>
          <w:rFonts w:ascii="David" w:hAnsi="David" w:hint="cs"/>
          <w:rtl/>
        </w:rPr>
        <w:t>עביר</w:t>
      </w:r>
      <w:r>
        <w:rPr>
          <w:rFonts w:ascii="David" w:hAnsi="David" w:hint="cs"/>
          <w:rtl/>
        </w:rPr>
        <w:t>ה שעניינה</w:t>
      </w:r>
      <w:r w:rsidRPr="00CE1DAE">
        <w:rPr>
          <w:rFonts w:ascii="David" w:hAnsi="David" w:hint="cs"/>
          <w:rtl/>
        </w:rPr>
        <w:t xml:space="preserve"> הפרת הוראה חוקית</w:t>
      </w:r>
      <w:r>
        <w:rPr>
          <w:rFonts w:ascii="David" w:hAnsi="David" w:hint="cs"/>
          <w:rtl/>
        </w:rPr>
        <w:t xml:space="preserve"> שהתבטאה בהפרת תנאי שחרור אפנה</w:t>
      </w:r>
      <w:r w:rsidRPr="00CE1DAE">
        <w:rPr>
          <w:rFonts w:ascii="David" w:hAnsi="David" w:hint="cs"/>
          <w:rtl/>
        </w:rPr>
        <w:t xml:space="preserve"> </w:t>
      </w:r>
      <w:r>
        <w:rPr>
          <w:rFonts w:ascii="David" w:hAnsi="David" w:hint="cs"/>
          <w:rtl/>
        </w:rPr>
        <w:t>ל</w:t>
      </w:r>
      <w:hyperlink r:id="rId32" w:history="1">
        <w:r w:rsidR="00712B3D" w:rsidRPr="00712B3D">
          <w:rPr>
            <w:rFonts w:ascii="David" w:hAnsi="David"/>
            <w:color w:val="0000FF"/>
            <w:u w:val="single"/>
            <w:rtl/>
          </w:rPr>
          <w:t>ע"פ 1261/15</w:t>
        </w:r>
      </w:hyperlink>
      <w:r w:rsidRPr="00635940">
        <w:rPr>
          <w:rFonts w:ascii="David" w:hAnsi="David"/>
          <w:rtl/>
        </w:rPr>
        <w:t xml:space="preserve"> ‏</w:t>
      </w:r>
      <w:r w:rsidRPr="00635940">
        <w:rPr>
          <w:rFonts w:ascii="David" w:hAnsi="David"/>
          <w:b/>
          <w:bCs/>
          <w:rtl/>
        </w:rPr>
        <w:t>מדינת ישראל נ' יוסף דלאל</w:t>
      </w:r>
      <w:r w:rsidRPr="00635940">
        <w:rPr>
          <w:rFonts w:ascii="David" w:hAnsi="David"/>
          <w:rtl/>
        </w:rPr>
        <w:t xml:space="preserve"> (3.9.2015), שם קבע בית המשפט העליון כי </w:t>
      </w:r>
      <w:r>
        <w:rPr>
          <w:rFonts w:ascii="David" w:hAnsi="David" w:hint="cs"/>
          <w:rtl/>
        </w:rPr>
        <w:t>מ</w:t>
      </w:r>
      <w:r w:rsidRPr="00635940">
        <w:rPr>
          <w:rFonts w:ascii="David" w:hAnsi="David"/>
          <w:rtl/>
        </w:rPr>
        <w:t>תחם ענישה</w:t>
      </w:r>
      <w:r>
        <w:rPr>
          <w:rFonts w:ascii="David" w:hAnsi="David" w:hint="cs"/>
          <w:rtl/>
        </w:rPr>
        <w:t xml:space="preserve"> ה</w:t>
      </w:r>
      <w:r w:rsidRPr="00635940">
        <w:rPr>
          <w:rFonts w:ascii="Miriam" w:hAnsi="Miriam" w:cs="Miriam"/>
        </w:rPr>
        <w:t>"</w:t>
      </w:r>
      <w:r w:rsidRPr="00635940">
        <w:rPr>
          <w:rFonts w:ascii="Miriam" w:hAnsi="Miriam" w:cs="Miriam"/>
          <w:rtl/>
        </w:rPr>
        <w:t>נע בין חודשים ספורים עד שנה</w:t>
      </w:r>
      <w:r w:rsidRPr="00635940">
        <w:rPr>
          <w:rFonts w:ascii="Miriam" w:hAnsi="Miriam" w:cs="Miriam"/>
        </w:rPr>
        <w:t>"</w:t>
      </w:r>
      <w:r w:rsidRPr="00635940">
        <w:rPr>
          <w:rFonts w:ascii="David" w:hAnsi="David"/>
          <w:rtl/>
        </w:rPr>
        <w:t xml:space="preserve">. עם זאת, אדגיש שנסיבות מקרה זה שונות מענייננו, שכן במקרה זה מדובר היה במי שהסיר את האיזוק האלקטרוני שהיה מותקן עליו (כתנאי שחרור וטרם תיקון מס' 11 </w:t>
      </w:r>
      <w:r w:rsidRPr="00635940">
        <w:rPr>
          <w:rFonts w:ascii="David" w:hAnsi="David" w:hint="cs"/>
          <w:rtl/>
        </w:rPr>
        <w:t>(</w:t>
      </w:r>
      <w:r w:rsidRPr="00635940">
        <w:rPr>
          <w:rFonts w:ascii="David" w:hAnsi="David"/>
          <w:rtl/>
        </w:rPr>
        <w:t>ל</w:t>
      </w:r>
      <w:r w:rsidR="00712B3D" w:rsidRPr="001654A1">
        <w:rPr>
          <w:rFonts w:ascii="David" w:hAnsi="David"/>
          <w:rtl/>
        </w:rPr>
        <w:t>חוק סדר הדין הפלילי (סמכויות אכיפה – מעצרים)</w:t>
      </w:r>
      <w:r w:rsidRPr="00635940">
        <w:rPr>
          <w:rFonts w:ascii="David" w:hAnsi="David"/>
          <w:rtl/>
        </w:rPr>
        <w:t xml:space="preserve">, תשנ"ו-1996) ולא התייצב למשפטו תקופה ארוכה, כך שאת המתחם בענייננו </w:t>
      </w:r>
      <w:r>
        <w:rPr>
          <w:rFonts w:ascii="David" w:hAnsi="David" w:hint="cs"/>
          <w:rtl/>
        </w:rPr>
        <w:t xml:space="preserve">יש </w:t>
      </w:r>
      <w:r w:rsidRPr="00635940">
        <w:rPr>
          <w:rFonts w:ascii="David" w:hAnsi="David"/>
          <w:rtl/>
        </w:rPr>
        <w:t>לקבוע בשינויים המתחייבים</w:t>
      </w:r>
      <w:r>
        <w:rPr>
          <w:rFonts w:ascii="David" w:hAnsi="David" w:hint="cs"/>
          <w:rtl/>
        </w:rPr>
        <w:t>.</w:t>
      </w:r>
    </w:p>
    <w:p w14:paraId="5BA011E1" w14:textId="77777777" w:rsidR="00A70748" w:rsidRDefault="00A70748" w:rsidP="00A70748">
      <w:pPr>
        <w:pStyle w:val="a9"/>
      </w:pPr>
    </w:p>
    <w:p w14:paraId="26DABB35" w14:textId="77777777" w:rsidR="00A70748" w:rsidRDefault="00A70748" w:rsidP="00A70748">
      <w:pPr>
        <w:pStyle w:val="a9"/>
        <w:numPr>
          <w:ilvl w:val="0"/>
          <w:numId w:val="1"/>
        </w:numPr>
        <w:spacing w:line="360" w:lineRule="auto"/>
        <w:jc w:val="both"/>
        <w:rPr>
          <w:rFonts w:ascii="David" w:hAnsi="David"/>
        </w:rPr>
      </w:pPr>
      <w:r w:rsidRPr="00E45B43">
        <w:rPr>
          <w:rFonts w:ascii="David" w:hAnsi="David"/>
          <w:rtl/>
        </w:rPr>
        <w:t xml:space="preserve">לאור כך, אני בדעה כי מתחם הענישה ההולם את </w:t>
      </w:r>
      <w:r>
        <w:rPr>
          <w:rFonts w:ascii="David" w:hAnsi="David" w:hint="cs"/>
          <w:rtl/>
        </w:rPr>
        <w:t xml:space="preserve">כלל </w:t>
      </w:r>
      <w:r w:rsidRPr="00E45B43">
        <w:rPr>
          <w:rFonts w:ascii="David" w:hAnsi="David"/>
          <w:rtl/>
        </w:rPr>
        <w:t>העבירות בתיק</w:t>
      </w:r>
      <w:r w:rsidRPr="00E45B43">
        <w:rPr>
          <w:rFonts w:ascii="David" w:hAnsi="David" w:hint="cs"/>
          <w:rtl/>
        </w:rPr>
        <w:t xml:space="preserve">י הסמים נע </w:t>
      </w:r>
      <w:r>
        <w:rPr>
          <w:rFonts w:ascii="David" w:hAnsi="David" w:hint="cs"/>
          <w:rtl/>
        </w:rPr>
        <w:t xml:space="preserve">בין 6 חודשי מאסר שניתן לשאת בעבודות שירות </w:t>
      </w:r>
      <w:r w:rsidRPr="00E45B43">
        <w:rPr>
          <w:rFonts w:ascii="David" w:hAnsi="David" w:hint="cs"/>
          <w:rtl/>
        </w:rPr>
        <w:t xml:space="preserve">ועד </w:t>
      </w:r>
      <w:r>
        <w:rPr>
          <w:rFonts w:ascii="David" w:hAnsi="David" w:hint="cs"/>
          <w:rtl/>
        </w:rPr>
        <w:t>18</w:t>
      </w:r>
      <w:r w:rsidRPr="00E45B43">
        <w:rPr>
          <w:rFonts w:ascii="David" w:hAnsi="David" w:hint="cs"/>
          <w:rtl/>
        </w:rPr>
        <w:t xml:space="preserve"> חודשי מאסר. </w:t>
      </w:r>
      <w:r>
        <w:rPr>
          <w:rFonts w:ascii="David" w:hAnsi="David" w:hint="cs"/>
          <w:rtl/>
        </w:rPr>
        <w:t xml:space="preserve">ואילו מתחם הענישה בתיק ההפרה </w:t>
      </w:r>
      <w:r w:rsidRPr="00E45B43">
        <w:rPr>
          <w:rFonts w:ascii="David" w:hAnsi="David" w:hint="cs"/>
          <w:rtl/>
        </w:rPr>
        <w:t xml:space="preserve">נע בין </w:t>
      </w:r>
      <w:r>
        <w:rPr>
          <w:rFonts w:ascii="David" w:hAnsi="David" w:hint="cs"/>
          <w:rtl/>
        </w:rPr>
        <w:t xml:space="preserve">מאסר מותנה ועד </w:t>
      </w:r>
      <w:r w:rsidRPr="00E45B43">
        <w:rPr>
          <w:rFonts w:ascii="David" w:hAnsi="David" w:hint="cs"/>
          <w:rtl/>
        </w:rPr>
        <w:t xml:space="preserve">10 חודשי מאסר בפועל. </w:t>
      </w:r>
    </w:p>
    <w:p w14:paraId="304CAB42" w14:textId="77777777" w:rsidR="00A70748" w:rsidRDefault="00A70748" w:rsidP="00A70748">
      <w:pPr>
        <w:jc w:val="both"/>
        <w:rPr>
          <w:rFonts w:ascii="David" w:hAnsi="David"/>
          <w:rtl/>
        </w:rPr>
      </w:pPr>
    </w:p>
    <w:p w14:paraId="0852D600" w14:textId="77777777" w:rsidR="00A70748" w:rsidRDefault="00A70748" w:rsidP="00A70748">
      <w:pPr>
        <w:spacing w:line="360" w:lineRule="auto"/>
        <w:jc w:val="both"/>
        <w:rPr>
          <w:rFonts w:ascii="David" w:hAnsi="David"/>
          <w:b/>
          <w:bCs/>
          <w:u w:val="single"/>
          <w:rtl/>
        </w:rPr>
      </w:pPr>
      <w:r>
        <w:rPr>
          <w:rFonts w:ascii="David" w:hAnsi="David" w:hint="cs"/>
          <w:b/>
          <w:bCs/>
          <w:u w:val="single"/>
          <w:rtl/>
        </w:rPr>
        <w:t xml:space="preserve">קביעת עונשו של הנאשם </w:t>
      </w:r>
    </w:p>
    <w:p w14:paraId="6CE87B5D" w14:textId="77777777" w:rsidR="00A70748" w:rsidRDefault="00A70748" w:rsidP="00A70748">
      <w:pPr>
        <w:jc w:val="both"/>
        <w:rPr>
          <w:rFonts w:ascii="David" w:hAnsi="David"/>
          <w:b/>
          <w:bCs/>
          <w:u w:val="single"/>
          <w:rtl/>
        </w:rPr>
      </w:pPr>
    </w:p>
    <w:p w14:paraId="2DD195EC" w14:textId="77777777" w:rsidR="00A70748" w:rsidRDefault="00A70748" w:rsidP="00A70748">
      <w:pPr>
        <w:pStyle w:val="a9"/>
        <w:numPr>
          <w:ilvl w:val="0"/>
          <w:numId w:val="1"/>
        </w:numPr>
        <w:spacing w:line="360" w:lineRule="auto"/>
        <w:jc w:val="both"/>
      </w:pPr>
      <w:r>
        <w:rPr>
          <w:rFonts w:hint="cs"/>
          <w:rtl/>
        </w:rPr>
        <w:t>העבירות שעבר הנאשם חמורות, כל אחת מהן, לא כל שכן בהצטברותן. משכך, ראוי במקרים מסוג זה להטיל ענישה מחמירה המבכרת את עקרון ההלימה וההרתעה. עם זאת, במקרה זה ראיתי להעדיף את שיקולי השיקום. אנמק מסקנתי להלן.</w:t>
      </w:r>
    </w:p>
    <w:p w14:paraId="5C715161" w14:textId="77777777" w:rsidR="00A70748" w:rsidRDefault="00A70748" w:rsidP="00A70748">
      <w:pPr>
        <w:pStyle w:val="a9"/>
        <w:ind w:left="0"/>
        <w:jc w:val="both"/>
      </w:pPr>
    </w:p>
    <w:p w14:paraId="024BDD7E" w14:textId="77777777" w:rsidR="00A70748" w:rsidRPr="00E75E9B" w:rsidRDefault="00A70748" w:rsidP="00A70748">
      <w:pPr>
        <w:pStyle w:val="a9"/>
        <w:numPr>
          <w:ilvl w:val="0"/>
          <w:numId w:val="1"/>
        </w:numPr>
        <w:spacing w:line="360" w:lineRule="auto"/>
        <w:jc w:val="both"/>
      </w:pPr>
      <w:r>
        <w:rPr>
          <w:rtl/>
        </w:rPr>
        <w:t xml:space="preserve">בהתאם </w:t>
      </w:r>
      <w:hyperlink r:id="rId33" w:history="1">
        <w:r w:rsidR="001654A1" w:rsidRPr="001654A1">
          <w:rPr>
            <w:rStyle w:val="Hyperlink"/>
            <w:rtl/>
          </w:rPr>
          <w:t>לסעיף 40ד'</w:t>
        </w:r>
      </w:hyperlink>
      <w:r w:rsidRPr="00823672">
        <w:rPr>
          <w:rtl/>
        </w:rPr>
        <w:t xml:space="preserve"> </w:t>
      </w:r>
      <w:r w:rsidRPr="00823672">
        <w:rPr>
          <w:rFonts w:hint="cs"/>
          <w:rtl/>
        </w:rPr>
        <w:t>ל</w:t>
      </w:r>
      <w:hyperlink r:id="rId34" w:history="1">
        <w:r w:rsidR="00712B3D" w:rsidRPr="00712B3D">
          <w:rPr>
            <w:color w:val="0000FF"/>
            <w:u w:val="single"/>
            <w:rtl/>
          </w:rPr>
          <w:t>חוק העונשין</w:t>
        </w:r>
      </w:hyperlink>
      <w:r w:rsidRPr="00823672">
        <w:rPr>
          <w:rtl/>
        </w:rPr>
        <w:t xml:space="preserve"> </w:t>
      </w:r>
      <w:r w:rsidRPr="00823672">
        <w:rPr>
          <w:rFonts w:hint="cs"/>
          <w:rtl/>
        </w:rPr>
        <w:t>רשאי</w:t>
      </w:r>
      <w:r w:rsidRPr="00E75E9B">
        <w:rPr>
          <w:rFonts w:ascii="David" w:hAnsi="David"/>
          <w:rtl/>
        </w:rPr>
        <w:t xml:space="preserve"> בית המשפט לחרוג לקולה ממתחם הענישה שקבע, אם מצא כי "</w:t>
      </w:r>
      <w:r w:rsidRPr="00E75E9B">
        <w:rPr>
          <w:rFonts w:ascii="David" w:hAnsi="David" w:cs="Miriam"/>
          <w:rtl/>
        </w:rPr>
        <w:t>הנאשם השתקם או כי יש סיכוי של ממש שישתקם</w:t>
      </w:r>
      <w:r w:rsidRPr="00E75E9B">
        <w:rPr>
          <w:rFonts w:ascii="David" w:hAnsi="David"/>
          <w:rtl/>
        </w:rPr>
        <w:t>". בעניין זה נקבע כי "</w:t>
      </w:r>
      <w:r w:rsidRPr="00E75E9B">
        <w:rPr>
          <w:rFonts w:ascii="David" w:hAnsi="David" w:cs="Miriam"/>
          <w:rtl/>
        </w:rPr>
        <w:t>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w:t>
      </w:r>
      <w:r w:rsidRPr="00E75E9B">
        <w:rPr>
          <w:rFonts w:ascii="David" w:hAnsi="David"/>
          <w:rtl/>
        </w:rPr>
        <w:t>." (</w:t>
      </w:r>
      <w:hyperlink r:id="rId35" w:history="1">
        <w:r w:rsidR="00712B3D" w:rsidRPr="00712B3D">
          <w:rPr>
            <w:rFonts w:ascii="David" w:hAnsi="David"/>
            <w:color w:val="0000FF"/>
            <w:u w:val="single"/>
            <w:rtl/>
          </w:rPr>
          <w:t>רע"פ 7683/13</w:t>
        </w:r>
      </w:hyperlink>
      <w:r w:rsidRPr="00E75E9B">
        <w:rPr>
          <w:rFonts w:ascii="David" w:hAnsi="David"/>
          <w:rtl/>
        </w:rPr>
        <w:t xml:space="preserve"> </w:t>
      </w:r>
      <w:r w:rsidRPr="00E75E9B">
        <w:rPr>
          <w:rFonts w:ascii="David" w:hAnsi="David" w:hint="cs"/>
          <w:b/>
          <w:bCs/>
          <w:rtl/>
        </w:rPr>
        <w:t>דוד פרלמן נ' מדינת ישראל</w:t>
      </w:r>
      <w:r w:rsidRPr="00E75E9B">
        <w:rPr>
          <w:rFonts w:ascii="David" w:hAnsi="David" w:hint="cs"/>
          <w:rtl/>
        </w:rPr>
        <w:t xml:space="preserve"> (23.2.</w:t>
      </w:r>
      <w:r>
        <w:rPr>
          <w:rFonts w:ascii="David" w:hAnsi="David" w:hint="cs"/>
          <w:rtl/>
        </w:rPr>
        <w:t>20</w:t>
      </w:r>
      <w:r w:rsidRPr="00E75E9B">
        <w:rPr>
          <w:rFonts w:ascii="David" w:hAnsi="David" w:hint="cs"/>
          <w:rtl/>
        </w:rPr>
        <w:t>14)). בית המשפט העליון הדגיש כי "</w:t>
      </w:r>
      <w:r w:rsidRPr="00E75E9B">
        <w:rPr>
          <w:rFonts w:ascii="David" w:hAnsi="David" w:cs="Miriam"/>
          <w:rtl/>
        </w:rPr>
        <w:t>את התשתית העובדתית להוכחת סיכויי השיקום ניתן לגבש באמצעים ראייתיים שונים, ובראשם התסקיר של שירות המבחן... במקרים קודמים שבהם נדרש בית המשפט להעריך את סיכויי השיקום במסגרת סעיף 40ד ל</w:t>
      </w:r>
      <w:hyperlink r:id="rId36" w:history="1">
        <w:r w:rsidR="00712B3D" w:rsidRPr="00712B3D">
          <w:rPr>
            <w:rFonts w:ascii="David" w:hAnsi="David" w:cs="Miriam"/>
            <w:color w:val="0000FF"/>
            <w:u w:val="single"/>
            <w:rtl/>
          </w:rPr>
          <w:t>חוק העונשין</w:t>
        </w:r>
      </w:hyperlink>
      <w:r w:rsidRPr="00E75E9B">
        <w:rPr>
          <w:rFonts w:ascii="David" w:hAnsi="David" w:cs="Miriam"/>
          <w:rtl/>
        </w:rPr>
        <w:t xml:space="preserve"> </w:t>
      </w:r>
      <w:r w:rsidRPr="00E75E9B">
        <w:rPr>
          <w:rFonts w:ascii="David" w:hAnsi="David" w:cs="Miriam" w:hint="cs"/>
          <w:rtl/>
        </w:rPr>
        <w:t>הובאו בחשבון, בין היתר, השיקולים המרכזיים הבאים: המוטיבציה שהפגין האדם שהורשע להשתקם; הליך של גמילה מהתמכרות שהוא עובר; השתלבות מוצלחת בהליכים טיפוליים שונים; אינדיקציות לשינוי עמוק בהתנהגות ובדרך החשיבה; הבעת חרטה כנה על המעשים והפגנת אמפתיה כלפי נפגעי העבירה... דברים אלה זוכים למשנה חיזוק מקום בו מדובר באדם צעיר נעדר עבר פלילי</w:t>
      </w:r>
      <w:r w:rsidRPr="00E75E9B">
        <w:rPr>
          <w:rFonts w:ascii="David" w:hAnsi="David"/>
          <w:rtl/>
        </w:rPr>
        <w:t>" (</w:t>
      </w:r>
      <w:hyperlink r:id="rId37" w:history="1">
        <w:r w:rsidR="00712B3D" w:rsidRPr="00712B3D">
          <w:rPr>
            <w:rFonts w:ascii="David" w:hAnsi="David"/>
            <w:color w:val="0000FF"/>
            <w:u w:val="single"/>
            <w:rtl/>
          </w:rPr>
          <w:t>ע"פ 6637/17</w:t>
        </w:r>
      </w:hyperlink>
      <w:r w:rsidRPr="00E75E9B">
        <w:rPr>
          <w:rFonts w:ascii="David" w:hAnsi="David"/>
          <w:rtl/>
        </w:rPr>
        <w:t xml:space="preserve"> </w:t>
      </w:r>
      <w:r w:rsidRPr="00E75E9B">
        <w:rPr>
          <w:rFonts w:ascii="David" w:hAnsi="David" w:hint="cs"/>
          <w:b/>
          <w:bCs/>
          <w:rtl/>
        </w:rPr>
        <w:t>אליזבט קרינדל נ' מדינת ישראל</w:t>
      </w:r>
      <w:r w:rsidRPr="00E75E9B">
        <w:rPr>
          <w:rFonts w:ascii="David" w:hAnsi="David" w:hint="cs"/>
          <w:rtl/>
        </w:rPr>
        <w:t xml:space="preserve"> (18.4.</w:t>
      </w:r>
      <w:r>
        <w:rPr>
          <w:rFonts w:ascii="David" w:hAnsi="David" w:hint="cs"/>
          <w:rtl/>
        </w:rPr>
        <w:t>20</w:t>
      </w:r>
      <w:r w:rsidRPr="00E75E9B">
        <w:rPr>
          <w:rFonts w:ascii="David" w:hAnsi="David" w:hint="cs"/>
          <w:rtl/>
        </w:rPr>
        <w:t>18)).</w:t>
      </w:r>
    </w:p>
    <w:p w14:paraId="337CE9CA" w14:textId="77777777" w:rsidR="00A70748" w:rsidRPr="00584EF4" w:rsidRDefault="00A70748" w:rsidP="00A70748">
      <w:pPr>
        <w:pStyle w:val="a9"/>
        <w:ind w:left="0"/>
        <w:jc w:val="both"/>
      </w:pPr>
    </w:p>
    <w:p w14:paraId="5A21BB02" w14:textId="77777777" w:rsidR="00A70748" w:rsidRPr="00775CDF" w:rsidRDefault="00A70748" w:rsidP="00A70748">
      <w:pPr>
        <w:pStyle w:val="a9"/>
        <w:numPr>
          <w:ilvl w:val="0"/>
          <w:numId w:val="1"/>
        </w:numPr>
        <w:spacing w:line="360" w:lineRule="auto"/>
        <w:jc w:val="both"/>
      </w:pPr>
      <w:r w:rsidRPr="00E75E9B">
        <w:rPr>
          <w:rFonts w:ascii="David" w:hAnsi="David"/>
          <w:rtl/>
        </w:rPr>
        <w:t>יישום דברים אלו על הנאשם שלפני מביא למסקנה לפיה הוכחו בעניינו סיכויי שיקום ממשיים</w:t>
      </w:r>
      <w:r>
        <w:rPr>
          <w:rFonts w:ascii="David" w:hAnsi="David" w:hint="cs"/>
          <w:rtl/>
        </w:rPr>
        <w:t xml:space="preserve"> המצדיקים התחשבות והקלה עונשית עד כדי חריגה ממתחם הענישה</w:t>
      </w:r>
      <w:r w:rsidRPr="00E75E9B">
        <w:rPr>
          <w:rFonts w:ascii="David" w:hAnsi="David"/>
          <w:rtl/>
        </w:rPr>
        <w:t xml:space="preserve">. </w:t>
      </w:r>
      <w:r w:rsidRPr="00E75E9B">
        <w:rPr>
          <w:rFonts w:ascii="David" w:hAnsi="David" w:hint="cs"/>
          <w:rtl/>
        </w:rPr>
        <w:t xml:space="preserve">הנאשם </w:t>
      </w:r>
      <w:r>
        <w:rPr>
          <w:rFonts w:ascii="David" w:hAnsi="David" w:hint="cs"/>
          <w:rtl/>
        </w:rPr>
        <w:t xml:space="preserve">שלפני </w:t>
      </w:r>
      <w:r w:rsidRPr="00E75E9B">
        <w:rPr>
          <w:rFonts w:ascii="David" w:hAnsi="David" w:hint="cs"/>
          <w:rtl/>
        </w:rPr>
        <w:t>צעיר,</w:t>
      </w:r>
      <w:r w:rsidRPr="00E75E9B">
        <w:rPr>
          <w:rFonts w:ascii="David" w:hAnsi="David"/>
          <w:rtl/>
        </w:rPr>
        <w:t xml:space="preserve"> עברו נקי</w:t>
      </w:r>
      <w:r w:rsidRPr="00E75E9B">
        <w:rPr>
          <w:rFonts w:ascii="David" w:hAnsi="David" w:hint="cs"/>
          <w:rtl/>
        </w:rPr>
        <w:t xml:space="preserve"> ו</w:t>
      </w:r>
      <w:r>
        <w:rPr>
          <w:rFonts w:ascii="David" w:hAnsi="David" w:hint="cs"/>
          <w:rtl/>
        </w:rPr>
        <w:t xml:space="preserve">הוא עומד לדין לראשונה בחייו. שירות המבחן התרשם שהעבירות בוצעו על רקע שימוש ארוך שנים בסמים וכי הוא אינו בעל מאפיינים עברייניים. הנאשם מצוי בהליך טיפולי משמעותי במהלכו הפסיק את השימוש בסמים, הוא </w:t>
      </w:r>
      <w:r w:rsidRPr="00E75E9B">
        <w:rPr>
          <w:rFonts w:ascii="David" w:hAnsi="David"/>
          <w:rtl/>
        </w:rPr>
        <w:t>מגלה רצון משמעותי לשינוי</w:t>
      </w:r>
      <w:r w:rsidRPr="00E75E9B">
        <w:rPr>
          <w:rFonts w:ascii="David" w:hAnsi="David" w:hint="cs"/>
          <w:rtl/>
        </w:rPr>
        <w:t>, עובד בעבודה סדירה</w:t>
      </w:r>
      <w:r>
        <w:rPr>
          <w:rFonts w:ascii="David" w:hAnsi="David" w:hint="cs"/>
          <w:rtl/>
        </w:rPr>
        <w:t xml:space="preserve"> ולא נפתחו נגדו תיקים נוספים (זולת תיק ההפרה). שירות המבחן סבור שהסיכון בעניינו פחת וכי ראוי להמשיך את ההליך הטיפולי. כל אלו מלמדים על סיכויי משמעותיים לשיקום. </w:t>
      </w:r>
    </w:p>
    <w:p w14:paraId="5B10174A" w14:textId="77777777" w:rsidR="00A70748" w:rsidRDefault="00A70748" w:rsidP="00A70748">
      <w:pPr>
        <w:pStyle w:val="a9"/>
        <w:rPr>
          <w:rtl/>
        </w:rPr>
      </w:pPr>
    </w:p>
    <w:p w14:paraId="135A4A60" w14:textId="77777777" w:rsidR="00A70748" w:rsidRPr="00E778E4" w:rsidRDefault="00A70748" w:rsidP="00A70748">
      <w:pPr>
        <w:pStyle w:val="a9"/>
        <w:numPr>
          <w:ilvl w:val="0"/>
          <w:numId w:val="1"/>
        </w:numPr>
        <w:spacing w:line="360" w:lineRule="auto"/>
        <w:jc w:val="both"/>
        <w:rPr>
          <w:rtl/>
        </w:rPr>
      </w:pPr>
      <w:r>
        <w:rPr>
          <w:rFonts w:hint="cs"/>
          <w:rtl/>
        </w:rPr>
        <w:t xml:space="preserve">המלצת שירות המבחן בדבר העמדת הנאשם במבחן מקובלת עלי אפוא. עם זאת התלבטתי באשר לעונש שיש להטיל בצירוף לצו המבחן. על פני הדברים, יש ממש בטענות המאשימה לפיה לעולם יכול נאשם לטעון שעונש מאסר בעבודות שירות יפגע ביכולתו להתפרנס ויבקש להימנע מכך. ואולם, המבחן אינו רק ביחס לפגיעה הכלכלית. יש לשאוף שהעונש שיוטל לא יקשה על הנאשם להמשיך בהליך השיקומי, וזאת בצד הקפדה על כך שתכליות הענישה תושגנה. אכן, </w:t>
      </w:r>
      <w:r w:rsidRPr="00E778E4">
        <w:rPr>
          <w:rFonts w:hint="cs"/>
          <w:rtl/>
        </w:rPr>
        <w:t xml:space="preserve">לעיתים ניתן לתהות </w:t>
      </w:r>
      <w:r w:rsidRPr="00E778E4">
        <w:rPr>
          <w:rFonts w:ascii="Miriam" w:hAnsi="Miriam" w:cs="Miriam"/>
          <w:rtl/>
        </w:rPr>
        <w:t>"אם תהליך שיקום שיתמוטט בקלות, בעקבות עונש מאסר לתקופה קצרה, הוא כזה שראוי ליתן לו משקל ממשי בקביעת העונש"</w:t>
      </w:r>
      <w:r>
        <w:rPr>
          <w:rFonts w:ascii="Century" w:hAnsi="Century" w:hint="cs"/>
          <w:sz w:val="22"/>
          <w:rtl/>
        </w:rPr>
        <w:t xml:space="preserve"> (</w:t>
      </w:r>
      <w:hyperlink r:id="rId38" w:history="1">
        <w:r w:rsidR="00712B3D" w:rsidRPr="00712B3D">
          <w:rPr>
            <w:rFonts w:ascii="Century" w:hAnsi="Century" w:hint="eastAsia"/>
            <w:color w:val="0000FF"/>
            <w:sz w:val="22"/>
            <w:u w:val="single"/>
            <w:rtl/>
          </w:rPr>
          <w:t>ע</w:t>
        </w:r>
        <w:r w:rsidR="00712B3D" w:rsidRPr="00712B3D">
          <w:rPr>
            <w:rFonts w:ascii="Century" w:hAnsi="Century"/>
            <w:color w:val="0000FF"/>
            <w:sz w:val="22"/>
            <w:u w:val="single"/>
            <w:rtl/>
          </w:rPr>
          <w:t>"</w:t>
        </w:r>
        <w:r w:rsidR="00712B3D" w:rsidRPr="00712B3D">
          <w:rPr>
            <w:rFonts w:ascii="Century" w:hAnsi="Century" w:hint="eastAsia"/>
            <w:color w:val="0000FF"/>
            <w:sz w:val="22"/>
            <w:u w:val="single"/>
            <w:rtl/>
          </w:rPr>
          <w:t>פ</w:t>
        </w:r>
        <w:r w:rsidR="00712B3D" w:rsidRPr="00712B3D">
          <w:rPr>
            <w:rFonts w:ascii="Century" w:hAnsi="Century"/>
            <w:color w:val="0000FF"/>
            <w:sz w:val="22"/>
            <w:u w:val="single"/>
            <w:rtl/>
          </w:rPr>
          <w:t xml:space="preserve"> 2421/21</w:t>
        </w:r>
      </w:hyperlink>
      <w:r>
        <w:rPr>
          <w:rFonts w:ascii="Century" w:hAnsi="Century" w:hint="cs"/>
          <w:sz w:val="22"/>
          <w:rtl/>
        </w:rPr>
        <w:t xml:space="preserve"> </w:t>
      </w:r>
      <w:r w:rsidRPr="00E778E4">
        <w:rPr>
          <w:rFonts w:ascii="Century" w:hAnsi="Century" w:hint="cs"/>
          <w:b/>
          <w:bCs/>
          <w:sz w:val="22"/>
          <w:rtl/>
        </w:rPr>
        <w:t>אוראל ברמי נ' מדינת ישראל</w:t>
      </w:r>
      <w:r>
        <w:rPr>
          <w:rFonts w:ascii="Century" w:hAnsi="Century" w:hint="cs"/>
          <w:sz w:val="22"/>
          <w:rtl/>
        </w:rPr>
        <w:t xml:space="preserve"> (7.7.2022)), לא כל שכן עונש בעבודות שירות. ואולם </w:t>
      </w:r>
      <w:r>
        <w:rPr>
          <w:rFonts w:hint="cs"/>
          <w:rtl/>
        </w:rPr>
        <w:t xml:space="preserve">אינני סבור שזהו המקרה לתהייה זו. הנאשם שלפני נעדר עורף משפחתי חזק. מתסקיר שירות המבחן עולה תרומה ממשית של נסיבה זו למצב אליו נקלע. הנאשם עובד בתקופה האחרונה ומשתכר לפרנסתו. העבודה מהווה חלק מהותי בהליך השיקום וראיתי חשיבות לסייע לו בכך ובכל מקרה שלא להקשות עליו. אכן, קיים הבדל משמעותי בין עונש מאסר בעבודות שירות לבין צו של"צ. לכן, במקרים המתאימים צו של"צ לא יוכל לקיים את תכליות הענישה חרף סיכויי השיקום </w:t>
      </w:r>
      <w:r>
        <w:rPr>
          <w:rtl/>
        </w:rPr>
        <w:t>(</w:t>
      </w:r>
      <w:hyperlink r:id="rId39" w:history="1">
        <w:r w:rsidR="00712B3D" w:rsidRPr="00712B3D">
          <w:rPr>
            <w:color w:val="0000FF"/>
            <w:u w:val="single"/>
            <w:rtl/>
          </w:rPr>
          <w:t>רע"פ 10002/17</w:t>
        </w:r>
      </w:hyperlink>
      <w:r>
        <w:rPr>
          <w:rtl/>
        </w:rPr>
        <w:t xml:space="preserve"> </w:t>
      </w:r>
      <w:r>
        <w:rPr>
          <w:b/>
          <w:bCs/>
          <w:rtl/>
        </w:rPr>
        <w:t>מדינת ישראל נ' ניסים מור</w:t>
      </w:r>
      <w:r>
        <w:rPr>
          <w:rtl/>
        </w:rPr>
        <w:t xml:space="preserve"> (18.7.</w:t>
      </w:r>
      <w:r>
        <w:rPr>
          <w:rFonts w:hint="cs"/>
          <w:rtl/>
        </w:rPr>
        <w:t>20</w:t>
      </w:r>
      <w:r>
        <w:rPr>
          <w:rtl/>
        </w:rPr>
        <w:t>18)).</w:t>
      </w:r>
      <w:r>
        <w:rPr>
          <w:rFonts w:hint="cs"/>
          <w:rtl/>
        </w:rPr>
        <w:t xml:space="preserve"> אין זה המקרה ומשכך, ראיתי לאמץ אף בעניין זה את המלצת שירות המבחן (להטלת צו של"צ במקרה של שיקום בעבירות סמים חמורות ראו למשל </w:t>
      </w:r>
      <w:hyperlink r:id="rId40" w:history="1">
        <w:r w:rsidR="00712B3D" w:rsidRPr="00712B3D">
          <w:rPr>
            <w:color w:val="0000FF"/>
            <w:u w:val="single"/>
            <w:rtl/>
          </w:rPr>
          <w:t>עפ"ג 26985-08-19</w:t>
        </w:r>
      </w:hyperlink>
      <w:r>
        <w:rPr>
          <w:rFonts w:hint="cs"/>
          <w:rtl/>
        </w:rPr>
        <w:t xml:space="preserve"> </w:t>
      </w:r>
      <w:r w:rsidRPr="00675526">
        <w:rPr>
          <w:rFonts w:hint="cs"/>
          <w:b/>
          <w:bCs/>
          <w:rtl/>
        </w:rPr>
        <w:t>ארטיום שטנפר נ' מדינת ישראל</w:t>
      </w:r>
      <w:r>
        <w:rPr>
          <w:rFonts w:hint="cs"/>
          <w:rtl/>
        </w:rPr>
        <w:t xml:space="preserve"> (21.11.2019)). ביחס לפסילת רישיון, אזי הנאשם אינו מורשה נהיגה ומשכך לעונש פסילה לא תהא משמעות עונשית כלשהי זולת דחיית האפשרות להתחיל בלימודי נהיגה, דבר שלא ראיתי בו בנסיבות מקרה זה כבעל תכלית ראויה כלשהי. לכן ראיתי להימנע מעונש פסילה בפועל ואסתפק בפסילה מותנית.</w:t>
      </w:r>
    </w:p>
    <w:p w14:paraId="09E40C36" w14:textId="77777777" w:rsidR="00A70748" w:rsidRDefault="00A70748" w:rsidP="00A70748">
      <w:pPr>
        <w:jc w:val="both"/>
        <w:rPr>
          <w:rFonts w:ascii="David" w:hAnsi="David"/>
          <w:rtl/>
        </w:rPr>
      </w:pPr>
    </w:p>
    <w:p w14:paraId="0CB52419" w14:textId="77777777" w:rsidR="00A70748" w:rsidRDefault="00A70748" w:rsidP="00A70748">
      <w:pPr>
        <w:jc w:val="both"/>
        <w:rPr>
          <w:rFonts w:ascii="David" w:hAnsi="David"/>
          <w:rtl/>
        </w:rPr>
      </w:pPr>
    </w:p>
    <w:p w14:paraId="1C369A91" w14:textId="77777777" w:rsidR="00A70748" w:rsidRDefault="00A70748" w:rsidP="00A70748">
      <w:pPr>
        <w:jc w:val="both"/>
        <w:rPr>
          <w:rFonts w:ascii="David" w:hAnsi="David"/>
          <w:rtl/>
        </w:rPr>
      </w:pPr>
    </w:p>
    <w:p w14:paraId="75D46B17" w14:textId="77777777" w:rsidR="00A70748" w:rsidRDefault="00A70748" w:rsidP="00A70748">
      <w:pPr>
        <w:jc w:val="both"/>
        <w:rPr>
          <w:rFonts w:ascii="David" w:hAnsi="David"/>
          <w:rtl/>
        </w:rPr>
      </w:pPr>
    </w:p>
    <w:p w14:paraId="711D36F5" w14:textId="77777777" w:rsidR="00A70748" w:rsidRPr="00823672" w:rsidRDefault="00A70748" w:rsidP="00A70748">
      <w:pPr>
        <w:jc w:val="both"/>
        <w:rPr>
          <w:rFonts w:ascii="David" w:hAnsi="David"/>
          <w:rtl/>
        </w:rPr>
      </w:pPr>
    </w:p>
    <w:p w14:paraId="08D23A89" w14:textId="77777777" w:rsidR="00A70748" w:rsidRDefault="00A70748" w:rsidP="00A70748">
      <w:pPr>
        <w:pStyle w:val="a9"/>
        <w:numPr>
          <w:ilvl w:val="0"/>
          <w:numId w:val="1"/>
        </w:numPr>
        <w:spacing w:before="120" w:after="120" w:line="360" w:lineRule="auto"/>
        <w:jc w:val="both"/>
      </w:pPr>
      <w:r>
        <w:rPr>
          <w:rtl/>
        </w:rPr>
        <w:t>סיכומו של דבר, לאחר שבחנתי את מכלול השיקולים, הן לקולה והן לחומרה,</w:t>
      </w:r>
      <w:r>
        <w:rPr>
          <w:rFonts w:hint="cs"/>
          <w:rtl/>
        </w:rPr>
        <w:t xml:space="preserve"> </w:t>
      </w:r>
      <w:r>
        <w:rPr>
          <w:rtl/>
        </w:rPr>
        <w:t>אני מטיל על הנאשם את העונשים הבאים:</w:t>
      </w:r>
    </w:p>
    <w:p w14:paraId="041C520B" w14:textId="77777777" w:rsidR="00A70748" w:rsidRDefault="00A70748" w:rsidP="00A70748">
      <w:pPr>
        <w:pStyle w:val="a9"/>
        <w:rPr>
          <w:rtl/>
        </w:rPr>
      </w:pPr>
    </w:p>
    <w:p w14:paraId="4D843348" w14:textId="77777777" w:rsidR="00A70748" w:rsidRPr="00634B13" w:rsidRDefault="00A70748" w:rsidP="00A70748">
      <w:pPr>
        <w:pStyle w:val="a9"/>
        <w:numPr>
          <w:ilvl w:val="0"/>
          <w:numId w:val="2"/>
        </w:numPr>
        <w:spacing w:line="360" w:lineRule="auto"/>
        <w:jc w:val="both"/>
        <w:rPr>
          <w:rFonts w:ascii="Calibri" w:hAnsi="Calibri"/>
        </w:rPr>
      </w:pPr>
      <w:r w:rsidRPr="00634B13">
        <w:rPr>
          <w:rFonts w:ascii="Calibri" w:hAnsi="Calibri"/>
          <w:b/>
          <w:bCs/>
          <w:rtl/>
        </w:rPr>
        <w:t xml:space="preserve">אני מעמיד את הנאשם בפיקוח שירות המבחן למשך </w:t>
      </w:r>
      <w:r w:rsidRPr="00634B13">
        <w:rPr>
          <w:rFonts w:ascii="Calibri" w:hAnsi="Calibri" w:hint="cs"/>
          <w:b/>
          <w:bCs/>
          <w:rtl/>
        </w:rPr>
        <w:t>12</w:t>
      </w:r>
      <w:r w:rsidRPr="00634B13">
        <w:rPr>
          <w:rFonts w:ascii="Calibri" w:hAnsi="Calibri"/>
          <w:b/>
          <w:bCs/>
          <w:rtl/>
        </w:rPr>
        <w:t xml:space="preserve"> חודשים.</w:t>
      </w:r>
      <w:r w:rsidRPr="00634B13">
        <w:rPr>
          <w:rFonts w:ascii="Calibri" w:hAnsi="Calibri"/>
          <w:rtl/>
        </w:rPr>
        <w:t xml:space="preserve"> </w:t>
      </w:r>
    </w:p>
    <w:p w14:paraId="63B02F57" w14:textId="77777777" w:rsidR="00A70748" w:rsidRPr="00634B13" w:rsidRDefault="00A70748" w:rsidP="00A70748">
      <w:pPr>
        <w:spacing w:line="360" w:lineRule="auto"/>
        <w:ind w:left="720"/>
        <w:jc w:val="both"/>
        <w:rPr>
          <w:rFonts w:ascii="Calibri" w:hAnsi="Calibri"/>
        </w:rPr>
      </w:pPr>
      <w:r w:rsidRPr="00634B13">
        <w:rPr>
          <w:rFonts w:ascii="Calibri" w:hAnsi="Calibri"/>
          <w:rtl/>
        </w:rPr>
        <w:t>הוסבר לנאשם שעליו לקיים את הוראות שירות המבחן וכי הפרה של צו הפיקוח עלולה להוביל להפקעתו ולהטלת עונשים נוספים.</w:t>
      </w:r>
    </w:p>
    <w:p w14:paraId="791502CE" w14:textId="77777777" w:rsidR="00A70748" w:rsidRDefault="00A70748" w:rsidP="00A70748">
      <w:pPr>
        <w:spacing w:line="360" w:lineRule="auto"/>
        <w:jc w:val="both"/>
        <w:rPr>
          <w:rFonts w:ascii="Calibri" w:hAnsi="Calibri"/>
          <w:rtl/>
        </w:rPr>
      </w:pPr>
    </w:p>
    <w:p w14:paraId="36198FC0" w14:textId="77777777" w:rsidR="00A70748" w:rsidRDefault="00A70748" w:rsidP="00A70748">
      <w:pPr>
        <w:pStyle w:val="a9"/>
        <w:numPr>
          <w:ilvl w:val="0"/>
          <w:numId w:val="2"/>
        </w:numPr>
        <w:spacing w:line="360" w:lineRule="auto"/>
        <w:jc w:val="both"/>
      </w:pPr>
      <w:r>
        <w:rPr>
          <w:rtl/>
        </w:rPr>
        <w:t xml:space="preserve">מאסר על תנאי לתקופה של </w:t>
      </w:r>
      <w:r>
        <w:rPr>
          <w:rFonts w:hint="cs"/>
          <w:rtl/>
        </w:rPr>
        <w:t>6</w:t>
      </w:r>
      <w:r>
        <w:rPr>
          <w:rtl/>
        </w:rPr>
        <w:t xml:space="preserve"> חודשים והתנאי הוא שהנאשם לא יעבור במשך 3 שנים  כל עבירה על פקודת הסמים שהיא פשע.</w:t>
      </w:r>
    </w:p>
    <w:p w14:paraId="0DAC766B" w14:textId="77777777" w:rsidR="00A70748" w:rsidRDefault="00A70748" w:rsidP="00A70748">
      <w:pPr>
        <w:pStyle w:val="a9"/>
        <w:jc w:val="both"/>
      </w:pPr>
    </w:p>
    <w:p w14:paraId="2C47AD28" w14:textId="77777777" w:rsidR="00A70748" w:rsidRDefault="00A70748" w:rsidP="00A70748">
      <w:pPr>
        <w:pStyle w:val="a9"/>
        <w:numPr>
          <w:ilvl w:val="0"/>
          <w:numId w:val="2"/>
        </w:numPr>
        <w:spacing w:before="120" w:after="120" w:line="360" w:lineRule="auto"/>
        <w:jc w:val="both"/>
      </w:pPr>
      <w:r>
        <w:rPr>
          <w:rtl/>
        </w:rPr>
        <w:t xml:space="preserve">קנס בסך </w:t>
      </w:r>
      <w:r>
        <w:rPr>
          <w:rFonts w:hint="cs"/>
          <w:rtl/>
        </w:rPr>
        <w:t>5,000</w:t>
      </w:r>
      <w:r>
        <w:rPr>
          <w:rtl/>
        </w:rPr>
        <w:t xml:space="preserve"> ש"ח ₪. הקנס ישולם ב- 10 תשלומים חודשיים רצופים ושווים החל מיום </w:t>
      </w:r>
      <w:r>
        <w:rPr>
          <w:rFonts w:hint="cs"/>
          <w:rtl/>
        </w:rPr>
        <w:t xml:space="preserve">1.4.24. </w:t>
      </w:r>
      <w:r>
        <w:rPr>
          <w:rtl/>
        </w:rPr>
        <w:t>היה והקנס או חלקו לא ישולם במועד – תעמוד יתרת הקנס לתשלום מידי.</w:t>
      </w:r>
    </w:p>
    <w:p w14:paraId="54CA998B" w14:textId="77777777" w:rsidR="00A70748" w:rsidRDefault="00A70748" w:rsidP="00A70748">
      <w:pPr>
        <w:pStyle w:val="a9"/>
        <w:rPr>
          <w:rtl/>
        </w:rPr>
      </w:pPr>
    </w:p>
    <w:p w14:paraId="7B71444E" w14:textId="77777777" w:rsidR="00A70748" w:rsidRPr="00EF7E68" w:rsidRDefault="00A70748" w:rsidP="00A70748">
      <w:pPr>
        <w:pStyle w:val="a9"/>
        <w:numPr>
          <w:ilvl w:val="0"/>
          <w:numId w:val="2"/>
        </w:numPr>
        <w:spacing w:before="120" w:after="120" w:line="360" w:lineRule="auto"/>
        <w:jc w:val="both"/>
      </w:pPr>
      <w:r>
        <w:rPr>
          <w:rtl/>
        </w:rPr>
        <w:t xml:space="preserve">אני מחייב את הנאשם לבצע </w:t>
      </w:r>
      <w:r>
        <w:rPr>
          <w:rFonts w:hint="cs"/>
          <w:rtl/>
        </w:rPr>
        <w:t>250</w:t>
      </w:r>
      <w:r>
        <w:rPr>
          <w:rtl/>
        </w:rPr>
        <w:t xml:space="preserve"> שעות של"צ בהתאם לתוכנית שיגיש שירות המבחן בתוך </w:t>
      </w:r>
      <w:r>
        <w:rPr>
          <w:rFonts w:hint="cs"/>
          <w:rtl/>
        </w:rPr>
        <w:t>45</w:t>
      </w:r>
      <w:r>
        <w:rPr>
          <w:rtl/>
        </w:rPr>
        <w:t xml:space="preserve"> </w:t>
      </w:r>
      <w:r>
        <w:rPr>
          <w:rFonts w:hint="cs"/>
          <w:rtl/>
        </w:rPr>
        <w:t>ימים</w:t>
      </w:r>
      <w:r>
        <w:rPr>
          <w:rtl/>
        </w:rPr>
        <w:t xml:space="preserve">. </w:t>
      </w:r>
      <w:r w:rsidRPr="00EF7E68">
        <w:rPr>
          <w:rFonts w:ascii="Calibri" w:hAnsi="Calibri"/>
          <w:rtl/>
        </w:rPr>
        <w:t>הוסבר לנאשם שעליו לקיים את הצו לשביעות רצון שירות המבחן וכי הפרת הצו עלולה להוביל להפקעתו ולהטלת עונשים נוספים.</w:t>
      </w:r>
    </w:p>
    <w:p w14:paraId="43566A3C" w14:textId="77777777" w:rsidR="00A70748" w:rsidRDefault="00A70748" w:rsidP="00A70748">
      <w:pPr>
        <w:pStyle w:val="a9"/>
        <w:rPr>
          <w:rtl/>
        </w:rPr>
      </w:pPr>
    </w:p>
    <w:p w14:paraId="65364A0D" w14:textId="77777777" w:rsidR="00A70748" w:rsidRPr="00EF7E68" w:rsidRDefault="00A70748" w:rsidP="00A70748">
      <w:pPr>
        <w:pStyle w:val="a9"/>
        <w:numPr>
          <w:ilvl w:val="0"/>
          <w:numId w:val="2"/>
        </w:numPr>
        <w:spacing w:before="120" w:after="120" w:line="360" w:lineRule="auto"/>
        <w:jc w:val="both"/>
        <w:rPr>
          <w:rtl/>
        </w:rPr>
      </w:pPr>
      <w:r>
        <w:rPr>
          <w:rFonts w:hint="cs"/>
          <w:rtl/>
        </w:rPr>
        <w:t>פסילה על תנאי למשך 6 חודשים והתנאי הוא שלא יעבור במשך 3 שנים כל עבירה על פקודת הסמים.</w:t>
      </w:r>
    </w:p>
    <w:p w14:paraId="6EC3AEC9" w14:textId="77777777" w:rsidR="00A70748" w:rsidRDefault="00A70748" w:rsidP="00A70748">
      <w:pPr>
        <w:spacing w:line="360" w:lineRule="auto"/>
        <w:jc w:val="both"/>
        <w:rPr>
          <w:b/>
          <w:bCs/>
          <w:u w:val="single"/>
          <w:rtl/>
        </w:rPr>
      </w:pPr>
      <w:r w:rsidRPr="00D14D82">
        <w:rPr>
          <w:b/>
          <w:bCs/>
          <w:u w:val="single"/>
          <w:rtl/>
        </w:rPr>
        <w:t xml:space="preserve">המוצגים – סמים </w:t>
      </w:r>
      <w:r w:rsidRPr="00D14D82">
        <w:rPr>
          <w:rFonts w:hint="cs"/>
          <w:b/>
          <w:bCs/>
          <w:u w:val="single"/>
          <w:rtl/>
        </w:rPr>
        <w:t>ומשקל אלקטרוני</w:t>
      </w:r>
      <w:r w:rsidRPr="00D14D82">
        <w:rPr>
          <w:b/>
          <w:bCs/>
          <w:u w:val="single"/>
          <w:rtl/>
        </w:rPr>
        <w:t>, להשמיד בחלוף תקופת הערעור.</w:t>
      </w:r>
      <w:r>
        <w:rPr>
          <w:rFonts w:hint="cs"/>
          <w:b/>
          <w:bCs/>
          <w:u w:val="single"/>
          <w:rtl/>
        </w:rPr>
        <w:t xml:space="preserve"> </w:t>
      </w:r>
    </w:p>
    <w:p w14:paraId="64153B98" w14:textId="77777777" w:rsidR="00A70748" w:rsidRDefault="00A70748" w:rsidP="00A70748">
      <w:pPr>
        <w:spacing w:line="360" w:lineRule="auto"/>
        <w:jc w:val="both"/>
        <w:rPr>
          <w:b/>
          <w:bCs/>
          <w:u w:val="single"/>
          <w:rtl/>
        </w:rPr>
      </w:pPr>
      <w:r>
        <w:rPr>
          <w:rFonts w:hint="cs"/>
          <w:b/>
          <w:bCs/>
          <w:u w:val="single"/>
          <w:rtl/>
        </w:rPr>
        <w:t>את יתרת המוצגים יש להחזיר למי שמידיו נלקחו.</w:t>
      </w:r>
    </w:p>
    <w:p w14:paraId="1D9C29B0" w14:textId="77777777" w:rsidR="00A70748" w:rsidRDefault="00A70748" w:rsidP="00A70748">
      <w:pPr>
        <w:spacing w:line="360" w:lineRule="auto"/>
        <w:jc w:val="both"/>
        <w:rPr>
          <w:b/>
          <w:bCs/>
          <w:u w:val="single"/>
          <w:rtl/>
        </w:rPr>
      </w:pPr>
      <w:r>
        <w:rPr>
          <w:b/>
          <w:bCs/>
          <w:u w:val="single"/>
          <w:rtl/>
        </w:rPr>
        <w:t xml:space="preserve">הודעה זכות ערעור לבית המשפט המחוזי בתוך 45 ימים. </w:t>
      </w:r>
    </w:p>
    <w:p w14:paraId="0AF7F4E5" w14:textId="77777777" w:rsidR="00A70748" w:rsidRDefault="00712B3D" w:rsidP="00A70748">
      <w:pPr>
        <w:spacing w:line="360" w:lineRule="auto"/>
        <w:jc w:val="both"/>
        <w:rPr>
          <w:b/>
          <w:bCs/>
          <w:u w:val="single"/>
          <w:rtl/>
        </w:rPr>
      </w:pPr>
      <w:r w:rsidRPr="00712B3D">
        <w:rPr>
          <w:b/>
          <w:bCs/>
          <w:color w:val="FFFFFF"/>
          <w:sz w:val="2"/>
          <w:szCs w:val="2"/>
          <w:u w:val="single"/>
          <w:rtl/>
        </w:rPr>
        <w:t>5129371</w:t>
      </w:r>
      <w:r w:rsidR="00A70748">
        <w:rPr>
          <w:b/>
          <w:bCs/>
          <w:u w:val="single"/>
          <w:rtl/>
        </w:rPr>
        <w:t xml:space="preserve">המזכירות תשלח את גזר הדין לשירות המבחן </w:t>
      </w:r>
    </w:p>
    <w:p w14:paraId="657AB242" w14:textId="77777777" w:rsidR="00A70748" w:rsidRPr="00712B3D" w:rsidRDefault="00712B3D" w:rsidP="00A70748">
      <w:pPr>
        <w:rPr>
          <w:rFonts w:ascii="David" w:hAnsi="David"/>
          <w:color w:val="FFFFFF"/>
          <w:sz w:val="2"/>
          <w:szCs w:val="2"/>
          <w:rtl/>
        </w:rPr>
      </w:pPr>
      <w:r w:rsidRPr="00712B3D">
        <w:rPr>
          <w:rFonts w:ascii="David" w:hAnsi="David"/>
          <w:color w:val="FFFFFF"/>
          <w:sz w:val="2"/>
          <w:szCs w:val="2"/>
          <w:rtl/>
        </w:rPr>
        <w:t>54678313</w:t>
      </w:r>
    </w:p>
    <w:p w14:paraId="2F15693E" w14:textId="77777777" w:rsidR="00A70748" w:rsidRPr="00D14D82" w:rsidRDefault="00A70748" w:rsidP="00A70748">
      <w:pPr>
        <w:rPr>
          <w:rFonts w:ascii="David" w:hAnsi="David"/>
          <w:rtl/>
        </w:rPr>
      </w:pPr>
    </w:p>
    <w:p w14:paraId="63732C23" w14:textId="77777777" w:rsidR="00A70748" w:rsidRPr="00D14D82" w:rsidRDefault="00712B3D" w:rsidP="00A70748">
      <w:pPr>
        <w:rPr>
          <w:rFonts w:ascii="David" w:hAnsi="David"/>
          <w:rtl/>
        </w:rPr>
      </w:pPr>
      <w:bookmarkStart w:id="7" w:name="Nitan"/>
      <w:r>
        <w:rPr>
          <w:rFonts w:ascii="David" w:hAnsi="David"/>
          <w:rtl/>
        </w:rPr>
        <w:t xml:space="preserve">ניתן היום,  כ"ו טבת תשפ"ד, 07 ינואר 2024, בהעדר הצדדים. </w:t>
      </w:r>
      <w:bookmarkEnd w:id="7"/>
    </w:p>
    <w:p w14:paraId="547138E5" w14:textId="77777777" w:rsidR="00A70748" w:rsidRPr="00D14D82" w:rsidRDefault="00A70748" w:rsidP="00712B3D">
      <w:pPr>
        <w:jc w:val="center"/>
      </w:pPr>
      <w:r w:rsidRPr="00D14D82">
        <w:rPr>
          <w:rFonts w:ascii="David" w:hAnsi="David"/>
          <w:rtl/>
        </w:rPr>
        <w:t xml:space="preserve">   </w:t>
      </w:r>
      <w:r w:rsidRPr="00D14D82">
        <w:rPr>
          <w:rFonts w:ascii="David" w:hAnsi="David"/>
          <w:rtl/>
        </w:rPr>
        <w:tab/>
      </w:r>
      <w:r w:rsidRPr="00D14D82">
        <w:rPr>
          <w:rFonts w:ascii="David" w:hAnsi="David"/>
          <w:rtl/>
        </w:rPr>
        <w:tab/>
      </w:r>
      <w:r w:rsidRPr="00D14D82">
        <w:rPr>
          <w:rFonts w:ascii="David" w:hAnsi="David"/>
          <w:rtl/>
        </w:rPr>
        <w:tab/>
      </w:r>
      <w:r w:rsidRPr="00D14D82">
        <w:rPr>
          <w:rFonts w:ascii="David" w:hAnsi="David"/>
          <w:rtl/>
        </w:rPr>
        <w:tab/>
      </w:r>
      <w:r w:rsidRPr="00D14D82">
        <w:rPr>
          <w:rFonts w:ascii="David" w:hAnsi="David"/>
          <w:rtl/>
        </w:rPr>
        <w:tab/>
      </w:r>
    </w:p>
    <w:p w14:paraId="16A07E8A" w14:textId="77777777" w:rsidR="00A70748" w:rsidRPr="00D14D82" w:rsidRDefault="00A70748" w:rsidP="00A70748">
      <w:pPr>
        <w:jc w:val="center"/>
        <w:rPr>
          <w:rFonts w:ascii="David" w:hAnsi="David"/>
          <w:rtl/>
        </w:rPr>
      </w:pPr>
    </w:p>
    <w:p w14:paraId="26232357" w14:textId="77777777" w:rsidR="004D5986" w:rsidRPr="00712B3D" w:rsidRDefault="004D5986" w:rsidP="00712B3D">
      <w:pPr>
        <w:keepNext/>
        <w:rPr>
          <w:rFonts w:ascii="David" w:hAnsi="David"/>
          <w:color w:val="000000"/>
          <w:sz w:val="22"/>
          <w:szCs w:val="22"/>
          <w:rtl/>
        </w:rPr>
      </w:pPr>
    </w:p>
    <w:p w14:paraId="2D0F84B7" w14:textId="77777777" w:rsidR="00712B3D" w:rsidRPr="00712B3D" w:rsidRDefault="00712B3D" w:rsidP="00712B3D">
      <w:pPr>
        <w:keepNext/>
        <w:rPr>
          <w:rFonts w:ascii="David" w:hAnsi="David"/>
          <w:color w:val="000000"/>
          <w:sz w:val="22"/>
          <w:szCs w:val="22"/>
          <w:rtl/>
        </w:rPr>
      </w:pPr>
      <w:r w:rsidRPr="00712B3D">
        <w:rPr>
          <w:rFonts w:ascii="David" w:hAnsi="David"/>
          <w:color w:val="000000"/>
          <w:sz w:val="22"/>
          <w:szCs w:val="22"/>
          <w:rtl/>
        </w:rPr>
        <w:t>יוסי טורס 54678313</w:t>
      </w:r>
    </w:p>
    <w:p w14:paraId="47633E97" w14:textId="77777777" w:rsidR="00712B3D" w:rsidRDefault="00712B3D" w:rsidP="00712B3D">
      <w:r w:rsidRPr="00712B3D">
        <w:rPr>
          <w:color w:val="000000"/>
          <w:rtl/>
        </w:rPr>
        <w:t>נוסח מסמך זה כפוף לשינויי ניסוח ועריכה</w:t>
      </w:r>
    </w:p>
    <w:p w14:paraId="45650617" w14:textId="77777777" w:rsidR="00712B3D" w:rsidRDefault="00712B3D" w:rsidP="00712B3D">
      <w:pPr>
        <w:rPr>
          <w:rtl/>
        </w:rPr>
      </w:pPr>
    </w:p>
    <w:p w14:paraId="4FA77506" w14:textId="77777777" w:rsidR="00712B3D" w:rsidRDefault="00712B3D" w:rsidP="00712B3D">
      <w:pPr>
        <w:jc w:val="center"/>
        <w:rPr>
          <w:color w:val="0000FF"/>
          <w:u w:val="single"/>
        </w:rPr>
      </w:pPr>
      <w:hyperlink r:id="rId41" w:history="1">
        <w:r>
          <w:rPr>
            <w:color w:val="0000FF"/>
            <w:u w:val="single"/>
            <w:rtl/>
          </w:rPr>
          <w:t>בעניין עריכה ושינויים במסמכי פסיקה, חקיקה ועוד באתר נבו – הקש כאן</w:t>
        </w:r>
      </w:hyperlink>
    </w:p>
    <w:p w14:paraId="66414AC2" w14:textId="77777777" w:rsidR="00712B3D" w:rsidRPr="00712B3D" w:rsidRDefault="00712B3D" w:rsidP="00712B3D">
      <w:pPr>
        <w:jc w:val="center"/>
        <w:rPr>
          <w:color w:val="0000FF"/>
          <w:u w:val="single"/>
        </w:rPr>
      </w:pPr>
    </w:p>
    <w:sectPr w:rsidR="00712B3D" w:rsidRPr="00712B3D" w:rsidSect="00712B3D">
      <w:headerReference w:type="even" r:id="rId42"/>
      <w:headerReference w:type="default" r:id="rId43"/>
      <w:footerReference w:type="even" r:id="rId44"/>
      <w:footerReference w:type="default" r:id="rId4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55603" w14:textId="77777777" w:rsidR="00A04FAD" w:rsidRDefault="00A04FAD" w:rsidP="00E5308C">
      <w:r>
        <w:separator/>
      </w:r>
    </w:p>
  </w:endnote>
  <w:endnote w:type="continuationSeparator" w:id="0">
    <w:p w14:paraId="2940D545" w14:textId="77777777" w:rsidR="00A04FAD" w:rsidRDefault="00A04FAD" w:rsidP="00E53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DD4B8" w14:textId="77777777" w:rsidR="00712B3D" w:rsidRDefault="00712B3D" w:rsidP="00712B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965F4C" w14:textId="77777777" w:rsidR="000A0E02" w:rsidRPr="00712B3D" w:rsidRDefault="00712B3D" w:rsidP="00712B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42CA" w14:textId="77777777" w:rsidR="00712B3D" w:rsidRDefault="00712B3D" w:rsidP="00712B3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202D2">
      <w:rPr>
        <w:rFonts w:ascii="FrankRuehl" w:hAnsi="FrankRuehl" w:cs="FrankRuehl"/>
        <w:noProof/>
        <w:rtl/>
      </w:rPr>
      <w:t>1</w:t>
    </w:r>
    <w:r>
      <w:rPr>
        <w:rFonts w:ascii="FrankRuehl" w:hAnsi="FrankRuehl" w:cs="FrankRuehl"/>
        <w:rtl/>
      </w:rPr>
      <w:fldChar w:fldCharType="end"/>
    </w:r>
  </w:p>
  <w:p w14:paraId="284037B8" w14:textId="77777777" w:rsidR="000A0E02" w:rsidRPr="00712B3D" w:rsidRDefault="00712B3D" w:rsidP="00712B3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770C4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E1095" w14:textId="77777777" w:rsidR="00A04FAD" w:rsidRDefault="00A04FAD" w:rsidP="00E5308C">
      <w:r>
        <w:separator/>
      </w:r>
    </w:p>
  </w:footnote>
  <w:footnote w:type="continuationSeparator" w:id="0">
    <w:p w14:paraId="5593A49E" w14:textId="77777777" w:rsidR="00A04FAD" w:rsidRDefault="00A04FAD" w:rsidP="00E53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FFE81" w14:textId="77777777" w:rsidR="00712B3D" w:rsidRPr="00712B3D" w:rsidRDefault="00712B3D" w:rsidP="00712B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52205-06-22</w:t>
    </w:r>
    <w:r>
      <w:rPr>
        <w:rFonts w:ascii="David" w:hAnsi="David"/>
        <w:color w:val="000000"/>
        <w:sz w:val="22"/>
        <w:szCs w:val="22"/>
        <w:rtl/>
      </w:rPr>
      <w:tab/>
      <w:t xml:space="preserve"> מדינת ישראל נ' ניקיטה לבדב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099F1" w14:textId="77777777" w:rsidR="00712B3D" w:rsidRPr="00712B3D" w:rsidRDefault="00712B3D" w:rsidP="00712B3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52205-06-22</w:t>
    </w:r>
    <w:r>
      <w:rPr>
        <w:rFonts w:ascii="David" w:hAnsi="David"/>
        <w:color w:val="000000"/>
        <w:sz w:val="22"/>
        <w:szCs w:val="22"/>
        <w:rtl/>
      </w:rPr>
      <w:tab/>
      <w:t xml:space="preserve"> מדינת ישראל נ' ניקיטה לבדב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41441"/>
    <w:multiLevelType w:val="hybridMultilevel"/>
    <w:tmpl w:val="6536474E"/>
    <w:lvl w:ilvl="0" w:tplc="D2B4F4C2">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D47D5D"/>
    <w:multiLevelType w:val="hybridMultilevel"/>
    <w:tmpl w:val="C2FEFF54"/>
    <w:lvl w:ilvl="0" w:tplc="DDC209A0">
      <w:start w:val="1"/>
      <w:numFmt w:val="hebrew1"/>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4847406">
    <w:abstractNumId w:val="0"/>
  </w:num>
  <w:num w:numId="2" w16cid:durableId="1027750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0748"/>
    <w:rsid w:val="0004773B"/>
    <w:rsid w:val="000A0E02"/>
    <w:rsid w:val="001654A1"/>
    <w:rsid w:val="001B5A3B"/>
    <w:rsid w:val="004D5986"/>
    <w:rsid w:val="00673174"/>
    <w:rsid w:val="006F04BB"/>
    <w:rsid w:val="00712B3D"/>
    <w:rsid w:val="007B5089"/>
    <w:rsid w:val="008202D2"/>
    <w:rsid w:val="00A04FAD"/>
    <w:rsid w:val="00A70748"/>
    <w:rsid w:val="00B224D0"/>
    <w:rsid w:val="00BF491A"/>
    <w:rsid w:val="00C3191D"/>
    <w:rsid w:val="00E530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8BA0B2"/>
  <w15:chartTrackingRefBased/>
  <w15:docId w15:val="{4220EF06-476F-48D3-9C28-C1E58946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074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0748"/>
    <w:pPr>
      <w:tabs>
        <w:tab w:val="center" w:pos="4153"/>
        <w:tab w:val="right" w:pos="8306"/>
      </w:tabs>
    </w:pPr>
  </w:style>
  <w:style w:type="character" w:customStyle="1" w:styleId="a4">
    <w:name w:val="כותרת עליונה תו"/>
    <w:link w:val="a3"/>
    <w:rsid w:val="00A70748"/>
    <w:rPr>
      <w:rFonts w:ascii="Times New Roman" w:eastAsia="Times New Roman" w:hAnsi="Times New Roman" w:cs="David"/>
      <w:sz w:val="24"/>
      <w:szCs w:val="24"/>
    </w:rPr>
  </w:style>
  <w:style w:type="paragraph" w:styleId="a5">
    <w:name w:val="footer"/>
    <w:basedOn w:val="a"/>
    <w:link w:val="a6"/>
    <w:rsid w:val="00A70748"/>
    <w:pPr>
      <w:tabs>
        <w:tab w:val="center" w:pos="4153"/>
        <w:tab w:val="right" w:pos="8306"/>
      </w:tabs>
    </w:pPr>
  </w:style>
  <w:style w:type="character" w:customStyle="1" w:styleId="a6">
    <w:name w:val="כותרת תחתונה תו"/>
    <w:link w:val="a5"/>
    <w:rsid w:val="00A70748"/>
    <w:rPr>
      <w:rFonts w:ascii="Times New Roman" w:eastAsia="Times New Roman" w:hAnsi="Times New Roman" w:cs="David"/>
      <w:sz w:val="24"/>
      <w:szCs w:val="24"/>
    </w:rPr>
  </w:style>
  <w:style w:type="table" w:styleId="a7">
    <w:name w:val="Table Grid"/>
    <w:basedOn w:val="a1"/>
    <w:rsid w:val="00A7074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0748"/>
  </w:style>
  <w:style w:type="paragraph" w:styleId="a9">
    <w:name w:val="List Paragraph"/>
    <w:basedOn w:val="a"/>
    <w:qFormat/>
    <w:rsid w:val="00A70748"/>
    <w:pPr>
      <w:ind w:left="720"/>
      <w:contextualSpacing/>
    </w:pPr>
  </w:style>
  <w:style w:type="character" w:styleId="Hyperlink">
    <w:name w:val="Hyperlink"/>
    <w:rsid w:val="00A707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9452240" TargetMode="External"/><Relationship Id="rId26" Type="http://schemas.openxmlformats.org/officeDocument/2006/relationships/hyperlink" Target="http://www.nevo.co.il/case/20402486" TargetMode="External"/><Relationship Id="rId39" Type="http://schemas.openxmlformats.org/officeDocument/2006/relationships/hyperlink" Target="http://www.nevo.co.il/case/23507544" TargetMode="External"/><Relationship Id="rId21" Type="http://schemas.openxmlformats.org/officeDocument/2006/relationships/hyperlink" Target="http://www.nevo.co.il/case/17954235" TargetMode="External"/><Relationship Id="rId34" Type="http://schemas.openxmlformats.org/officeDocument/2006/relationships/hyperlink" Target="http://www.nevo.co.il/law/70301" TargetMode="External"/><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81909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 TargetMode="External"/><Relationship Id="rId24" Type="http://schemas.openxmlformats.org/officeDocument/2006/relationships/hyperlink" Target="http://www.nevo.co.il/case/21473042" TargetMode="External"/><Relationship Id="rId32" Type="http://schemas.openxmlformats.org/officeDocument/2006/relationships/hyperlink" Target="http://www.nevo.co.il/case/20033641" TargetMode="External"/><Relationship Id="rId37" Type="http://schemas.openxmlformats.org/officeDocument/2006/relationships/hyperlink" Target="http://www.nevo.co.il/case/22938500" TargetMode="External"/><Relationship Id="rId40" Type="http://schemas.openxmlformats.org/officeDocument/2006/relationships/hyperlink" Target="http://www.nevo.co.il/case/25946245"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87.a" TargetMode="External"/><Relationship Id="rId23" Type="http://schemas.openxmlformats.org/officeDocument/2006/relationships/hyperlink" Target="http://www.nevo.co.il/case/17023776" TargetMode="External"/><Relationship Id="rId28" Type="http://schemas.openxmlformats.org/officeDocument/2006/relationships/hyperlink" Target="http://www.nevo.co.il/case/27361147"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9985231" TargetMode="External"/><Relationship Id="rId31" Type="http://schemas.openxmlformats.org/officeDocument/2006/relationships/hyperlink" Target="http://www.nevo.co.il/case/6128041"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3093721" TargetMode="External"/><Relationship Id="rId27" Type="http://schemas.openxmlformats.org/officeDocument/2006/relationships/hyperlink" Target="http://www.nevo.co.il/case/5698919" TargetMode="External"/><Relationship Id="rId30" Type="http://schemas.openxmlformats.org/officeDocument/2006/relationships/hyperlink" Target="http://www.nevo.co.il/case/26349587" TargetMode="External"/><Relationship Id="rId35" Type="http://schemas.openxmlformats.org/officeDocument/2006/relationships/hyperlink" Target="http://www.nevo.co.il/case/10459128" TargetMode="External"/><Relationship Id="rId43"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87.a" TargetMode="External"/><Relationship Id="rId17" Type="http://schemas.openxmlformats.org/officeDocument/2006/relationships/hyperlink" Target="http://www.nevo.co.il/case/28393674" TargetMode="External"/><Relationship Id="rId25" Type="http://schemas.openxmlformats.org/officeDocument/2006/relationships/hyperlink" Target="http://www.nevo.co.il/case/21644133" TargetMode="External"/><Relationship Id="rId33" Type="http://schemas.openxmlformats.org/officeDocument/2006/relationships/hyperlink" Target="http://www.nevo.co.il/law/70301/40d" TargetMode="External"/><Relationship Id="rId38" Type="http://schemas.openxmlformats.org/officeDocument/2006/relationships/hyperlink" Target="http://www.nevo.co.il/case/27529712" TargetMode="External"/><Relationship Id="rId46" Type="http://schemas.openxmlformats.org/officeDocument/2006/relationships/fontTable" Target="fontTable.xml"/><Relationship Id="rId20" Type="http://schemas.openxmlformats.org/officeDocument/2006/relationships/hyperlink" Target="http://www.nevo.co.il/case/13093721" TargetMode="External"/><Relationship Id="rId41"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2350</Words>
  <Characters>11753</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14075</CharactersWithSpaces>
  <SharedDoc>false</SharedDoc>
  <HLinks>
    <vt:vector size="210" baseType="variant">
      <vt:variant>
        <vt:i4>393283</vt:i4>
      </vt:variant>
      <vt:variant>
        <vt:i4>102</vt:i4>
      </vt:variant>
      <vt:variant>
        <vt:i4>0</vt:i4>
      </vt:variant>
      <vt:variant>
        <vt:i4>5</vt:i4>
      </vt:variant>
      <vt:variant>
        <vt:lpwstr>http://www.nevo.co.il/advertisements/nevo-100.doc</vt:lpwstr>
      </vt:variant>
      <vt:variant>
        <vt:lpwstr/>
      </vt:variant>
      <vt:variant>
        <vt:i4>3735671</vt:i4>
      </vt:variant>
      <vt:variant>
        <vt:i4>99</vt:i4>
      </vt:variant>
      <vt:variant>
        <vt:i4>0</vt:i4>
      </vt:variant>
      <vt:variant>
        <vt:i4>5</vt:i4>
      </vt:variant>
      <vt:variant>
        <vt:lpwstr>http://www.nevo.co.il/case/25946245</vt:lpwstr>
      </vt:variant>
      <vt:variant>
        <vt:lpwstr/>
      </vt:variant>
      <vt:variant>
        <vt:i4>3407986</vt:i4>
      </vt:variant>
      <vt:variant>
        <vt:i4>96</vt:i4>
      </vt:variant>
      <vt:variant>
        <vt:i4>0</vt:i4>
      </vt:variant>
      <vt:variant>
        <vt:i4>5</vt:i4>
      </vt:variant>
      <vt:variant>
        <vt:lpwstr>http://www.nevo.co.il/case/23507544</vt:lpwstr>
      </vt:variant>
      <vt:variant>
        <vt:lpwstr/>
      </vt:variant>
      <vt:variant>
        <vt:i4>4128886</vt:i4>
      </vt:variant>
      <vt:variant>
        <vt:i4>93</vt:i4>
      </vt:variant>
      <vt:variant>
        <vt:i4>0</vt:i4>
      </vt:variant>
      <vt:variant>
        <vt:i4>5</vt:i4>
      </vt:variant>
      <vt:variant>
        <vt:lpwstr>http://www.nevo.co.il/case/27529712</vt:lpwstr>
      </vt:variant>
      <vt:variant>
        <vt:lpwstr/>
      </vt:variant>
      <vt:variant>
        <vt:i4>3342448</vt:i4>
      </vt:variant>
      <vt:variant>
        <vt:i4>90</vt:i4>
      </vt:variant>
      <vt:variant>
        <vt:i4>0</vt:i4>
      </vt:variant>
      <vt:variant>
        <vt:i4>5</vt:i4>
      </vt:variant>
      <vt:variant>
        <vt:lpwstr>http://www.nevo.co.il/case/22938500</vt:lpwstr>
      </vt:variant>
      <vt:variant>
        <vt:lpwstr/>
      </vt:variant>
      <vt:variant>
        <vt:i4>7995492</vt:i4>
      </vt:variant>
      <vt:variant>
        <vt:i4>87</vt:i4>
      </vt:variant>
      <vt:variant>
        <vt:i4>0</vt:i4>
      </vt:variant>
      <vt:variant>
        <vt:i4>5</vt:i4>
      </vt:variant>
      <vt:variant>
        <vt:lpwstr>http://www.nevo.co.il/law/70301</vt:lpwstr>
      </vt:variant>
      <vt:variant>
        <vt:lpwstr/>
      </vt:variant>
      <vt:variant>
        <vt:i4>4063344</vt:i4>
      </vt:variant>
      <vt:variant>
        <vt:i4>84</vt:i4>
      </vt:variant>
      <vt:variant>
        <vt:i4>0</vt:i4>
      </vt:variant>
      <vt:variant>
        <vt:i4>5</vt:i4>
      </vt:variant>
      <vt:variant>
        <vt:lpwstr>http://www.nevo.co.il/case/10459128</vt:lpwstr>
      </vt:variant>
      <vt:variant>
        <vt:lpwstr/>
      </vt:variant>
      <vt:variant>
        <vt:i4>7995492</vt:i4>
      </vt:variant>
      <vt:variant>
        <vt:i4>81</vt:i4>
      </vt:variant>
      <vt:variant>
        <vt:i4>0</vt:i4>
      </vt:variant>
      <vt:variant>
        <vt:i4>5</vt:i4>
      </vt:variant>
      <vt:variant>
        <vt:lpwstr>http://www.nevo.co.il/law/70301</vt:lpwstr>
      </vt:variant>
      <vt:variant>
        <vt:lpwstr/>
      </vt:variant>
      <vt:variant>
        <vt:i4>6619233</vt:i4>
      </vt:variant>
      <vt:variant>
        <vt:i4>78</vt:i4>
      </vt:variant>
      <vt:variant>
        <vt:i4>0</vt:i4>
      </vt:variant>
      <vt:variant>
        <vt:i4>5</vt:i4>
      </vt:variant>
      <vt:variant>
        <vt:lpwstr>http://www.nevo.co.il/law/70301/40d</vt:lpwstr>
      </vt:variant>
      <vt:variant>
        <vt:lpwstr/>
      </vt:variant>
      <vt:variant>
        <vt:i4>3473521</vt:i4>
      </vt:variant>
      <vt:variant>
        <vt:i4>75</vt:i4>
      </vt:variant>
      <vt:variant>
        <vt:i4>0</vt:i4>
      </vt:variant>
      <vt:variant>
        <vt:i4>5</vt:i4>
      </vt:variant>
      <vt:variant>
        <vt:lpwstr>http://www.nevo.co.il/case/20033641</vt:lpwstr>
      </vt:variant>
      <vt:variant>
        <vt:lpwstr/>
      </vt:variant>
      <vt:variant>
        <vt:i4>3473529</vt:i4>
      </vt:variant>
      <vt:variant>
        <vt:i4>72</vt:i4>
      </vt:variant>
      <vt:variant>
        <vt:i4>0</vt:i4>
      </vt:variant>
      <vt:variant>
        <vt:i4>5</vt:i4>
      </vt:variant>
      <vt:variant>
        <vt:lpwstr>http://www.nevo.co.il/case/6128041</vt:lpwstr>
      </vt:variant>
      <vt:variant>
        <vt:lpwstr/>
      </vt:variant>
      <vt:variant>
        <vt:i4>3145843</vt:i4>
      </vt:variant>
      <vt:variant>
        <vt:i4>69</vt:i4>
      </vt:variant>
      <vt:variant>
        <vt:i4>0</vt:i4>
      </vt:variant>
      <vt:variant>
        <vt:i4>5</vt:i4>
      </vt:variant>
      <vt:variant>
        <vt:lpwstr>http://www.nevo.co.il/case/26349587</vt:lpwstr>
      </vt:variant>
      <vt:variant>
        <vt:lpwstr/>
      </vt:variant>
      <vt:variant>
        <vt:i4>3211388</vt:i4>
      </vt:variant>
      <vt:variant>
        <vt:i4>66</vt:i4>
      </vt:variant>
      <vt:variant>
        <vt:i4>0</vt:i4>
      </vt:variant>
      <vt:variant>
        <vt:i4>5</vt:i4>
      </vt:variant>
      <vt:variant>
        <vt:lpwstr>http://www.nevo.co.il/case/28190928</vt:lpwstr>
      </vt:variant>
      <vt:variant>
        <vt:lpwstr/>
      </vt:variant>
      <vt:variant>
        <vt:i4>3407988</vt:i4>
      </vt:variant>
      <vt:variant>
        <vt:i4>63</vt:i4>
      </vt:variant>
      <vt:variant>
        <vt:i4>0</vt:i4>
      </vt:variant>
      <vt:variant>
        <vt:i4>5</vt:i4>
      </vt:variant>
      <vt:variant>
        <vt:lpwstr>http://www.nevo.co.il/case/27361147</vt:lpwstr>
      </vt:variant>
      <vt:variant>
        <vt:lpwstr/>
      </vt:variant>
      <vt:variant>
        <vt:i4>3932283</vt:i4>
      </vt:variant>
      <vt:variant>
        <vt:i4>60</vt:i4>
      </vt:variant>
      <vt:variant>
        <vt:i4>0</vt:i4>
      </vt:variant>
      <vt:variant>
        <vt:i4>5</vt:i4>
      </vt:variant>
      <vt:variant>
        <vt:lpwstr>http://www.nevo.co.il/case/5698919</vt:lpwstr>
      </vt:variant>
      <vt:variant>
        <vt:lpwstr/>
      </vt:variant>
      <vt:variant>
        <vt:i4>3932272</vt:i4>
      </vt:variant>
      <vt:variant>
        <vt:i4>57</vt:i4>
      </vt:variant>
      <vt:variant>
        <vt:i4>0</vt:i4>
      </vt:variant>
      <vt:variant>
        <vt:i4>5</vt:i4>
      </vt:variant>
      <vt:variant>
        <vt:lpwstr>http://www.nevo.co.il/case/20402486</vt:lpwstr>
      </vt:variant>
      <vt:variant>
        <vt:lpwstr/>
      </vt:variant>
      <vt:variant>
        <vt:i4>3342448</vt:i4>
      </vt:variant>
      <vt:variant>
        <vt:i4>54</vt:i4>
      </vt:variant>
      <vt:variant>
        <vt:i4>0</vt:i4>
      </vt:variant>
      <vt:variant>
        <vt:i4>5</vt:i4>
      </vt:variant>
      <vt:variant>
        <vt:lpwstr>http://www.nevo.co.il/case/21644133</vt:lpwstr>
      </vt:variant>
      <vt:variant>
        <vt:lpwstr/>
      </vt:variant>
      <vt:variant>
        <vt:i4>3211378</vt:i4>
      </vt:variant>
      <vt:variant>
        <vt:i4>51</vt:i4>
      </vt:variant>
      <vt:variant>
        <vt:i4>0</vt:i4>
      </vt:variant>
      <vt:variant>
        <vt:i4>5</vt:i4>
      </vt:variant>
      <vt:variant>
        <vt:lpwstr>http://www.nevo.co.il/case/21473042</vt:lpwstr>
      </vt:variant>
      <vt:variant>
        <vt:lpwstr/>
      </vt:variant>
      <vt:variant>
        <vt:i4>3473526</vt:i4>
      </vt:variant>
      <vt:variant>
        <vt:i4>48</vt:i4>
      </vt:variant>
      <vt:variant>
        <vt:i4>0</vt:i4>
      </vt:variant>
      <vt:variant>
        <vt:i4>5</vt:i4>
      </vt:variant>
      <vt:variant>
        <vt:lpwstr>http://www.nevo.co.il/case/17023776</vt:lpwstr>
      </vt:variant>
      <vt:variant>
        <vt:lpwstr/>
      </vt:variant>
      <vt:variant>
        <vt:i4>3145849</vt:i4>
      </vt:variant>
      <vt:variant>
        <vt:i4>45</vt:i4>
      </vt:variant>
      <vt:variant>
        <vt:i4>0</vt:i4>
      </vt:variant>
      <vt:variant>
        <vt:i4>5</vt:i4>
      </vt:variant>
      <vt:variant>
        <vt:lpwstr>http://www.nevo.co.il/case/13093721</vt:lpwstr>
      </vt:variant>
      <vt:variant>
        <vt:lpwstr/>
      </vt:variant>
      <vt:variant>
        <vt:i4>4128884</vt:i4>
      </vt:variant>
      <vt:variant>
        <vt:i4>42</vt:i4>
      </vt:variant>
      <vt:variant>
        <vt:i4>0</vt:i4>
      </vt:variant>
      <vt:variant>
        <vt:i4>5</vt:i4>
      </vt:variant>
      <vt:variant>
        <vt:lpwstr>http://www.nevo.co.il/case/17954235</vt:lpwstr>
      </vt:variant>
      <vt:variant>
        <vt:lpwstr/>
      </vt:variant>
      <vt:variant>
        <vt:i4>3145849</vt:i4>
      </vt:variant>
      <vt:variant>
        <vt:i4>39</vt:i4>
      </vt:variant>
      <vt:variant>
        <vt:i4>0</vt:i4>
      </vt:variant>
      <vt:variant>
        <vt:i4>5</vt:i4>
      </vt:variant>
      <vt:variant>
        <vt:lpwstr>http://www.nevo.co.il/case/13093721</vt:lpwstr>
      </vt:variant>
      <vt:variant>
        <vt:lpwstr/>
      </vt:variant>
      <vt:variant>
        <vt:i4>3997815</vt:i4>
      </vt:variant>
      <vt:variant>
        <vt:i4>36</vt:i4>
      </vt:variant>
      <vt:variant>
        <vt:i4>0</vt:i4>
      </vt:variant>
      <vt:variant>
        <vt:i4>5</vt:i4>
      </vt:variant>
      <vt:variant>
        <vt:lpwstr>http://www.nevo.co.il/case/29985231</vt:lpwstr>
      </vt:variant>
      <vt:variant>
        <vt:lpwstr/>
      </vt:variant>
      <vt:variant>
        <vt:i4>3145850</vt:i4>
      </vt:variant>
      <vt:variant>
        <vt:i4>33</vt:i4>
      </vt:variant>
      <vt:variant>
        <vt:i4>0</vt:i4>
      </vt:variant>
      <vt:variant>
        <vt:i4>5</vt:i4>
      </vt:variant>
      <vt:variant>
        <vt:lpwstr>http://www.nevo.co.il/case/29452240</vt:lpwstr>
      </vt:variant>
      <vt:variant>
        <vt:lpwstr/>
      </vt:variant>
      <vt:variant>
        <vt:i4>3473523</vt:i4>
      </vt:variant>
      <vt:variant>
        <vt:i4>30</vt:i4>
      </vt:variant>
      <vt:variant>
        <vt:i4>0</vt:i4>
      </vt:variant>
      <vt:variant>
        <vt:i4>5</vt:i4>
      </vt:variant>
      <vt:variant>
        <vt:lpwstr>http://www.nevo.co.il/case/28393674</vt:lpwstr>
      </vt:variant>
      <vt:variant>
        <vt:lpwstr/>
      </vt:variant>
      <vt:variant>
        <vt:i4>7995492</vt:i4>
      </vt:variant>
      <vt:variant>
        <vt:i4>27</vt:i4>
      </vt:variant>
      <vt:variant>
        <vt:i4>0</vt:i4>
      </vt:variant>
      <vt:variant>
        <vt:i4>5</vt:i4>
      </vt:variant>
      <vt:variant>
        <vt:lpwstr>http://www.nevo.co.il/law/70301</vt:lpwstr>
      </vt:variant>
      <vt:variant>
        <vt:lpwstr/>
      </vt:variant>
      <vt:variant>
        <vt:i4>4390992</vt:i4>
      </vt:variant>
      <vt:variant>
        <vt:i4>24</vt:i4>
      </vt:variant>
      <vt:variant>
        <vt:i4>0</vt:i4>
      </vt:variant>
      <vt:variant>
        <vt:i4>5</vt:i4>
      </vt:variant>
      <vt:variant>
        <vt:lpwstr>http://www.nevo.co.il/law/70301/287.a</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2025-04-23T01:30:00Z</dcterms:created>
  <dcterms:modified xsi:type="dcterms:W3CDTF">2025-04-23T01:30:00Z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52205</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ניקיטה לבדב</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20240107</vt:lpwstr>
  </property>
  <property fmtid="{D5CDD505-2E9C-101B-9397-08002B2CF9AE}" pid="13" name="TYPE_N_DATE">
    <vt:lpwstr>38020240107</vt:lpwstr>
  </property>
  <property fmtid="{D5CDD505-2E9C-101B-9397-08002B2CF9AE}" pid="14" name="WORDNUMPAGES">
    <vt:lpwstr>7</vt:lpwstr>
  </property>
  <property fmtid="{D5CDD505-2E9C-101B-9397-08002B2CF9AE}" pid="15" name="TYPE_ABS_DATE">
    <vt:lpwstr>380020240107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28393674;29452240;29985231;13093721:2;17954235;17023776;21473042;21644133;20402486;5698919;27361147;28190928;26349587;6128041;20033641;10459128;22938500;27529712;23507544;25946245</vt:lpwstr>
  </property>
  <property fmtid="{D5CDD505-2E9C-101B-9397-08002B2CF9AE}" pid="36" name="LAWLISTTMP1">
    <vt:lpwstr>4216/007.a;007.c</vt:lpwstr>
  </property>
  <property fmtid="{D5CDD505-2E9C-101B-9397-08002B2CF9AE}" pid="37" name="LAWLISTTMP2">
    <vt:lpwstr>70301/287.a;040d</vt:lpwstr>
  </property>
</Properties>
</file>