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DB4C6C" w:rsidRPr="00A0648B" w14:paraId="6B517E19" w14:textId="77777777" w:rsidTr="00D711CF">
        <w:trPr>
          <w:trHeight w:hRule="exact" w:val="418"/>
          <w:jc w:val="center"/>
        </w:trPr>
        <w:tc>
          <w:tcPr>
            <w:tcW w:w="8721" w:type="dxa"/>
            <w:gridSpan w:val="2"/>
          </w:tcPr>
          <w:p w14:paraId="650E2941" w14:textId="77777777" w:rsidR="00DB4C6C" w:rsidRPr="00A0648B" w:rsidRDefault="00DB4C6C" w:rsidP="00D3112E">
            <w:pPr>
              <w:pStyle w:val="a3"/>
              <w:jc w:val="center"/>
              <w:rPr>
                <w:rFonts w:ascii="Tahoma" w:hAnsi="Tahoma" w:cs="Tahoma"/>
                <w:color w:val="000080"/>
                <w:rtl/>
              </w:rPr>
            </w:pPr>
            <w:bookmarkStart w:id="0" w:name="LastJudge"/>
            <w:r w:rsidRPr="00A0648B">
              <w:rPr>
                <w:rFonts w:ascii="Tahoma" w:hAnsi="Tahoma" w:cs="Tahoma"/>
                <w:b/>
                <w:bCs/>
                <w:color w:val="000080"/>
                <w:rtl/>
              </w:rPr>
              <w:t>בית משפט השלום בבית שמש</w:t>
            </w:r>
          </w:p>
        </w:tc>
      </w:tr>
      <w:tr w:rsidR="00DB4C6C" w:rsidRPr="00A0648B" w14:paraId="41401785" w14:textId="77777777" w:rsidTr="00D711CF">
        <w:trPr>
          <w:trHeight w:val="337"/>
          <w:jc w:val="center"/>
        </w:trPr>
        <w:tc>
          <w:tcPr>
            <w:tcW w:w="5059" w:type="dxa"/>
          </w:tcPr>
          <w:p w14:paraId="305F7CF8" w14:textId="77777777" w:rsidR="00DB4C6C" w:rsidRPr="00A0648B" w:rsidRDefault="00DB4C6C" w:rsidP="00D3112E">
            <w:pPr>
              <w:rPr>
                <w:rFonts w:cs="FrankRuehl"/>
                <w:sz w:val="28"/>
                <w:szCs w:val="28"/>
                <w:rtl/>
              </w:rPr>
            </w:pPr>
            <w:r w:rsidRPr="00A0648B">
              <w:rPr>
                <w:rFonts w:cs="FrankRuehl"/>
                <w:sz w:val="28"/>
                <w:szCs w:val="28"/>
                <w:rtl/>
              </w:rPr>
              <w:t>ת"פ</w:t>
            </w:r>
            <w:r w:rsidRPr="00A0648B">
              <w:rPr>
                <w:rFonts w:cs="FrankRuehl" w:hint="cs"/>
                <w:sz w:val="28"/>
                <w:szCs w:val="28"/>
                <w:rtl/>
              </w:rPr>
              <w:t xml:space="preserve"> </w:t>
            </w:r>
            <w:r w:rsidRPr="00A0648B">
              <w:rPr>
                <w:rFonts w:cs="FrankRuehl"/>
                <w:sz w:val="28"/>
                <w:szCs w:val="28"/>
                <w:rtl/>
              </w:rPr>
              <w:t>52246-06-22</w:t>
            </w:r>
            <w:r w:rsidRPr="00A0648B">
              <w:rPr>
                <w:rFonts w:cs="FrankRuehl" w:hint="cs"/>
                <w:sz w:val="28"/>
                <w:szCs w:val="28"/>
                <w:rtl/>
              </w:rPr>
              <w:t xml:space="preserve"> </w:t>
            </w:r>
            <w:r w:rsidRPr="00A0648B">
              <w:rPr>
                <w:rFonts w:cs="FrankRuehl"/>
                <w:sz w:val="28"/>
                <w:szCs w:val="28"/>
                <w:rtl/>
              </w:rPr>
              <w:t>מדינת ישראל נ' פהימה(עציר)</w:t>
            </w:r>
          </w:p>
          <w:p w14:paraId="5A4A018C" w14:textId="77777777" w:rsidR="00DB4C6C" w:rsidRPr="00A0648B" w:rsidRDefault="00DB4C6C" w:rsidP="00D3112E">
            <w:pPr>
              <w:pStyle w:val="a3"/>
              <w:rPr>
                <w:rFonts w:cs="FrankRuehl"/>
                <w:sz w:val="28"/>
                <w:szCs w:val="28"/>
                <w:rtl/>
              </w:rPr>
            </w:pPr>
          </w:p>
        </w:tc>
        <w:tc>
          <w:tcPr>
            <w:tcW w:w="3662" w:type="dxa"/>
          </w:tcPr>
          <w:p w14:paraId="642A2E53" w14:textId="77777777" w:rsidR="00DB4C6C" w:rsidRPr="00A0648B" w:rsidRDefault="00DB4C6C" w:rsidP="00D3112E">
            <w:pPr>
              <w:pStyle w:val="a3"/>
              <w:jc w:val="right"/>
              <w:rPr>
                <w:rFonts w:cs="FrankRuehl"/>
                <w:sz w:val="28"/>
                <w:szCs w:val="28"/>
                <w:rtl/>
              </w:rPr>
            </w:pPr>
          </w:p>
        </w:tc>
      </w:tr>
    </w:tbl>
    <w:p w14:paraId="52D31C56" w14:textId="77777777" w:rsidR="00DB4C6C" w:rsidRPr="00A0648B" w:rsidRDefault="00DB4C6C" w:rsidP="00DB4C6C">
      <w:pPr>
        <w:pStyle w:val="a3"/>
        <w:rPr>
          <w:rtl/>
        </w:rPr>
      </w:pPr>
      <w:r w:rsidRPr="00A0648B">
        <w:rPr>
          <w:rFonts w:hint="cs"/>
          <w:rtl/>
        </w:rPr>
        <w:t xml:space="preserve"> </w:t>
      </w:r>
    </w:p>
    <w:p w14:paraId="07F2F2FA" w14:textId="77777777" w:rsidR="00DB4C6C" w:rsidRPr="00A0648B" w:rsidRDefault="00DB4C6C" w:rsidP="00DB4C6C">
      <w:pPr>
        <w:rPr>
          <w:rtl/>
        </w:rPr>
      </w:pPr>
    </w:p>
    <w:p w14:paraId="0E600B3C" w14:textId="77777777" w:rsidR="00DB4C6C" w:rsidRPr="00A0648B" w:rsidRDefault="00DB4C6C" w:rsidP="00DB4C6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B4C6C" w:rsidRPr="00A0648B" w14:paraId="1A88EFB0" w14:textId="77777777" w:rsidTr="00DB4C6C">
        <w:trPr>
          <w:trHeight w:val="295"/>
          <w:jc w:val="center"/>
        </w:trPr>
        <w:tc>
          <w:tcPr>
            <w:tcW w:w="923" w:type="dxa"/>
            <w:tcBorders>
              <w:top w:val="nil"/>
              <w:left w:val="nil"/>
              <w:bottom w:val="nil"/>
              <w:right w:val="nil"/>
            </w:tcBorders>
            <w:shd w:val="clear" w:color="auto" w:fill="auto"/>
          </w:tcPr>
          <w:p w14:paraId="159BA8EF" w14:textId="77777777" w:rsidR="00DB4C6C" w:rsidRPr="00A0648B" w:rsidRDefault="00DB4C6C" w:rsidP="00DB4C6C">
            <w:pPr>
              <w:jc w:val="both"/>
              <w:rPr>
                <w:rFonts w:ascii="David" w:hAnsi="David"/>
              </w:rPr>
            </w:pPr>
            <w:r w:rsidRPr="00A0648B">
              <w:rPr>
                <w:rFonts w:ascii="David" w:hAnsi="David"/>
                <w:rtl/>
              </w:rPr>
              <w:t xml:space="preserve">בפני </w:t>
            </w:r>
          </w:p>
        </w:tc>
        <w:tc>
          <w:tcPr>
            <w:tcW w:w="7897" w:type="dxa"/>
            <w:gridSpan w:val="2"/>
            <w:tcBorders>
              <w:top w:val="nil"/>
              <w:left w:val="nil"/>
              <w:bottom w:val="nil"/>
              <w:right w:val="nil"/>
            </w:tcBorders>
            <w:shd w:val="clear" w:color="auto" w:fill="auto"/>
          </w:tcPr>
          <w:p w14:paraId="0FAC8BC7" w14:textId="77777777" w:rsidR="00DB4C6C" w:rsidRPr="00A0648B" w:rsidRDefault="00DB4C6C" w:rsidP="00D3112E">
            <w:pPr>
              <w:rPr>
                <w:rFonts w:ascii="David" w:hAnsi="David"/>
                <w:b/>
                <w:bCs/>
                <w:rtl/>
              </w:rPr>
            </w:pPr>
            <w:r w:rsidRPr="00A0648B">
              <w:rPr>
                <w:rFonts w:ascii="David" w:hAnsi="David"/>
                <w:b/>
                <w:bCs/>
                <w:rtl/>
              </w:rPr>
              <w:t>כבוד השופט  ארנון איתן</w:t>
            </w:r>
          </w:p>
          <w:p w14:paraId="697B188C" w14:textId="77777777" w:rsidR="00DB4C6C" w:rsidRPr="00A0648B" w:rsidRDefault="00DB4C6C" w:rsidP="00D3112E">
            <w:pPr>
              <w:rPr>
                <w:rFonts w:ascii="David" w:hAnsi="David"/>
                <w:rtl/>
              </w:rPr>
            </w:pPr>
          </w:p>
          <w:p w14:paraId="3269A919" w14:textId="77777777" w:rsidR="00DB4C6C" w:rsidRPr="00A0648B" w:rsidRDefault="00DB4C6C" w:rsidP="00DB4C6C">
            <w:pPr>
              <w:jc w:val="both"/>
              <w:rPr>
                <w:rFonts w:ascii="David" w:hAnsi="David"/>
              </w:rPr>
            </w:pPr>
          </w:p>
        </w:tc>
      </w:tr>
      <w:tr w:rsidR="00DB4C6C" w:rsidRPr="00A0648B" w14:paraId="33B8F6F2" w14:textId="77777777" w:rsidTr="00DB4C6C">
        <w:trPr>
          <w:trHeight w:val="355"/>
          <w:jc w:val="center"/>
        </w:trPr>
        <w:tc>
          <w:tcPr>
            <w:tcW w:w="923" w:type="dxa"/>
            <w:tcBorders>
              <w:top w:val="nil"/>
              <w:left w:val="nil"/>
              <w:bottom w:val="nil"/>
              <w:right w:val="nil"/>
            </w:tcBorders>
            <w:shd w:val="clear" w:color="auto" w:fill="auto"/>
          </w:tcPr>
          <w:p w14:paraId="125FF0FB" w14:textId="77777777" w:rsidR="00DB4C6C" w:rsidRPr="00A0648B" w:rsidRDefault="00DB4C6C" w:rsidP="00DB4C6C">
            <w:pPr>
              <w:jc w:val="both"/>
              <w:rPr>
                <w:rFonts w:ascii="David" w:hAnsi="David"/>
              </w:rPr>
            </w:pPr>
            <w:bookmarkStart w:id="1" w:name="FirstAppellant"/>
            <w:r w:rsidRPr="00A0648B">
              <w:rPr>
                <w:rFonts w:ascii="David" w:hAnsi="David"/>
                <w:rtl/>
              </w:rPr>
              <w:t>בעניין:</w:t>
            </w:r>
          </w:p>
        </w:tc>
        <w:tc>
          <w:tcPr>
            <w:tcW w:w="3219" w:type="dxa"/>
            <w:tcBorders>
              <w:top w:val="nil"/>
              <w:left w:val="nil"/>
              <w:bottom w:val="nil"/>
              <w:right w:val="nil"/>
            </w:tcBorders>
            <w:shd w:val="clear" w:color="auto" w:fill="auto"/>
          </w:tcPr>
          <w:p w14:paraId="05AC8FF3" w14:textId="77777777" w:rsidR="00DB4C6C" w:rsidRPr="00A0648B" w:rsidRDefault="00DB4C6C" w:rsidP="00DB4C6C">
            <w:pPr>
              <w:suppressLineNumbers/>
            </w:pPr>
            <w:r w:rsidRPr="00A0648B">
              <w:rPr>
                <w:rFonts w:ascii="Arial" w:hAnsi="Arial" w:hint="cs"/>
                <w:b/>
                <w:bCs/>
                <w:rtl/>
              </w:rPr>
              <w:t>ה</w:t>
            </w:r>
            <w:r w:rsidRPr="00A0648B">
              <w:rPr>
                <w:rFonts w:ascii="Arial" w:hAnsi="Arial"/>
                <w:b/>
                <w:bCs/>
                <w:rtl/>
              </w:rPr>
              <w:t>מאשימה</w:t>
            </w:r>
          </w:p>
          <w:p w14:paraId="481B0AAF" w14:textId="77777777" w:rsidR="00DB4C6C" w:rsidRPr="00A0648B" w:rsidRDefault="00DB4C6C" w:rsidP="00D3112E">
            <w:pPr>
              <w:rPr>
                <w:rFonts w:ascii="David" w:hAnsi="David"/>
              </w:rPr>
            </w:pPr>
          </w:p>
        </w:tc>
        <w:tc>
          <w:tcPr>
            <w:tcW w:w="4678" w:type="dxa"/>
            <w:tcBorders>
              <w:top w:val="nil"/>
              <w:left w:val="nil"/>
              <w:bottom w:val="nil"/>
              <w:right w:val="nil"/>
            </w:tcBorders>
            <w:shd w:val="clear" w:color="auto" w:fill="auto"/>
            <w:vAlign w:val="center"/>
          </w:tcPr>
          <w:p w14:paraId="5075B843" w14:textId="77777777" w:rsidR="00DB4C6C" w:rsidRPr="00A0648B" w:rsidRDefault="00DB4C6C" w:rsidP="00DB4C6C">
            <w:pPr>
              <w:suppressLineNumbers/>
            </w:pPr>
            <w:r w:rsidRPr="00A0648B">
              <w:rPr>
                <w:rFonts w:ascii="Arial" w:hAnsi="Arial"/>
                <w:b/>
                <w:bCs/>
                <w:rtl/>
              </w:rPr>
              <w:t>מדינת ישראל</w:t>
            </w:r>
            <w:r w:rsidRPr="00A0648B">
              <w:rPr>
                <w:rFonts w:ascii="Arial" w:hAnsi="Arial" w:hint="cs"/>
                <w:b/>
                <w:bCs/>
                <w:rtl/>
              </w:rPr>
              <w:t xml:space="preserve"> </w:t>
            </w:r>
            <w:r w:rsidRPr="00A0648B">
              <w:rPr>
                <w:rFonts w:ascii="Arial" w:hAnsi="Arial"/>
                <w:rtl/>
              </w:rPr>
              <w:t xml:space="preserve">ע"י </w:t>
            </w:r>
            <w:r w:rsidRPr="00A0648B">
              <w:rPr>
                <w:rFonts w:ascii="Arial" w:hAnsi="Arial" w:hint="cs"/>
                <w:rtl/>
              </w:rPr>
              <w:t>יחידת תביעות ירושלים</w:t>
            </w:r>
          </w:p>
          <w:p w14:paraId="4F2AB044" w14:textId="77777777" w:rsidR="00DB4C6C" w:rsidRPr="00A0648B" w:rsidRDefault="00DB4C6C" w:rsidP="00D3112E">
            <w:pPr>
              <w:rPr>
                <w:rFonts w:ascii="David" w:hAnsi="David"/>
              </w:rPr>
            </w:pPr>
          </w:p>
        </w:tc>
      </w:tr>
      <w:bookmarkEnd w:id="1"/>
      <w:tr w:rsidR="00DB4C6C" w:rsidRPr="00A0648B" w14:paraId="19E7702F" w14:textId="77777777" w:rsidTr="00DB4C6C">
        <w:trPr>
          <w:trHeight w:val="355"/>
          <w:jc w:val="center"/>
        </w:trPr>
        <w:tc>
          <w:tcPr>
            <w:tcW w:w="923" w:type="dxa"/>
            <w:tcBorders>
              <w:top w:val="nil"/>
              <w:left w:val="nil"/>
              <w:bottom w:val="nil"/>
              <w:right w:val="nil"/>
            </w:tcBorders>
            <w:shd w:val="clear" w:color="auto" w:fill="auto"/>
          </w:tcPr>
          <w:p w14:paraId="59E67E60" w14:textId="77777777" w:rsidR="00DB4C6C" w:rsidRPr="00A0648B" w:rsidRDefault="00DB4C6C" w:rsidP="00DB4C6C">
            <w:pPr>
              <w:jc w:val="both"/>
              <w:rPr>
                <w:rFonts w:ascii="David" w:hAnsi="David"/>
                <w:rtl/>
              </w:rPr>
            </w:pPr>
          </w:p>
        </w:tc>
        <w:tc>
          <w:tcPr>
            <w:tcW w:w="7897" w:type="dxa"/>
            <w:gridSpan w:val="2"/>
            <w:tcBorders>
              <w:top w:val="nil"/>
              <w:left w:val="nil"/>
              <w:bottom w:val="nil"/>
              <w:right w:val="nil"/>
            </w:tcBorders>
            <w:shd w:val="clear" w:color="auto" w:fill="auto"/>
          </w:tcPr>
          <w:p w14:paraId="7A8B0841" w14:textId="77777777" w:rsidR="00DB4C6C" w:rsidRPr="00A0648B" w:rsidRDefault="00DB4C6C" w:rsidP="00DB4C6C">
            <w:pPr>
              <w:jc w:val="center"/>
              <w:rPr>
                <w:rFonts w:ascii="David" w:hAnsi="David"/>
                <w:b/>
                <w:bCs/>
                <w:rtl/>
              </w:rPr>
            </w:pPr>
          </w:p>
          <w:p w14:paraId="42C8AE95" w14:textId="77777777" w:rsidR="00DB4C6C" w:rsidRPr="00A0648B" w:rsidRDefault="00DB4C6C" w:rsidP="00DB4C6C">
            <w:pPr>
              <w:jc w:val="center"/>
              <w:rPr>
                <w:rFonts w:ascii="David" w:hAnsi="David"/>
                <w:b/>
                <w:bCs/>
                <w:rtl/>
              </w:rPr>
            </w:pPr>
            <w:r w:rsidRPr="00A0648B">
              <w:rPr>
                <w:rFonts w:ascii="David" w:hAnsi="David"/>
                <w:b/>
                <w:bCs/>
                <w:rtl/>
              </w:rPr>
              <w:t>נגד</w:t>
            </w:r>
          </w:p>
          <w:p w14:paraId="27DE6578" w14:textId="77777777" w:rsidR="00DB4C6C" w:rsidRPr="00A0648B" w:rsidRDefault="00DB4C6C" w:rsidP="00DB4C6C">
            <w:pPr>
              <w:jc w:val="both"/>
              <w:rPr>
                <w:rFonts w:ascii="David" w:hAnsi="David"/>
              </w:rPr>
            </w:pPr>
          </w:p>
        </w:tc>
      </w:tr>
      <w:tr w:rsidR="00DB4C6C" w:rsidRPr="00A0648B" w14:paraId="6F3B4E8D" w14:textId="77777777" w:rsidTr="00DB4C6C">
        <w:trPr>
          <w:trHeight w:val="355"/>
          <w:jc w:val="center"/>
        </w:trPr>
        <w:tc>
          <w:tcPr>
            <w:tcW w:w="923" w:type="dxa"/>
            <w:tcBorders>
              <w:top w:val="nil"/>
              <w:left w:val="nil"/>
              <w:bottom w:val="nil"/>
              <w:right w:val="nil"/>
            </w:tcBorders>
            <w:shd w:val="clear" w:color="auto" w:fill="auto"/>
          </w:tcPr>
          <w:p w14:paraId="5EC76867" w14:textId="77777777" w:rsidR="00DB4C6C" w:rsidRPr="00A0648B" w:rsidRDefault="00DB4C6C" w:rsidP="00D3112E">
            <w:pPr>
              <w:rPr>
                <w:rFonts w:ascii="David" w:hAnsi="David"/>
                <w:rtl/>
              </w:rPr>
            </w:pPr>
            <w:bookmarkStart w:id="2" w:name="FirstLawyer"/>
          </w:p>
        </w:tc>
        <w:tc>
          <w:tcPr>
            <w:tcW w:w="3219" w:type="dxa"/>
            <w:tcBorders>
              <w:top w:val="nil"/>
              <w:left w:val="nil"/>
              <w:bottom w:val="nil"/>
              <w:right w:val="nil"/>
            </w:tcBorders>
            <w:shd w:val="clear" w:color="auto" w:fill="auto"/>
          </w:tcPr>
          <w:p w14:paraId="22FD3380" w14:textId="77777777" w:rsidR="00DB4C6C" w:rsidRPr="00A0648B" w:rsidRDefault="00DB4C6C" w:rsidP="00D3112E">
            <w:pPr>
              <w:rPr>
                <w:rFonts w:ascii="Arial" w:hAnsi="Arial"/>
                <w:b/>
                <w:bCs/>
                <w:rtl/>
              </w:rPr>
            </w:pPr>
            <w:r w:rsidRPr="00A0648B">
              <w:rPr>
                <w:rFonts w:ascii="Arial" w:hAnsi="Arial"/>
                <w:b/>
                <w:bCs/>
                <w:rtl/>
              </w:rPr>
              <w:t>הנאשם</w:t>
            </w:r>
          </w:p>
        </w:tc>
        <w:tc>
          <w:tcPr>
            <w:tcW w:w="4678" w:type="dxa"/>
            <w:tcBorders>
              <w:top w:val="nil"/>
              <w:left w:val="nil"/>
              <w:bottom w:val="nil"/>
              <w:right w:val="nil"/>
            </w:tcBorders>
            <w:shd w:val="clear" w:color="auto" w:fill="auto"/>
            <w:vAlign w:val="center"/>
          </w:tcPr>
          <w:p w14:paraId="66AD878B" w14:textId="77777777" w:rsidR="00DB4C6C" w:rsidRPr="00A0648B" w:rsidRDefault="00DB4C6C" w:rsidP="00DB4C6C">
            <w:pPr>
              <w:suppressLineNumbers/>
            </w:pPr>
            <w:r w:rsidRPr="00A0648B">
              <w:rPr>
                <w:rFonts w:ascii="Arial" w:hAnsi="Arial"/>
                <w:b/>
                <w:bCs/>
                <w:rtl/>
              </w:rPr>
              <w:t>חיים פהימה (עציר)</w:t>
            </w:r>
            <w:r w:rsidRPr="00A0648B">
              <w:rPr>
                <w:rFonts w:ascii="Arial" w:hAnsi="Arial" w:hint="cs"/>
                <w:b/>
                <w:bCs/>
                <w:rtl/>
              </w:rPr>
              <w:t xml:space="preserve"> </w:t>
            </w:r>
            <w:r w:rsidRPr="00A0648B">
              <w:rPr>
                <w:rFonts w:ascii="Arial" w:hAnsi="Arial"/>
                <w:rtl/>
              </w:rPr>
              <w:t>ע"י ב"כ עוה"</w:t>
            </w:r>
            <w:r w:rsidRPr="00A0648B">
              <w:rPr>
                <w:rFonts w:ascii="Arial" w:hAnsi="Arial" w:hint="cs"/>
                <w:rtl/>
              </w:rPr>
              <w:t>ד חנן ג'בסקי</w:t>
            </w:r>
          </w:p>
          <w:p w14:paraId="2A35DBBB" w14:textId="77777777" w:rsidR="00DB4C6C" w:rsidRPr="00A0648B" w:rsidRDefault="00DB4C6C" w:rsidP="00D3112E">
            <w:pPr>
              <w:rPr>
                <w:rFonts w:ascii="David" w:hAnsi="David"/>
              </w:rPr>
            </w:pPr>
          </w:p>
        </w:tc>
      </w:tr>
      <w:bookmarkEnd w:id="2"/>
    </w:tbl>
    <w:p w14:paraId="51416B36" w14:textId="77777777" w:rsidR="00A0648B" w:rsidRPr="00A0648B" w:rsidRDefault="00A0648B" w:rsidP="00A0648B">
      <w:pPr>
        <w:spacing w:before="120" w:after="120" w:line="240" w:lineRule="exact"/>
        <w:ind w:left="283" w:hanging="283"/>
        <w:jc w:val="both"/>
        <w:rPr>
          <w:rFonts w:ascii="FrankRuehl" w:hAnsi="FrankRuehl" w:cs="FrankRuehl"/>
          <w:rtl/>
        </w:rPr>
      </w:pPr>
    </w:p>
    <w:p w14:paraId="55BAD759" w14:textId="77777777" w:rsidR="00173D4C" w:rsidRPr="00173D4C" w:rsidRDefault="00173D4C" w:rsidP="00173D4C">
      <w:pPr>
        <w:spacing w:before="120" w:after="120" w:line="240" w:lineRule="exact"/>
        <w:ind w:left="283" w:hanging="283"/>
        <w:jc w:val="both"/>
        <w:rPr>
          <w:rFonts w:ascii="FrankRuehl" w:hAnsi="FrankRuehl" w:cs="FrankRuehl"/>
          <w:rtl/>
        </w:rPr>
      </w:pPr>
    </w:p>
    <w:p w14:paraId="7BE45E46" w14:textId="77777777" w:rsidR="000B28A3" w:rsidRDefault="000B28A3" w:rsidP="000B28A3">
      <w:pPr>
        <w:rPr>
          <w:sz w:val="26"/>
          <w:szCs w:val="26"/>
          <w:rtl/>
        </w:rPr>
      </w:pPr>
      <w:bookmarkStart w:id="3" w:name="LawTable"/>
      <w:bookmarkEnd w:id="3"/>
    </w:p>
    <w:p w14:paraId="0301A7AF" w14:textId="77777777" w:rsidR="000B28A3" w:rsidRPr="000B28A3" w:rsidRDefault="000B28A3" w:rsidP="000B28A3">
      <w:pPr>
        <w:spacing w:before="120" w:after="120" w:line="240" w:lineRule="exact"/>
        <w:ind w:left="283" w:hanging="283"/>
        <w:jc w:val="both"/>
        <w:rPr>
          <w:rFonts w:ascii="FrankRuehl" w:hAnsi="FrankRuehl" w:cs="FrankRuehl"/>
          <w:rtl/>
        </w:rPr>
      </w:pPr>
    </w:p>
    <w:p w14:paraId="718A889D" w14:textId="77777777" w:rsidR="000B28A3" w:rsidRPr="000B28A3" w:rsidRDefault="000B28A3" w:rsidP="000B28A3">
      <w:pPr>
        <w:spacing w:before="120" w:after="120" w:line="240" w:lineRule="exact"/>
        <w:ind w:left="283" w:hanging="283"/>
        <w:jc w:val="both"/>
        <w:rPr>
          <w:rFonts w:ascii="FrankRuehl" w:hAnsi="FrankRuehl" w:cs="FrankRuehl"/>
          <w:rtl/>
        </w:rPr>
      </w:pPr>
    </w:p>
    <w:p w14:paraId="6AA7D709" w14:textId="77777777" w:rsidR="000B28A3" w:rsidRPr="000B28A3" w:rsidRDefault="000B28A3" w:rsidP="000B28A3">
      <w:pPr>
        <w:spacing w:before="120" w:after="120" w:line="240" w:lineRule="exact"/>
        <w:ind w:left="283" w:hanging="283"/>
        <w:jc w:val="both"/>
        <w:rPr>
          <w:rFonts w:ascii="FrankRuehl" w:hAnsi="FrankRuehl" w:cs="FrankRuehl"/>
          <w:rtl/>
        </w:rPr>
      </w:pPr>
      <w:r w:rsidRPr="000B28A3">
        <w:rPr>
          <w:rFonts w:ascii="FrankRuehl" w:hAnsi="FrankRuehl" w:cs="FrankRuehl"/>
          <w:rtl/>
        </w:rPr>
        <w:t xml:space="preserve">חקיקה שאוזכרה: </w:t>
      </w:r>
    </w:p>
    <w:p w14:paraId="43F169AF" w14:textId="77777777" w:rsidR="000B28A3" w:rsidRPr="000B28A3" w:rsidRDefault="000B28A3" w:rsidP="000B28A3">
      <w:pPr>
        <w:spacing w:before="120" w:after="120" w:line="240" w:lineRule="exact"/>
        <w:ind w:left="283" w:hanging="283"/>
        <w:jc w:val="both"/>
        <w:rPr>
          <w:rFonts w:ascii="FrankRuehl" w:hAnsi="FrankRuehl" w:cs="FrankRuehl"/>
          <w:rtl/>
        </w:rPr>
      </w:pPr>
      <w:hyperlink r:id="rId7" w:history="1">
        <w:r w:rsidRPr="000B28A3">
          <w:rPr>
            <w:rFonts w:ascii="FrankRuehl" w:hAnsi="FrankRuehl" w:cs="FrankRuehl"/>
            <w:color w:val="0000FF"/>
            <w:rtl/>
          </w:rPr>
          <w:t>חוק העונשין, תשל"ז-1977</w:t>
        </w:r>
      </w:hyperlink>
      <w:r w:rsidRPr="000B28A3">
        <w:rPr>
          <w:rFonts w:ascii="FrankRuehl" w:hAnsi="FrankRuehl" w:cs="FrankRuehl"/>
          <w:rtl/>
        </w:rPr>
        <w:t xml:space="preserve">: סע'  </w:t>
      </w:r>
      <w:hyperlink r:id="rId8" w:history="1">
        <w:r w:rsidRPr="000B28A3">
          <w:rPr>
            <w:rFonts w:ascii="FrankRuehl" w:hAnsi="FrankRuehl" w:cs="FrankRuehl"/>
            <w:color w:val="0000FF"/>
            <w:rtl/>
          </w:rPr>
          <w:t>192</w:t>
        </w:r>
      </w:hyperlink>
      <w:r w:rsidRPr="000B28A3">
        <w:rPr>
          <w:rFonts w:ascii="FrankRuehl" w:hAnsi="FrankRuehl" w:cs="FrankRuehl"/>
          <w:rtl/>
        </w:rPr>
        <w:t xml:space="preserve">, </w:t>
      </w:r>
      <w:hyperlink r:id="rId9" w:history="1">
        <w:r w:rsidRPr="000B28A3">
          <w:rPr>
            <w:rFonts w:ascii="FrankRuehl" w:hAnsi="FrankRuehl" w:cs="FrankRuehl"/>
            <w:color w:val="0000FF"/>
            <w:rtl/>
          </w:rPr>
          <w:t>275</w:t>
        </w:r>
      </w:hyperlink>
      <w:r w:rsidRPr="000B28A3">
        <w:rPr>
          <w:rFonts w:ascii="FrankRuehl" w:hAnsi="FrankRuehl" w:cs="FrankRuehl"/>
          <w:rtl/>
        </w:rPr>
        <w:t xml:space="preserve">, </w:t>
      </w:r>
      <w:hyperlink r:id="rId10" w:history="1">
        <w:r w:rsidRPr="000B28A3">
          <w:rPr>
            <w:rFonts w:ascii="FrankRuehl" w:hAnsi="FrankRuehl" w:cs="FrankRuehl"/>
            <w:color w:val="0000FF"/>
            <w:rtl/>
          </w:rPr>
          <w:t>384</w:t>
        </w:r>
      </w:hyperlink>
      <w:r w:rsidRPr="000B28A3">
        <w:rPr>
          <w:rFonts w:ascii="FrankRuehl" w:hAnsi="FrankRuehl" w:cs="FrankRuehl"/>
          <w:rtl/>
        </w:rPr>
        <w:t xml:space="preserve">, </w:t>
      </w:r>
      <w:hyperlink r:id="rId11" w:history="1">
        <w:r w:rsidRPr="000B28A3">
          <w:rPr>
            <w:rFonts w:ascii="FrankRuehl" w:hAnsi="FrankRuehl" w:cs="FrankRuehl"/>
            <w:color w:val="0000FF"/>
            <w:rtl/>
          </w:rPr>
          <w:t>406 (ב)</w:t>
        </w:r>
      </w:hyperlink>
      <w:r w:rsidRPr="000B28A3">
        <w:rPr>
          <w:rFonts w:ascii="FrankRuehl" w:hAnsi="FrankRuehl" w:cs="FrankRuehl"/>
          <w:rtl/>
        </w:rPr>
        <w:t xml:space="preserve">, </w:t>
      </w:r>
      <w:hyperlink r:id="rId12" w:history="1">
        <w:r w:rsidRPr="000B28A3">
          <w:rPr>
            <w:rFonts w:ascii="FrankRuehl" w:hAnsi="FrankRuehl" w:cs="FrankRuehl"/>
            <w:color w:val="0000FF"/>
            <w:rtl/>
          </w:rPr>
          <w:t>407(ב)</w:t>
        </w:r>
      </w:hyperlink>
      <w:r w:rsidRPr="000B28A3">
        <w:rPr>
          <w:rFonts w:ascii="FrankRuehl" w:hAnsi="FrankRuehl" w:cs="FrankRuehl"/>
          <w:rtl/>
        </w:rPr>
        <w:t xml:space="preserve">, </w:t>
      </w:r>
      <w:hyperlink r:id="rId13" w:history="1">
        <w:r w:rsidRPr="000B28A3">
          <w:rPr>
            <w:rFonts w:ascii="FrankRuehl" w:hAnsi="FrankRuehl" w:cs="FrankRuehl"/>
            <w:color w:val="0000FF"/>
            <w:rtl/>
          </w:rPr>
          <w:t>452</w:t>
        </w:r>
      </w:hyperlink>
    </w:p>
    <w:p w14:paraId="1F702A41" w14:textId="77777777" w:rsidR="000B28A3" w:rsidRPr="000B28A3" w:rsidRDefault="000B28A3" w:rsidP="000B28A3">
      <w:pPr>
        <w:spacing w:before="120" w:after="120" w:line="240" w:lineRule="exact"/>
        <w:ind w:left="283" w:hanging="283"/>
        <w:jc w:val="both"/>
        <w:rPr>
          <w:rFonts w:ascii="FrankRuehl" w:hAnsi="FrankRuehl" w:cs="FrankRuehl"/>
          <w:rtl/>
        </w:rPr>
      </w:pPr>
      <w:hyperlink r:id="rId14" w:history="1">
        <w:r w:rsidRPr="000B28A3">
          <w:rPr>
            <w:rFonts w:ascii="FrankRuehl" w:hAnsi="FrankRuehl" w:cs="FrankRuehl"/>
            <w:color w:val="0000FF"/>
            <w:rtl/>
          </w:rPr>
          <w:t>פקודת הסמים המסוכנים [נוסח חדש], תשל"ג-1973</w:t>
        </w:r>
      </w:hyperlink>
      <w:r w:rsidRPr="000B28A3">
        <w:rPr>
          <w:rFonts w:ascii="FrankRuehl" w:hAnsi="FrankRuehl" w:cs="FrankRuehl"/>
          <w:rtl/>
        </w:rPr>
        <w:t xml:space="preserve">: סע'  </w:t>
      </w:r>
      <w:hyperlink r:id="rId15" w:history="1">
        <w:r w:rsidRPr="000B28A3">
          <w:rPr>
            <w:rFonts w:ascii="FrankRuehl" w:hAnsi="FrankRuehl" w:cs="FrankRuehl"/>
            <w:color w:val="0000FF"/>
            <w:rtl/>
          </w:rPr>
          <w:t>13</w:t>
        </w:r>
      </w:hyperlink>
      <w:r w:rsidRPr="000B28A3">
        <w:rPr>
          <w:rFonts w:ascii="FrankRuehl" w:hAnsi="FrankRuehl" w:cs="FrankRuehl"/>
          <w:rtl/>
        </w:rPr>
        <w:t xml:space="preserve">, </w:t>
      </w:r>
      <w:hyperlink r:id="rId16" w:history="1">
        <w:r w:rsidRPr="000B28A3">
          <w:rPr>
            <w:rFonts w:ascii="FrankRuehl" w:hAnsi="FrankRuehl" w:cs="FrankRuehl"/>
            <w:color w:val="0000FF"/>
            <w:rtl/>
          </w:rPr>
          <w:t>19א</w:t>
        </w:r>
      </w:hyperlink>
    </w:p>
    <w:p w14:paraId="2D11C4A0" w14:textId="77777777" w:rsidR="000B28A3" w:rsidRPr="000B28A3" w:rsidRDefault="000B28A3" w:rsidP="000B28A3">
      <w:pPr>
        <w:rPr>
          <w:sz w:val="26"/>
          <w:szCs w:val="26"/>
          <w:rtl/>
        </w:rPr>
      </w:pPr>
      <w:bookmarkStart w:id="4" w:name="LawTable_End"/>
      <w:bookmarkEnd w:id="4"/>
    </w:p>
    <w:p w14:paraId="1DB0ECC4" w14:textId="77777777" w:rsidR="00DB4C6C" w:rsidRPr="00173D4C" w:rsidRDefault="00DB4C6C" w:rsidP="00173D4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4C6C" w14:paraId="303AA1D2" w14:textId="77777777" w:rsidTr="00DB4C6C">
        <w:trPr>
          <w:trHeight w:val="355"/>
          <w:jc w:val="center"/>
        </w:trPr>
        <w:tc>
          <w:tcPr>
            <w:tcW w:w="8820" w:type="dxa"/>
            <w:tcBorders>
              <w:top w:val="nil"/>
              <w:left w:val="nil"/>
              <w:bottom w:val="nil"/>
              <w:right w:val="nil"/>
            </w:tcBorders>
            <w:shd w:val="clear" w:color="auto" w:fill="auto"/>
          </w:tcPr>
          <w:p w14:paraId="2777EF59" w14:textId="77777777" w:rsidR="00A0648B" w:rsidRPr="00A0648B" w:rsidRDefault="00A0648B" w:rsidP="00A0648B">
            <w:pPr>
              <w:jc w:val="center"/>
              <w:rPr>
                <w:rFonts w:ascii="David" w:hAnsi="David"/>
                <w:b/>
                <w:bCs/>
                <w:u w:val="single"/>
                <w:rtl/>
              </w:rPr>
            </w:pPr>
            <w:bookmarkStart w:id="5" w:name="PsakDin" w:colFirst="0" w:colLast="0"/>
            <w:bookmarkEnd w:id="0"/>
            <w:r w:rsidRPr="00A0648B">
              <w:rPr>
                <w:rFonts w:ascii="David" w:hAnsi="David"/>
                <w:b/>
                <w:bCs/>
                <w:u w:val="single"/>
                <w:rtl/>
              </w:rPr>
              <w:t>גזר דין</w:t>
            </w:r>
          </w:p>
          <w:p w14:paraId="3F26027F" w14:textId="77777777" w:rsidR="00DB4C6C" w:rsidRPr="00A0648B" w:rsidRDefault="00DB4C6C" w:rsidP="00A0648B">
            <w:pPr>
              <w:jc w:val="center"/>
              <w:rPr>
                <w:rFonts w:ascii="David" w:hAnsi="David"/>
                <w:bCs/>
                <w:u w:val="single"/>
                <w:rtl/>
              </w:rPr>
            </w:pPr>
          </w:p>
        </w:tc>
      </w:tr>
      <w:bookmarkEnd w:id="5"/>
    </w:tbl>
    <w:p w14:paraId="545ECD67" w14:textId="77777777" w:rsidR="00DB4C6C" w:rsidRPr="000F2247" w:rsidRDefault="00DB4C6C" w:rsidP="00DB4C6C">
      <w:pPr>
        <w:rPr>
          <w:rFonts w:ascii="Arial" w:hAnsi="Arial"/>
          <w:b/>
          <w:bCs/>
          <w:sz w:val="26"/>
          <w:szCs w:val="26"/>
          <w:rtl/>
        </w:rPr>
      </w:pPr>
    </w:p>
    <w:p w14:paraId="53FAD9A2" w14:textId="77777777" w:rsidR="00DB4C6C" w:rsidRPr="00645AD1" w:rsidRDefault="00DB4C6C" w:rsidP="00DB4C6C">
      <w:pPr>
        <w:spacing w:line="360" w:lineRule="auto"/>
        <w:ind w:left="357" w:firstLine="357"/>
        <w:jc w:val="both"/>
        <w:rPr>
          <w:rFonts w:ascii="Arial" w:hAnsi="Arial"/>
          <w:b/>
          <w:bCs/>
        </w:rPr>
      </w:pPr>
      <w:r w:rsidRPr="00645AD1">
        <w:rPr>
          <w:rFonts w:ascii="Arial" w:hAnsi="Arial" w:hint="cs"/>
          <w:b/>
          <w:bCs/>
          <w:u w:val="single"/>
          <w:rtl/>
        </w:rPr>
        <w:t>כתב האישום</w:t>
      </w:r>
      <w:r w:rsidRPr="00645AD1">
        <w:rPr>
          <w:rFonts w:ascii="Arial" w:hAnsi="Arial" w:hint="cs"/>
          <w:b/>
          <w:bCs/>
          <w:rtl/>
        </w:rPr>
        <w:t>:</w:t>
      </w:r>
    </w:p>
    <w:p w14:paraId="597C074C" w14:textId="77777777" w:rsidR="00DB4C6C" w:rsidRPr="00952E99" w:rsidRDefault="00DB4C6C" w:rsidP="00DB4C6C">
      <w:pPr>
        <w:pStyle w:val="a9"/>
        <w:numPr>
          <w:ilvl w:val="0"/>
          <w:numId w:val="1"/>
        </w:numPr>
        <w:spacing w:line="360" w:lineRule="auto"/>
        <w:ind w:left="714" w:hanging="357"/>
        <w:jc w:val="both"/>
        <w:rPr>
          <w:rFonts w:ascii="Arial" w:hAnsi="Arial"/>
          <w:b/>
          <w:bCs/>
        </w:rPr>
      </w:pPr>
      <w:bookmarkStart w:id="6" w:name="ABSTRACT_START"/>
      <w:bookmarkEnd w:id="6"/>
      <w:r w:rsidRPr="00952E99">
        <w:rPr>
          <w:rFonts w:ascii="Arial" w:hAnsi="Arial" w:hint="cs"/>
          <w:rtl/>
        </w:rPr>
        <w:t>הנאשם הורשע ע"פ הוד</w:t>
      </w:r>
      <w:r>
        <w:rPr>
          <w:rFonts w:ascii="Arial" w:hAnsi="Arial" w:hint="cs"/>
          <w:rtl/>
        </w:rPr>
        <w:t>א</w:t>
      </w:r>
      <w:r w:rsidRPr="00952E99">
        <w:rPr>
          <w:rFonts w:ascii="Arial" w:hAnsi="Arial" w:hint="cs"/>
          <w:rtl/>
        </w:rPr>
        <w:t>תו מיום 14.11.2022</w:t>
      </w:r>
      <w:r>
        <w:rPr>
          <w:rFonts w:ascii="Arial" w:hAnsi="Arial" w:hint="cs"/>
          <w:rtl/>
        </w:rPr>
        <w:t>,</w:t>
      </w:r>
      <w:r w:rsidRPr="00952E99">
        <w:rPr>
          <w:rFonts w:ascii="Arial" w:hAnsi="Arial" w:hint="cs"/>
          <w:rtl/>
        </w:rPr>
        <w:t xml:space="preserve"> בכתב אישום מתוקן</w:t>
      </w:r>
      <w:r>
        <w:rPr>
          <w:rFonts w:ascii="Arial" w:hAnsi="Arial" w:hint="cs"/>
          <w:rtl/>
        </w:rPr>
        <w:t>,</w:t>
      </w:r>
      <w:r w:rsidRPr="00952E99">
        <w:rPr>
          <w:rFonts w:ascii="Arial" w:hAnsi="Arial" w:hint="cs"/>
          <w:rtl/>
        </w:rPr>
        <w:t xml:space="preserve"> המייחס לו עבירות של התפרצות למגורים/ תפילה לבצע עבירה לפי </w:t>
      </w:r>
      <w:hyperlink r:id="rId17" w:history="1">
        <w:r w:rsidR="00D711CF" w:rsidRPr="00D711CF">
          <w:rPr>
            <w:rStyle w:val="Hyperlink"/>
            <w:rFonts w:ascii="Arial" w:hAnsi="Arial" w:hint="eastAsia"/>
            <w:rtl/>
          </w:rPr>
          <w:t>סעיף</w:t>
        </w:r>
        <w:r w:rsidR="00D711CF" w:rsidRPr="00D711CF">
          <w:rPr>
            <w:rStyle w:val="Hyperlink"/>
            <w:rFonts w:ascii="Arial" w:hAnsi="Arial"/>
            <w:rtl/>
          </w:rPr>
          <w:t xml:space="preserve"> 406 (ב)</w:t>
        </w:r>
      </w:hyperlink>
      <w:r w:rsidRPr="00952E99">
        <w:rPr>
          <w:rFonts w:ascii="Arial" w:hAnsi="Arial" w:hint="cs"/>
          <w:rtl/>
        </w:rPr>
        <w:t xml:space="preserve"> ל</w:t>
      </w:r>
      <w:hyperlink r:id="rId18" w:history="1">
        <w:r w:rsidR="00A0648B" w:rsidRPr="00A0648B">
          <w:rPr>
            <w:rFonts w:ascii="Arial" w:hAnsi="Arial"/>
            <w:color w:val="0000FF"/>
            <w:u w:val="single"/>
            <w:rtl/>
          </w:rPr>
          <w:t>חוק העונשין</w:t>
        </w:r>
      </w:hyperlink>
      <w:r w:rsidRPr="00952E99">
        <w:rPr>
          <w:rFonts w:ascii="Arial" w:hAnsi="Arial" w:hint="cs"/>
          <w:rtl/>
        </w:rPr>
        <w:t xml:space="preserve">, תשל"ז </w:t>
      </w:r>
      <w:r w:rsidRPr="00952E99">
        <w:rPr>
          <w:rFonts w:ascii="Arial" w:hAnsi="Arial"/>
          <w:rtl/>
        </w:rPr>
        <w:t>–</w:t>
      </w:r>
      <w:r w:rsidRPr="00952E99">
        <w:rPr>
          <w:rFonts w:ascii="Arial" w:hAnsi="Arial" w:hint="cs"/>
          <w:rtl/>
        </w:rPr>
        <w:t xml:space="preserve"> 1977 (להלן: </w:t>
      </w:r>
      <w:r w:rsidRPr="00952E99">
        <w:rPr>
          <w:rFonts w:ascii="Arial" w:hAnsi="Arial" w:hint="cs"/>
          <w:b/>
          <w:bCs/>
          <w:rtl/>
        </w:rPr>
        <w:t>"חוק העונשין"</w:t>
      </w:r>
      <w:r w:rsidRPr="00952E99">
        <w:rPr>
          <w:rFonts w:ascii="Arial" w:hAnsi="Arial" w:hint="cs"/>
          <w:rtl/>
        </w:rPr>
        <w:t>)</w:t>
      </w:r>
      <w:r>
        <w:rPr>
          <w:rFonts w:ascii="Arial" w:hAnsi="Arial" w:hint="cs"/>
          <w:rtl/>
        </w:rPr>
        <w:t xml:space="preserve"> (שתי עבירות)</w:t>
      </w:r>
      <w:r w:rsidRPr="00952E99">
        <w:rPr>
          <w:rFonts w:ascii="Arial" w:hAnsi="Arial" w:hint="cs"/>
          <w:rtl/>
        </w:rPr>
        <w:t xml:space="preserve">, גניבה לפי </w:t>
      </w:r>
      <w:hyperlink r:id="rId19" w:history="1">
        <w:r w:rsidR="00D711CF" w:rsidRPr="00D711CF">
          <w:rPr>
            <w:rStyle w:val="Hyperlink"/>
            <w:rFonts w:ascii="Arial" w:hAnsi="Arial" w:hint="eastAsia"/>
            <w:rtl/>
          </w:rPr>
          <w:t>סעיף</w:t>
        </w:r>
        <w:r w:rsidR="00D711CF" w:rsidRPr="00D711CF">
          <w:rPr>
            <w:rStyle w:val="Hyperlink"/>
            <w:rFonts w:ascii="Arial" w:hAnsi="Arial"/>
            <w:rtl/>
          </w:rPr>
          <w:t xml:space="preserve"> 384</w:t>
        </w:r>
      </w:hyperlink>
      <w:r w:rsidRPr="00952E99">
        <w:rPr>
          <w:rFonts w:ascii="Arial" w:hAnsi="Arial" w:hint="cs"/>
          <w:rtl/>
        </w:rPr>
        <w:t xml:space="preserve"> לחוק העונשין</w:t>
      </w:r>
      <w:r>
        <w:rPr>
          <w:rFonts w:ascii="Arial" w:hAnsi="Arial" w:hint="cs"/>
          <w:rtl/>
        </w:rPr>
        <w:t xml:space="preserve"> שתי עבירות</w:t>
      </w:r>
      <w:r w:rsidRPr="00952E99">
        <w:rPr>
          <w:rFonts w:ascii="Arial" w:hAnsi="Arial" w:hint="cs"/>
          <w:rtl/>
        </w:rPr>
        <w:t>, הסגת גבול, לפי חוק 447(א) לחוק העונשין, סחר בסם מסוכ</w:t>
      </w:r>
      <w:r>
        <w:rPr>
          <w:rFonts w:ascii="Arial" w:hAnsi="Arial" w:hint="cs"/>
          <w:rtl/>
        </w:rPr>
        <w:t>ן</w:t>
      </w:r>
      <w:r w:rsidRPr="00952E99">
        <w:rPr>
          <w:rFonts w:ascii="Arial" w:hAnsi="Arial" w:hint="cs"/>
          <w:rtl/>
        </w:rPr>
        <w:t xml:space="preserve">, לפי </w:t>
      </w:r>
      <w:hyperlink r:id="rId20" w:history="1">
        <w:r w:rsidR="00D711CF" w:rsidRPr="00D711CF">
          <w:rPr>
            <w:rStyle w:val="Hyperlink"/>
            <w:rFonts w:ascii="Arial" w:hAnsi="Arial" w:hint="eastAsia"/>
            <w:rtl/>
          </w:rPr>
          <w:t>סעיף</w:t>
        </w:r>
        <w:r w:rsidR="00D711CF" w:rsidRPr="00D711CF">
          <w:rPr>
            <w:rStyle w:val="Hyperlink"/>
            <w:rFonts w:ascii="Arial" w:hAnsi="Arial"/>
            <w:rtl/>
          </w:rPr>
          <w:t xml:space="preserve"> 19+13א</w:t>
        </w:r>
      </w:hyperlink>
      <w:r w:rsidRPr="00952E99">
        <w:rPr>
          <w:rFonts w:ascii="Arial" w:hAnsi="Arial" w:hint="cs"/>
          <w:rtl/>
        </w:rPr>
        <w:t xml:space="preserve"> ל</w:t>
      </w:r>
      <w:hyperlink r:id="rId21" w:history="1">
        <w:r w:rsidR="00A0648B" w:rsidRPr="00A0648B">
          <w:rPr>
            <w:rFonts w:ascii="Arial" w:hAnsi="Arial"/>
            <w:color w:val="0000FF"/>
            <w:u w:val="single"/>
            <w:rtl/>
          </w:rPr>
          <w:t>פקודת הסמים המסוכנים</w:t>
        </w:r>
      </w:hyperlink>
      <w:r w:rsidRPr="00952E99">
        <w:rPr>
          <w:rFonts w:ascii="Arial" w:hAnsi="Arial" w:hint="cs"/>
          <w:rtl/>
        </w:rPr>
        <w:t>, תשל"ג-1973, איומים</w:t>
      </w:r>
      <w:r>
        <w:rPr>
          <w:rFonts w:ascii="Arial" w:hAnsi="Arial" w:hint="cs"/>
          <w:rtl/>
        </w:rPr>
        <w:t xml:space="preserve"> </w:t>
      </w:r>
      <w:r w:rsidRPr="00952E99">
        <w:rPr>
          <w:rFonts w:ascii="Arial" w:hAnsi="Arial" w:hint="cs"/>
          <w:rtl/>
        </w:rPr>
        <w:t xml:space="preserve">לפי </w:t>
      </w:r>
      <w:hyperlink r:id="rId22" w:history="1">
        <w:r w:rsidR="00D711CF" w:rsidRPr="00D711CF">
          <w:rPr>
            <w:rStyle w:val="Hyperlink"/>
            <w:rFonts w:ascii="Arial" w:hAnsi="Arial" w:hint="eastAsia"/>
            <w:rtl/>
          </w:rPr>
          <w:t>סעיף</w:t>
        </w:r>
        <w:r w:rsidR="00D711CF" w:rsidRPr="00D711CF">
          <w:rPr>
            <w:rStyle w:val="Hyperlink"/>
            <w:rFonts w:ascii="Arial" w:hAnsi="Arial"/>
            <w:rtl/>
          </w:rPr>
          <w:t xml:space="preserve"> 192</w:t>
        </w:r>
      </w:hyperlink>
      <w:r w:rsidRPr="00952E99">
        <w:rPr>
          <w:rFonts w:ascii="Arial" w:hAnsi="Arial" w:hint="cs"/>
          <w:rtl/>
        </w:rPr>
        <w:t xml:space="preserve"> לחוק העונשין, הפרעה לשוטר במילוי תפקידו, לפי </w:t>
      </w:r>
      <w:hyperlink r:id="rId23" w:history="1">
        <w:r w:rsidR="00D711CF" w:rsidRPr="00D711CF">
          <w:rPr>
            <w:rStyle w:val="Hyperlink"/>
            <w:rFonts w:ascii="Arial" w:hAnsi="Arial" w:hint="eastAsia"/>
            <w:rtl/>
          </w:rPr>
          <w:t>סעיף</w:t>
        </w:r>
        <w:r w:rsidR="00D711CF" w:rsidRPr="00D711CF">
          <w:rPr>
            <w:rStyle w:val="Hyperlink"/>
            <w:rFonts w:ascii="Arial" w:hAnsi="Arial"/>
            <w:rtl/>
          </w:rPr>
          <w:t xml:space="preserve"> 275</w:t>
        </w:r>
      </w:hyperlink>
      <w:r w:rsidRPr="00952E99">
        <w:rPr>
          <w:rFonts w:ascii="Arial" w:hAnsi="Arial" w:hint="cs"/>
          <w:rtl/>
        </w:rPr>
        <w:t xml:space="preserve"> לחוק העונשין והיזק לרכוש במזיד, לפי </w:t>
      </w:r>
      <w:hyperlink r:id="rId24" w:history="1">
        <w:r w:rsidR="00D711CF" w:rsidRPr="00D711CF">
          <w:rPr>
            <w:rStyle w:val="Hyperlink"/>
            <w:rFonts w:ascii="Arial" w:hAnsi="Arial" w:hint="eastAsia"/>
            <w:rtl/>
          </w:rPr>
          <w:t>סעיף</w:t>
        </w:r>
        <w:r w:rsidR="00D711CF" w:rsidRPr="00D711CF">
          <w:rPr>
            <w:rStyle w:val="Hyperlink"/>
            <w:rFonts w:ascii="Arial" w:hAnsi="Arial"/>
            <w:rtl/>
          </w:rPr>
          <w:t xml:space="preserve"> 452</w:t>
        </w:r>
      </w:hyperlink>
      <w:r w:rsidRPr="00952E99">
        <w:rPr>
          <w:rFonts w:ascii="Arial" w:hAnsi="Arial" w:hint="cs"/>
          <w:rtl/>
        </w:rPr>
        <w:t xml:space="preserve"> לחוק העונשין.</w:t>
      </w:r>
    </w:p>
    <w:p w14:paraId="0630DA96" w14:textId="77777777" w:rsidR="00DB4C6C" w:rsidRPr="00952E99" w:rsidRDefault="00DB4C6C" w:rsidP="00DB4C6C">
      <w:pPr>
        <w:pStyle w:val="a9"/>
        <w:numPr>
          <w:ilvl w:val="0"/>
          <w:numId w:val="1"/>
        </w:numPr>
        <w:spacing w:line="360" w:lineRule="auto"/>
        <w:ind w:left="714" w:hanging="357"/>
        <w:jc w:val="both"/>
        <w:rPr>
          <w:rFonts w:ascii="Arial" w:hAnsi="Arial"/>
          <w:b/>
          <w:bCs/>
        </w:rPr>
      </w:pPr>
      <w:bookmarkStart w:id="7" w:name="ABSTRACT_END"/>
      <w:bookmarkEnd w:id="7"/>
      <w:r w:rsidRPr="00952E99">
        <w:rPr>
          <w:rFonts w:ascii="Arial" w:hAnsi="Arial" w:hint="cs"/>
          <w:rtl/>
        </w:rPr>
        <w:t>ע</w:t>
      </w:r>
      <w:r>
        <w:rPr>
          <w:rFonts w:ascii="Arial" w:hAnsi="Arial" w:hint="cs"/>
          <w:rtl/>
        </w:rPr>
        <w:t xml:space="preserve">ל פי </w:t>
      </w:r>
      <w:r w:rsidRPr="00952E99">
        <w:rPr>
          <w:rFonts w:ascii="Arial" w:hAnsi="Arial" w:hint="cs"/>
          <w:rtl/>
        </w:rPr>
        <w:t>ה</w:t>
      </w:r>
      <w:r>
        <w:rPr>
          <w:rFonts w:ascii="Arial" w:hAnsi="Arial" w:hint="cs"/>
          <w:rtl/>
        </w:rPr>
        <w:t xml:space="preserve">נטען באישום הראשון, </w:t>
      </w:r>
      <w:r w:rsidRPr="00952E99">
        <w:rPr>
          <w:rFonts w:ascii="Arial" w:hAnsi="Arial" w:hint="cs"/>
          <w:rtl/>
        </w:rPr>
        <w:t>ביום 14.6.22, בשעה 02:15 לערך, הגיע הנאשם לישיבת "לב התורה" שברחוב עין גדי 39 בבית שמש. (להלן: "</w:t>
      </w:r>
      <w:r w:rsidRPr="00952E99">
        <w:rPr>
          <w:rFonts w:ascii="Arial" w:hAnsi="Arial" w:hint="cs"/>
          <w:b/>
          <w:bCs/>
          <w:rtl/>
        </w:rPr>
        <w:t>הישיבה</w:t>
      </w:r>
      <w:r w:rsidRPr="00952E99">
        <w:rPr>
          <w:rFonts w:ascii="Arial" w:hAnsi="Arial" w:hint="cs"/>
          <w:rtl/>
        </w:rPr>
        <w:t xml:space="preserve">"). באותן הנסיבות, ניגש הנאשם לחלון הזזה בבניין הישיבה, פתח את החלון ונכנס פנימה. הנאשם </w:t>
      </w:r>
      <w:r>
        <w:rPr>
          <w:rFonts w:ascii="Arial" w:hAnsi="Arial" w:hint="cs"/>
          <w:rtl/>
        </w:rPr>
        <w:t xml:space="preserve">ניגש </w:t>
      </w:r>
      <w:r w:rsidRPr="00952E99">
        <w:rPr>
          <w:rFonts w:ascii="Arial" w:hAnsi="Arial" w:hint="cs"/>
          <w:rtl/>
        </w:rPr>
        <w:t>למשרדו של דוד ו</w:t>
      </w:r>
      <w:r>
        <w:rPr>
          <w:rFonts w:ascii="Arial" w:hAnsi="Arial" w:hint="cs"/>
          <w:rtl/>
        </w:rPr>
        <w:t>ינ</w:t>
      </w:r>
      <w:r w:rsidRPr="00952E99">
        <w:rPr>
          <w:rFonts w:ascii="Arial" w:hAnsi="Arial" w:hint="cs"/>
          <w:rtl/>
        </w:rPr>
        <w:t xml:space="preserve">קלר ונטל מחשב נייד, בהמשך נשא </w:t>
      </w:r>
      <w:r>
        <w:rPr>
          <w:rFonts w:ascii="Arial" w:hAnsi="Arial" w:hint="cs"/>
          <w:rtl/>
        </w:rPr>
        <w:t xml:space="preserve">את </w:t>
      </w:r>
      <w:r w:rsidRPr="00952E99">
        <w:rPr>
          <w:rFonts w:ascii="Arial" w:hAnsi="Arial" w:hint="cs"/>
          <w:rtl/>
        </w:rPr>
        <w:t xml:space="preserve">הרכוש ועזב את הישיבה </w:t>
      </w:r>
      <w:r>
        <w:rPr>
          <w:rFonts w:ascii="Arial" w:hAnsi="Arial" w:hint="cs"/>
          <w:rtl/>
        </w:rPr>
        <w:t>כ</w:t>
      </w:r>
      <w:r w:rsidRPr="00952E99">
        <w:rPr>
          <w:rFonts w:ascii="Arial" w:hAnsi="Arial" w:hint="cs"/>
          <w:rtl/>
        </w:rPr>
        <w:t>שהרכוש בכליו.</w:t>
      </w:r>
    </w:p>
    <w:p w14:paraId="1B3E5628" w14:textId="77777777" w:rsidR="00DB4C6C" w:rsidRPr="00652FB8" w:rsidRDefault="00DB4C6C" w:rsidP="00DB4C6C">
      <w:pPr>
        <w:pStyle w:val="a9"/>
        <w:numPr>
          <w:ilvl w:val="0"/>
          <w:numId w:val="1"/>
        </w:numPr>
        <w:spacing w:line="360" w:lineRule="auto"/>
        <w:ind w:left="714" w:hanging="357"/>
        <w:jc w:val="both"/>
        <w:rPr>
          <w:rFonts w:ascii="Arial" w:hAnsi="Arial"/>
          <w:b/>
          <w:bCs/>
          <w:sz w:val="26"/>
          <w:szCs w:val="26"/>
        </w:rPr>
      </w:pPr>
      <w:r w:rsidRPr="00952E99">
        <w:rPr>
          <w:rFonts w:ascii="Arial" w:hAnsi="Arial" w:hint="cs"/>
          <w:rtl/>
        </w:rPr>
        <w:lastRenderedPageBreak/>
        <w:t>ע</w:t>
      </w:r>
      <w:r>
        <w:rPr>
          <w:rFonts w:ascii="Arial" w:hAnsi="Arial" w:hint="cs"/>
          <w:rtl/>
        </w:rPr>
        <w:t xml:space="preserve">ל פי </w:t>
      </w:r>
      <w:r w:rsidRPr="00952E99">
        <w:rPr>
          <w:rFonts w:ascii="Arial" w:hAnsi="Arial" w:hint="cs"/>
          <w:rtl/>
        </w:rPr>
        <w:t>ה</w:t>
      </w:r>
      <w:r>
        <w:rPr>
          <w:rFonts w:ascii="Arial" w:hAnsi="Arial" w:hint="cs"/>
          <w:rtl/>
        </w:rPr>
        <w:t xml:space="preserve">נטען באישום השני, </w:t>
      </w:r>
      <w:r w:rsidRPr="00952E99">
        <w:rPr>
          <w:rFonts w:ascii="Arial" w:hAnsi="Arial" w:hint="cs"/>
          <w:rtl/>
        </w:rPr>
        <w:t>ביום 13.6.22 בשעה 02:15 לערך, הגיע הנאשם לבית הכנסת</w:t>
      </w:r>
      <w:r>
        <w:rPr>
          <w:rFonts w:ascii="Arial" w:hAnsi="Arial" w:hint="cs"/>
          <w:rtl/>
        </w:rPr>
        <w:t xml:space="preserve"> "משכן אליהו" שברחוב עין גדי 47 בבית שמש. באותן הנסיבות, ניגש לאחד מהארונות ונטל ממנו מכשיר אייפד וטלית. בהמשך, נשא את הרכוש ועזב את בית הכנסת כשהרכוש בכליו.</w:t>
      </w:r>
    </w:p>
    <w:p w14:paraId="417BEFB5" w14:textId="77777777" w:rsidR="00DB4C6C" w:rsidRPr="00F234F7" w:rsidRDefault="00DB4C6C" w:rsidP="00DB4C6C">
      <w:pPr>
        <w:pStyle w:val="a9"/>
        <w:numPr>
          <w:ilvl w:val="0"/>
          <w:numId w:val="1"/>
        </w:numPr>
        <w:spacing w:line="360" w:lineRule="auto"/>
        <w:ind w:left="714" w:hanging="357"/>
        <w:jc w:val="both"/>
        <w:rPr>
          <w:rFonts w:ascii="Arial" w:hAnsi="Arial"/>
          <w:b/>
          <w:bCs/>
          <w:sz w:val="26"/>
          <w:szCs w:val="26"/>
        </w:rPr>
      </w:pPr>
      <w:r>
        <w:rPr>
          <w:rFonts w:ascii="Arial" w:hAnsi="Arial" w:hint="cs"/>
          <w:rtl/>
        </w:rPr>
        <w:t>על פי הנטען באישום השלישי, ביום 9.6.22 בשעה 02:15 לערך, הגיע הנאשם לישיבה, פתח את דלת הכניסה, ונכנס לישיבה, חיטט בחפצים אישיים של התלמידים ועזב את המקום.</w:t>
      </w:r>
    </w:p>
    <w:p w14:paraId="4AA7CEEA" w14:textId="77777777" w:rsidR="00DB4C6C" w:rsidRDefault="00DB4C6C" w:rsidP="00DB4C6C">
      <w:pPr>
        <w:pStyle w:val="a9"/>
        <w:numPr>
          <w:ilvl w:val="0"/>
          <w:numId w:val="1"/>
        </w:numPr>
        <w:spacing w:line="360" w:lineRule="auto"/>
        <w:ind w:left="714" w:hanging="357"/>
        <w:jc w:val="both"/>
        <w:rPr>
          <w:rFonts w:ascii="Arial" w:hAnsi="Arial"/>
          <w:b/>
          <w:bCs/>
          <w:sz w:val="26"/>
          <w:szCs w:val="26"/>
        </w:rPr>
      </w:pPr>
      <w:r>
        <w:rPr>
          <w:rFonts w:ascii="Arial" w:hAnsi="Arial" w:hint="cs"/>
          <w:rtl/>
        </w:rPr>
        <w:t xml:space="preserve">ע"פ המתואר באישום הרביעי, ביום 10.4.22 התקשר השוטר מתן הרוש לנאשם וביקש לרכוש ממנו סם מסוג קוקאין בתמורה ל-500 ₪. השניים קבעו להיפגש בתחנה המרכזית בעיר תל-אביב (להלן: </w:t>
      </w:r>
      <w:r w:rsidRPr="00645AD1">
        <w:rPr>
          <w:rFonts w:ascii="Arial" w:hAnsi="Arial" w:hint="cs"/>
          <w:b/>
          <w:bCs/>
          <w:rtl/>
        </w:rPr>
        <w:t>"המקום"</w:t>
      </w:r>
      <w:r>
        <w:rPr>
          <w:rFonts w:ascii="Arial" w:hAnsi="Arial" w:hint="cs"/>
          <w:rtl/>
        </w:rPr>
        <w:t>). בשעה 16:00 לערך, הגיע השוטר ברכבו למקום והמתין לנאשם שהגיע למקום, ניגש נכנס לרכבו של השוטר, ומסר לו סם מסוכן מסוג קוקאין במשקל של 0.4919 גרם נטו, בתמורה ל-600 ש"ח.</w:t>
      </w:r>
    </w:p>
    <w:p w14:paraId="22B9D0E2" w14:textId="77777777" w:rsidR="00DB4C6C" w:rsidRDefault="00DB4C6C" w:rsidP="00DB4C6C">
      <w:pPr>
        <w:pStyle w:val="a9"/>
        <w:numPr>
          <w:ilvl w:val="0"/>
          <w:numId w:val="1"/>
        </w:numPr>
        <w:spacing w:line="360" w:lineRule="auto"/>
        <w:ind w:left="714" w:hanging="357"/>
        <w:jc w:val="both"/>
        <w:rPr>
          <w:rFonts w:ascii="Arial" w:hAnsi="Arial"/>
        </w:rPr>
      </w:pPr>
      <w:r w:rsidRPr="003A3B5E">
        <w:rPr>
          <w:rFonts w:ascii="Arial" w:hAnsi="Arial" w:hint="cs"/>
          <w:rtl/>
        </w:rPr>
        <w:t xml:space="preserve">ע"פ המתואר באישום </w:t>
      </w:r>
      <w:r>
        <w:rPr>
          <w:rFonts w:ascii="Arial" w:hAnsi="Arial" w:hint="cs"/>
          <w:rtl/>
        </w:rPr>
        <w:t>החמישי</w:t>
      </w:r>
      <w:r w:rsidRPr="003A3B5E">
        <w:rPr>
          <w:rFonts w:ascii="Arial" w:hAnsi="Arial" w:hint="cs"/>
          <w:rtl/>
        </w:rPr>
        <w:t>, הנאשם הינו אחיין של שון דניאל (להלן</w:t>
      </w:r>
      <w:r w:rsidRPr="00645AD1">
        <w:rPr>
          <w:rFonts w:ascii="Arial" w:hAnsi="Arial" w:hint="cs"/>
          <w:b/>
          <w:bCs/>
          <w:rtl/>
        </w:rPr>
        <w:t>: "המתלונן"</w:t>
      </w:r>
      <w:r w:rsidRPr="003A3B5E">
        <w:rPr>
          <w:rFonts w:ascii="Arial" w:hAnsi="Arial" w:hint="cs"/>
          <w:rtl/>
        </w:rPr>
        <w:t>) ששנה טרם למתואר ב</w:t>
      </w:r>
      <w:r>
        <w:rPr>
          <w:rFonts w:ascii="Arial" w:hAnsi="Arial" w:hint="cs"/>
          <w:rtl/>
        </w:rPr>
        <w:t>כתב ה</w:t>
      </w:r>
      <w:r w:rsidRPr="003A3B5E">
        <w:rPr>
          <w:rFonts w:ascii="Arial" w:hAnsi="Arial" w:hint="cs"/>
          <w:rtl/>
        </w:rPr>
        <w:t>אישום</w:t>
      </w:r>
      <w:r>
        <w:rPr>
          <w:rFonts w:ascii="Arial" w:hAnsi="Arial" w:hint="cs"/>
          <w:rtl/>
        </w:rPr>
        <w:t>,</w:t>
      </w:r>
      <w:r w:rsidRPr="003A3B5E">
        <w:rPr>
          <w:rFonts w:ascii="Arial" w:hAnsi="Arial" w:hint="cs"/>
          <w:rtl/>
        </w:rPr>
        <w:t xml:space="preserve"> התלונן ביחס למעשי</w:t>
      </w:r>
      <w:r>
        <w:rPr>
          <w:rFonts w:ascii="Arial" w:hAnsi="Arial" w:hint="cs"/>
          <w:rtl/>
        </w:rPr>
        <w:t>ם אותם ביצע</w:t>
      </w:r>
      <w:r w:rsidRPr="003A3B5E">
        <w:rPr>
          <w:rFonts w:ascii="Arial" w:hAnsi="Arial" w:hint="cs"/>
          <w:rtl/>
        </w:rPr>
        <w:t xml:space="preserve"> הנאשם. </w:t>
      </w:r>
    </w:p>
    <w:p w14:paraId="4D8F3AD4" w14:textId="77777777" w:rsidR="00DB4C6C" w:rsidRPr="006D1853" w:rsidRDefault="00DB4C6C" w:rsidP="00DB4C6C">
      <w:pPr>
        <w:pStyle w:val="a9"/>
        <w:numPr>
          <w:ilvl w:val="0"/>
          <w:numId w:val="1"/>
        </w:numPr>
        <w:spacing w:line="360" w:lineRule="auto"/>
        <w:ind w:left="714" w:hanging="357"/>
        <w:jc w:val="both"/>
        <w:rPr>
          <w:rFonts w:ascii="Arial" w:hAnsi="Arial"/>
        </w:rPr>
      </w:pPr>
      <w:r w:rsidRPr="006D1853">
        <w:rPr>
          <w:rFonts w:ascii="Arial" w:hAnsi="Arial" w:hint="cs"/>
          <w:rtl/>
        </w:rPr>
        <w:t xml:space="preserve">ביום 13.2.22 בשעה 21:00 לערך, הבחין הנאשם במתלונן ישוב על ספסל בגן ציבורי ברחוב נחל עין גדי בבית שמש (להלן: </w:t>
      </w:r>
      <w:r w:rsidRPr="00645AD1">
        <w:rPr>
          <w:rFonts w:ascii="Arial" w:hAnsi="Arial" w:hint="cs"/>
          <w:b/>
          <w:bCs/>
          <w:rtl/>
        </w:rPr>
        <w:t>"המקום"</w:t>
      </w:r>
      <w:r w:rsidRPr="006D1853">
        <w:rPr>
          <w:rFonts w:ascii="Arial" w:hAnsi="Arial" w:hint="cs"/>
          <w:rtl/>
        </w:rPr>
        <w:t xml:space="preserve">). באותן הנסיבות, ניגש הנאשם למתלונן תוך שהוא אוחז בחפץ שטיבו אינו ידוע במדויק למאשימה, אמר לו שלא ישכח את מה שעשה לו ושיטפל בו. המתלונן השיב לנאשם שלא יעשה שטויות או אז אמר הנאשם למתלונן שאנשים כמוהו צריך להרוג. בעקבות </w:t>
      </w:r>
      <w:r>
        <w:rPr>
          <w:rFonts w:ascii="Arial" w:hAnsi="Arial" w:hint="cs"/>
          <w:rtl/>
        </w:rPr>
        <w:t xml:space="preserve">זאת, </w:t>
      </w:r>
      <w:r w:rsidRPr="006D1853">
        <w:rPr>
          <w:rFonts w:ascii="Arial" w:hAnsi="Arial" w:hint="cs"/>
          <w:rtl/>
        </w:rPr>
        <w:t>בתאריך 14.2.22 בשעה 03:15, עוכב הנאשם לחקירה. בהמשך אותו ה</w:t>
      </w:r>
      <w:r>
        <w:rPr>
          <w:rFonts w:ascii="Arial" w:hAnsi="Arial" w:hint="cs"/>
          <w:rtl/>
        </w:rPr>
        <w:t>יום</w:t>
      </w:r>
      <w:r w:rsidRPr="006D1853">
        <w:rPr>
          <w:rFonts w:ascii="Arial" w:hAnsi="Arial" w:hint="cs"/>
          <w:rtl/>
        </w:rPr>
        <w:t>, בשעה 11:00 לערך, התבקש השוטר מאלי סטיין ללוות את הנאשם בניידת לבית משפט השלום בירושלים. במהלך ליווי</w:t>
      </w:r>
      <w:r>
        <w:rPr>
          <w:rFonts w:ascii="Arial" w:hAnsi="Arial" w:hint="cs"/>
          <w:rtl/>
        </w:rPr>
        <w:t xml:space="preserve">ו </w:t>
      </w:r>
      <w:r w:rsidRPr="006D1853">
        <w:rPr>
          <w:rFonts w:ascii="Arial" w:hAnsi="Arial" w:hint="cs"/>
          <w:rtl/>
        </w:rPr>
        <w:t xml:space="preserve">סירב </w:t>
      </w:r>
      <w:r>
        <w:rPr>
          <w:rFonts w:ascii="Arial" w:hAnsi="Arial" w:hint="cs"/>
          <w:rtl/>
        </w:rPr>
        <w:t xml:space="preserve">הנאשם </w:t>
      </w:r>
      <w:r w:rsidRPr="006D1853">
        <w:rPr>
          <w:rFonts w:ascii="Arial" w:hAnsi="Arial" w:hint="cs"/>
          <w:rtl/>
        </w:rPr>
        <w:t>לשתף פעולה</w:t>
      </w:r>
      <w:r>
        <w:rPr>
          <w:rFonts w:ascii="Arial" w:hAnsi="Arial" w:hint="cs"/>
          <w:rtl/>
        </w:rPr>
        <w:t xml:space="preserve">, ולכך שייאזק. הנאשם </w:t>
      </w:r>
      <w:r w:rsidRPr="006D1853">
        <w:rPr>
          <w:rFonts w:ascii="Arial" w:hAnsi="Arial" w:hint="cs"/>
          <w:rtl/>
        </w:rPr>
        <w:t>קילל את השוטר ואמר לו ש</w:t>
      </w:r>
      <w:r>
        <w:rPr>
          <w:rFonts w:ascii="Arial" w:hAnsi="Arial" w:hint="cs"/>
          <w:rtl/>
        </w:rPr>
        <w:t>י</w:t>
      </w:r>
      <w:r w:rsidRPr="006D1853">
        <w:rPr>
          <w:rFonts w:ascii="Arial" w:hAnsi="Arial" w:hint="cs"/>
          <w:rtl/>
        </w:rPr>
        <w:t>תפוס אותו</w:t>
      </w:r>
      <w:r>
        <w:rPr>
          <w:rFonts w:ascii="Arial" w:hAnsi="Arial" w:hint="cs"/>
          <w:rtl/>
        </w:rPr>
        <w:t>, כינה אותו</w:t>
      </w:r>
      <w:r w:rsidRPr="006D1853">
        <w:rPr>
          <w:rFonts w:ascii="Arial" w:hAnsi="Arial" w:hint="cs"/>
          <w:rtl/>
        </w:rPr>
        <w:t xml:space="preserve"> </w:t>
      </w:r>
      <w:r w:rsidRPr="00DB4C6C">
        <w:rPr>
          <w:rFonts w:cs="Times New Roman"/>
          <w:rtl/>
        </w:rPr>
        <w:t>"כושי מסריח"</w:t>
      </w:r>
      <w:r w:rsidRPr="006D1853">
        <w:rPr>
          <w:rFonts w:ascii="Arial" w:hAnsi="Arial" w:hint="cs"/>
          <w:rtl/>
        </w:rPr>
        <w:t xml:space="preserve"> ושיזיין את א</w:t>
      </w:r>
      <w:r>
        <w:rPr>
          <w:rFonts w:ascii="Arial" w:hAnsi="Arial" w:hint="cs"/>
          <w:rtl/>
        </w:rPr>
        <w:t>י</w:t>
      </w:r>
      <w:r w:rsidRPr="006D1853">
        <w:rPr>
          <w:rFonts w:ascii="Arial" w:hAnsi="Arial" w:hint="cs"/>
          <w:rtl/>
        </w:rPr>
        <w:t>מא שלו. במהלך הנסיעה בניידת, הוציא הנאשם את משענת הראש ממקומה ודפק באמצעותה בפנים הניידת, בעט בחלון הניידת הימני אחורי</w:t>
      </w:r>
      <w:r>
        <w:rPr>
          <w:rFonts w:ascii="Arial" w:hAnsi="Arial" w:hint="cs"/>
          <w:rtl/>
        </w:rPr>
        <w:t>,</w:t>
      </w:r>
      <w:r w:rsidRPr="006D1853">
        <w:rPr>
          <w:rFonts w:ascii="Arial" w:hAnsi="Arial" w:hint="cs"/>
          <w:rtl/>
        </w:rPr>
        <w:t xml:space="preserve"> ושבר אותו.</w:t>
      </w:r>
    </w:p>
    <w:p w14:paraId="0AD0B0DC" w14:textId="77777777" w:rsidR="00DB4C6C" w:rsidRDefault="00DB4C6C" w:rsidP="00DB4C6C">
      <w:pPr>
        <w:pStyle w:val="a9"/>
        <w:numPr>
          <w:ilvl w:val="0"/>
          <w:numId w:val="1"/>
        </w:numPr>
        <w:spacing w:line="360" w:lineRule="auto"/>
        <w:ind w:left="714" w:hanging="357"/>
        <w:jc w:val="both"/>
        <w:rPr>
          <w:rFonts w:ascii="Arial" w:hAnsi="Arial"/>
        </w:rPr>
      </w:pPr>
      <w:r>
        <w:rPr>
          <w:rFonts w:ascii="Arial" w:hAnsi="Arial" w:hint="cs"/>
          <w:rtl/>
        </w:rPr>
        <w:t xml:space="preserve">ביום 30.1.2023 צירף הנאשם </w:t>
      </w:r>
      <w:hyperlink r:id="rId25" w:history="1">
        <w:r w:rsidR="00A0648B" w:rsidRPr="00A0648B">
          <w:rPr>
            <w:rFonts w:ascii="Arial" w:hAnsi="Arial"/>
            <w:color w:val="0000FF"/>
            <w:u w:val="single"/>
            <w:rtl/>
          </w:rPr>
          <w:t>ת"פ 4342-06-22</w:t>
        </w:r>
      </w:hyperlink>
      <w:r>
        <w:rPr>
          <w:rFonts w:ascii="Arial" w:hAnsi="Arial" w:hint="cs"/>
          <w:rtl/>
        </w:rPr>
        <w:t xml:space="preserve"> בו הורשע בעבירה של התפרצות לבניין שאינו מקום מגורים ושאינו מקום תפילה, לפי </w:t>
      </w:r>
      <w:hyperlink r:id="rId26" w:history="1">
        <w:r w:rsidR="00D711CF" w:rsidRPr="00D711CF">
          <w:rPr>
            <w:rStyle w:val="Hyperlink"/>
            <w:rFonts w:ascii="Arial" w:hAnsi="Arial" w:hint="eastAsia"/>
            <w:rtl/>
          </w:rPr>
          <w:t>סעיף</w:t>
        </w:r>
        <w:r w:rsidR="00D711CF" w:rsidRPr="00D711CF">
          <w:rPr>
            <w:rStyle w:val="Hyperlink"/>
            <w:rFonts w:ascii="Arial" w:hAnsi="Arial"/>
            <w:rtl/>
          </w:rPr>
          <w:t xml:space="preserve"> 407(ב)</w:t>
        </w:r>
      </w:hyperlink>
      <w:r>
        <w:rPr>
          <w:rFonts w:ascii="Arial" w:hAnsi="Arial" w:hint="cs"/>
          <w:rtl/>
        </w:rPr>
        <w:t xml:space="preserve"> ל</w:t>
      </w:r>
      <w:hyperlink r:id="rId27" w:history="1">
        <w:r w:rsidR="00A0648B" w:rsidRPr="00A0648B">
          <w:rPr>
            <w:rFonts w:ascii="Arial" w:hAnsi="Arial"/>
            <w:color w:val="0000FF"/>
            <w:u w:val="single"/>
            <w:rtl/>
          </w:rPr>
          <w:t>חוק העונשין</w:t>
        </w:r>
      </w:hyperlink>
      <w:r>
        <w:rPr>
          <w:rFonts w:ascii="Arial" w:hAnsi="Arial" w:hint="cs"/>
          <w:rtl/>
        </w:rPr>
        <w:t>.</w:t>
      </w:r>
    </w:p>
    <w:p w14:paraId="031D933C" w14:textId="77777777" w:rsidR="00DB4C6C" w:rsidRDefault="00DB4C6C" w:rsidP="00DB4C6C">
      <w:pPr>
        <w:pStyle w:val="a9"/>
        <w:numPr>
          <w:ilvl w:val="0"/>
          <w:numId w:val="1"/>
        </w:numPr>
        <w:spacing w:line="360" w:lineRule="auto"/>
        <w:ind w:left="714" w:hanging="357"/>
        <w:jc w:val="both"/>
        <w:rPr>
          <w:rFonts w:ascii="Arial" w:hAnsi="Arial"/>
        </w:rPr>
      </w:pPr>
      <w:r>
        <w:rPr>
          <w:rFonts w:ascii="Arial" w:hAnsi="Arial" w:hint="cs"/>
          <w:rtl/>
        </w:rPr>
        <w:t xml:space="preserve">ע"פ המתואר בעובדות כתב האישום, אביב פרץ הינו בעליו של בית עסק לממכר מזון ברחוב יד חרוצים 15 בעיר תל אביב (להלן: </w:t>
      </w:r>
      <w:r w:rsidRPr="0024168A">
        <w:rPr>
          <w:rFonts w:ascii="Arial" w:hAnsi="Arial" w:hint="cs"/>
          <w:b/>
          <w:bCs/>
          <w:rtl/>
        </w:rPr>
        <w:t>"הבעלים",</w:t>
      </w:r>
      <w:r>
        <w:rPr>
          <w:rFonts w:ascii="Arial" w:hAnsi="Arial" w:hint="cs"/>
          <w:rtl/>
        </w:rPr>
        <w:t xml:space="preserve"> ו </w:t>
      </w:r>
      <w:r w:rsidRPr="0024168A">
        <w:rPr>
          <w:rFonts w:ascii="Arial" w:hAnsi="Arial" w:hint="cs"/>
          <w:b/>
          <w:bCs/>
          <w:rtl/>
        </w:rPr>
        <w:t>"בית העסק"</w:t>
      </w:r>
      <w:r>
        <w:rPr>
          <w:rFonts w:ascii="Arial" w:hAnsi="Arial" w:hint="cs"/>
          <w:rtl/>
        </w:rPr>
        <w:t xml:space="preserve"> בהתאמה). </w:t>
      </w:r>
    </w:p>
    <w:p w14:paraId="20A617D3" w14:textId="77777777" w:rsidR="00DB4C6C" w:rsidRDefault="00DB4C6C" w:rsidP="00DB4C6C">
      <w:pPr>
        <w:pStyle w:val="a9"/>
        <w:numPr>
          <w:ilvl w:val="0"/>
          <w:numId w:val="1"/>
        </w:numPr>
        <w:spacing w:line="360" w:lineRule="auto"/>
        <w:ind w:left="714" w:hanging="357"/>
        <w:jc w:val="both"/>
        <w:rPr>
          <w:rFonts w:ascii="Arial" w:hAnsi="Arial"/>
        </w:rPr>
      </w:pPr>
      <w:r>
        <w:rPr>
          <w:rFonts w:ascii="Arial" w:hAnsi="Arial" w:hint="cs"/>
          <w:rtl/>
        </w:rPr>
        <w:t xml:space="preserve">בתאריך 26.4.2022, עובר לשעה 02:16 לערך, הגיע הנאשם אל בית העסק. באותן הנסיבות, התפרץ למקום בדרך שאינה ידועה, כדי לבצע גניבה. בהיותו בתוך בית העסק, נטל ונשא הנאשם רכוש השייך לבעלים: מחשב נייד בעל מסך מגע שטוח תוצרת חברת </w:t>
      </w:r>
      <w:r w:rsidRPr="0079548E">
        <w:rPr>
          <w:rFonts w:ascii="David" w:hAnsi="David"/>
          <w:b/>
          <w:bCs/>
          <w:sz w:val="20"/>
          <w:szCs w:val="20"/>
        </w:rPr>
        <w:t>APPLE</w:t>
      </w:r>
      <w:r>
        <w:rPr>
          <w:rFonts w:ascii="Arial" w:hAnsi="Arial" w:hint="cs"/>
          <w:rtl/>
        </w:rPr>
        <w:t xml:space="preserve">, כרטיס חיוב, וסך של 300 ש"ח במזומן (להלן: </w:t>
      </w:r>
      <w:r w:rsidRPr="0024168A">
        <w:rPr>
          <w:rFonts w:ascii="Arial" w:hAnsi="Arial" w:hint="cs"/>
          <w:b/>
          <w:bCs/>
          <w:rtl/>
        </w:rPr>
        <w:t>"הרכוש"</w:t>
      </w:r>
      <w:r>
        <w:rPr>
          <w:rFonts w:ascii="Arial" w:hAnsi="Arial" w:hint="cs"/>
          <w:rtl/>
        </w:rPr>
        <w:t>).</w:t>
      </w:r>
    </w:p>
    <w:p w14:paraId="1EECC7E2" w14:textId="77777777" w:rsidR="00DB4C6C" w:rsidRDefault="00DB4C6C" w:rsidP="00DB4C6C">
      <w:pPr>
        <w:spacing w:line="360" w:lineRule="auto"/>
        <w:jc w:val="both"/>
        <w:rPr>
          <w:rFonts w:ascii="Arial" w:hAnsi="Arial"/>
          <w:rtl/>
        </w:rPr>
      </w:pPr>
    </w:p>
    <w:p w14:paraId="7CBCE57E" w14:textId="77777777" w:rsidR="00DB4C6C" w:rsidRPr="00CF34FE" w:rsidRDefault="00DB4C6C" w:rsidP="00DB4C6C">
      <w:pPr>
        <w:spacing w:line="360" w:lineRule="auto"/>
        <w:ind w:firstLine="714"/>
        <w:jc w:val="both"/>
        <w:rPr>
          <w:rFonts w:ascii="Arial" w:hAnsi="Arial"/>
          <w:b/>
          <w:bCs/>
          <w:u w:val="single"/>
          <w:rtl/>
        </w:rPr>
      </w:pPr>
      <w:r w:rsidRPr="00CF34FE">
        <w:rPr>
          <w:rFonts w:ascii="Arial" w:hAnsi="Arial" w:hint="cs"/>
          <w:b/>
          <w:bCs/>
          <w:u w:val="single"/>
          <w:rtl/>
        </w:rPr>
        <w:t>תסקיר שרות המבחן</w:t>
      </w:r>
    </w:p>
    <w:p w14:paraId="75BCFC0B" w14:textId="77777777" w:rsidR="00DB4C6C" w:rsidRDefault="00DB4C6C" w:rsidP="00DB4C6C">
      <w:pPr>
        <w:pStyle w:val="a9"/>
        <w:numPr>
          <w:ilvl w:val="0"/>
          <w:numId w:val="1"/>
        </w:numPr>
        <w:spacing w:line="360" w:lineRule="auto"/>
        <w:jc w:val="both"/>
        <w:rPr>
          <w:rFonts w:ascii="Arial" w:hAnsi="Arial"/>
        </w:rPr>
      </w:pPr>
      <w:r>
        <w:rPr>
          <w:rFonts w:ascii="Arial" w:hAnsi="Arial" w:hint="cs"/>
          <w:rtl/>
        </w:rPr>
        <w:lastRenderedPageBreak/>
        <w:t xml:space="preserve">הנאשם כבן 19 שנים, רווק, טרם התגורר בבית הוריו בעיר בית שמש. הנאשם גדל למשפחה נורמטיבית אך קשת יום, במהלך חייו אובחן עם לקות למידה וכן נטל "ריטלין" כטיפול תרופתי, גם בשנים שאינו למד בכדי שיוכל לתפקד במהלך היום. </w:t>
      </w:r>
    </w:p>
    <w:p w14:paraId="6E1E3A23" w14:textId="77777777" w:rsidR="00DB4C6C" w:rsidRPr="00CF34FE" w:rsidRDefault="00DB4C6C" w:rsidP="00DB4C6C">
      <w:pPr>
        <w:pStyle w:val="a9"/>
        <w:numPr>
          <w:ilvl w:val="0"/>
          <w:numId w:val="1"/>
        </w:numPr>
        <w:spacing w:line="360" w:lineRule="auto"/>
        <w:jc w:val="both"/>
        <w:rPr>
          <w:rFonts w:ascii="Arial" w:hAnsi="Arial"/>
        </w:rPr>
      </w:pPr>
      <w:r w:rsidRPr="00CF34FE">
        <w:rPr>
          <w:rFonts w:ascii="Arial" w:hAnsi="Arial" w:hint="cs"/>
          <w:rtl/>
        </w:rPr>
        <w:t xml:space="preserve">הנאשם מסר, כי בשנות לימודיו התיכוניות לא למד והרבה לשוטט ברחובות, יצר קשרים עם חברה שולית ועבריינית וכן החל התנסות בשימוש בסמים. עוד מסר, כי לא גויס לצה"ל בשל הסתבכותו בפלילים. באשר לשימוש בחומרים פסיכו-אקטיביים, לדבריו, נהג לצרוך חומרים ממכרים באירועים חברתיים אך כחצי שנה </w:t>
      </w:r>
      <w:r>
        <w:rPr>
          <w:rFonts w:ascii="Arial" w:hAnsi="Arial" w:hint="cs"/>
          <w:rtl/>
        </w:rPr>
        <w:t>ט</w:t>
      </w:r>
      <w:r w:rsidRPr="00CF34FE">
        <w:rPr>
          <w:rFonts w:ascii="Arial" w:hAnsi="Arial" w:hint="cs"/>
          <w:rtl/>
        </w:rPr>
        <w:t xml:space="preserve">רם מעצרו </w:t>
      </w:r>
      <w:r>
        <w:rPr>
          <w:rFonts w:ascii="Arial" w:hAnsi="Arial" w:hint="cs"/>
          <w:rtl/>
        </w:rPr>
        <w:t xml:space="preserve">העמיק את השימוש </w:t>
      </w:r>
      <w:r w:rsidRPr="00CF34FE">
        <w:rPr>
          <w:rFonts w:ascii="Arial" w:hAnsi="Arial" w:hint="cs"/>
          <w:rtl/>
        </w:rPr>
        <w:t xml:space="preserve">עד כדי </w:t>
      </w:r>
      <w:r>
        <w:rPr>
          <w:rFonts w:ascii="Arial" w:hAnsi="Arial" w:hint="cs"/>
          <w:rtl/>
        </w:rPr>
        <w:t>שהדבר הפריע ל</w:t>
      </w:r>
      <w:r w:rsidRPr="00CF34FE">
        <w:rPr>
          <w:rFonts w:ascii="Arial" w:hAnsi="Arial" w:hint="cs"/>
          <w:rtl/>
        </w:rPr>
        <w:t>תפקוד</w:t>
      </w:r>
      <w:r>
        <w:rPr>
          <w:rFonts w:ascii="Arial" w:hAnsi="Arial" w:hint="cs"/>
          <w:rtl/>
        </w:rPr>
        <w:t>ו</w:t>
      </w:r>
      <w:r w:rsidRPr="00CF34FE">
        <w:rPr>
          <w:rFonts w:ascii="Arial" w:hAnsi="Arial" w:hint="cs"/>
          <w:rtl/>
        </w:rPr>
        <w:t xml:space="preserve"> היומי. </w:t>
      </w:r>
      <w:r>
        <w:rPr>
          <w:rFonts w:ascii="Arial" w:hAnsi="Arial" w:hint="cs"/>
          <w:rtl/>
        </w:rPr>
        <w:t xml:space="preserve">הנאשם מסר, </w:t>
      </w:r>
      <w:r w:rsidRPr="00CF34FE">
        <w:rPr>
          <w:rFonts w:ascii="Arial" w:hAnsi="Arial" w:hint="cs"/>
          <w:rtl/>
        </w:rPr>
        <w:t xml:space="preserve">כי במהלך השנים פה מיוזמתו לאשפוזיות או לקהילות טיפוליות המטפלות בהתמכרות לסמים, אך לא סיים </w:t>
      </w:r>
      <w:r>
        <w:rPr>
          <w:rFonts w:ascii="Arial" w:hAnsi="Arial" w:hint="cs"/>
          <w:rtl/>
        </w:rPr>
        <w:t>את הטיפול, עקב קושי מצדו לעמ</w:t>
      </w:r>
      <w:r w:rsidRPr="00CF34FE">
        <w:rPr>
          <w:rFonts w:ascii="Arial" w:hAnsi="Arial" w:hint="cs"/>
          <w:rtl/>
        </w:rPr>
        <w:t xml:space="preserve">וד בכללי </w:t>
      </w:r>
      <w:r>
        <w:rPr>
          <w:rFonts w:ascii="Arial" w:hAnsi="Arial" w:hint="cs"/>
          <w:rtl/>
        </w:rPr>
        <w:t xml:space="preserve">אותן </w:t>
      </w:r>
      <w:r w:rsidRPr="00CF34FE">
        <w:rPr>
          <w:rFonts w:ascii="Arial" w:hAnsi="Arial" w:hint="cs"/>
          <w:rtl/>
        </w:rPr>
        <w:t>מסגרות ולהיענות לסמכות.</w:t>
      </w:r>
    </w:p>
    <w:p w14:paraId="18A95291" w14:textId="77777777" w:rsidR="00DB4C6C" w:rsidRDefault="00DB4C6C" w:rsidP="00DB4C6C">
      <w:pPr>
        <w:pStyle w:val="a9"/>
        <w:numPr>
          <w:ilvl w:val="0"/>
          <w:numId w:val="1"/>
        </w:numPr>
        <w:spacing w:line="360" w:lineRule="auto"/>
        <w:jc w:val="both"/>
        <w:rPr>
          <w:rFonts w:ascii="Arial" w:hAnsi="Arial"/>
        </w:rPr>
      </w:pPr>
      <w:r>
        <w:rPr>
          <w:rFonts w:ascii="Arial" w:hAnsi="Arial" w:hint="cs"/>
          <w:rtl/>
        </w:rPr>
        <w:t xml:space="preserve">בהתייחס לעבירות, הנאשם התקשה לקבל אחריות על המעשים, לא הביע חרטה, ולא ביטא מוטיבציה לשינוי התנהלותו. שרות המבחן התרשם, כי בנוסף לכך, הנאשם נעדר גבולות פנימיים וחיצוניים ברורים, בשלב גיבוש זהות ונעדר גורמי תמיכה והכוונה המסוגלים להעניק לו תמיכה או להציב לו גבול. </w:t>
      </w:r>
    </w:p>
    <w:p w14:paraId="32D15646" w14:textId="77777777" w:rsidR="00DB4C6C" w:rsidRDefault="00DB4C6C" w:rsidP="00DB4C6C">
      <w:pPr>
        <w:pStyle w:val="a9"/>
        <w:numPr>
          <w:ilvl w:val="0"/>
          <w:numId w:val="1"/>
        </w:numPr>
        <w:spacing w:line="360" w:lineRule="auto"/>
        <w:jc w:val="both"/>
        <w:rPr>
          <w:rFonts w:ascii="Arial" w:hAnsi="Arial"/>
        </w:rPr>
      </w:pPr>
      <w:r>
        <w:rPr>
          <w:rFonts w:ascii="Arial" w:hAnsi="Arial" w:hint="cs"/>
          <w:rtl/>
        </w:rPr>
        <w:t>נוכח טעמים אלו, המליץ שרות המבחן על ענישה מוחשית שתציב גבול לנאשם, זאת בדמות מאסר בפועל.</w:t>
      </w:r>
    </w:p>
    <w:p w14:paraId="23E78DDA" w14:textId="77777777" w:rsidR="00DB4C6C" w:rsidRDefault="00DB4C6C" w:rsidP="00DB4C6C">
      <w:pPr>
        <w:spacing w:line="360" w:lineRule="auto"/>
        <w:ind w:firstLine="720"/>
        <w:jc w:val="both"/>
        <w:rPr>
          <w:rFonts w:ascii="Arial" w:hAnsi="Arial"/>
          <w:b/>
          <w:bCs/>
          <w:rtl/>
        </w:rPr>
      </w:pPr>
      <w:r w:rsidRPr="00986A2F">
        <w:rPr>
          <w:rFonts w:ascii="Arial" w:hAnsi="Arial" w:hint="cs"/>
          <w:b/>
          <w:bCs/>
          <w:u w:val="single"/>
          <w:rtl/>
        </w:rPr>
        <w:t>תמצית טיעוני הצדדים</w:t>
      </w:r>
      <w:r>
        <w:rPr>
          <w:rFonts w:ascii="Arial" w:hAnsi="Arial" w:hint="cs"/>
          <w:b/>
          <w:bCs/>
          <w:rtl/>
        </w:rPr>
        <w:t>:</w:t>
      </w:r>
    </w:p>
    <w:p w14:paraId="0539B68C" w14:textId="77777777" w:rsidR="00DB4C6C" w:rsidRDefault="00DB4C6C" w:rsidP="00DB4C6C">
      <w:pPr>
        <w:pStyle w:val="a9"/>
        <w:numPr>
          <w:ilvl w:val="0"/>
          <w:numId w:val="1"/>
        </w:numPr>
        <w:spacing w:line="360" w:lineRule="auto"/>
        <w:jc w:val="both"/>
        <w:rPr>
          <w:rFonts w:ascii="Arial" w:hAnsi="Arial"/>
        </w:rPr>
      </w:pPr>
      <w:r w:rsidRPr="008275BF">
        <w:rPr>
          <w:rFonts w:ascii="Arial" w:hAnsi="Arial" w:hint="cs"/>
          <w:rtl/>
        </w:rPr>
        <w:t xml:space="preserve">המאשימה התייחסה לשני כתבי האישום, וכן הערכים המוגנים בהם פגע הנאשם. המאשימה ביקשה לקבוע מתחמי עונש נפרדים לכל אישום כדלקמן: ביחס לאישומים 1 ו-2, 6 חודשים ועד שנת מאסר לכל אישום. אישום 3 החל ממאסר על תנאי ועד 6 חודשים. אישום רביעי החל מ-8 חודשים ועד 18 חודשים, ובאישום 5 מאסר קצר ועד 18 חודשים. ביחס לתיק שצורף החל מ-6 חודשים ועד שנת מאסר. צוין, כי לחובת הנאשם 2 הרשעות קודמות, וכן מאסר על תנאי והתחייבות להפעלה. הוסף, כי תסקיר שרות המבחן מעלה תמונה עגומה ביחס לנאשם, כמי שסיגל לעצמו דפוסי התנהגות שוליים, תוך שהוא צורך סמים באופן מוגבר. נוסף לכך, הנאשם שולל </w:t>
      </w:r>
      <w:r>
        <w:rPr>
          <w:rFonts w:ascii="Arial" w:hAnsi="Arial" w:hint="cs"/>
          <w:rtl/>
        </w:rPr>
        <w:t xml:space="preserve">נזקקות טיפולית, ובהתאם ממליץ שרות המבחן על ענישה מוחשית. לקולא ביקשה להביא בחשבון את הודאתו והחיסכון בזמן השיפוטי, ולחומרה את צבר העבירות, ורישומו הפלילי. </w:t>
      </w:r>
    </w:p>
    <w:p w14:paraId="121CBDE1" w14:textId="77777777" w:rsidR="00DB4C6C" w:rsidRDefault="00DB4C6C" w:rsidP="00DB4C6C">
      <w:pPr>
        <w:pStyle w:val="a9"/>
        <w:numPr>
          <w:ilvl w:val="0"/>
          <w:numId w:val="1"/>
        </w:numPr>
        <w:spacing w:line="360" w:lineRule="auto"/>
        <w:jc w:val="both"/>
        <w:rPr>
          <w:rFonts w:ascii="Arial" w:hAnsi="Arial"/>
        </w:rPr>
      </w:pPr>
      <w:r>
        <w:rPr>
          <w:rFonts w:ascii="Arial" w:hAnsi="Arial" w:hint="cs"/>
          <w:rtl/>
        </w:rPr>
        <w:t>המאשימה ביקשה להטיל על הנאשם 32 חודשי מאסר תוך הפעלת המאסר על תנאי במצטבר, לצד הפעלת ההתחייבות ורכיבי ענישה נלווים.</w:t>
      </w:r>
    </w:p>
    <w:p w14:paraId="73AD09DF" w14:textId="77777777" w:rsidR="00DB4C6C" w:rsidRDefault="00DB4C6C" w:rsidP="00DB4C6C">
      <w:pPr>
        <w:pStyle w:val="a9"/>
        <w:numPr>
          <w:ilvl w:val="0"/>
          <w:numId w:val="1"/>
        </w:numPr>
        <w:spacing w:line="360" w:lineRule="auto"/>
        <w:jc w:val="both"/>
        <w:rPr>
          <w:rFonts w:ascii="Arial" w:hAnsi="Arial"/>
        </w:rPr>
      </w:pPr>
      <w:r>
        <w:rPr>
          <w:rFonts w:ascii="Arial" w:hAnsi="Arial" w:hint="cs"/>
          <w:rtl/>
        </w:rPr>
        <w:t>ההגנה ביקשה לקבוע מתחם עונש אחד ביחס לאישומים 1 -3, שכן אלו בוצעו בסמיכות זמנים. בנוסף ביקשה לקחת בחשבון את העובדה, כי אישום 3 תוקן לעבירה מופחתת של הסגת גבול. כלל העבירות, כך ציין הסנגור, אינן מבוצעות בתחכום, אלא ברף מעשים נמוך. הסנגור הדגיש, כי המדובר בבחור צעיר כבן 19 שיש להחיל בעניינו את התייחסות הפסיקה ביחס לבגיר צעיר.</w:t>
      </w:r>
    </w:p>
    <w:p w14:paraId="5060A580" w14:textId="77777777" w:rsidR="00DB4C6C" w:rsidRDefault="00DB4C6C" w:rsidP="00DB4C6C">
      <w:pPr>
        <w:pStyle w:val="a9"/>
        <w:numPr>
          <w:ilvl w:val="0"/>
          <w:numId w:val="1"/>
        </w:numPr>
        <w:spacing w:line="360" w:lineRule="auto"/>
        <w:jc w:val="both"/>
        <w:rPr>
          <w:rFonts w:ascii="Arial" w:hAnsi="Arial"/>
        </w:rPr>
      </w:pPr>
      <w:r>
        <w:rPr>
          <w:rFonts w:ascii="Arial" w:hAnsi="Arial" w:hint="cs"/>
          <w:rtl/>
        </w:rPr>
        <w:t>הסנגור הוסיף, כי הנאשם מגיע מרקע אישי מורכב מאוד, וקיימת לו היכרות עם הנאשם עוד מעת קטינותו. בעניינו של הנאשם גם קיימת הנמכה קוגניטיבי</w:t>
      </w:r>
      <w:r>
        <w:rPr>
          <w:rFonts w:ascii="Arial" w:hAnsi="Arial" w:hint="eastAsia"/>
          <w:rtl/>
        </w:rPr>
        <w:t>ת</w:t>
      </w:r>
      <w:r>
        <w:rPr>
          <w:rFonts w:ascii="Arial" w:hAnsi="Arial" w:hint="cs"/>
          <w:rtl/>
        </w:rPr>
        <w:t xml:space="preserve"> אשר מקבלת התייחסות ראשונית במסגרת תסקיר המבחן. הסנגור ביקש לקבוע את מתחם העונש ההולם, בכל הנוגע לעבירות ההתפרצות, החל ממאסר שיכול וירוצה על דרך עבודות השירות, ועל הנאשם ביקש להטיל עונש מידתי, נוכח נסיבותיו, גילו הצעיר, וכן העובדה שנטל אחריות על כלל תיקיו.</w:t>
      </w:r>
    </w:p>
    <w:p w14:paraId="26B9F226" w14:textId="77777777" w:rsidR="00DB4C6C" w:rsidRDefault="00DB4C6C" w:rsidP="00DB4C6C">
      <w:pPr>
        <w:pStyle w:val="a9"/>
        <w:numPr>
          <w:ilvl w:val="0"/>
          <w:numId w:val="1"/>
        </w:numPr>
        <w:spacing w:line="360" w:lineRule="auto"/>
        <w:jc w:val="both"/>
        <w:rPr>
          <w:rFonts w:ascii="Arial" w:hAnsi="Arial"/>
        </w:rPr>
      </w:pPr>
      <w:r>
        <w:rPr>
          <w:rFonts w:ascii="Arial" w:hAnsi="Arial" w:hint="cs"/>
          <w:rtl/>
        </w:rPr>
        <w:t>הנאשם מסר כי מצוי בתוכנית טיפולית לשליטה בכעסים במסגרת בית הסוהר, והוא שואף לשקם את חייו לאחר תום ריצוי העונש.</w:t>
      </w:r>
    </w:p>
    <w:p w14:paraId="468B5CB1" w14:textId="77777777" w:rsidR="00DB4C6C" w:rsidRDefault="00DB4C6C" w:rsidP="00DB4C6C">
      <w:pPr>
        <w:spacing w:line="360" w:lineRule="auto"/>
        <w:jc w:val="both"/>
        <w:rPr>
          <w:rFonts w:ascii="Arial" w:hAnsi="Arial"/>
          <w:rtl/>
        </w:rPr>
      </w:pPr>
    </w:p>
    <w:p w14:paraId="6B6FD7AD" w14:textId="77777777" w:rsidR="00DB4C6C" w:rsidRDefault="00DB4C6C" w:rsidP="00DB4C6C">
      <w:pPr>
        <w:spacing w:line="360" w:lineRule="auto"/>
        <w:ind w:firstLine="720"/>
        <w:jc w:val="both"/>
        <w:rPr>
          <w:rFonts w:ascii="Arial" w:hAnsi="Arial"/>
          <w:b/>
          <w:bCs/>
          <w:u w:val="single"/>
          <w:rtl/>
        </w:rPr>
      </w:pPr>
    </w:p>
    <w:p w14:paraId="3CB1FED6" w14:textId="77777777" w:rsidR="00DB4C6C" w:rsidRPr="00645AD1" w:rsidRDefault="00DB4C6C" w:rsidP="00DB4C6C">
      <w:pPr>
        <w:spacing w:line="360" w:lineRule="auto"/>
        <w:ind w:firstLine="720"/>
        <w:jc w:val="both"/>
        <w:rPr>
          <w:rFonts w:ascii="Arial" w:hAnsi="Arial"/>
          <w:b/>
          <w:bCs/>
          <w:u w:val="single"/>
          <w:rtl/>
        </w:rPr>
      </w:pPr>
      <w:r w:rsidRPr="00645AD1">
        <w:rPr>
          <w:rFonts w:ascii="Arial" w:hAnsi="Arial" w:hint="cs"/>
          <w:b/>
          <w:bCs/>
          <w:u w:val="single"/>
          <w:rtl/>
        </w:rPr>
        <w:t>מתחם העונש ההולם</w:t>
      </w:r>
      <w:r w:rsidRPr="00645AD1">
        <w:rPr>
          <w:rFonts w:ascii="Arial" w:hAnsi="Arial" w:hint="cs"/>
          <w:b/>
          <w:bCs/>
          <w:rtl/>
        </w:rPr>
        <w:t>:</w:t>
      </w:r>
    </w:p>
    <w:p w14:paraId="138A1C4E" w14:textId="77777777" w:rsidR="00DB4C6C" w:rsidRDefault="00DB4C6C" w:rsidP="00DB4C6C">
      <w:pPr>
        <w:pStyle w:val="a9"/>
        <w:numPr>
          <w:ilvl w:val="0"/>
          <w:numId w:val="1"/>
        </w:numPr>
        <w:spacing w:line="360" w:lineRule="auto"/>
        <w:jc w:val="both"/>
        <w:rPr>
          <w:rFonts w:ascii="Arial" w:hAnsi="Arial"/>
        </w:rPr>
      </w:pPr>
      <w:r w:rsidRPr="00971A7C">
        <w:rPr>
          <w:rFonts w:ascii="Arial" w:hAnsi="Arial"/>
          <w:rtl/>
        </w:rPr>
        <w:t>ב</w:t>
      </w:r>
      <w:r w:rsidRPr="00971A7C">
        <w:rPr>
          <w:rFonts w:ascii="Arial" w:hAnsi="Arial" w:hint="cs"/>
          <w:rtl/>
        </w:rPr>
        <w:t>יחס לתיק המקור יש לר</w:t>
      </w:r>
      <w:r w:rsidRPr="00971A7C">
        <w:rPr>
          <w:rFonts w:ascii="Arial" w:hAnsi="Arial"/>
          <w:rtl/>
        </w:rPr>
        <w:t xml:space="preserve">אות את העבירות בהן הורשע הנאשם במסגרת </w:t>
      </w:r>
      <w:r w:rsidRPr="00971A7C">
        <w:rPr>
          <w:rFonts w:ascii="Arial" w:hAnsi="Arial" w:hint="cs"/>
          <w:rtl/>
        </w:rPr>
        <w:t>אישומים 1 -3, כ</w:t>
      </w:r>
      <w:r w:rsidRPr="00971A7C">
        <w:rPr>
          <w:rFonts w:ascii="Arial" w:hAnsi="Arial"/>
          <w:rtl/>
        </w:rPr>
        <w:t>אירוע אחד בגינו יש לקבוע מתחם עונש הולם אחד. המדובר בש</w:t>
      </w:r>
      <w:r w:rsidRPr="00971A7C">
        <w:rPr>
          <w:rFonts w:ascii="Arial" w:hAnsi="Arial" w:hint="cs"/>
          <w:rtl/>
        </w:rPr>
        <w:t>לושה</w:t>
      </w:r>
      <w:r w:rsidRPr="00971A7C">
        <w:rPr>
          <w:rFonts w:ascii="Arial" w:hAnsi="Arial"/>
          <w:rtl/>
        </w:rPr>
        <w:t xml:space="preserve"> אירועים שהתרחשו בתוך </w:t>
      </w:r>
      <w:r w:rsidRPr="00971A7C">
        <w:rPr>
          <w:rFonts w:ascii="Arial" w:hAnsi="Arial" w:hint="cs"/>
          <w:rtl/>
        </w:rPr>
        <w:t>מספר ימים</w:t>
      </w:r>
      <w:r w:rsidRPr="00971A7C">
        <w:rPr>
          <w:rFonts w:ascii="Arial" w:hAnsi="Arial"/>
          <w:rtl/>
        </w:rPr>
        <w:t xml:space="preserve"> בנסיבות דומות, </w:t>
      </w:r>
      <w:r w:rsidRPr="00971A7C">
        <w:rPr>
          <w:rFonts w:ascii="Arial" w:hAnsi="Arial" w:hint="cs"/>
          <w:rtl/>
        </w:rPr>
        <w:t>כאשר ה</w:t>
      </w:r>
      <w:r w:rsidRPr="00971A7C">
        <w:rPr>
          <w:rFonts w:ascii="Arial" w:hAnsi="Arial"/>
          <w:rtl/>
        </w:rPr>
        <w:t>ערך החברתי המוגן הינו זהה. לפיכך, אקבע מתחם אחד, המביא לידי ביטוי את העובדה שמדובר ב</w:t>
      </w:r>
      <w:r w:rsidRPr="00971A7C">
        <w:rPr>
          <w:rFonts w:ascii="Arial" w:hAnsi="Arial" w:hint="cs"/>
          <w:rtl/>
        </w:rPr>
        <w:t xml:space="preserve">שלושה </w:t>
      </w:r>
      <w:r w:rsidRPr="00971A7C">
        <w:rPr>
          <w:rFonts w:ascii="Arial" w:hAnsi="Arial"/>
          <w:rtl/>
        </w:rPr>
        <w:t>אירועים ומספר עבירות. (</w:t>
      </w:r>
      <w:hyperlink r:id="rId28" w:history="1">
        <w:r w:rsidR="00A0648B" w:rsidRPr="00A0648B">
          <w:rPr>
            <w:rFonts w:ascii="Arial" w:hAnsi="Arial"/>
            <w:color w:val="0000FF"/>
            <w:u w:val="single"/>
            <w:rtl/>
          </w:rPr>
          <w:t>ע"פ 4910/13</w:t>
        </w:r>
      </w:hyperlink>
      <w:r w:rsidRPr="00971A7C">
        <w:rPr>
          <w:rFonts w:ascii="Arial" w:hAnsi="Arial"/>
          <w:rtl/>
        </w:rPr>
        <w:t xml:space="preserve"> </w:t>
      </w:r>
      <w:r w:rsidRPr="00B213F3">
        <w:rPr>
          <w:rFonts w:ascii="Arial" w:hAnsi="Arial"/>
          <w:b/>
          <w:bCs/>
          <w:rtl/>
        </w:rPr>
        <w:t>ג'אבר נ' מדינת ישראל</w:t>
      </w:r>
      <w:r w:rsidRPr="00971A7C">
        <w:rPr>
          <w:rFonts w:ascii="Arial" w:hAnsi="Arial"/>
          <w:rtl/>
        </w:rPr>
        <w:t xml:space="preserve"> (29.10.2014)).</w:t>
      </w:r>
      <w:r>
        <w:rPr>
          <w:rFonts w:ascii="Arial" w:hAnsi="Arial" w:hint="cs"/>
          <w:rtl/>
        </w:rPr>
        <w:t xml:space="preserve"> בהתייחס לאישומים 4 ו-5, וכן התיק שצורף ייקבעו מתחמים נפרדים.</w:t>
      </w:r>
    </w:p>
    <w:p w14:paraId="346C9788" w14:textId="77777777" w:rsidR="00DB4C6C" w:rsidRDefault="00DB4C6C" w:rsidP="00DB4C6C">
      <w:pPr>
        <w:pStyle w:val="a9"/>
        <w:numPr>
          <w:ilvl w:val="0"/>
          <w:numId w:val="1"/>
        </w:numPr>
        <w:spacing w:line="360" w:lineRule="auto"/>
        <w:jc w:val="both"/>
        <w:rPr>
          <w:rFonts w:ascii="Arial" w:hAnsi="Arial"/>
        </w:rPr>
      </w:pPr>
      <w:r w:rsidRPr="009A338C">
        <w:rPr>
          <w:rFonts w:ascii="Arial" w:hAnsi="Arial" w:hint="cs"/>
          <w:rtl/>
        </w:rPr>
        <w:t>הנאשם פגע במספר ערכים מוגנים בהם: הזכות לפרטיות וזכות הקניין, שלום הציבור וביטחונו, וכן בערכים הנוגעים בכיבוד רשויות החוק.</w:t>
      </w:r>
    </w:p>
    <w:p w14:paraId="44FE02EA" w14:textId="77777777" w:rsidR="00DB4C6C" w:rsidRPr="009A338C" w:rsidRDefault="00DB4C6C" w:rsidP="00DB4C6C">
      <w:pPr>
        <w:pStyle w:val="a9"/>
        <w:numPr>
          <w:ilvl w:val="0"/>
          <w:numId w:val="1"/>
        </w:numPr>
        <w:spacing w:line="360" w:lineRule="auto"/>
        <w:jc w:val="both"/>
        <w:rPr>
          <w:rFonts w:ascii="Arial" w:hAnsi="Arial"/>
          <w:rtl/>
        </w:rPr>
      </w:pPr>
      <w:r w:rsidRPr="009A338C">
        <w:rPr>
          <w:rFonts w:ascii="Arial" w:hAnsi="Arial" w:hint="cs"/>
          <w:rtl/>
        </w:rPr>
        <w:t>ביחס ל</w:t>
      </w:r>
      <w:r w:rsidRPr="009A338C">
        <w:rPr>
          <w:rFonts w:ascii="Arial" w:hAnsi="Arial"/>
          <w:rtl/>
        </w:rPr>
        <w:t xml:space="preserve">עבירת ההתפרצות, על דרך הכלל נוהגים בתי המשפט לגזור את עונשם של </w:t>
      </w:r>
      <w:r w:rsidRPr="009A338C">
        <w:rPr>
          <w:rFonts w:ascii="Arial" w:hAnsi="Arial" w:hint="cs"/>
          <w:rtl/>
        </w:rPr>
        <w:t xml:space="preserve">נאשמים </w:t>
      </w:r>
      <w:r w:rsidRPr="009A338C">
        <w:rPr>
          <w:rFonts w:ascii="Arial" w:hAnsi="Arial"/>
          <w:rtl/>
        </w:rPr>
        <w:t xml:space="preserve">בדרך של מאסר בפועל או מאסר שירוצה על דרך עבודות שירות. </w:t>
      </w:r>
      <w:r>
        <w:rPr>
          <w:rFonts w:ascii="Arial" w:hAnsi="Arial" w:hint="cs"/>
          <w:rtl/>
        </w:rPr>
        <w:t>במקרה דנן, ונוכח צבר העבירות ראיתי לקבוע מתחם כולל לאישומים 1 -3, החל מ- 12 חודשים ועד 24 חודשים לצד ענישה נלווית. בהתייחס לאישום 4 ייקבע מתחם שבין 5 חודשים ועד שנת מאסר, ביחס לאישום חמש, החל ממאסר על תנאי ועד מאסר קצר שיכול וירוצה על דרך עבודות השירות. בהתייחס לתיק שצורף ייקבע מתחם שבין 6 חודשים ועד 18 חודשים.</w:t>
      </w:r>
    </w:p>
    <w:p w14:paraId="5FC2A1EC" w14:textId="77777777" w:rsidR="00DB4C6C" w:rsidRPr="00B44FC3" w:rsidRDefault="00DB4C6C" w:rsidP="00DB4C6C">
      <w:pPr>
        <w:spacing w:line="360" w:lineRule="auto"/>
        <w:ind w:left="360" w:firstLine="360"/>
        <w:jc w:val="both"/>
        <w:rPr>
          <w:rFonts w:ascii="Arial" w:hAnsi="Arial"/>
          <w:b/>
          <w:bCs/>
        </w:rPr>
      </w:pPr>
      <w:r w:rsidRPr="00B44FC3">
        <w:rPr>
          <w:rFonts w:ascii="Arial" w:hAnsi="Arial" w:hint="cs"/>
          <w:b/>
          <w:bCs/>
          <w:u w:val="single"/>
          <w:rtl/>
        </w:rPr>
        <w:t>העונש המתאים לנאשם</w:t>
      </w:r>
      <w:r w:rsidRPr="00B44FC3">
        <w:rPr>
          <w:rFonts w:ascii="Arial" w:hAnsi="Arial" w:hint="cs"/>
          <w:b/>
          <w:bCs/>
          <w:rtl/>
        </w:rPr>
        <w:t>:</w:t>
      </w:r>
    </w:p>
    <w:p w14:paraId="48CACF8C" w14:textId="77777777" w:rsidR="00DB4C6C" w:rsidRPr="00E050DD" w:rsidRDefault="00DB4C6C" w:rsidP="00DB4C6C">
      <w:pPr>
        <w:pStyle w:val="a9"/>
        <w:numPr>
          <w:ilvl w:val="0"/>
          <w:numId w:val="1"/>
        </w:numPr>
        <w:spacing w:line="360" w:lineRule="auto"/>
        <w:ind w:left="714" w:hanging="357"/>
        <w:jc w:val="both"/>
        <w:rPr>
          <w:rFonts w:ascii="Arial" w:hAnsi="Arial"/>
          <w:rtl/>
        </w:rPr>
      </w:pPr>
      <w:r w:rsidRPr="00E050DD">
        <w:rPr>
          <w:rFonts w:ascii="Arial" w:hAnsi="Arial"/>
          <w:rtl/>
        </w:rPr>
        <w:t xml:space="preserve">הנאשם </w:t>
      </w:r>
      <w:r w:rsidRPr="00E050DD">
        <w:rPr>
          <w:rFonts w:ascii="Arial" w:hAnsi="Arial" w:hint="cs"/>
          <w:rtl/>
        </w:rPr>
        <w:t xml:space="preserve">הינו בחור צעיר כבן 19, אשר הודה </w:t>
      </w:r>
      <w:r w:rsidRPr="00E050DD">
        <w:rPr>
          <w:rFonts w:ascii="Arial" w:hAnsi="Arial"/>
          <w:rtl/>
        </w:rPr>
        <w:t xml:space="preserve">בביצוע העבירות </w:t>
      </w:r>
      <w:r w:rsidRPr="00E050DD">
        <w:rPr>
          <w:rFonts w:ascii="Arial" w:hAnsi="Arial" w:hint="cs"/>
          <w:rtl/>
        </w:rPr>
        <w:t xml:space="preserve">וכן </w:t>
      </w:r>
      <w:r w:rsidRPr="00E050DD">
        <w:rPr>
          <w:rFonts w:ascii="Arial" w:hAnsi="Arial"/>
          <w:rtl/>
        </w:rPr>
        <w:t xml:space="preserve">צירף </w:t>
      </w:r>
      <w:r w:rsidRPr="00E050DD">
        <w:rPr>
          <w:rFonts w:ascii="Arial" w:hAnsi="Arial" w:hint="cs"/>
          <w:rtl/>
        </w:rPr>
        <w:t xml:space="preserve">תיק נוסף, גם בו נטל אחריות. </w:t>
      </w:r>
      <w:r w:rsidRPr="00E050DD">
        <w:rPr>
          <w:rFonts w:ascii="Arial" w:hAnsi="Arial"/>
          <w:rtl/>
        </w:rPr>
        <w:t>לחובת</w:t>
      </w:r>
      <w:r>
        <w:rPr>
          <w:rFonts w:ascii="Arial" w:hAnsi="Arial" w:hint="cs"/>
          <w:rtl/>
        </w:rPr>
        <w:t>ו</w:t>
      </w:r>
      <w:r w:rsidRPr="00E050DD">
        <w:rPr>
          <w:rFonts w:ascii="Arial" w:hAnsi="Arial"/>
          <w:rtl/>
        </w:rPr>
        <w:t xml:space="preserve"> רישום פלילי הכולל שתי הרשעות בעבירות </w:t>
      </w:r>
      <w:r>
        <w:rPr>
          <w:rFonts w:ascii="Arial" w:hAnsi="Arial" w:hint="cs"/>
          <w:rtl/>
        </w:rPr>
        <w:t>הדחת קטין לסמים, גניבה החזקת סם ועוד, בגינן נדון למאסר למשך 8 חודשים וענישה נלווית. קיימת קביעה מבית משפט לנוער משנת 2017 בעבירת אלימות, בגינה נדון לצו של"צ, התחייבות ורכיב של פיצוי.</w:t>
      </w:r>
      <w:r w:rsidRPr="00E050DD">
        <w:rPr>
          <w:rFonts w:ascii="Arial" w:hAnsi="Arial"/>
          <w:rtl/>
        </w:rPr>
        <w:t xml:space="preserve"> </w:t>
      </w:r>
    </w:p>
    <w:p w14:paraId="27890E85" w14:textId="77777777" w:rsidR="00DB4C6C" w:rsidRPr="00DE7550" w:rsidRDefault="00DB4C6C" w:rsidP="00DB4C6C">
      <w:pPr>
        <w:pStyle w:val="a9"/>
        <w:numPr>
          <w:ilvl w:val="0"/>
          <w:numId w:val="1"/>
        </w:numPr>
        <w:spacing w:line="360" w:lineRule="auto"/>
        <w:jc w:val="both"/>
        <w:rPr>
          <w:rFonts w:ascii="Arial" w:hAnsi="Arial"/>
        </w:rPr>
      </w:pPr>
      <w:r w:rsidRPr="00DE7550">
        <w:rPr>
          <w:rFonts w:ascii="Arial" w:hAnsi="Arial" w:hint="cs"/>
          <w:rtl/>
        </w:rPr>
        <w:t>תסקיר שרות המבחן מעלה תמונה מורכבת בעניינו של הנאשם. לנאשם חווית ילדות קשה, הכוללת חסכים רגשיים ופיזיים וחשיפה לעבריינות מגיל צעיר. הנאשם נעדר גורמי תמיכה והכוונה משפחתיים או חברתיים, אשר יכולים היו להעניק לו ביטחון ולהציב לו גבול. כתוצאה מכך, אימץ דפוסים הישרדותיים, עברייניי</w:t>
      </w:r>
      <w:r w:rsidRPr="00DE7550">
        <w:rPr>
          <w:rFonts w:ascii="Arial" w:hAnsi="Arial" w:hint="eastAsia"/>
          <w:rtl/>
        </w:rPr>
        <w:t>ם</w:t>
      </w:r>
      <w:r w:rsidRPr="00DE7550">
        <w:rPr>
          <w:rFonts w:ascii="Arial" w:hAnsi="Arial" w:hint="cs"/>
          <w:rtl/>
        </w:rPr>
        <w:t xml:space="preserve"> והתמכרותיים. לדעת גורמי הטיפול, הנאשם חווה תחושות קשות של חוסר אונים, תסכול ומצוקה משמעותית, במצבים של מחסור או דחק כלכלי. למצער, הנאשם אינו מביע רצון לקחת חלק בהליך טיפולי מתאים. מנגד, </w:t>
      </w:r>
      <w:r>
        <w:rPr>
          <w:rFonts w:ascii="Arial" w:hAnsi="Arial" w:hint="cs"/>
          <w:rtl/>
        </w:rPr>
        <w:t>המדובר בבחור צעיר, אשר נמנה על אוכלוסי</w:t>
      </w:r>
      <w:r>
        <w:rPr>
          <w:rFonts w:ascii="Arial" w:hAnsi="Arial" w:hint="eastAsia"/>
          <w:rtl/>
        </w:rPr>
        <w:t>ית</w:t>
      </w:r>
      <w:r>
        <w:rPr>
          <w:rFonts w:ascii="Arial" w:hAnsi="Arial" w:hint="cs"/>
          <w:rtl/>
        </w:rPr>
        <w:t xml:space="preserve"> "הצעירים בגירים" אשר הפסיקה יודעת לאבחן </w:t>
      </w:r>
      <w:r w:rsidRPr="00DE7550">
        <w:rPr>
          <w:rFonts w:ascii="Arial" w:hAnsi="Arial"/>
          <w:rtl/>
        </w:rPr>
        <w:t>מקרים אל</w:t>
      </w:r>
      <w:r>
        <w:rPr>
          <w:rFonts w:ascii="Arial" w:hAnsi="Arial" w:hint="cs"/>
          <w:rtl/>
        </w:rPr>
        <w:t>ו</w:t>
      </w:r>
      <w:r w:rsidRPr="00DE7550">
        <w:rPr>
          <w:rFonts w:ascii="Arial" w:hAnsi="Arial" w:hint="cs"/>
          <w:rtl/>
        </w:rPr>
        <w:t>, כ</w:t>
      </w:r>
      <w:r>
        <w:rPr>
          <w:rFonts w:ascii="Arial" w:hAnsi="Arial" w:hint="cs"/>
          <w:rtl/>
        </w:rPr>
        <w:t xml:space="preserve">נימוק </w:t>
      </w:r>
      <w:r w:rsidRPr="00DE7550">
        <w:rPr>
          <w:rFonts w:ascii="Arial" w:hAnsi="Arial" w:hint="cs"/>
          <w:rtl/>
        </w:rPr>
        <w:t xml:space="preserve">לקולא, </w:t>
      </w:r>
      <w:r w:rsidRPr="00DE7550">
        <w:rPr>
          <w:rFonts w:ascii="Arial" w:hAnsi="Arial"/>
          <w:rtl/>
        </w:rPr>
        <w:t>ברמת הענישה הנהוגה כלפיהם</w:t>
      </w:r>
      <w:r>
        <w:rPr>
          <w:rFonts w:ascii="Arial" w:hAnsi="Arial" w:hint="cs"/>
          <w:rtl/>
        </w:rPr>
        <w:t xml:space="preserve">. כך גם </w:t>
      </w:r>
      <w:r w:rsidRPr="00DE7550">
        <w:rPr>
          <w:rFonts w:ascii="Arial" w:hAnsi="Arial" w:hint="cs"/>
          <w:rtl/>
        </w:rPr>
        <w:t>לדעת שרות המבחן</w:t>
      </w:r>
      <w:r>
        <w:rPr>
          <w:rFonts w:ascii="Arial" w:hAnsi="Arial" w:hint="cs"/>
          <w:rtl/>
        </w:rPr>
        <w:t>, אשר מציין במסגרת גורמי הסיכוי,</w:t>
      </w:r>
      <w:r w:rsidRPr="00DE7550">
        <w:rPr>
          <w:rFonts w:ascii="Arial" w:hAnsi="Arial" w:hint="cs"/>
          <w:rtl/>
        </w:rPr>
        <w:t xml:space="preserve"> כי הנאשם </w:t>
      </w:r>
      <w:r>
        <w:rPr>
          <w:rFonts w:ascii="Arial" w:hAnsi="Arial" w:hint="cs"/>
          <w:rtl/>
        </w:rPr>
        <w:t xml:space="preserve">מצוי </w:t>
      </w:r>
      <w:r w:rsidRPr="00DE7550">
        <w:rPr>
          <w:rFonts w:ascii="Arial" w:hAnsi="Arial" w:hint="cs"/>
          <w:rtl/>
        </w:rPr>
        <w:t>בשלב התפתחותי של גיבוש זהות</w:t>
      </w:r>
      <w:r>
        <w:rPr>
          <w:rFonts w:ascii="Arial" w:hAnsi="Arial" w:hint="cs"/>
          <w:rtl/>
        </w:rPr>
        <w:t>, ומטעם זה אין מקום למצות עמו את הדין, על אף צבר העבירות אותן ביצע</w:t>
      </w:r>
      <w:r w:rsidRPr="00DE7550">
        <w:rPr>
          <w:rFonts w:ascii="Arial" w:hAnsi="Arial"/>
          <w:rtl/>
        </w:rPr>
        <w:t xml:space="preserve">. </w:t>
      </w:r>
    </w:p>
    <w:p w14:paraId="4FFEC3EE" w14:textId="77777777" w:rsidR="00DB4C6C" w:rsidRPr="00662777" w:rsidRDefault="00DB4C6C" w:rsidP="00DB4C6C">
      <w:pPr>
        <w:pStyle w:val="a9"/>
        <w:numPr>
          <w:ilvl w:val="0"/>
          <w:numId w:val="1"/>
        </w:numPr>
        <w:spacing w:line="360" w:lineRule="auto"/>
        <w:jc w:val="both"/>
        <w:rPr>
          <w:rFonts w:ascii="Arial" w:hAnsi="Arial"/>
          <w:rtl/>
        </w:rPr>
      </w:pPr>
      <w:r>
        <w:rPr>
          <w:rFonts w:ascii="Arial" w:hAnsi="Arial" w:hint="cs"/>
          <w:rtl/>
        </w:rPr>
        <w:t xml:space="preserve">נוכח טעמים אלו, </w:t>
      </w:r>
      <w:r w:rsidRPr="00662777">
        <w:rPr>
          <w:rFonts w:ascii="Arial" w:hAnsi="Arial"/>
          <w:rtl/>
        </w:rPr>
        <w:t>ראיתי לקבוע את עונשו של הנאשם בחלק</w:t>
      </w:r>
      <w:r>
        <w:rPr>
          <w:rFonts w:ascii="Arial" w:hAnsi="Arial" w:hint="cs"/>
          <w:rtl/>
        </w:rPr>
        <w:t>ם ה</w:t>
      </w:r>
      <w:r w:rsidRPr="00662777">
        <w:rPr>
          <w:rFonts w:ascii="Arial" w:hAnsi="Arial"/>
          <w:rtl/>
        </w:rPr>
        <w:t>תחתון של מתח</w:t>
      </w:r>
      <w:r>
        <w:rPr>
          <w:rFonts w:ascii="Arial" w:hAnsi="Arial" w:hint="cs"/>
          <w:rtl/>
        </w:rPr>
        <w:t>מי העונש, ולחפוף חלקית ביניהם, כך שיוטלו עליו ה</w:t>
      </w:r>
      <w:r w:rsidRPr="00662777">
        <w:rPr>
          <w:rFonts w:ascii="Arial" w:hAnsi="Arial"/>
          <w:rtl/>
        </w:rPr>
        <w:t>עונשים הבאים:</w:t>
      </w:r>
    </w:p>
    <w:p w14:paraId="7BAF6377" w14:textId="77777777" w:rsidR="00DB4C6C" w:rsidRDefault="00DB4C6C" w:rsidP="00DB4C6C">
      <w:pPr>
        <w:pStyle w:val="a9"/>
        <w:numPr>
          <w:ilvl w:val="0"/>
          <w:numId w:val="2"/>
        </w:numPr>
        <w:spacing w:line="360" w:lineRule="auto"/>
        <w:jc w:val="both"/>
        <w:rPr>
          <w:rFonts w:ascii="Arial" w:hAnsi="Arial"/>
        </w:rPr>
      </w:pPr>
      <w:r w:rsidRPr="00662777">
        <w:rPr>
          <w:rFonts w:ascii="Arial" w:hAnsi="Arial"/>
          <w:rtl/>
        </w:rPr>
        <w:t>מאסר למשך</w:t>
      </w:r>
      <w:r>
        <w:rPr>
          <w:rFonts w:ascii="Arial" w:hAnsi="Arial" w:hint="cs"/>
          <w:rtl/>
        </w:rPr>
        <w:t xml:space="preserve"> 18 </w:t>
      </w:r>
      <w:r w:rsidRPr="00662777">
        <w:rPr>
          <w:rFonts w:ascii="Arial" w:hAnsi="Arial"/>
          <w:rtl/>
        </w:rPr>
        <w:t>חודשים בניכוי ימי המעצר (בכלל תיקיו).</w:t>
      </w:r>
    </w:p>
    <w:p w14:paraId="1287BC8D" w14:textId="77777777" w:rsidR="00DB4C6C" w:rsidRPr="00662777" w:rsidRDefault="00DB4C6C" w:rsidP="00DB4C6C">
      <w:pPr>
        <w:pStyle w:val="a9"/>
        <w:numPr>
          <w:ilvl w:val="0"/>
          <w:numId w:val="2"/>
        </w:numPr>
        <w:spacing w:line="360" w:lineRule="auto"/>
        <w:jc w:val="both"/>
        <w:rPr>
          <w:rFonts w:ascii="Arial" w:hAnsi="Arial"/>
          <w:rtl/>
        </w:rPr>
      </w:pPr>
      <w:r>
        <w:rPr>
          <w:rFonts w:ascii="Arial" w:hAnsi="Arial" w:hint="cs"/>
          <w:rtl/>
        </w:rPr>
        <w:t xml:space="preserve">הפעלת מאסר למשך חודשיים כפי שנפסק בתיק מספר: 24188-04-21 (שלום ירושלים) מיום 29.12.2021 במצטבר. </w:t>
      </w:r>
      <w:r w:rsidRPr="009058DD">
        <w:rPr>
          <w:rFonts w:ascii="Arial" w:hAnsi="Arial" w:hint="cs"/>
          <w:u w:val="single"/>
          <w:rtl/>
        </w:rPr>
        <w:t>סה"כ ירצה הנאשם תקופת מאסר למשך 20 חודשים בניכוי ימי המעצר</w:t>
      </w:r>
      <w:r>
        <w:rPr>
          <w:rFonts w:ascii="Arial" w:hAnsi="Arial" w:hint="cs"/>
          <w:rtl/>
        </w:rPr>
        <w:t>.</w:t>
      </w:r>
    </w:p>
    <w:p w14:paraId="7C592B7C" w14:textId="77777777" w:rsidR="00DB4C6C" w:rsidRPr="00662777" w:rsidRDefault="00DB4C6C" w:rsidP="00DB4C6C">
      <w:pPr>
        <w:pStyle w:val="a9"/>
        <w:numPr>
          <w:ilvl w:val="0"/>
          <w:numId w:val="2"/>
        </w:numPr>
        <w:spacing w:line="360" w:lineRule="auto"/>
        <w:jc w:val="both"/>
        <w:rPr>
          <w:rFonts w:ascii="Arial" w:hAnsi="Arial"/>
          <w:rtl/>
        </w:rPr>
      </w:pPr>
      <w:r w:rsidRPr="00662777">
        <w:rPr>
          <w:rFonts w:ascii="Arial" w:hAnsi="Arial"/>
          <w:rtl/>
        </w:rPr>
        <w:t>מאסר למשך 5 חודשים אותם הנאשם לא ירצה אלא אם יעבור משך 3 שנים מעת שחרורו מהמאסר עבירת רכוש מסוג פשע</w:t>
      </w:r>
      <w:r>
        <w:rPr>
          <w:rFonts w:ascii="Arial" w:hAnsi="Arial" w:hint="cs"/>
          <w:rtl/>
        </w:rPr>
        <w:t>, או עבירה מסוג פשע מ</w:t>
      </w:r>
      <w:hyperlink r:id="rId29" w:history="1">
        <w:r w:rsidR="00A0648B" w:rsidRPr="00A0648B">
          <w:rPr>
            <w:rFonts w:ascii="Arial" w:hAnsi="Arial"/>
            <w:color w:val="0000FF"/>
            <w:u w:val="single"/>
            <w:rtl/>
          </w:rPr>
          <w:t>פקודת הסמים המסוכנים</w:t>
        </w:r>
      </w:hyperlink>
      <w:r w:rsidRPr="00662777">
        <w:rPr>
          <w:rFonts w:ascii="Arial" w:hAnsi="Arial"/>
          <w:rtl/>
        </w:rPr>
        <w:t>.</w:t>
      </w:r>
    </w:p>
    <w:p w14:paraId="03E63215" w14:textId="77777777" w:rsidR="00DB4C6C" w:rsidRPr="00662777" w:rsidRDefault="00DB4C6C" w:rsidP="00DB4C6C">
      <w:pPr>
        <w:pStyle w:val="a9"/>
        <w:numPr>
          <w:ilvl w:val="0"/>
          <w:numId w:val="2"/>
        </w:numPr>
        <w:spacing w:line="360" w:lineRule="auto"/>
        <w:jc w:val="both"/>
        <w:rPr>
          <w:rFonts w:ascii="Arial" w:hAnsi="Arial"/>
          <w:rtl/>
        </w:rPr>
      </w:pPr>
      <w:r w:rsidRPr="00662777">
        <w:rPr>
          <w:rFonts w:ascii="Arial" w:hAnsi="Arial"/>
          <w:rtl/>
        </w:rPr>
        <w:t>מאסר למשך</w:t>
      </w:r>
      <w:r>
        <w:rPr>
          <w:rFonts w:ascii="Arial" w:hAnsi="Arial" w:hint="cs"/>
          <w:rtl/>
        </w:rPr>
        <w:t xml:space="preserve"> 3 </w:t>
      </w:r>
      <w:r w:rsidRPr="00662777">
        <w:rPr>
          <w:rFonts w:ascii="Arial" w:hAnsi="Arial"/>
          <w:rtl/>
        </w:rPr>
        <w:t>חודשים אותם הנאשם לא ירצה אלא אם יעבור משך 3 שנים מעת שחרורו מהמאסר עבירת רכוש מסוג עוון</w:t>
      </w:r>
      <w:r>
        <w:rPr>
          <w:rFonts w:ascii="Arial" w:hAnsi="Arial" w:hint="cs"/>
          <w:rtl/>
        </w:rPr>
        <w:t>, או עבירת עוון מ</w:t>
      </w:r>
      <w:hyperlink r:id="rId30" w:history="1">
        <w:r w:rsidR="00A0648B" w:rsidRPr="00A0648B">
          <w:rPr>
            <w:rFonts w:ascii="Arial" w:hAnsi="Arial"/>
            <w:color w:val="0000FF"/>
            <w:u w:val="single"/>
            <w:rtl/>
          </w:rPr>
          <w:t>פקודת הסמים המסוכנים</w:t>
        </w:r>
      </w:hyperlink>
      <w:r w:rsidRPr="00662777">
        <w:rPr>
          <w:rFonts w:ascii="Arial" w:hAnsi="Arial"/>
          <w:rtl/>
        </w:rPr>
        <w:t>.</w:t>
      </w:r>
    </w:p>
    <w:p w14:paraId="311BF0D3" w14:textId="77777777" w:rsidR="00DB4C6C" w:rsidRPr="00662777" w:rsidRDefault="00DB4C6C" w:rsidP="00DB4C6C">
      <w:pPr>
        <w:pStyle w:val="a9"/>
        <w:numPr>
          <w:ilvl w:val="0"/>
          <w:numId w:val="2"/>
        </w:numPr>
        <w:spacing w:line="360" w:lineRule="auto"/>
        <w:jc w:val="both"/>
        <w:rPr>
          <w:rFonts w:ascii="Arial" w:hAnsi="Arial"/>
          <w:rtl/>
        </w:rPr>
      </w:pPr>
      <w:r w:rsidRPr="00662777">
        <w:rPr>
          <w:rFonts w:ascii="Arial" w:hAnsi="Arial"/>
          <w:rtl/>
        </w:rPr>
        <w:t>פיצוי למתלונ</w:t>
      </w:r>
      <w:r>
        <w:rPr>
          <w:rFonts w:ascii="Arial" w:hAnsi="Arial" w:hint="cs"/>
          <w:rtl/>
        </w:rPr>
        <w:t xml:space="preserve">ן באישום 1 בסך 750 ₪. הפיצוי </w:t>
      </w:r>
      <w:r w:rsidRPr="00662777">
        <w:rPr>
          <w:rFonts w:ascii="Arial" w:hAnsi="Arial"/>
          <w:rtl/>
        </w:rPr>
        <w:t>ישולם עד ליום</w:t>
      </w:r>
      <w:r>
        <w:rPr>
          <w:rFonts w:ascii="Arial" w:hAnsi="Arial" w:hint="cs"/>
          <w:rtl/>
        </w:rPr>
        <w:t xml:space="preserve"> 3.9.2023.</w:t>
      </w:r>
    </w:p>
    <w:p w14:paraId="17F2940A" w14:textId="77777777" w:rsidR="00DB4C6C" w:rsidRPr="00662777" w:rsidRDefault="00DB4C6C" w:rsidP="00DB4C6C">
      <w:pPr>
        <w:pStyle w:val="a9"/>
        <w:numPr>
          <w:ilvl w:val="0"/>
          <w:numId w:val="2"/>
        </w:numPr>
        <w:spacing w:line="360" w:lineRule="auto"/>
        <w:jc w:val="both"/>
        <w:rPr>
          <w:rFonts w:ascii="Arial" w:hAnsi="Arial"/>
          <w:rtl/>
        </w:rPr>
      </w:pPr>
      <w:r w:rsidRPr="00662777">
        <w:rPr>
          <w:rFonts w:ascii="Arial" w:hAnsi="Arial"/>
          <w:rtl/>
        </w:rPr>
        <w:t>פיצוי למתלונ</w:t>
      </w:r>
      <w:r>
        <w:rPr>
          <w:rFonts w:ascii="Arial" w:hAnsi="Arial" w:hint="cs"/>
          <w:rtl/>
        </w:rPr>
        <w:t>ן באישום 2 בסך 500 ₪. הפיצוי ישולם עד ליום 3.9.2023</w:t>
      </w:r>
    </w:p>
    <w:p w14:paraId="5025FEC0" w14:textId="77777777" w:rsidR="00DB4C6C" w:rsidRPr="00662777" w:rsidRDefault="00DB4C6C" w:rsidP="00DB4C6C">
      <w:pPr>
        <w:pStyle w:val="a9"/>
        <w:numPr>
          <w:ilvl w:val="0"/>
          <w:numId w:val="2"/>
        </w:numPr>
        <w:spacing w:line="360" w:lineRule="auto"/>
        <w:jc w:val="both"/>
        <w:rPr>
          <w:rFonts w:ascii="Arial" w:hAnsi="Arial"/>
          <w:rtl/>
        </w:rPr>
      </w:pPr>
      <w:r w:rsidRPr="00662777">
        <w:rPr>
          <w:rFonts w:ascii="Arial" w:hAnsi="Arial"/>
          <w:rtl/>
        </w:rPr>
        <w:t>פיצוי למתלונן ב</w:t>
      </w:r>
      <w:r>
        <w:rPr>
          <w:rFonts w:ascii="Arial" w:hAnsi="Arial" w:hint="cs"/>
          <w:rtl/>
        </w:rPr>
        <w:t>תיק שצורף בסך 1200 ₪. הפיצוי ישולם עד ליום 3.9.2023.</w:t>
      </w:r>
    </w:p>
    <w:p w14:paraId="5CAAF1A7" w14:textId="77777777" w:rsidR="00DB4C6C" w:rsidRPr="00662777" w:rsidRDefault="00DB4C6C" w:rsidP="00DB4C6C">
      <w:pPr>
        <w:pStyle w:val="a9"/>
        <w:numPr>
          <w:ilvl w:val="0"/>
          <w:numId w:val="2"/>
        </w:numPr>
        <w:spacing w:line="360" w:lineRule="auto"/>
        <w:jc w:val="both"/>
        <w:rPr>
          <w:rFonts w:ascii="Arial" w:hAnsi="Arial"/>
          <w:rtl/>
        </w:rPr>
      </w:pPr>
      <w:r w:rsidRPr="00662777">
        <w:rPr>
          <w:rFonts w:ascii="Arial" w:hAnsi="Arial"/>
          <w:rtl/>
        </w:rPr>
        <w:t xml:space="preserve">התחייבות בסך </w:t>
      </w:r>
      <w:r>
        <w:rPr>
          <w:rFonts w:ascii="Arial" w:hAnsi="Arial" w:hint="cs"/>
          <w:rtl/>
        </w:rPr>
        <w:t>5</w:t>
      </w:r>
      <w:r w:rsidRPr="00662777">
        <w:rPr>
          <w:rFonts w:ascii="Arial" w:hAnsi="Arial"/>
          <w:rtl/>
        </w:rPr>
        <w:t>000 ₪ להימנע משך 3 שנים מיום שחרורו מהמאסר מביצוע העבירות בהן הורשע.</w:t>
      </w:r>
      <w:r>
        <w:rPr>
          <w:rFonts w:ascii="Arial" w:hAnsi="Arial" w:hint="cs"/>
          <w:rtl/>
        </w:rPr>
        <w:t xml:space="preserve"> רשמתי את התחייבות הנאשם בע"פ.</w:t>
      </w:r>
    </w:p>
    <w:p w14:paraId="25056EB5" w14:textId="77777777" w:rsidR="00DB4C6C" w:rsidRPr="00662777" w:rsidRDefault="00DB4C6C" w:rsidP="00DB4C6C">
      <w:pPr>
        <w:pStyle w:val="a9"/>
        <w:numPr>
          <w:ilvl w:val="0"/>
          <w:numId w:val="2"/>
        </w:numPr>
        <w:spacing w:line="360" w:lineRule="auto"/>
        <w:jc w:val="both"/>
        <w:rPr>
          <w:rFonts w:ascii="Arial" w:hAnsi="Arial"/>
          <w:rtl/>
        </w:rPr>
      </w:pPr>
      <w:r w:rsidRPr="00662777">
        <w:rPr>
          <w:rFonts w:ascii="Arial" w:hAnsi="Arial"/>
          <w:rtl/>
        </w:rPr>
        <w:t>המוצגים</w:t>
      </w:r>
      <w:r>
        <w:rPr>
          <w:rFonts w:ascii="Arial" w:hAnsi="Arial" w:hint="cs"/>
          <w:rtl/>
        </w:rPr>
        <w:t>/סמים</w:t>
      </w:r>
      <w:r w:rsidRPr="00662777">
        <w:rPr>
          <w:rFonts w:ascii="Arial" w:hAnsi="Arial"/>
          <w:rtl/>
        </w:rPr>
        <w:t xml:space="preserve"> יושמדו או יחולטו לפי החלטת רשם המוצגים.</w:t>
      </w:r>
    </w:p>
    <w:p w14:paraId="5C74E3D4" w14:textId="77777777" w:rsidR="00DB4C6C" w:rsidRDefault="00DB4C6C" w:rsidP="00DB4C6C">
      <w:pPr>
        <w:spacing w:line="360" w:lineRule="auto"/>
        <w:ind w:left="360" w:firstLine="360"/>
        <w:jc w:val="both"/>
        <w:rPr>
          <w:rFonts w:ascii="Arial" w:hAnsi="Arial"/>
          <w:b/>
          <w:bCs/>
          <w:rtl/>
        </w:rPr>
      </w:pPr>
    </w:p>
    <w:p w14:paraId="0B552033" w14:textId="77777777" w:rsidR="00DB4C6C" w:rsidRPr="00662777" w:rsidRDefault="00A0648B" w:rsidP="00DB4C6C">
      <w:pPr>
        <w:spacing w:line="360" w:lineRule="auto"/>
        <w:ind w:left="360" w:firstLine="360"/>
        <w:jc w:val="both"/>
        <w:rPr>
          <w:rFonts w:ascii="Arial" w:hAnsi="Arial"/>
          <w:b/>
          <w:bCs/>
          <w:rtl/>
        </w:rPr>
      </w:pPr>
      <w:r w:rsidRPr="00A0648B">
        <w:rPr>
          <w:rFonts w:ascii="Arial" w:hAnsi="Arial"/>
          <w:b/>
          <w:bCs/>
          <w:color w:val="FFFFFF"/>
          <w:sz w:val="2"/>
          <w:szCs w:val="2"/>
          <w:rtl/>
        </w:rPr>
        <w:t>5129371</w:t>
      </w:r>
      <w:r w:rsidR="00DB4C6C" w:rsidRPr="00662777">
        <w:rPr>
          <w:rFonts w:ascii="Arial" w:hAnsi="Arial" w:hint="cs"/>
          <w:b/>
          <w:bCs/>
          <w:rtl/>
        </w:rPr>
        <w:t>המ</w:t>
      </w:r>
      <w:r w:rsidR="00DB4C6C" w:rsidRPr="00662777">
        <w:rPr>
          <w:rFonts w:ascii="Arial" w:hAnsi="Arial"/>
          <w:b/>
          <w:bCs/>
          <w:rtl/>
        </w:rPr>
        <w:t>זכירות תשלח העתק גזר הדין לשרות המבחן.</w:t>
      </w:r>
    </w:p>
    <w:p w14:paraId="5BC0F262" w14:textId="77777777" w:rsidR="00DB4C6C" w:rsidRPr="00662777" w:rsidRDefault="00A0648B" w:rsidP="00DB4C6C">
      <w:pPr>
        <w:spacing w:line="360" w:lineRule="auto"/>
        <w:ind w:left="360" w:firstLine="360"/>
        <w:jc w:val="both"/>
        <w:rPr>
          <w:rFonts w:ascii="Arial" w:hAnsi="Arial"/>
          <w:b/>
          <w:bCs/>
          <w:rtl/>
        </w:rPr>
      </w:pPr>
      <w:r w:rsidRPr="00A0648B">
        <w:rPr>
          <w:rFonts w:ascii="Arial" w:hAnsi="Arial"/>
          <w:b/>
          <w:bCs/>
          <w:color w:val="FFFFFF"/>
          <w:sz w:val="2"/>
          <w:szCs w:val="2"/>
          <w:rtl/>
        </w:rPr>
        <w:t>54678313</w:t>
      </w:r>
      <w:r w:rsidR="00DB4C6C" w:rsidRPr="00662777">
        <w:rPr>
          <w:rFonts w:ascii="Arial" w:hAnsi="Arial"/>
          <w:b/>
          <w:bCs/>
          <w:rtl/>
        </w:rPr>
        <w:t>זכות ערעור לבית המשפט המחוזי בתוך 45 יום.</w:t>
      </w:r>
    </w:p>
    <w:p w14:paraId="141F79BD" w14:textId="77777777" w:rsidR="00DB4C6C" w:rsidRPr="000F2247" w:rsidRDefault="00DB4C6C" w:rsidP="00DB4C6C">
      <w:pPr>
        <w:rPr>
          <w:rFonts w:ascii="Arial" w:hAnsi="Arial"/>
          <w:b/>
          <w:bCs/>
          <w:sz w:val="26"/>
          <w:szCs w:val="26"/>
          <w:rtl/>
        </w:rPr>
      </w:pPr>
    </w:p>
    <w:p w14:paraId="168DFCDD" w14:textId="77777777" w:rsidR="00DB4C6C" w:rsidRPr="00662777" w:rsidRDefault="00A0648B" w:rsidP="00DB4C6C">
      <w:pPr>
        <w:spacing w:line="360" w:lineRule="auto"/>
        <w:jc w:val="both"/>
        <w:rPr>
          <w:rFonts w:ascii="Arial" w:hAnsi="Arial"/>
          <w:b/>
          <w:bCs/>
          <w:rtl/>
        </w:rPr>
      </w:pPr>
      <w:bookmarkStart w:id="8" w:name="Nitan"/>
      <w:r>
        <w:rPr>
          <w:rFonts w:ascii="Arial" w:hAnsi="Arial"/>
          <w:b/>
          <w:bCs/>
          <w:rtl/>
        </w:rPr>
        <w:t xml:space="preserve">ניתן היום,  ז' ניסן תשפ"ג, 29 מרץ 2023, במעמד הנוכחים. </w:t>
      </w:r>
      <w:bookmarkEnd w:id="8"/>
      <w:r w:rsidR="00DB4C6C" w:rsidRPr="00662777">
        <w:rPr>
          <w:rFonts w:ascii="Arial" w:hAnsi="Arial"/>
          <w:b/>
          <w:bCs/>
          <w:rtl/>
        </w:rPr>
        <w:tab/>
      </w:r>
      <w:r w:rsidR="00DB4C6C" w:rsidRPr="00662777">
        <w:rPr>
          <w:rFonts w:ascii="Arial" w:hAnsi="Arial"/>
          <w:b/>
          <w:bCs/>
          <w:rtl/>
        </w:rPr>
        <w:tab/>
      </w:r>
      <w:r w:rsidR="00DB4C6C" w:rsidRPr="00662777">
        <w:rPr>
          <w:rFonts w:ascii="Arial" w:hAnsi="Arial"/>
          <w:b/>
          <w:bCs/>
          <w:rtl/>
        </w:rPr>
        <w:tab/>
      </w:r>
      <w:r w:rsidR="00DB4C6C" w:rsidRPr="00662777">
        <w:rPr>
          <w:rFonts w:ascii="Arial" w:hAnsi="Arial"/>
          <w:b/>
          <w:bCs/>
          <w:rtl/>
        </w:rPr>
        <w:tab/>
      </w:r>
      <w:r w:rsidR="00DB4C6C" w:rsidRPr="00662777">
        <w:rPr>
          <w:rFonts w:ascii="Arial" w:hAnsi="Arial"/>
          <w:b/>
          <w:bCs/>
          <w:rtl/>
        </w:rPr>
        <w:tab/>
      </w:r>
      <w:r w:rsidR="00DB4C6C" w:rsidRPr="00662777">
        <w:rPr>
          <w:rFonts w:ascii="Arial" w:hAnsi="Arial"/>
          <w:b/>
          <w:bCs/>
          <w:rtl/>
        </w:rPr>
        <w:tab/>
      </w:r>
      <w:r w:rsidR="00DB4C6C" w:rsidRPr="00662777">
        <w:rPr>
          <w:rFonts w:ascii="Arial" w:hAnsi="Arial"/>
          <w:b/>
          <w:bCs/>
          <w:rtl/>
        </w:rPr>
        <w:tab/>
      </w:r>
      <w:r w:rsidR="00DB4C6C" w:rsidRPr="00662777">
        <w:rPr>
          <w:rFonts w:ascii="Arial" w:hAnsi="Arial" w:hint="cs"/>
          <w:b/>
          <w:bCs/>
          <w:rtl/>
        </w:rPr>
        <w:t xml:space="preserve">         </w:t>
      </w:r>
    </w:p>
    <w:p w14:paraId="602A5C69" w14:textId="77777777" w:rsidR="00DB4C6C" w:rsidRPr="00662777" w:rsidRDefault="00DB4C6C" w:rsidP="00A0648B">
      <w:pPr>
        <w:jc w:val="center"/>
      </w:pPr>
      <w:r w:rsidRPr="00662777">
        <w:rPr>
          <w:rFonts w:ascii="Arial" w:hAnsi="Arial"/>
          <w:b/>
          <w:bCs/>
          <w:rtl/>
        </w:rPr>
        <w:t xml:space="preserve">   </w:t>
      </w:r>
      <w:r w:rsidRPr="00662777">
        <w:rPr>
          <w:rFonts w:ascii="Arial" w:hAnsi="Arial"/>
          <w:b/>
          <w:bCs/>
          <w:rtl/>
        </w:rPr>
        <w:tab/>
      </w:r>
      <w:r w:rsidRPr="00662777">
        <w:rPr>
          <w:rFonts w:ascii="Arial" w:hAnsi="Arial"/>
          <w:b/>
          <w:bCs/>
          <w:rtl/>
        </w:rPr>
        <w:tab/>
      </w:r>
      <w:r w:rsidRPr="00662777">
        <w:rPr>
          <w:rFonts w:ascii="Arial" w:hAnsi="Arial"/>
          <w:b/>
          <w:bCs/>
          <w:rtl/>
        </w:rPr>
        <w:tab/>
      </w:r>
      <w:r w:rsidRPr="00662777">
        <w:rPr>
          <w:rFonts w:ascii="Arial" w:hAnsi="Arial"/>
          <w:b/>
          <w:bCs/>
          <w:rtl/>
        </w:rPr>
        <w:tab/>
      </w:r>
      <w:r w:rsidRPr="00662777">
        <w:rPr>
          <w:rFonts w:ascii="Arial" w:hAnsi="Arial"/>
          <w:b/>
          <w:bCs/>
          <w:rtl/>
        </w:rPr>
        <w:tab/>
      </w:r>
    </w:p>
    <w:p w14:paraId="542815D7" w14:textId="77777777" w:rsidR="00DB4C6C" w:rsidRPr="00662777" w:rsidRDefault="00DB4C6C" w:rsidP="00DB4C6C">
      <w:pPr>
        <w:jc w:val="center"/>
        <w:rPr>
          <w:rFonts w:ascii="Arial" w:hAnsi="Arial"/>
          <w:b/>
          <w:bCs/>
          <w:rtl/>
        </w:rPr>
      </w:pPr>
    </w:p>
    <w:p w14:paraId="20DAAFF3" w14:textId="77777777" w:rsidR="00B74C35" w:rsidRPr="00A0648B" w:rsidRDefault="00B74C35" w:rsidP="00A0648B">
      <w:pPr>
        <w:keepNext/>
        <w:rPr>
          <w:rFonts w:ascii="David" w:hAnsi="David"/>
          <w:color w:val="000000"/>
          <w:sz w:val="22"/>
          <w:szCs w:val="22"/>
          <w:rtl/>
        </w:rPr>
      </w:pPr>
    </w:p>
    <w:p w14:paraId="009CC4C3" w14:textId="77777777" w:rsidR="00A0648B" w:rsidRPr="00A0648B" w:rsidRDefault="00A0648B" w:rsidP="00A0648B">
      <w:pPr>
        <w:keepNext/>
        <w:rPr>
          <w:rFonts w:ascii="David" w:hAnsi="David"/>
          <w:color w:val="000000"/>
          <w:sz w:val="22"/>
          <w:szCs w:val="22"/>
          <w:rtl/>
        </w:rPr>
      </w:pPr>
      <w:r w:rsidRPr="00A0648B">
        <w:rPr>
          <w:rFonts w:ascii="David" w:hAnsi="David"/>
          <w:color w:val="000000"/>
          <w:sz w:val="22"/>
          <w:szCs w:val="22"/>
          <w:rtl/>
        </w:rPr>
        <w:t>ארנון איתן 54678313</w:t>
      </w:r>
    </w:p>
    <w:p w14:paraId="19352B42" w14:textId="77777777" w:rsidR="00A0648B" w:rsidRDefault="00A0648B" w:rsidP="00A0648B">
      <w:r w:rsidRPr="00A0648B">
        <w:rPr>
          <w:color w:val="000000"/>
          <w:rtl/>
        </w:rPr>
        <w:t>נוסח מסמך זה כפוף לשינויי ניסוח ועריכה</w:t>
      </w:r>
    </w:p>
    <w:p w14:paraId="27C94238" w14:textId="77777777" w:rsidR="00A0648B" w:rsidRDefault="00A0648B" w:rsidP="00A0648B">
      <w:pPr>
        <w:rPr>
          <w:rtl/>
        </w:rPr>
      </w:pPr>
    </w:p>
    <w:p w14:paraId="6EFE2902" w14:textId="77777777" w:rsidR="00A0648B" w:rsidRDefault="00A0648B" w:rsidP="00A0648B">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7781EF0" w14:textId="77777777" w:rsidR="00A0648B" w:rsidRPr="00A0648B" w:rsidRDefault="00A0648B" w:rsidP="00A0648B">
      <w:pPr>
        <w:jc w:val="center"/>
        <w:rPr>
          <w:color w:val="0000FF"/>
          <w:u w:val="single"/>
        </w:rPr>
      </w:pPr>
    </w:p>
    <w:sectPr w:rsidR="00A0648B" w:rsidRPr="00A0648B" w:rsidSect="00A0648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E22DD" w14:textId="77777777" w:rsidR="004F3ACD" w:rsidRDefault="004F3ACD" w:rsidP="007941AB">
      <w:r>
        <w:separator/>
      </w:r>
    </w:p>
  </w:endnote>
  <w:endnote w:type="continuationSeparator" w:id="0">
    <w:p w14:paraId="0C51ADB6" w14:textId="77777777" w:rsidR="004F3ACD" w:rsidRDefault="004F3ACD" w:rsidP="0079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7D8AB" w14:textId="77777777" w:rsidR="00A0648B" w:rsidRDefault="00A0648B" w:rsidP="00A064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7FE0F3" w14:textId="77777777" w:rsidR="00D3112E" w:rsidRPr="00A0648B" w:rsidRDefault="00A0648B" w:rsidP="00A0648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63FD8" w14:textId="77777777" w:rsidR="00A0648B" w:rsidRDefault="00A0648B" w:rsidP="00A064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3AF9">
      <w:rPr>
        <w:rFonts w:ascii="FrankRuehl" w:hAnsi="FrankRuehl" w:cs="FrankRuehl"/>
        <w:noProof/>
        <w:rtl/>
      </w:rPr>
      <w:t>1</w:t>
    </w:r>
    <w:r>
      <w:rPr>
        <w:rFonts w:ascii="FrankRuehl" w:hAnsi="FrankRuehl" w:cs="FrankRuehl"/>
        <w:rtl/>
      </w:rPr>
      <w:fldChar w:fldCharType="end"/>
    </w:r>
  </w:p>
  <w:p w14:paraId="27CC0761" w14:textId="77777777" w:rsidR="00D3112E" w:rsidRPr="00A0648B" w:rsidRDefault="00A0648B" w:rsidP="00A0648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512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A0B65" w14:textId="77777777" w:rsidR="004F3ACD" w:rsidRDefault="004F3ACD" w:rsidP="007941AB">
      <w:r>
        <w:separator/>
      </w:r>
    </w:p>
  </w:footnote>
  <w:footnote w:type="continuationSeparator" w:id="0">
    <w:p w14:paraId="6BACB810" w14:textId="77777777" w:rsidR="004F3ACD" w:rsidRDefault="004F3ACD" w:rsidP="00794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DA9DF" w14:textId="77777777" w:rsidR="00A0648B" w:rsidRPr="00A0648B" w:rsidRDefault="00A0648B" w:rsidP="00A064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52246-06-22</w:t>
    </w:r>
    <w:r>
      <w:rPr>
        <w:rFonts w:ascii="David" w:hAnsi="David"/>
        <w:color w:val="000000"/>
        <w:sz w:val="22"/>
        <w:szCs w:val="22"/>
        <w:rtl/>
      </w:rPr>
      <w:tab/>
      <w:t xml:space="preserve"> מדינת ישראל נ' חיים פהימה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C2DB2" w14:textId="77777777" w:rsidR="00A0648B" w:rsidRPr="00A0648B" w:rsidRDefault="00A0648B" w:rsidP="00A0648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(בי"ש) 52246-06-22</w:t>
    </w:r>
    <w:r>
      <w:rPr>
        <w:rFonts w:ascii="David" w:hAnsi="David"/>
        <w:color w:val="000000"/>
        <w:sz w:val="22"/>
        <w:szCs w:val="22"/>
        <w:rtl/>
      </w:rPr>
      <w:tab/>
      <w:t xml:space="preserve"> מדינת ישראל נ' חיים פהימה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B24CFA"/>
    <w:multiLevelType w:val="hybridMultilevel"/>
    <w:tmpl w:val="00563530"/>
    <w:lvl w:ilvl="0" w:tplc="65E6834E">
      <w:start w:val="1"/>
      <w:numFmt w:val="hebrew1"/>
      <w:lvlText w:val="%1."/>
      <w:lvlJc w:val="left"/>
      <w:pPr>
        <w:ind w:left="1035" w:hanging="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D316D"/>
    <w:multiLevelType w:val="hybridMultilevel"/>
    <w:tmpl w:val="3A485F9C"/>
    <w:lvl w:ilvl="0" w:tplc="11E6E3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311729">
    <w:abstractNumId w:val="1"/>
  </w:num>
  <w:num w:numId="2" w16cid:durableId="101098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4C6C"/>
    <w:rsid w:val="00093300"/>
    <w:rsid w:val="000B28A3"/>
    <w:rsid w:val="000E3AF9"/>
    <w:rsid w:val="00173D4C"/>
    <w:rsid w:val="001B5A3B"/>
    <w:rsid w:val="004F3ACD"/>
    <w:rsid w:val="007941AB"/>
    <w:rsid w:val="0088000F"/>
    <w:rsid w:val="008C07FA"/>
    <w:rsid w:val="00A0648B"/>
    <w:rsid w:val="00B74C35"/>
    <w:rsid w:val="00D3112E"/>
    <w:rsid w:val="00D711CF"/>
    <w:rsid w:val="00DB4C6C"/>
    <w:rsid w:val="00E15BAE"/>
    <w:rsid w:val="00E371CA"/>
    <w:rsid w:val="00FE22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CFBC06"/>
  <w15:chartTrackingRefBased/>
  <w15:docId w15:val="{E4AF1E09-84F9-493E-A3E3-B7483D15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4C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4C6C"/>
    <w:pPr>
      <w:tabs>
        <w:tab w:val="center" w:pos="4153"/>
        <w:tab w:val="right" w:pos="8306"/>
      </w:tabs>
    </w:pPr>
  </w:style>
  <w:style w:type="character" w:customStyle="1" w:styleId="a4">
    <w:name w:val="כותרת עליונה תו"/>
    <w:link w:val="a3"/>
    <w:rsid w:val="00DB4C6C"/>
    <w:rPr>
      <w:rFonts w:ascii="Times New Roman" w:eastAsia="Times New Roman" w:hAnsi="Times New Roman" w:cs="David"/>
      <w:sz w:val="24"/>
      <w:szCs w:val="24"/>
    </w:rPr>
  </w:style>
  <w:style w:type="paragraph" w:styleId="a5">
    <w:name w:val="footer"/>
    <w:basedOn w:val="a"/>
    <w:link w:val="a6"/>
    <w:rsid w:val="00DB4C6C"/>
    <w:pPr>
      <w:tabs>
        <w:tab w:val="center" w:pos="4153"/>
        <w:tab w:val="right" w:pos="8306"/>
      </w:tabs>
    </w:pPr>
  </w:style>
  <w:style w:type="character" w:customStyle="1" w:styleId="a6">
    <w:name w:val="כותרת תחתונה תו"/>
    <w:link w:val="a5"/>
    <w:rsid w:val="00DB4C6C"/>
    <w:rPr>
      <w:rFonts w:ascii="Times New Roman" w:eastAsia="Times New Roman" w:hAnsi="Times New Roman" w:cs="David"/>
      <w:sz w:val="24"/>
      <w:szCs w:val="24"/>
    </w:rPr>
  </w:style>
  <w:style w:type="table" w:styleId="a7">
    <w:name w:val="Table Grid"/>
    <w:basedOn w:val="a1"/>
    <w:rsid w:val="00DB4C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B4C6C"/>
  </w:style>
  <w:style w:type="paragraph" w:styleId="a9">
    <w:name w:val="List Paragraph"/>
    <w:basedOn w:val="a"/>
    <w:qFormat/>
    <w:rsid w:val="00DB4C6C"/>
    <w:pPr>
      <w:ind w:left="720"/>
      <w:contextualSpacing/>
    </w:pPr>
  </w:style>
  <w:style w:type="character" w:styleId="Hyperlink">
    <w:name w:val="Hyperlink"/>
    <w:rsid w:val="00A06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7.b" TargetMode="External"/><Relationship Id="rId21" Type="http://schemas.openxmlformats.org/officeDocument/2006/relationships/hyperlink" Target="http://www.nevo.co.il/law/4216"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7.b" TargetMode="External"/><Relationship Id="rId17" Type="http://schemas.openxmlformats.org/officeDocument/2006/relationships/hyperlink" Target="http://www.nevo.co.il/law/70301/406.b" TargetMode="External"/><Relationship Id="rId25" Type="http://schemas.openxmlformats.org/officeDocument/2006/relationships/hyperlink" Target="http://www.nevo.co.il/case/2865833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13;19a"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6.b" TargetMode="External"/><Relationship Id="rId24" Type="http://schemas.openxmlformats.org/officeDocument/2006/relationships/hyperlink" Target="http://www.nevo.co.il/law/70301/452"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275" TargetMode="External"/><Relationship Id="rId28" Type="http://schemas.openxmlformats.org/officeDocument/2006/relationships/hyperlink" Target="http://www.nevo.co.il/case/13093721" TargetMode="External"/><Relationship Id="rId36" Type="http://schemas.openxmlformats.org/officeDocument/2006/relationships/fontTable" Target="fontTable.xml"/><Relationship Id="rId10" Type="http://schemas.openxmlformats.org/officeDocument/2006/relationships/hyperlink" Target="http://www.nevo.co.il/law/70301/384" TargetMode="External"/><Relationship Id="rId19" Type="http://schemas.openxmlformats.org/officeDocument/2006/relationships/hyperlink" Target="http://www.nevo.co.il/law/70301/384"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70301/192"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1802</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10794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4915286</vt:i4>
      </vt:variant>
      <vt:variant>
        <vt:i4>57</vt:i4>
      </vt:variant>
      <vt:variant>
        <vt:i4>0</vt:i4>
      </vt:variant>
      <vt:variant>
        <vt:i4>5</vt:i4>
      </vt:variant>
      <vt:variant>
        <vt:lpwstr>http://www.nevo.co.il/law/70301/407.b</vt:lpwstr>
      </vt:variant>
      <vt:variant>
        <vt:lpwstr/>
      </vt:variant>
      <vt:variant>
        <vt:i4>4128890</vt:i4>
      </vt:variant>
      <vt:variant>
        <vt:i4>54</vt:i4>
      </vt:variant>
      <vt:variant>
        <vt:i4>0</vt:i4>
      </vt:variant>
      <vt:variant>
        <vt:i4>5</vt:i4>
      </vt:variant>
      <vt:variant>
        <vt:lpwstr>http://www.nevo.co.il/case/28658339</vt:lpwstr>
      </vt:variant>
      <vt:variant>
        <vt:lpwstr/>
      </vt:variant>
      <vt:variant>
        <vt:i4>6291553</vt:i4>
      </vt:variant>
      <vt:variant>
        <vt:i4>51</vt:i4>
      </vt:variant>
      <vt:variant>
        <vt:i4>0</vt:i4>
      </vt:variant>
      <vt:variant>
        <vt:i4>5</vt:i4>
      </vt:variant>
      <vt:variant>
        <vt:lpwstr>http://www.nevo.co.il/law/70301/452</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8257637</vt:i4>
      </vt:variant>
      <vt:variant>
        <vt:i4>42</vt:i4>
      </vt:variant>
      <vt:variant>
        <vt:i4>0</vt:i4>
      </vt:variant>
      <vt:variant>
        <vt:i4>5</vt:i4>
      </vt:variant>
      <vt:variant>
        <vt:lpwstr>http://www.nevo.co.il/law/4216</vt:lpwstr>
      </vt:variant>
      <vt:variant>
        <vt:lpwstr/>
      </vt:variant>
      <vt:variant>
        <vt:i4>5046344</vt:i4>
      </vt:variant>
      <vt:variant>
        <vt:i4>39</vt:i4>
      </vt:variant>
      <vt:variant>
        <vt:i4>0</vt:i4>
      </vt:variant>
      <vt:variant>
        <vt:i4>5</vt:i4>
      </vt:variant>
      <vt:variant>
        <vt:lpwstr>http://www.nevo.co.il/law/4216/13;19a</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4915287</vt:i4>
      </vt:variant>
      <vt:variant>
        <vt:i4>30</vt:i4>
      </vt:variant>
      <vt:variant>
        <vt:i4>0</vt:i4>
      </vt:variant>
      <vt:variant>
        <vt:i4>5</vt:i4>
      </vt:variant>
      <vt:variant>
        <vt:lpwstr>http://www.nevo.co.il/law/70301/406.b</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4915286</vt:i4>
      </vt:variant>
      <vt:variant>
        <vt:i4>15</vt:i4>
      </vt:variant>
      <vt:variant>
        <vt:i4>0</vt:i4>
      </vt:variant>
      <vt:variant>
        <vt:i4>5</vt:i4>
      </vt:variant>
      <vt:variant>
        <vt:lpwstr>http://www.nevo.co.il/law/70301/407.b</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2025-04-23T01:30:00Z</dcterms:created>
  <dcterms:modified xsi:type="dcterms:W3CDTF">2025-04-23T01:30:00Z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52246</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חיים פהימה</vt:lpwstr>
  </property>
  <property fmtid="{D5CDD505-2E9C-101B-9397-08002B2CF9AE}" pid="10" name="LAWYER">
    <vt:lpwstr>חנן ג'בסקי</vt:lpwstr>
  </property>
  <property fmtid="{D5CDD505-2E9C-101B-9397-08002B2CF9AE}" pid="11" name="JUDGE">
    <vt:lpwstr>ארנון איתן</vt:lpwstr>
  </property>
  <property fmtid="{D5CDD505-2E9C-101B-9397-08002B2CF9AE}" pid="12" name="CITY">
    <vt:lpwstr>בי"ש</vt:lpwstr>
  </property>
  <property fmtid="{D5CDD505-2E9C-101B-9397-08002B2CF9AE}" pid="13" name="DATE">
    <vt:lpwstr>20230329</vt:lpwstr>
  </property>
  <property fmtid="{D5CDD505-2E9C-101B-9397-08002B2CF9AE}" pid="14" name="TYPE_N_DATE">
    <vt:lpwstr>38020230329</vt:lpwstr>
  </property>
  <property fmtid="{D5CDD505-2E9C-101B-9397-08002B2CF9AE}" pid="15" name="WORDNUMPAGES">
    <vt:lpwstr>5</vt:lpwstr>
  </property>
  <property fmtid="{D5CDD505-2E9C-101B-9397-08002B2CF9AE}" pid="16" name="TYPE_ABS_DATE">
    <vt:lpwstr>380020230329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28658339;13093721</vt:lpwstr>
  </property>
  <property fmtid="{D5CDD505-2E9C-101B-9397-08002B2CF9AE}" pid="36" name="LAWLISTTMP1">
    <vt:lpwstr>70301/406.b;384;192;275;452;407.b</vt:lpwstr>
  </property>
  <property fmtid="{D5CDD505-2E9C-101B-9397-08002B2CF9AE}" pid="37" name="LAWLISTTMP2">
    <vt:lpwstr>4216/013;019a</vt:lpwstr>
  </property>
</Properties>
</file>