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36545" w:rsidRPr="00662CC0" w14:paraId="6BEFD1BB" w14:textId="77777777" w:rsidTr="0092429F">
        <w:trPr>
          <w:trHeight w:hRule="exact" w:val="418"/>
          <w:jc w:val="center"/>
        </w:trPr>
        <w:tc>
          <w:tcPr>
            <w:tcW w:w="8721" w:type="dxa"/>
            <w:gridSpan w:val="2"/>
          </w:tcPr>
          <w:p w14:paraId="5141FF66" w14:textId="77777777" w:rsidR="00C36545" w:rsidRPr="00662CC0" w:rsidRDefault="00C36545" w:rsidP="006F5E82">
            <w:pPr>
              <w:pStyle w:val="a3"/>
              <w:jc w:val="center"/>
              <w:rPr>
                <w:rFonts w:ascii="Tahoma" w:hAnsi="Tahoma" w:cs="Tahoma"/>
                <w:color w:val="000080"/>
                <w:rtl/>
              </w:rPr>
            </w:pPr>
            <w:r w:rsidRPr="00662CC0">
              <w:rPr>
                <w:rFonts w:ascii="Tahoma" w:hAnsi="Tahoma" w:cs="Tahoma"/>
                <w:b/>
                <w:bCs/>
                <w:color w:val="000080"/>
                <w:rtl/>
              </w:rPr>
              <w:t>בית משפט השלום בבאר שבע</w:t>
            </w:r>
          </w:p>
        </w:tc>
      </w:tr>
      <w:tr w:rsidR="00C36545" w:rsidRPr="00662CC0" w14:paraId="7618EDF4" w14:textId="77777777" w:rsidTr="0092429F">
        <w:trPr>
          <w:trHeight w:val="337"/>
          <w:jc w:val="center"/>
        </w:trPr>
        <w:tc>
          <w:tcPr>
            <w:tcW w:w="5058" w:type="dxa"/>
          </w:tcPr>
          <w:p w14:paraId="6A4DDF6D" w14:textId="77777777" w:rsidR="00C36545" w:rsidRPr="00662CC0" w:rsidRDefault="00C36545" w:rsidP="006F5E82">
            <w:pPr>
              <w:rPr>
                <w:rFonts w:cs="FrankRuehl"/>
                <w:sz w:val="28"/>
                <w:szCs w:val="28"/>
                <w:rtl/>
              </w:rPr>
            </w:pPr>
            <w:r w:rsidRPr="00662CC0">
              <w:rPr>
                <w:rFonts w:cs="FrankRuehl"/>
                <w:sz w:val="28"/>
                <w:szCs w:val="28"/>
                <w:rtl/>
              </w:rPr>
              <w:t>ת"פ</w:t>
            </w:r>
            <w:r w:rsidRPr="00662CC0">
              <w:rPr>
                <w:rFonts w:cs="FrankRuehl" w:hint="cs"/>
                <w:sz w:val="28"/>
                <w:szCs w:val="28"/>
                <w:rtl/>
              </w:rPr>
              <w:t xml:space="preserve"> </w:t>
            </w:r>
            <w:r w:rsidRPr="00662CC0">
              <w:rPr>
                <w:rFonts w:cs="FrankRuehl"/>
                <w:sz w:val="28"/>
                <w:szCs w:val="28"/>
                <w:rtl/>
              </w:rPr>
              <w:t>66040-06-22</w:t>
            </w:r>
            <w:r w:rsidRPr="00662CC0">
              <w:rPr>
                <w:rFonts w:cs="FrankRuehl" w:hint="cs"/>
                <w:sz w:val="28"/>
                <w:szCs w:val="28"/>
                <w:rtl/>
              </w:rPr>
              <w:t xml:space="preserve"> </w:t>
            </w:r>
            <w:r w:rsidRPr="00662CC0">
              <w:rPr>
                <w:rFonts w:cs="FrankRuehl"/>
                <w:sz w:val="28"/>
                <w:szCs w:val="28"/>
                <w:rtl/>
              </w:rPr>
              <w:t>מדינת ישראל נ' מעלם(עציר)</w:t>
            </w:r>
          </w:p>
          <w:p w14:paraId="48815966" w14:textId="77777777" w:rsidR="00C36545" w:rsidRPr="00662CC0" w:rsidRDefault="00C36545" w:rsidP="006F5E82">
            <w:pPr>
              <w:pStyle w:val="a3"/>
              <w:rPr>
                <w:rFonts w:cs="FrankRuehl"/>
                <w:sz w:val="28"/>
                <w:szCs w:val="28"/>
                <w:rtl/>
              </w:rPr>
            </w:pPr>
          </w:p>
        </w:tc>
        <w:tc>
          <w:tcPr>
            <w:tcW w:w="3663" w:type="dxa"/>
          </w:tcPr>
          <w:p w14:paraId="254F811D" w14:textId="77777777" w:rsidR="00C36545" w:rsidRPr="00662CC0" w:rsidRDefault="00C36545" w:rsidP="006F5E82">
            <w:pPr>
              <w:pStyle w:val="a3"/>
              <w:jc w:val="right"/>
              <w:rPr>
                <w:rFonts w:cs="FrankRuehl"/>
                <w:sz w:val="28"/>
                <w:szCs w:val="28"/>
                <w:rtl/>
              </w:rPr>
            </w:pPr>
          </w:p>
        </w:tc>
      </w:tr>
    </w:tbl>
    <w:p w14:paraId="356DA13A" w14:textId="77777777" w:rsidR="00C36545" w:rsidRPr="00662CC0" w:rsidRDefault="00C36545" w:rsidP="0092429F">
      <w:pPr>
        <w:pStyle w:val="a3"/>
        <w:rPr>
          <w:rFonts w:ascii="Arial" w:hAnsi="Arial"/>
          <w:sz w:val="26"/>
          <w:szCs w:val="26"/>
          <w:rtl/>
        </w:rPr>
      </w:pPr>
      <w:r w:rsidRPr="00662CC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36545" w:rsidRPr="00662CC0" w14:paraId="1F7CC3BC" w14:textId="77777777" w:rsidTr="00C36545">
        <w:trPr>
          <w:trHeight w:val="295"/>
          <w:jc w:val="center"/>
        </w:trPr>
        <w:tc>
          <w:tcPr>
            <w:tcW w:w="923" w:type="dxa"/>
            <w:tcBorders>
              <w:top w:val="nil"/>
              <w:left w:val="nil"/>
              <w:bottom w:val="nil"/>
              <w:right w:val="nil"/>
            </w:tcBorders>
            <w:shd w:val="clear" w:color="auto" w:fill="auto"/>
          </w:tcPr>
          <w:p w14:paraId="49CF0403" w14:textId="77777777" w:rsidR="00C36545" w:rsidRPr="00662CC0" w:rsidRDefault="00C36545" w:rsidP="00C36545">
            <w:pPr>
              <w:jc w:val="both"/>
              <w:rPr>
                <w:rFonts w:ascii="David" w:hAnsi="David"/>
                <w:b/>
                <w:bCs/>
                <w:sz w:val="26"/>
                <w:szCs w:val="26"/>
              </w:rPr>
            </w:pPr>
            <w:r w:rsidRPr="00662CC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5D9CE0B" w14:textId="77777777" w:rsidR="00C36545" w:rsidRPr="00662CC0" w:rsidRDefault="00C36545" w:rsidP="006F5E82">
            <w:pPr>
              <w:rPr>
                <w:rFonts w:ascii="David" w:hAnsi="David"/>
                <w:b/>
                <w:bCs/>
                <w:sz w:val="26"/>
                <w:szCs w:val="26"/>
                <w:rtl/>
              </w:rPr>
            </w:pPr>
            <w:r w:rsidRPr="00662CC0">
              <w:rPr>
                <w:rFonts w:ascii="David" w:hAnsi="David"/>
                <w:b/>
                <w:bCs/>
                <w:sz w:val="26"/>
                <w:szCs w:val="26"/>
                <w:rtl/>
              </w:rPr>
              <w:t>כבוד השופטת, סגנית הנשיא  ענת חולתא</w:t>
            </w:r>
          </w:p>
          <w:p w14:paraId="2FC24581" w14:textId="77777777" w:rsidR="00C36545" w:rsidRPr="00662CC0" w:rsidRDefault="00C36545" w:rsidP="006F5E82">
            <w:pPr>
              <w:rPr>
                <w:rFonts w:ascii="David" w:hAnsi="David"/>
                <w:b/>
                <w:bCs/>
                <w:sz w:val="26"/>
                <w:szCs w:val="26"/>
                <w:rtl/>
              </w:rPr>
            </w:pPr>
          </w:p>
          <w:p w14:paraId="4AF1209B" w14:textId="77777777" w:rsidR="00C36545" w:rsidRPr="00662CC0" w:rsidRDefault="00C36545" w:rsidP="00C36545">
            <w:pPr>
              <w:jc w:val="both"/>
              <w:rPr>
                <w:rFonts w:ascii="David" w:hAnsi="David"/>
                <w:b/>
                <w:bCs/>
                <w:sz w:val="26"/>
                <w:szCs w:val="26"/>
              </w:rPr>
            </w:pPr>
          </w:p>
        </w:tc>
      </w:tr>
      <w:tr w:rsidR="00C36545" w:rsidRPr="00662CC0" w14:paraId="107F2E89" w14:textId="77777777" w:rsidTr="00C36545">
        <w:trPr>
          <w:trHeight w:val="355"/>
          <w:jc w:val="center"/>
        </w:trPr>
        <w:tc>
          <w:tcPr>
            <w:tcW w:w="923" w:type="dxa"/>
            <w:tcBorders>
              <w:top w:val="nil"/>
              <w:left w:val="nil"/>
              <w:bottom w:val="nil"/>
              <w:right w:val="nil"/>
            </w:tcBorders>
            <w:shd w:val="clear" w:color="auto" w:fill="auto"/>
          </w:tcPr>
          <w:p w14:paraId="106DCC94" w14:textId="77777777" w:rsidR="00C36545" w:rsidRPr="00662CC0" w:rsidRDefault="00C36545" w:rsidP="00C36545">
            <w:pPr>
              <w:jc w:val="both"/>
              <w:rPr>
                <w:rFonts w:ascii="David" w:hAnsi="David"/>
                <w:b/>
                <w:bCs/>
                <w:sz w:val="26"/>
                <w:szCs w:val="26"/>
              </w:rPr>
            </w:pPr>
            <w:bookmarkStart w:id="0" w:name="FirstAppellant"/>
            <w:bookmarkStart w:id="1" w:name="FirstLawyer"/>
            <w:bookmarkStart w:id="2" w:name="LastJudge"/>
            <w:bookmarkEnd w:id="2"/>
            <w:r w:rsidRPr="00662CC0">
              <w:rPr>
                <w:rFonts w:ascii="David" w:hAnsi="David"/>
                <w:b/>
                <w:bCs/>
                <w:sz w:val="26"/>
                <w:szCs w:val="26"/>
                <w:rtl/>
              </w:rPr>
              <w:t>בעניין:</w:t>
            </w:r>
          </w:p>
        </w:tc>
        <w:tc>
          <w:tcPr>
            <w:tcW w:w="3219" w:type="dxa"/>
            <w:tcBorders>
              <w:top w:val="nil"/>
              <w:left w:val="nil"/>
              <w:bottom w:val="nil"/>
              <w:right w:val="nil"/>
            </w:tcBorders>
            <w:shd w:val="clear" w:color="auto" w:fill="auto"/>
          </w:tcPr>
          <w:p w14:paraId="5F4E15F7" w14:textId="77777777" w:rsidR="00C36545" w:rsidRPr="00662CC0" w:rsidRDefault="00C36545" w:rsidP="00C36545">
            <w:pPr>
              <w:suppressLineNumbers/>
              <w:rPr>
                <w:b/>
                <w:bCs/>
              </w:rPr>
            </w:pPr>
            <w:r w:rsidRPr="00662CC0">
              <w:rPr>
                <w:rFonts w:ascii="Arial" w:hAnsi="Arial" w:hint="cs"/>
                <w:b/>
                <w:bCs/>
                <w:sz w:val="26"/>
                <w:szCs w:val="26"/>
                <w:rtl/>
              </w:rPr>
              <w:t>ה</w:t>
            </w:r>
            <w:r w:rsidRPr="00662CC0">
              <w:rPr>
                <w:rFonts w:ascii="Arial" w:hAnsi="Arial"/>
                <w:b/>
                <w:bCs/>
                <w:sz w:val="26"/>
                <w:szCs w:val="26"/>
                <w:rtl/>
              </w:rPr>
              <w:t>מאשימה</w:t>
            </w:r>
          </w:p>
          <w:p w14:paraId="51AD9A84" w14:textId="77777777" w:rsidR="00C36545" w:rsidRPr="00662CC0" w:rsidRDefault="00C36545" w:rsidP="006F5E82">
            <w:pPr>
              <w:rPr>
                <w:rFonts w:ascii="David" w:hAnsi="David"/>
                <w:b/>
                <w:bCs/>
                <w:sz w:val="26"/>
                <w:szCs w:val="26"/>
              </w:rPr>
            </w:pPr>
          </w:p>
        </w:tc>
        <w:tc>
          <w:tcPr>
            <w:tcW w:w="4678" w:type="dxa"/>
            <w:tcBorders>
              <w:top w:val="nil"/>
              <w:left w:val="nil"/>
              <w:bottom w:val="nil"/>
              <w:right w:val="nil"/>
            </w:tcBorders>
            <w:shd w:val="clear" w:color="auto" w:fill="auto"/>
            <w:vAlign w:val="center"/>
          </w:tcPr>
          <w:p w14:paraId="0C0DA87A" w14:textId="77777777" w:rsidR="00C36545" w:rsidRPr="00662CC0" w:rsidRDefault="00C36545" w:rsidP="00C36545">
            <w:pPr>
              <w:suppressLineNumbers/>
              <w:rPr>
                <w:rFonts w:ascii="Arial" w:hAnsi="Arial"/>
                <w:b/>
                <w:bCs/>
                <w:sz w:val="26"/>
                <w:szCs w:val="26"/>
                <w:rtl/>
              </w:rPr>
            </w:pPr>
            <w:r w:rsidRPr="00662CC0">
              <w:rPr>
                <w:rFonts w:ascii="Arial" w:hAnsi="Arial"/>
                <w:b/>
                <w:bCs/>
                <w:sz w:val="26"/>
                <w:szCs w:val="26"/>
                <w:rtl/>
              </w:rPr>
              <w:t>מדינת ישראל</w:t>
            </w:r>
            <w:r w:rsidRPr="00662CC0">
              <w:rPr>
                <w:rFonts w:ascii="Arial" w:hAnsi="Arial" w:hint="cs"/>
                <w:b/>
                <w:bCs/>
                <w:sz w:val="26"/>
                <w:szCs w:val="26"/>
                <w:rtl/>
              </w:rPr>
              <w:t xml:space="preserve"> </w:t>
            </w:r>
            <w:r w:rsidRPr="00662CC0">
              <w:rPr>
                <w:rFonts w:ascii="Arial" w:hAnsi="Arial"/>
                <w:b/>
                <w:bCs/>
                <w:sz w:val="26"/>
                <w:szCs w:val="26"/>
                <w:rtl/>
              </w:rPr>
              <w:t>–</w:t>
            </w:r>
            <w:r w:rsidRPr="00662CC0">
              <w:rPr>
                <w:rFonts w:ascii="Arial" w:hAnsi="Arial" w:hint="cs"/>
                <w:b/>
                <w:bCs/>
                <w:sz w:val="26"/>
                <w:szCs w:val="26"/>
                <w:rtl/>
              </w:rPr>
              <w:t xml:space="preserve"> פמ"ד</w:t>
            </w:r>
          </w:p>
          <w:p w14:paraId="030500BA" w14:textId="77777777" w:rsidR="00C36545" w:rsidRPr="00662CC0" w:rsidRDefault="00C36545" w:rsidP="00C36545">
            <w:pPr>
              <w:suppressLineNumbers/>
              <w:rPr>
                <w:b/>
                <w:bCs/>
              </w:rPr>
            </w:pPr>
            <w:r w:rsidRPr="00662CC0">
              <w:rPr>
                <w:rFonts w:ascii="Arial" w:hAnsi="Arial"/>
                <w:b/>
                <w:bCs/>
                <w:sz w:val="26"/>
                <w:szCs w:val="26"/>
                <w:rtl/>
              </w:rPr>
              <w:t>ע"י ב"כ עוה"ד</w:t>
            </w:r>
            <w:r w:rsidRPr="00662CC0">
              <w:rPr>
                <w:rFonts w:ascii="Arial" w:hAnsi="Arial" w:hint="cs"/>
                <w:b/>
                <w:bCs/>
                <w:sz w:val="26"/>
                <w:szCs w:val="26"/>
                <w:rtl/>
              </w:rPr>
              <w:t xml:space="preserve"> גל אוסטיאק</w:t>
            </w:r>
          </w:p>
          <w:p w14:paraId="71F9A015" w14:textId="77777777" w:rsidR="00C36545" w:rsidRPr="00662CC0" w:rsidRDefault="00C36545" w:rsidP="006F5E82">
            <w:pPr>
              <w:rPr>
                <w:rFonts w:ascii="David" w:hAnsi="David"/>
                <w:b/>
                <w:bCs/>
                <w:sz w:val="26"/>
                <w:szCs w:val="26"/>
              </w:rPr>
            </w:pPr>
          </w:p>
        </w:tc>
      </w:tr>
      <w:bookmarkEnd w:id="0"/>
      <w:bookmarkEnd w:id="1"/>
      <w:tr w:rsidR="00C36545" w:rsidRPr="00662CC0" w14:paraId="0812B0BB" w14:textId="77777777" w:rsidTr="00C36545">
        <w:trPr>
          <w:trHeight w:val="355"/>
          <w:jc w:val="center"/>
        </w:trPr>
        <w:tc>
          <w:tcPr>
            <w:tcW w:w="923" w:type="dxa"/>
            <w:tcBorders>
              <w:top w:val="nil"/>
              <w:left w:val="nil"/>
              <w:bottom w:val="nil"/>
              <w:right w:val="nil"/>
            </w:tcBorders>
            <w:shd w:val="clear" w:color="auto" w:fill="auto"/>
          </w:tcPr>
          <w:p w14:paraId="7A28ED59" w14:textId="77777777" w:rsidR="00C36545" w:rsidRPr="00662CC0" w:rsidRDefault="00C36545" w:rsidP="00C3654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F265649" w14:textId="77777777" w:rsidR="00C36545" w:rsidRPr="00662CC0" w:rsidRDefault="00C36545" w:rsidP="00C36545">
            <w:pPr>
              <w:jc w:val="center"/>
              <w:rPr>
                <w:rFonts w:ascii="David" w:hAnsi="David"/>
                <w:b/>
                <w:bCs/>
                <w:sz w:val="26"/>
                <w:szCs w:val="26"/>
                <w:rtl/>
              </w:rPr>
            </w:pPr>
          </w:p>
          <w:p w14:paraId="4CC8F82C" w14:textId="77777777" w:rsidR="00C36545" w:rsidRPr="00662CC0" w:rsidRDefault="00C36545" w:rsidP="00C36545">
            <w:pPr>
              <w:jc w:val="center"/>
              <w:rPr>
                <w:rFonts w:ascii="David" w:hAnsi="David"/>
                <w:b/>
                <w:bCs/>
                <w:sz w:val="26"/>
                <w:szCs w:val="26"/>
                <w:rtl/>
              </w:rPr>
            </w:pPr>
            <w:r w:rsidRPr="00662CC0">
              <w:rPr>
                <w:rFonts w:ascii="David" w:hAnsi="David"/>
                <w:b/>
                <w:bCs/>
                <w:sz w:val="26"/>
                <w:szCs w:val="26"/>
                <w:rtl/>
              </w:rPr>
              <w:t>נגד</w:t>
            </w:r>
          </w:p>
          <w:p w14:paraId="54E59F07" w14:textId="77777777" w:rsidR="00C36545" w:rsidRPr="00662CC0" w:rsidRDefault="00C36545" w:rsidP="00C36545">
            <w:pPr>
              <w:jc w:val="both"/>
              <w:rPr>
                <w:rFonts w:ascii="David" w:hAnsi="David"/>
                <w:b/>
                <w:bCs/>
                <w:sz w:val="26"/>
                <w:szCs w:val="26"/>
              </w:rPr>
            </w:pPr>
          </w:p>
        </w:tc>
      </w:tr>
      <w:tr w:rsidR="00C36545" w:rsidRPr="00662CC0" w14:paraId="44CE194E" w14:textId="77777777" w:rsidTr="00C36545">
        <w:trPr>
          <w:trHeight w:val="355"/>
          <w:jc w:val="center"/>
        </w:trPr>
        <w:tc>
          <w:tcPr>
            <w:tcW w:w="923" w:type="dxa"/>
            <w:tcBorders>
              <w:top w:val="nil"/>
              <w:left w:val="nil"/>
              <w:bottom w:val="nil"/>
              <w:right w:val="nil"/>
            </w:tcBorders>
            <w:shd w:val="clear" w:color="auto" w:fill="auto"/>
          </w:tcPr>
          <w:p w14:paraId="50129999" w14:textId="77777777" w:rsidR="00C36545" w:rsidRPr="00662CC0" w:rsidRDefault="00C36545" w:rsidP="006F5E82">
            <w:pPr>
              <w:rPr>
                <w:rFonts w:ascii="David" w:hAnsi="David"/>
                <w:b/>
                <w:bCs/>
                <w:sz w:val="26"/>
                <w:szCs w:val="26"/>
                <w:rtl/>
              </w:rPr>
            </w:pPr>
          </w:p>
        </w:tc>
        <w:tc>
          <w:tcPr>
            <w:tcW w:w="3219" w:type="dxa"/>
            <w:tcBorders>
              <w:top w:val="nil"/>
              <w:left w:val="nil"/>
              <w:bottom w:val="nil"/>
              <w:right w:val="nil"/>
            </w:tcBorders>
            <w:shd w:val="clear" w:color="auto" w:fill="auto"/>
          </w:tcPr>
          <w:p w14:paraId="749B6E1A" w14:textId="77777777" w:rsidR="00C36545" w:rsidRPr="00662CC0" w:rsidRDefault="00C36545" w:rsidP="006F5E82">
            <w:pPr>
              <w:rPr>
                <w:rFonts w:ascii="Arial" w:hAnsi="Arial"/>
                <w:b/>
                <w:bCs/>
                <w:sz w:val="26"/>
                <w:szCs w:val="26"/>
                <w:rtl/>
              </w:rPr>
            </w:pPr>
            <w:r w:rsidRPr="00662CC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9DBCE64" w14:textId="77777777" w:rsidR="00C36545" w:rsidRPr="00662CC0" w:rsidRDefault="00C36545" w:rsidP="00C36545">
            <w:pPr>
              <w:suppressLineNumbers/>
              <w:rPr>
                <w:b/>
                <w:bCs/>
              </w:rPr>
            </w:pPr>
            <w:r w:rsidRPr="00662CC0">
              <w:rPr>
                <w:rFonts w:ascii="Arial" w:hAnsi="Arial"/>
                <w:b/>
                <w:bCs/>
                <w:sz w:val="26"/>
                <w:szCs w:val="26"/>
                <w:rtl/>
              </w:rPr>
              <w:t>אלי מעלם (עציר)</w:t>
            </w:r>
            <w:r w:rsidRPr="00662CC0">
              <w:rPr>
                <w:rFonts w:ascii="Arial" w:hAnsi="Arial" w:hint="cs"/>
                <w:b/>
                <w:bCs/>
                <w:sz w:val="26"/>
                <w:szCs w:val="26"/>
                <w:rtl/>
              </w:rPr>
              <w:t>- נוכח</w:t>
            </w:r>
          </w:p>
          <w:p w14:paraId="50897804" w14:textId="77777777" w:rsidR="00C36545" w:rsidRPr="00662CC0" w:rsidRDefault="00C36545" w:rsidP="006F5E82">
            <w:pPr>
              <w:rPr>
                <w:rFonts w:ascii="David" w:hAnsi="David"/>
                <w:b/>
                <w:bCs/>
                <w:sz w:val="26"/>
                <w:szCs w:val="26"/>
              </w:rPr>
            </w:pPr>
            <w:r w:rsidRPr="00662CC0">
              <w:rPr>
                <w:rFonts w:ascii="David" w:hAnsi="David" w:hint="cs"/>
                <w:b/>
                <w:bCs/>
                <w:sz w:val="26"/>
                <w:szCs w:val="26"/>
                <w:rtl/>
              </w:rPr>
              <w:t>ע"י עו"ד טל ארד</w:t>
            </w:r>
          </w:p>
        </w:tc>
      </w:tr>
    </w:tbl>
    <w:p w14:paraId="31AD95BC" w14:textId="77777777" w:rsidR="0092429F" w:rsidRDefault="0092429F" w:rsidP="00662CC0">
      <w:pPr>
        <w:rPr>
          <w:rtl/>
        </w:rPr>
      </w:pPr>
    </w:p>
    <w:p w14:paraId="6B562350" w14:textId="77777777" w:rsidR="0092429F" w:rsidRPr="0092429F" w:rsidRDefault="0092429F" w:rsidP="0092429F">
      <w:pPr>
        <w:spacing w:after="120" w:line="240" w:lineRule="exact"/>
        <w:ind w:left="283" w:hanging="283"/>
        <w:jc w:val="both"/>
        <w:rPr>
          <w:rFonts w:ascii="FrankRuehl" w:hAnsi="FrankRuehl" w:cs="FrankRuehl"/>
          <w:rtl/>
        </w:rPr>
      </w:pPr>
    </w:p>
    <w:p w14:paraId="6295A1FB" w14:textId="77777777" w:rsidR="00EB18AE" w:rsidRPr="00EB18AE" w:rsidRDefault="00EB18AE" w:rsidP="00EB18AE">
      <w:pPr>
        <w:spacing w:before="120" w:after="120" w:line="240" w:lineRule="exact"/>
        <w:ind w:left="283" w:hanging="283"/>
        <w:jc w:val="both"/>
        <w:rPr>
          <w:rFonts w:ascii="FrankRuehl" w:hAnsi="FrankRuehl" w:cs="FrankRuehl"/>
          <w:rtl/>
        </w:rPr>
      </w:pPr>
    </w:p>
    <w:p w14:paraId="21740602" w14:textId="77777777" w:rsidR="00AB516A" w:rsidRDefault="00AB516A" w:rsidP="00AB516A">
      <w:pPr>
        <w:rPr>
          <w:rtl/>
        </w:rPr>
      </w:pPr>
      <w:bookmarkStart w:id="3" w:name="LawTable"/>
      <w:bookmarkEnd w:id="3"/>
    </w:p>
    <w:p w14:paraId="7B173CCF" w14:textId="77777777" w:rsidR="00AB516A" w:rsidRPr="00AB516A" w:rsidRDefault="00AB516A" w:rsidP="00AB516A">
      <w:pPr>
        <w:spacing w:before="120" w:after="120" w:line="240" w:lineRule="exact"/>
        <w:ind w:left="283" w:hanging="283"/>
        <w:jc w:val="both"/>
        <w:rPr>
          <w:rFonts w:ascii="FrankRuehl" w:hAnsi="FrankRuehl" w:cs="FrankRuehl"/>
          <w:rtl/>
        </w:rPr>
      </w:pPr>
    </w:p>
    <w:p w14:paraId="4584D958" w14:textId="77777777" w:rsidR="00AB516A" w:rsidRPr="00AB516A" w:rsidRDefault="00AB516A" w:rsidP="00AB516A">
      <w:pPr>
        <w:spacing w:before="120" w:after="120" w:line="240" w:lineRule="exact"/>
        <w:ind w:left="283" w:hanging="283"/>
        <w:jc w:val="both"/>
        <w:rPr>
          <w:rFonts w:ascii="FrankRuehl" w:hAnsi="FrankRuehl" w:cs="FrankRuehl"/>
          <w:rtl/>
        </w:rPr>
      </w:pPr>
    </w:p>
    <w:p w14:paraId="1492E076" w14:textId="77777777" w:rsidR="00AB516A" w:rsidRPr="00AB516A" w:rsidRDefault="00AB516A" w:rsidP="00AB516A">
      <w:pPr>
        <w:spacing w:before="120" w:after="120" w:line="240" w:lineRule="exact"/>
        <w:ind w:left="283" w:hanging="283"/>
        <w:jc w:val="both"/>
        <w:rPr>
          <w:rFonts w:ascii="FrankRuehl" w:hAnsi="FrankRuehl" w:cs="FrankRuehl"/>
          <w:rtl/>
        </w:rPr>
      </w:pPr>
      <w:r w:rsidRPr="00AB516A">
        <w:rPr>
          <w:rFonts w:ascii="FrankRuehl" w:hAnsi="FrankRuehl" w:cs="FrankRuehl"/>
          <w:rtl/>
        </w:rPr>
        <w:t xml:space="preserve">חקיקה שאוזכרה: </w:t>
      </w:r>
    </w:p>
    <w:p w14:paraId="61B9BA06" w14:textId="77777777" w:rsidR="00AB516A" w:rsidRPr="00AB516A" w:rsidRDefault="00AB516A" w:rsidP="00AB516A">
      <w:pPr>
        <w:spacing w:before="120" w:after="120" w:line="240" w:lineRule="exact"/>
        <w:ind w:left="283" w:hanging="283"/>
        <w:jc w:val="both"/>
        <w:rPr>
          <w:rFonts w:ascii="FrankRuehl" w:hAnsi="FrankRuehl" w:cs="FrankRuehl"/>
          <w:rtl/>
        </w:rPr>
      </w:pPr>
      <w:hyperlink r:id="rId7" w:history="1">
        <w:r w:rsidRPr="00AB516A">
          <w:rPr>
            <w:rFonts w:ascii="FrankRuehl" w:hAnsi="FrankRuehl" w:cs="FrankRuehl"/>
            <w:color w:val="0000FF"/>
            <w:rtl/>
          </w:rPr>
          <w:t>פקודת הסמים המסוכנים [נוסח חדש], תשל"ג-1973</w:t>
        </w:r>
      </w:hyperlink>
      <w:r w:rsidRPr="00AB516A">
        <w:rPr>
          <w:rFonts w:ascii="FrankRuehl" w:hAnsi="FrankRuehl" w:cs="FrankRuehl"/>
          <w:rtl/>
        </w:rPr>
        <w:t xml:space="preserve">: סע'  </w:t>
      </w:r>
      <w:hyperlink r:id="rId8" w:history="1">
        <w:r w:rsidRPr="00AB516A">
          <w:rPr>
            <w:rFonts w:ascii="FrankRuehl" w:hAnsi="FrankRuehl" w:cs="FrankRuehl"/>
            <w:color w:val="0000FF"/>
            <w:rtl/>
          </w:rPr>
          <w:t>6</w:t>
        </w:r>
      </w:hyperlink>
      <w:r w:rsidRPr="00AB516A">
        <w:rPr>
          <w:rFonts w:ascii="FrankRuehl" w:hAnsi="FrankRuehl" w:cs="FrankRuehl"/>
          <w:rtl/>
        </w:rPr>
        <w:t xml:space="preserve">, </w:t>
      </w:r>
      <w:hyperlink r:id="rId9" w:history="1">
        <w:r w:rsidRPr="00AB516A">
          <w:rPr>
            <w:rFonts w:ascii="FrankRuehl" w:hAnsi="FrankRuehl" w:cs="FrankRuehl"/>
            <w:color w:val="0000FF"/>
            <w:rtl/>
          </w:rPr>
          <w:t>7(א)</w:t>
        </w:r>
      </w:hyperlink>
      <w:r w:rsidRPr="00AB516A">
        <w:rPr>
          <w:rFonts w:ascii="FrankRuehl" w:hAnsi="FrankRuehl" w:cs="FrankRuehl"/>
          <w:rtl/>
        </w:rPr>
        <w:t xml:space="preserve">, </w:t>
      </w:r>
      <w:hyperlink r:id="rId10" w:history="1">
        <w:r w:rsidRPr="00AB516A">
          <w:rPr>
            <w:rFonts w:ascii="FrankRuehl" w:hAnsi="FrankRuehl" w:cs="FrankRuehl"/>
            <w:color w:val="0000FF"/>
            <w:rtl/>
          </w:rPr>
          <w:t>7(ג)</w:t>
        </w:r>
      </w:hyperlink>
      <w:r w:rsidRPr="00AB516A">
        <w:rPr>
          <w:rFonts w:ascii="FrankRuehl" w:hAnsi="FrankRuehl" w:cs="FrankRuehl"/>
          <w:rtl/>
        </w:rPr>
        <w:t xml:space="preserve">, </w:t>
      </w:r>
      <w:hyperlink r:id="rId11" w:history="1">
        <w:r w:rsidRPr="00AB516A">
          <w:rPr>
            <w:rFonts w:ascii="FrankRuehl" w:hAnsi="FrankRuehl" w:cs="FrankRuehl"/>
            <w:color w:val="0000FF"/>
            <w:rtl/>
          </w:rPr>
          <w:t>10</w:t>
        </w:r>
      </w:hyperlink>
      <w:r w:rsidRPr="00AB516A">
        <w:rPr>
          <w:rFonts w:ascii="FrankRuehl" w:hAnsi="FrankRuehl" w:cs="FrankRuehl"/>
          <w:rtl/>
        </w:rPr>
        <w:t xml:space="preserve">, </w:t>
      </w:r>
      <w:hyperlink r:id="rId12" w:history="1">
        <w:r w:rsidRPr="00AB516A">
          <w:rPr>
            <w:rFonts w:ascii="FrankRuehl" w:hAnsi="FrankRuehl" w:cs="FrankRuehl"/>
            <w:color w:val="0000FF"/>
            <w:rtl/>
          </w:rPr>
          <w:t>36א(א)</w:t>
        </w:r>
      </w:hyperlink>
      <w:r w:rsidRPr="00AB516A">
        <w:rPr>
          <w:rFonts w:ascii="FrankRuehl" w:hAnsi="FrankRuehl" w:cs="FrankRuehl"/>
          <w:rtl/>
        </w:rPr>
        <w:t xml:space="preserve">, </w:t>
      </w:r>
      <w:hyperlink r:id="rId13" w:history="1">
        <w:r w:rsidRPr="00AB516A">
          <w:rPr>
            <w:rFonts w:ascii="FrankRuehl" w:hAnsi="FrankRuehl" w:cs="FrankRuehl"/>
            <w:color w:val="0000FF"/>
            <w:rtl/>
          </w:rPr>
          <w:t>ב</w:t>
        </w:r>
      </w:hyperlink>
      <w:r w:rsidRPr="00AB516A">
        <w:rPr>
          <w:rFonts w:ascii="FrankRuehl" w:hAnsi="FrankRuehl" w:cs="FrankRuehl"/>
          <w:rtl/>
        </w:rPr>
        <w:t xml:space="preserve">, </w:t>
      </w:r>
      <w:hyperlink r:id="rId14" w:history="1">
        <w:r w:rsidRPr="00AB516A">
          <w:rPr>
            <w:rFonts w:ascii="FrankRuehl" w:hAnsi="FrankRuehl" w:cs="FrankRuehl"/>
            <w:color w:val="0000FF"/>
            <w:rtl/>
          </w:rPr>
          <w:t>37א(א1)</w:t>
        </w:r>
      </w:hyperlink>
    </w:p>
    <w:p w14:paraId="2D2269FF" w14:textId="77777777" w:rsidR="00AB516A" w:rsidRPr="00AB516A" w:rsidRDefault="00AB516A" w:rsidP="00AB516A">
      <w:pPr>
        <w:spacing w:before="120" w:after="120" w:line="240" w:lineRule="exact"/>
        <w:ind w:left="283" w:hanging="283"/>
        <w:jc w:val="both"/>
        <w:rPr>
          <w:rFonts w:ascii="FrankRuehl" w:hAnsi="FrankRuehl" w:cs="FrankRuehl"/>
          <w:rtl/>
        </w:rPr>
      </w:pPr>
      <w:hyperlink r:id="rId15" w:history="1">
        <w:r w:rsidRPr="00AB516A">
          <w:rPr>
            <w:rFonts w:ascii="FrankRuehl" w:hAnsi="FrankRuehl" w:cs="FrankRuehl"/>
            <w:color w:val="0000FF"/>
            <w:rtl/>
          </w:rPr>
          <w:t>פקודת סדר הדין הפלילי (מעצר וחיפוש) [נוסח חדש], תשכ"ט-1969</w:t>
        </w:r>
      </w:hyperlink>
      <w:r w:rsidRPr="00AB516A">
        <w:rPr>
          <w:rFonts w:ascii="FrankRuehl" w:hAnsi="FrankRuehl" w:cs="FrankRuehl"/>
          <w:rtl/>
        </w:rPr>
        <w:t xml:space="preserve">: סע'  </w:t>
      </w:r>
      <w:hyperlink r:id="rId16" w:history="1">
        <w:r w:rsidRPr="00AB516A">
          <w:rPr>
            <w:rFonts w:ascii="FrankRuehl" w:hAnsi="FrankRuehl" w:cs="FrankRuehl"/>
            <w:color w:val="0000FF"/>
            <w:rtl/>
          </w:rPr>
          <w:t>39(א)</w:t>
        </w:r>
      </w:hyperlink>
    </w:p>
    <w:p w14:paraId="1C49321B" w14:textId="77777777" w:rsidR="00AB516A" w:rsidRPr="00AB516A" w:rsidRDefault="00AB516A" w:rsidP="00AB516A">
      <w:pPr>
        <w:rPr>
          <w:rtl/>
        </w:rPr>
      </w:pPr>
      <w:bookmarkStart w:id="4" w:name="LawTable_End"/>
      <w:bookmarkEnd w:id="4"/>
    </w:p>
    <w:p w14:paraId="3F1400D0" w14:textId="77777777" w:rsidR="00662CC0" w:rsidRPr="00EB18AE" w:rsidRDefault="00662CC0" w:rsidP="00EB18A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6545" w:rsidRPr="009C2A07" w14:paraId="5E9731C5" w14:textId="77777777" w:rsidTr="00C36545">
        <w:trPr>
          <w:trHeight w:val="355"/>
          <w:jc w:val="center"/>
        </w:trPr>
        <w:tc>
          <w:tcPr>
            <w:tcW w:w="8820" w:type="dxa"/>
            <w:tcBorders>
              <w:top w:val="nil"/>
              <w:left w:val="nil"/>
              <w:bottom w:val="nil"/>
              <w:right w:val="nil"/>
            </w:tcBorders>
            <w:shd w:val="clear" w:color="auto" w:fill="auto"/>
          </w:tcPr>
          <w:p w14:paraId="7D6FFE94" w14:textId="77777777" w:rsidR="00662CC0" w:rsidRPr="00662CC0" w:rsidRDefault="00662CC0" w:rsidP="00662CC0">
            <w:pPr>
              <w:jc w:val="center"/>
              <w:rPr>
                <w:rFonts w:ascii="David" w:hAnsi="David"/>
                <w:b/>
                <w:bCs/>
                <w:sz w:val="32"/>
                <w:szCs w:val="32"/>
                <w:rtl/>
              </w:rPr>
            </w:pPr>
            <w:bookmarkStart w:id="5" w:name="PsakDin" w:colFirst="0" w:colLast="0"/>
            <w:r w:rsidRPr="00662CC0">
              <w:rPr>
                <w:rFonts w:ascii="David" w:hAnsi="David"/>
                <w:b/>
                <w:bCs/>
                <w:sz w:val="32"/>
                <w:szCs w:val="32"/>
                <w:rtl/>
              </w:rPr>
              <w:t>גזר דין</w:t>
            </w:r>
          </w:p>
          <w:p w14:paraId="4C867DDC" w14:textId="77777777" w:rsidR="00C36545" w:rsidRPr="00662CC0" w:rsidRDefault="00C36545" w:rsidP="00662CC0">
            <w:pPr>
              <w:jc w:val="center"/>
              <w:rPr>
                <w:rFonts w:ascii="David" w:hAnsi="David"/>
                <w:bCs/>
                <w:sz w:val="32"/>
                <w:szCs w:val="32"/>
                <w:rtl/>
              </w:rPr>
            </w:pPr>
          </w:p>
        </w:tc>
      </w:tr>
      <w:bookmarkEnd w:id="5"/>
    </w:tbl>
    <w:p w14:paraId="695D2C07" w14:textId="77777777" w:rsidR="00C36545" w:rsidRPr="000F2247" w:rsidRDefault="00C36545" w:rsidP="00C36545">
      <w:pPr>
        <w:rPr>
          <w:rFonts w:ascii="Arial" w:hAnsi="Arial"/>
          <w:b/>
          <w:bCs/>
          <w:sz w:val="26"/>
          <w:szCs w:val="26"/>
          <w:rtl/>
        </w:rPr>
      </w:pPr>
    </w:p>
    <w:p w14:paraId="366F041A" w14:textId="77777777" w:rsidR="00C36545" w:rsidRDefault="00C36545" w:rsidP="00C36545">
      <w:pPr>
        <w:spacing w:line="360" w:lineRule="auto"/>
        <w:jc w:val="both"/>
        <w:rPr>
          <w:rFonts w:ascii="David" w:hAnsi="David"/>
          <w:b/>
          <w:bCs/>
          <w:u w:val="single"/>
          <w:rtl/>
        </w:rPr>
      </w:pPr>
      <w:r>
        <w:rPr>
          <w:rFonts w:ascii="David" w:hAnsi="David"/>
          <w:b/>
          <w:bCs/>
          <w:u w:val="single"/>
          <w:rtl/>
        </w:rPr>
        <w:t>רקע:</w:t>
      </w:r>
    </w:p>
    <w:p w14:paraId="5BFD2113" w14:textId="77777777" w:rsidR="00C36545" w:rsidRDefault="00C36545" w:rsidP="00C36545">
      <w:pPr>
        <w:spacing w:line="360" w:lineRule="auto"/>
        <w:jc w:val="both"/>
        <w:rPr>
          <w:rFonts w:ascii="David" w:hAnsi="David"/>
          <w:b/>
          <w:bCs/>
          <w:u w:val="single"/>
        </w:rPr>
      </w:pPr>
    </w:p>
    <w:p w14:paraId="18EAC89F" w14:textId="77777777" w:rsidR="00C36545" w:rsidRPr="00C36545" w:rsidRDefault="00C36545" w:rsidP="00C36545">
      <w:pPr>
        <w:pStyle w:val="aa"/>
        <w:numPr>
          <w:ilvl w:val="0"/>
          <w:numId w:val="1"/>
        </w:numPr>
        <w:spacing w:line="360" w:lineRule="auto"/>
        <w:jc w:val="both"/>
      </w:pPr>
      <w:bookmarkStart w:id="6" w:name="ABSTRACT_START"/>
      <w:bookmarkEnd w:id="6"/>
      <w:r>
        <w:rPr>
          <w:rFonts w:ascii="David" w:hAnsi="David" w:cs="David"/>
          <w:sz w:val="24"/>
          <w:szCs w:val="24"/>
          <w:rtl/>
        </w:rPr>
        <w:t>הנאשם הורשע,</w:t>
      </w:r>
      <w:r>
        <w:rPr>
          <w:rFonts w:ascii="David" w:hAnsi="David" w:cs="David"/>
          <w:b/>
          <w:bCs/>
          <w:sz w:val="24"/>
          <w:szCs w:val="24"/>
          <w:rtl/>
        </w:rPr>
        <w:t xml:space="preserve"> </w:t>
      </w:r>
      <w:r>
        <w:rPr>
          <w:rFonts w:ascii="David" w:hAnsi="David" w:cs="David"/>
          <w:sz w:val="24"/>
          <w:szCs w:val="24"/>
          <w:rtl/>
        </w:rPr>
        <w:t xml:space="preserve">על-פי הודאתו, במסגרת הסדר טיעון מיום 22.11.22, בכתב אישום מתוקן בביצוע העבירות </w:t>
      </w:r>
      <w:r>
        <w:rPr>
          <w:rFonts w:ascii="David" w:hAnsi="David" w:cs="David"/>
          <w:b/>
          <w:bCs/>
          <w:sz w:val="24"/>
          <w:szCs w:val="24"/>
          <w:rtl/>
        </w:rPr>
        <w:t>גידול סמים מסוכנים</w:t>
      </w:r>
      <w:r>
        <w:rPr>
          <w:rFonts w:ascii="David" w:hAnsi="David" w:cs="David"/>
          <w:sz w:val="24"/>
          <w:szCs w:val="24"/>
          <w:rtl/>
        </w:rPr>
        <w:t xml:space="preserve">, לפי </w:t>
      </w:r>
      <w:hyperlink r:id="rId17" w:history="1">
        <w:r w:rsidR="0092429F" w:rsidRPr="0092429F">
          <w:rPr>
            <w:rStyle w:val="Hyperlink"/>
            <w:rFonts w:ascii="David" w:hAnsi="David" w:cs="David"/>
            <w:sz w:val="24"/>
            <w:szCs w:val="24"/>
            <w:rtl/>
          </w:rPr>
          <w:t>סעיף 6</w:t>
        </w:r>
      </w:hyperlink>
      <w:r>
        <w:rPr>
          <w:rFonts w:ascii="David" w:hAnsi="David" w:cs="David"/>
          <w:sz w:val="24"/>
          <w:szCs w:val="24"/>
          <w:rtl/>
        </w:rPr>
        <w:t xml:space="preserve"> ל</w:t>
      </w:r>
      <w:hyperlink r:id="rId18" w:history="1">
        <w:r w:rsidR="00662CC0" w:rsidRPr="00662CC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''הפקודה'') ; </w:t>
      </w:r>
      <w:r>
        <w:rPr>
          <w:rFonts w:ascii="David" w:hAnsi="David" w:cs="David"/>
          <w:b/>
          <w:bCs/>
          <w:sz w:val="24"/>
          <w:szCs w:val="24"/>
          <w:rtl/>
        </w:rPr>
        <w:t>החזקת סם מסוכן שלא לצריכה עצמית</w:t>
      </w:r>
      <w:r>
        <w:rPr>
          <w:rFonts w:ascii="David" w:hAnsi="David" w:cs="David"/>
          <w:sz w:val="24"/>
          <w:szCs w:val="24"/>
          <w:rtl/>
        </w:rPr>
        <w:t xml:space="preserve">, לפי </w:t>
      </w:r>
      <w:hyperlink r:id="rId19" w:history="1">
        <w:r w:rsidR="0092429F" w:rsidRPr="0092429F">
          <w:rPr>
            <w:rStyle w:val="Hyperlink"/>
            <w:rFonts w:ascii="David" w:hAnsi="David" w:cs="David"/>
            <w:sz w:val="24"/>
            <w:szCs w:val="24"/>
            <w:rtl/>
          </w:rPr>
          <w:t>סעיף 7(א)</w:t>
        </w:r>
      </w:hyperlink>
      <w:r>
        <w:rPr>
          <w:rFonts w:ascii="David" w:hAnsi="David" w:cs="David"/>
          <w:sz w:val="24"/>
          <w:szCs w:val="24"/>
          <w:rtl/>
        </w:rPr>
        <w:t xml:space="preserve"> + </w:t>
      </w:r>
      <w:hyperlink r:id="rId20" w:history="1">
        <w:r w:rsidR="0092429F" w:rsidRPr="0092429F">
          <w:rPr>
            <w:rStyle w:val="Hyperlink"/>
            <w:rFonts w:ascii="David" w:hAnsi="David" w:cs="David"/>
            <w:sz w:val="24"/>
            <w:szCs w:val="24"/>
            <w:rtl/>
          </w:rPr>
          <w:t>7(ג)</w:t>
        </w:r>
      </w:hyperlink>
      <w:r>
        <w:rPr>
          <w:rFonts w:ascii="David" w:hAnsi="David" w:cs="David"/>
          <w:sz w:val="24"/>
          <w:szCs w:val="24"/>
          <w:rtl/>
        </w:rPr>
        <w:t xml:space="preserve"> רישא לפקודה ; </w:t>
      </w:r>
      <w:r>
        <w:rPr>
          <w:rFonts w:ascii="David" w:hAnsi="David" w:cs="David"/>
          <w:b/>
          <w:bCs/>
          <w:sz w:val="24"/>
          <w:szCs w:val="24"/>
          <w:rtl/>
        </w:rPr>
        <w:t>החזקת כלים המשמשים להכנת סם מסוכן</w:t>
      </w:r>
      <w:r>
        <w:rPr>
          <w:rFonts w:ascii="David" w:hAnsi="David" w:cs="David"/>
          <w:sz w:val="24"/>
          <w:szCs w:val="24"/>
          <w:rtl/>
        </w:rPr>
        <w:t xml:space="preserve">, לפי </w:t>
      </w:r>
      <w:hyperlink r:id="rId21" w:history="1">
        <w:r w:rsidR="0092429F" w:rsidRPr="0092429F">
          <w:rPr>
            <w:rStyle w:val="Hyperlink"/>
            <w:rFonts w:ascii="David" w:hAnsi="David" w:cs="David"/>
            <w:sz w:val="24"/>
            <w:szCs w:val="24"/>
            <w:rtl/>
          </w:rPr>
          <w:t>סעיף 10</w:t>
        </w:r>
      </w:hyperlink>
      <w:r>
        <w:rPr>
          <w:rFonts w:ascii="David" w:hAnsi="David" w:cs="David"/>
          <w:sz w:val="24"/>
          <w:szCs w:val="24"/>
          <w:rtl/>
        </w:rPr>
        <w:t xml:space="preserve"> לפקודה. </w:t>
      </w:r>
    </w:p>
    <w:p w14:paraId="021F32C3" w14:textId="77777777" w:rsidR="00C36545" w:rsidRDefault="00C36545" w:rsidP="00C36545">
      <w:pPr>
        <w:pStyle w:val="aa"/>
        <w:spacing w:line="360" w:lineRule="auto"/>
        <w:jc w:val="both"/>
      </w:pPr>
      <w:bookmarkStart w:id="7" w:name="ABSTRACT_END"/>
      <w:bookmarkEnd w:id="7"/>
    </w:p>
    <w:p w14:paraId="01EB22C2" w14:textId="77777777" w:rsidR="00C36545" w:rsidRDefault="00C36545" w:rsidP="00C36545">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על-פי עובדות כתב האישום המתוקן, במועד הרלוונטי הנאשם התגורר בדירה באילת. החל ממועד שאינו ידוע במדויק למאשימה, ועד ליום 20/06/22, גידל הנאשם במספר חדרים בדירה, כ-120 שתילים של קנבוס במשקל כולל של 22 ק''ג. כמו כן, החזיק הנאשם בכלים </w:t>
      </w:r>
      <w:r>
        <w:rPr>
          <w:rFonts w:ascii="David" w:hAnsi="David" w:cs="David"/>
          <w:sz w:val="24"/>
          <w:szCs w:val="24"/>
          <w:rtl/>
        </w:rPr>
        <w:lastRenderedPageBreak/>
        <w:t>המשמשים להכנת סם - 8 שנאים הקשורים למערכת התאורה, 11 גופי תאורה, 2 מדי לחות דיגיטליים, 16 גופי תאורה.</w:t>
      </w:r>
    </w:p>
    <w:p w14:paraId="34A11DA2" w14:textId="77777777" w:rsidR="00C36545" w:rsidRDefault="00C36545" w:rsidP="00C36545">
      <w:pPr>
        <w:pStyle w:val="aa"/>
        <w:rPr>
          <w:rFonts w:ascii="David" w:hAnsi="David" w:cs="David"/>
          <w:sz w:val="24"/>
          <w:szCs w:val="24"/>
        </w:rPr>
      </w:pPr>
    </w:p>
    <w:p w14:paraId="23FAA052"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 xml:space="preserve">כמו כן בכתב האישום המתוקן התבקש בית המשפט לקבוע כי הנאשם סוחר סמים ולחלט את הרכוש שנתפס לטובת קרן הסמים. </w:t>
      </w:r>
    </w:p>
    <w:p w14:paraId="60E53F21" w14:textId="77777777" w:rsidR="00C36545" w:rsidRDefault="00C36545" w:rsidP="00C36545">
      <w:pPr>
        <w:pStyle w:val="aa"/>
        <w:spacing w:line="360" w:lineRule="auto"/>
        <w:jc w:val="both"/>
        <w:rPr>
          <w:rFonts w:ascii="David" w:hAnsi="David" w:cs="David"/>
          <w:sz w:val="24"/>
          <w:szCs w:val="24"/>
          <w:rtl/>
        </w:rPr>
      </w:pPr>
    </w:p>
    <w:p w14:paraId="55B3D0EB" w14:textId="77777777" w:rsidR="00C36545" w:rsidRDefault="00C36545" w:rsidP="00C36545">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הסדר הטיעון הוסכם כי הצדדים יעתרו במשותף להשתת עונש מאסר בפועל בן 18 חודשים, החל מיום מעצרו ומאסר מותנה. ביחס לרכיבי הענישה של גובה הקנס ופסילת רישיון נהיגה בפועל, הצדדים טענו באופן חופשי.    </w:t>
      </w:r>
    </w:p>
    <w:p w14:paraId="6E62B1D7" w14:textId="77777777" w:rsidR="00C36545" w:rsidRDefault="00C36545" w:rsidP="00C36545">
      <w:pPr>
        <w:pStyle w:val="aa"/>
        <w:spacing w:line="360" w:lineRule="auto"/>
        <w:jc w:val="both"/>
        <w:rPr>
          <w:rFonts w:ascii="David" w:hAnsi="David" w:cs="David"/>
          <w:sz w:val="24"/>
          <w:szCs w:val="24"/>
          <w:rtl/>
        </w:rPr>
      </w:pPr>
    </w:p>
    <w:p w14:paraId="5B4D8994" w14:textId="77777777" w:rsidR="00C36545" w:rsidRDefault="00C36545" w:rsidP="00C36545">
      <w:pPr>
        <w:pStyle w:val="aa"/>
        <w:spacing w:line="360" w:lineRule="auto"/>
        <w:jc w:val="both"/>
        <w:rPr>
          <w:rFonts w:ascii="David" w:hAnsi="David" w:cs="David"/>
          <w:sz w:val="24"/>
          <w:szCs w:val="24"/>
          <w:rtl/>
        </w:rPr>
      </w:pPr>
    </w:p>
    <w:p w14:paraId="48A3D200" w14:textId="77777777" w:rsidR="00C36545" w:rsidRDefault="00C36545" w:rsidP="00C36545">
      <w:pPr>
        <w:pStyle w:val="aa"/>
        <w:spacing w:line="360" w:lineRule="auto"/>
        <w:jc w:val="both"/>
        <w:rPr>
          <w:rFonts w:ascii="David" w:hAnsi="David" w:cs="David"/>
          <w:sz w:val="24"/>
          <w:szCs w:val="24"/>
          <w:rtl/>
        </w:rPr>
      </w:pPr>
    </w:p>
    <w:p w14:paraId="4FBC1EAB" w14:textId="77777777" w:rsidR="00C36545" w:rsidRDefault="00C36545" w:rsidP="00C36545">
      <w:pPr>
        <w:pStyle w:val="aa"/>
        <w:spacing w:line="360" w:lineRule="auto"/>
        <w:jc w:val="both"/>
        <w:rPr>
          <w:rFonts w:ascii="David" w:hAnsi="David" w:cs="David"/>
          <w:sz w:val="24"/>
          <w:szCs w:val="24"/>
        </w:rPr>
      </w:pPr>
    </w:p>
    <w:p w14:paraId="7EF169B3" w14:textId="77777777" w:rsidR="00C36545" w:rsidRPr="00C36545" w:rsidRDefault="00C36545" w:rsidP="00C36545">
      <w:pPr>
        <w:spacing w:line="360" w:lineRule="auto"/>
        <w:jc w:val="both"/>
        <w:rPr>
          <w:rFonts w:ascii="David" w:eastAsia="Calibri" w:hAnsi="David"/>
          <w:b/>
          <w:bCs/>
          <w:u w:val="single"/>
          <w:rtl/>
        </w:rPr>
      </w:pPr>
      <w:r>
        <w:rPr>
          <w:rFonts w:ascii="David" w:hAnsi="David"/>
          <w:b/>
          <w:bCs/>
          <w:u w:val="single"/>
          <w:rtl/>
        </w:rPr>
        <w:t>טענות הצדדים:</w:t>
      </w:r>
    </w:p>
    <w:p w14:paraId="0E70E13B" w14:textId="77777777" w:rsidR="00C36545" w:rsidRPr="00C36545" w:rsidRDefault="00C36545" w:rsidP="00C36545">
      <w:pPr>
        <w:spacing w:line="360" w:lineRule="auto"/>
        <w:jc w:val="both"/>
        <w:rPr>
          <w:rFonts w:ascii="David" w:eastAsia="Calibri" w:hAnsi="David"/>
          <w:b/>
          <w:bCs/>
          <w:u w:val="single"/>
          <w:rtl/>
        </w:rPr>
      </w:pPr>
    </w:p>
    <w:p w14:paraId="1B7D48D0" w14:textId="77777777" w:rsidR="00C36545" w:rsidRPr="00C36545" w:rsidRDefault="00C36545" w:rsidP="00C36545">
      <w:pPr>
        <w:pStyle w:val="aa"/>
        <w:numPr>
          <w:ilvl w:val="0"/>
          <w:numId w:val="1"/>
        </w:numPr>
        <w:spacing w:line="360" w:lineRule="auto"/>
        <w:jc w:val="both"/>
      </w:pPr>
      <w:r>
        <w:rPr>
          <w:rFonts w:ascii="David" w:hAnsi="David" w:cs="David"/>
          <w:b/>
          <w:bCs/>
          <w:sz w:val="24"/>
          <w:szCs w:val="24"/>
          <w:rtl/>
        </w:rPr>
        <w:t>המאשימה</w:t>
      </w:r>
      <w:r>
        <w:rPr>
          <w:rFonts w:ascii="David" w:hAnsi="David" w:cs="David"/>
          <w:sz w:val="24"/>
          <w:szCs w:val="24"/>
          <w:rtl/>
        </w:rPr>
        <w:t xml:space="preserve"> עתרה להטיל על הנאשם קנס גבוה בשל חומרת העבירה שביצע. נטען, כי יש להעדיף את האינטרס הציבורי שבמניעת הפצת סמים ולהטיל קנס שיהלום את חומרת מעשי הנאשם.</w:t>
      </w:r>
    </w:p>
    <w:p w14:paraId="305F05C4" w14:textId="77777777" w:rsidR="00C36545" w:rsidRDefault="00C36545" w:rsidP="00C36545">
      <w:pPr>
        <w:pStyle w:val="aa"/>
        <w:spacing w:line="360" w:lineRule="auto"/>
        <w:jc w:val="both"/>
        <w:rPr>
          <w:rFonts w:ascii="David" w:hAnsi="David" w:cs="David"/>
          <w:sz w:val="24"/>
          <w:szCs w:val="24"/>
        </w:rPr>
      </w:pPr>
      <w:r>
        <w:rPr>
          <w:rFonts w:ascii="David" w:hAnsi="David" w:cs="David"/>
          <w:sz w:val="24"/>
          <w:szCs w:val="24"/>
          <w:rtl/>
        </w:rPr>
        <w:t xml:space="preserve">באשר לפסילה, המאשימה הפנתה </w:t>
      </w:r>
      <w:hyperlink r:id="rId22" w:history="1">
        <w:r w:rsidR="0092429F" w:rsidRPr="0092429F">
          <w:rPr>
            <w:rStyle w:val="Hyperlink"/>
            <w:rFonts w:ascii="David" w:hAnsi="David" w:cs="David"/>
            <w:sz w:val="24"/>
            <w:szCs w:val="24"/>
            <w:rtl/>
          </w:rPr>
          <w:t>לסעיף 37א(א1)</w:t>
        </w:r>
      </w:hyperlink>
      <w:r>
        <w:rPr>
          <w:rFonts w:ascii="David" w:hAnsi="David" w:cs="David"/>
          <w:sz w:val="24"/>
          <w:szCs w:val="24"/>
          <w:rtl/>
        </w:rPr>
        <w:t xml:space="preserve"> לפקודת הסמים, לעניין עונש פסילה חובה. </w:t>
      </w:r>
    </w:p>
    <w:p w14:paraId="486CFE81"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 xml:space="preserve">כן המאשימה עתרה לחילוטו של כלל הרכוש ששימש לביצוע העבירה, לפי </w:t>
      </w:r>
      <w:hyperlink r:id="rId23" w:history="1">
        <w:r w:rsidR="0092429F" w:rsidRPr="0092429F">
          <w:rPr>
            <w:rStyle w:val="Hyperlink"/>
            <w:rFonts w:ascii="David" w:hAnsi="David" w:cs="David"/>
            <w:sz w:val="24"/>
            <w:szCs w:val="24"/>
            <w:rtl/>
          </w:rPr>
          <w:t>סעיף 36א(א)</w:t>
        </w:r>
      </w:hyperlink>
      <w:r>
        <w:rPr>
          <w:rFonts w:ascii="David" w:hAnsi="David" w:cs="David"/>
          <w:sz w:val="24"/>
          <w:szCs w:val="24"/>
          <w:rtl/>
        </w:rPr>
        <w:t xml:space="preserve"> + (</w:t>
      </w:r>
      <w:hyperlink r:id="rId24" w:history="1">
        <w:r w:rsidR="0092429F" w:rsidRPr="0092429F">
          <w:rPr>
            <w:rStyle w:val="Hyperlink"/>
            <w:rFonts w:ascii="David" w:hAnsi="David" w:cs="David"/>
            <w:sz w:val="24"/>
            <w:szCs w:val="24"/>
            <w:rtl/>
          </w:rPr>
          <w:t>ב</w:t>
        </w:r>
      </w:hyperlink>
      <w:r>
        <w:rPr>
          <w:rFonts w:ascii="David" w:hAnsi="David" w:cs="David"/>
          <w:sz w:val="24"/>
          <w:szCs w:val="24"/>
          <w:rtl/>
        </w:rPr>
        <w:t xml:space="preserve">) לפקודה, </w:t>
      </w:r>
      <w:hyperlink r:id="rId25" w:history="1">
        <w:r w:rsidR="0092429F" w:rsidRPr="0092429F">
          <w:rPr>
            <w:rStyle w:val="Hyperlink"/>
            <w:rFonts w:ascii="David" w:hAnsi="David" w:cs="David"/>
            <w:sz w:val="24"/>
            <w:szCs w:val="24"/>
            <w:rtl/>
          </w:rPr>
          <w:t>וסעיף 39(א)</w:t>
        </w:r>
      </w:hyperlink>
      <w:r>
        <w:rPr>
          <w:rFonts w:ascii="David" w:hAnsi="David" w:cs="David"/>
          <w:sz w:val="24"/>
          <w:szCs w:val="24"/>
          <w:rtl/>
        </w:rPr>
        <w:t xml:space="preserve"> ל</w:t>
      </w:r>
      <w:hyperlink r:id="rId26" w:history="1">
        <w:r w:rsidR="00662CC0" w:rsidRPr="00662CC0">
          <w:rPr>
            <w:rFonts w:ascii="David" w:hAnsi="David" w:cs="David"/>
            <w:color w:val="0000FF"/>
            <w:sz w:val="24"/>
            <w:szCs w:val="24"/>
            <w:u w:val="single"/>
            <w:rtl/>
          </w:rPr>
          <w:t>פקודת סדר הדין הפלילי (מעצר וחיפוש)</w:t>
        </w:r>
      </w:hyperlink>
      <w:r>
        <w:rPr>
          <w:rFonts w:ascii="David" w:hAnsi="David" w:cs="David"/>
          <w:sz w:val="24"/>
          <w:szCs w:val="24"/>
          <w:rtl/>
        </w:rPr>
        <w:t xml:space="preserve"> [נוסח חדש], התשכ''ט-1969.</w:t>
      </w:r>
    </w:p>
    <w:p w14:paraId="186C6D96" w14:textId="77777777" w:rsidR="00C36545" w:rsidRDefault="00C36545" w:rsidP="00C36545">
      <w:pPr>
        <w:pStyle w:val="aa"/>
        <w:spacing w:line="360" w:lineRule="auto"/>
        <w:jc w:val="both"/>
        <w:rPr>
          <w:rFonts w:ascii="David" w:hAnsi="David" w:cs="David"/>
          <w:sz w:val="24"/>
          <w:szCs w:val="24"/>
          <w:rtl/>
        </w:rPr>
      </w:pPr>
      <w:r>
        <w:rPr>
          <w:rFonts w:ascii="David" w:hAnsi="David" w:cs="David"/>
          <w:b/>
          <w:bCs/>
          <w:sz w:val="24"/>
          <w:szCs w:val="24"/>
          <w:rtl/>
        </w:rPr>
        <w:t>ההגנה</w:t>
      </w:r>
      <w:r>
        <w:rPr>
          <w:b/>
          <w:bCs/>
          <w:rtl/>
        </w:rPr>
        <w:t xml:space="preserve"> </w:t>
      </w:r>
      <w:r>
        <w:rPr>
          <w:rFonts w:ascii="David" w:hAnsi="David" w:cs="David"/>
          <w:sz w:val="24"/>
          <w:szCs w:val="24"/>
          <w:rtl/>
        </w:rPr>
        <w:t xml:space="preserve">טענה לנסיבות האישיות של הנאשם. נמסר, כי הנאשם גרוש פעמיים ומצוי בחובות רבים. נמסר כי הנאשם נושא בתשלום מזונות לארבעת ילדיו הקטינים וכן בתשלום המשכנתא של אימו. נטען כי הנאשם עבריין משוקם שמעד בדרכו ואין להחמיר עמו. ההגנה הפנתה לנ/1 בדבר קיצור תקופת ההתיישנות להרשעותיו הקודמות. </w:t>
      </w:r>
    </w:p>
    <w:p w14:paraId="12B4DB5A"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 xml:space="preserve">נטען כי הנאשם לא הספיק להפיק רווח כלכלי ממעשיו, וכי הסכים לבצע מעשים אלו מתוך כניעה ללחץ כלכלי שהיה מתון בו. </w:t>
      </w:r>
    </w:p>
    <w:p w14:paraId="3F4FC697"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לכן עתרה ההגנה בנוגע לקנס, להסתפק בקנס סמלי. בנוגע לפסילה, ההגנה עתרה להסתפק בפסילה על תנאי, בכדי לא לפגוע בסיכוי הנאשם לשוב לעבוד לאחר שחרורו.</w:t>
      </w:r>
    </w:p>
    <w:p w14:paraId="72825FDA"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 xml:space="preserve">נטען כי רכיב המאסר עליו הוסכם משמעותי ומאזן את רכיב הקנס והפסילה. </w:t>
      </w:r>
    </w:p>
    <w:p w14:paraId="0EA4159A" w14:textId="77777777" w:rsidR="00C36545" w:rsidRDefault="00C36545" w:rsidP="00C36545">
      <w:pPr>
        <w:pStyle w:val="aa"/>
        <w:spacing w:line="360" w:lineRule="auto"/>
        <w:jc w:val="both"/>
        <w:rPr>
          <w:rFonts w:ascii="David" w:hAnsi="David" w:cs="David"/>
          <w:sz w:val="24"/>
          <w:szCs w:val="24"/>
          <w:rtl/>
        </w:rPr>
      </w:pPr>
      <w:r>
        <w:rPr>
          <w:rFonts w:ascii="David" w:hAnsi="David" w:cs="David"/>
          <w:sz w:val="24"/>
          <w:szCs w:val="24"/>
          <w:rtl/>
        </w:rPr>
        <w:t xml:space="preserve">ההגנה הגישה מסמך המאשר קיצור תקופת ההתיישנות בהרשעותיו הקודמות של הנאשם על ידי נשיא המדינה. וכן צורף בהמשך מסמכים ולפיהם לנאשם חוב מזונות בסך של כ-32,000 ₪. </w:t>
      </w:r>
    </w:p>
    <w:p w14:paraId="47DD5B89" w14:textId="77777777" w:rsidR="00C36545" w:rsidRDefault="00C36545" w:rsidP="00C36545">
      <w:pPr>
        <w:pStyle w:val="aa"/>
        <w:spacing w:line="360" w:lineRule="auto"/>
        <w:jc w:val="both"/>
        <w:rPr>
          <w:rFonts w:ascii="David" w:hAnsi="David" w:cs="David"/>
          <w:sz w:val="24"/>
          <w:szCs w:val="24"/>
          <w:rtl/>
        </w:rPr>
      </w:pPr>
    </w:p>
    <w:p w14:paraId="120D5F27" w14:textId="77777777" w:rsidR="00C36545" w:rsidRPr="00C36545" w:rsidRDefault="00C36545" w:rsidP="00C36545">
      <w:pPr>
        <w:pStyle w:val="aa"/>
        <w:spacing w:line="360" w:lineRule="auto"/>
        <w:jc w:val="both"/>
      </w:pPr>
      <w:r>
        <w:rPr>
          <w:rFonts w:ascii="David" w:hAnsi="David" w:cs="David"/>
          <w:b/>
          <w:bCs/>
          <w:sz w:val="24"/>
          <w:szCs w:val="24"/>
          <w:rtl/>
        </w:rPr>
        <w:t>הנאשם בדבריו לבית המשפט</w:t>
      </w:r>
      <w:r>
        <w:rPr>
          <w:rFonts w:ascii="David" w:hAnsi="David" w:cs="David"/>
          <w:sz w:val="24"/>
          <w:szCs w:val="24"/>
          <w:rtl/>
        </w:rPr>
        <w:t xml:space="preserve"> מסר כי מצבו הכלכלי קשה וכי הוא לוקח אחריות על המעשה ביצע. ציין כי השכיר את דירתו ועקב כך הגיע למצב שלא היה צריך להימצא בו. מסר כי הוא נקי משימוש בסמים כבר מספר שנים, וביצע את העבירות עבור אדם אחר שנכנס לדירתו. ביקש להתחשב במצבו, בכך שהינו אב לילדים להם לא יכול היה לעזור בתקופת מעצרו וכי מצוי בלחצים ובחובות. עוד מסר כי לא מעוניין לחזור לכלא, כי מבצע שיקום עד היום ורוצה לנהל חיים נורמטיביים. </w:t>
      </w:r>
    </w:p>
    <w:p w14:paraId="2608207B" w14:textId="77777777" w:rsidR="00C36545" w:rsidRDefault="00C36545" w:rsidP="00C36545">
      <w:pPr>
        <w:spacing w:line="360" w:lineRule="auto"/>
        <w:jc w:val="both"/>
        <w:rPr>
          <w:bCs/>
          <w:u w:val="single"/>
          <w:rtl/>
        </w:rPr>
      </w:pPr>
    </w:p>
    <w:p w14:paraId="20D2C2D6" w14:textId="77777777" w:rsidR="00C36545" w:rsidRDefault="00C36545" w:rsidP="00C36545">
      <w:pPr>
        <w:spacing w:line="360" w:lineRule="auto"/>
        <w:jc w:val="both"/>
        <w:rPr>
          <w:bCs/>
          <w:u w:val="single"/>
          <w:rtl/>
        </w:rPr>
      </w:pPr>
      <w:r>
        <w:rPr>
          <w:bCs/>
          <w:u w:val="single"/>
          <w:rtl/>
        </w:rPr>
        <w:t>דיון והכרעה:</w:t>
      </w:r>
    </w:p>
    <w:p w14:paraId="50894F67" w14:textId="77777777" w:rsidR="00C36545" w:rsidRDefault="00C36545" w:rsidP="00C36545">
      <w:pPr>
        <w:spacing w:line="360" w:lineRule="auto"/>
        <w:jc w:val="both"/>
        <w:rPr>
          <w:bCs/>
          <w:u w:val="single"/>
          <w:rtl/>
        </w:rPr>
      </w:pPr>
    </w:p>
    <w:p w14:paraId="3EB7FD15" w14:textId="77777777" w:rsidR="00C36545" w:rsidRDefault="00C36545" w:rsidP="00C36545">
      <w:pPr>
        <w:spacing w:line="360" w:lineRule="auto"/>
        <w:jc w:val="both"/>
        <w:rPr>
          <w:u w:val="single"/>
          <w:rtl/>
        </w:rPr>
      </w:pPr>
      <w:r>
        <w:rPr>
          <w:u w:val="single"/>
          <w:rtl/>
        </w:rPr>
        <w:t>קביעת מתחם העונש ההולם:</w:t>
      </w:r>
    </w:p>
    <w:p w14:paraId="3374E03A" w14:textId="77777777" w:rsidR="00C36545" w:rsidRDefault="00C36545" w:rsidP="00C36545">
      <w:pPr>
        <w:spacing w:line="360" w:lineRule="auto"/>
        <w:jc w:val="both"/>
        <w:rPr>
          <w:u w:val="single"/>
          <w:rtl/>
        </w:rPr>
      </w:pPr>
    </w:p>
    <w:p w14:paraId="25CAE37E" w14:textId="77777777" w:rsidR="00C36545" w:rsidRDefault="00C36545" w:rsidP="00C36545">
      <w:pPr>
        <w:pStyle w:val="aa"/>
        <w:numPr>
          <w:ilvl w:val="0"/>
          <w:numId w:val="1"/>
        </w:numPr>
        <w:spacing w:line="360" w:lineRule="auto"/>
        <w:jc w:val="both"/>
        <w:rPr>
          <w:rFonts w:cs="David"/>
          <w:sz w:val="24"/>
          <w:szCs w:val="24"/>
          <w:rtl/>
        </w:rPr>
      </w:pPr>
      <w:r>
        <w:rPr>
          <w:rFonts w:cs="David"/>
          <w:sz w:val="24"/>
          <w:szCs w:val="24"/>
          <w:rtl/>
        </w:rPr>
        <w:t>מתחם העונש ההולם למעשה העבירה נקבע בהתאם לעיקרון ההלימה ולפיו נדרש יחס הולם בין חומרת מעשה העבירה בנסיבותיו ומידת אשמו של הנאשמים,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73862B1E" w14:textId="77777777" w:rsidR="00C36545" w:rsidRDefault="00C36545" w:rsidP="00C36545">
      <w:pPr>
        <w:pStyle w:val="aa"/>
        <w:spacing w:line="360" w:lineRule="auto"/>
        <w:jc w:val="both"/>
        <w:rPr>
          <w:rFonts w:cs="David"/>
          <w:sz w:val="24"/>
          <w:szCs w:val="24"/>
        </w:rPr>
      </w:pPr>
    </w:p>
    <w:p w14:paraId="7D310FA3" w14:textId="77777777" w:rsidR="00C36545" w:rsidRDefault="00C36545" w:rsidP="00C36545">
      <w:pPr>
        <w:pStyle w:val="aa"/>
        <w:spacing w:line="360" w:lineRule="auto"/>
        <w:jc w:val="both"/>
        <w:rPr>
          <w:rFonts w:cs="David"/>
          <w:sz w:val="24"/>
          <w:szCs w:val="24"/>
          <w:rtl/>
        </w:rPr>
      </w:pPr>
      <w:r>
        <w:rPr>
          <w:rFonts w:cs="David"/>
          <w:sz w:val="24"/>
          <w:szCs w:val="24"/>
          <w:rtl/>
        </w:rPr>
        <w:t xml:space="preserve">אין צורך להכביר מילים בדבר הערכים המוגנים שנפגעים כתוצאה מביצוע עבירות סמים למטרות סחר והפצה. בתי המשפט חוזרים ומתריעים בדבר הסכנות על תמונות בהצפת השוק בסמים והפגיעה הנגרמת כתוצאה מכך הן למעגל המשתמשים הישיר והן למעגלים המשניים, לרבות בני המשפחה החברה הסובבת והנזקים הנגרמים כתוצאה מכך גם למשק ובריבוי תופעות הפליליות הנלוות לעסקי הסמים. </w:t>
      </w:r>
    </w:p>
    <w:p w14:paraId="5E31D63A" w14:textId="77777777" w:rsidR="00C36545" w:rsidRDefault="00C36545" w:rsidP="00C36545">
      <w:pPr>
        <w:pStyle w:val="aa"/>
        <w:spacing w:line="360" w:lineRule="auto"/>
        <w:jc w:val="both"/>
        <w:rPr>
          <w:rFonts w:cs="David"/>
          <w:sz w:val="24"/>
          <w:szCs w:val="24"/>
          <w:rtl/>
        </w:rPr>
      </w:pPr>
    </w:p>
    <w:p w14:paraId="38F44C35" w14:textId="77777777" w:rsidR="00C36545" w:rsidRDefault="00C36545" w:rsidP="00C36545">
      <w:pPr>
        <w:pStyle w:val="aa"/>
        <w:spacing w:line="360" w:lineRule="auto"/>
        <w:jc w:val="both"/>
        <w:rPr>
          <w:rFonts w:cs="David"/>
          <w:sz w:val="24"/>
          <w:szCs w:val="24"/>
          <w:rtl/>
        </w:rPr>
      </w:pPr>
      <w:r>
        <w:rPr>
          <w:rFonts w:cs="David"/>
          <w:sz w:val="24"/>
          <w:szCs w:val="24"/>
          <w:rtl/>
        </w:rPr>
        <w:t xml:space="preserve">במקרה זה מדובר בגידול סמים בכמות מסחרית. לעניין זה חשוב להזכיר את הפסיקה התומכת בעמדה ולפיה פוטנציאל הנזק הכרוך בעבירה של גידול הסם נמדד בהתאם לאיכות והיקף התשתית וכמות השתילים, ולאו דווקא, בהתאם למשקל הסם שנתפס שהוא במידה רבה מקרי וקשור בפעולות גורמי האכיפה (השוו בין היתר, עפ"ג 39979-5-21 בעניין </w:t>
      </w:r>
      <w:r>
        <w:rPr>
          <w:rFonts w:cs="David"/>
          <w:b/>
          <w:bCs/>
          <w:sz w:val="24"/>
          <w:szCs w:val="24"/>
          <w:rtl/>
        </w:rPr>
        <w:t>אגיבייב</w:t>
      </w:r>
      <w:r>
        <w:rPr>
          <w:rFonts w:cs="David"/>
          <w:sz w:val="24"/>
          <w:szCs w:val="24"/>
          <w:rtl/>
        </w:rPr>
        <w:t xml:space="preserve"> ועפ"ג 6525-09-21 בעניין </w:t>
      </w:r>
      <w:r>
        <w:rPr>
          <w:rFonts w:cs="David"/>
          <w:b/>
          <w:bCs/>
          <w:sz w:val="24"/>
          <w:szCs w:val="24"/>
          <w:rtl/>
        </w:rPr>
        <w:t>סבן</w:t>
      </w:r>
      <w:r>
        <w:rPr>
          <w:rFonts w:cs="David"/>
          <w:sz w:val="24"/>
          <w:szCs w:val="24"/>
          <w:rtl/>
        </w:rPr>
        <w:t>). במקרה זה מדובר בגידול בדירה שהונחה בה תשתית מתאימה לצורך כך ובגידול מסחרי שהוא ברף הבינוני.</w:t>
      </w:r>
    </w:p>
    <w:p w14:paraId="0F1C5EA1" w14:textId="77777777" w:rsidR="00C36545" w:rsidRDefault="00C36545" w:rsidP="00C36545">
      <w:pPr>
        <w:pStyle w:val="aa"/>
        <w:spacing w:line="360" w:lineRule="auto"/>
        <w:jc w:val="both"/>
        <w:rPr>
          <w:rFonts w:cs="David"/>
          <w:sz w:val="24"/>
          <w:szCs w:val="24"/>
          <w:rtl/>
        </w:rPr>
      </w:pPr>
    </w:p>
    <w:p w14:paraId="4E670401" w14:textId="77777777" w:rsidR="00C36545" w:rsidRDefault="00C36545" w:rsidP="00C36545">
      <w:pPr>
        <w:pStyle w:val="aa"/>
        <w:spacing w:line="360" w:lineRule="auto"/>
        <w:jc w:val="both"/>
        <w:rPr>
          <w:rFonts w:cs="David"/>
          <w:sz w:val="24"/>
          <w:szCs w:val="24"/>
          <w:rtl/>
        </w:rPr>
      </w:pPr>
      <w:r>
        <w:rPr>
          <w:rFonts w:cs="David"/>
          <w:sz w:val="24"/>
          <w:szCs w:val="24"/>
          <w:rtl/>
        </w:rPr>
        <w:t xml:space="preserve">טענות הנאשם לגבי נסיבות ביצוע העבירה, מעבר לעצם העובדה שברקע עמד מניע כלכלי בין היתר בשל חובות ושאינן חלק מהסכמות הצדדים במסגרת כתב האישום המתוקן, אינן נשקלות על ידי בית המשפט לא לחומרה ולא לקולא, וזאת בהתאם להוראות הדין. </w:t>
      </w:r>
    </w:p>
    <w:p w14:paraId="61117912" w14:textId="77777777" w:rsidR="00C36545" w:rsidRDefault="00C36545" w:rsidP="00C36545">
      <w:pPr>
        <w:pStyle w:val="aa"/>
        <w:spacing w:line="360" w:lineRule="auto"/>
        <w:jc w:val="both"/>
        <w:rPr>
          <w:rFonts w:cs="David"/>
          <w:sz w:val="24"/>
          <w:szCs w:val="24"/>
          <w:rtl/>
        </w:rPr>
      </w:pPr>
    </w:p>
    <w:p w14:paraId="765E9827" w14:textId="77777777" w:rsidR="00C36545" w:rsidRDefault="00C36545" w:rsidP="00C36545">
      <w:pPr>
        <w:spacing w:line="360" w:lineRule="auto"/>
        <w:jc w:val="both"/>
        <w:rPr>
          <w:rFonts w:ascii="David" w:hAnsi="David"/>
          <w:b/>
          <w:bCs/>
          <w:u w:val="single"/>
          <w:rtl/>
        </w:rPr>
      </w:pPr>
      <w:r>
        <w:rPr>
          <w:rFonts w:ascii="David" w:hAnsi="David"/>
          <w:b/>
          <w:bCs/>
          <w:u w:val="single"/>
          <w:rtl/>
        </w:rPr>
        <w:t xml:space="preserve">מדיניות הענישה הנוהגת: </w:t>
      </w:r>
    </w:p>
    <w:p w14:paraId="26001099" w14:textId="77777777" w:rsidR="00C36545" w:rsidRDefault="00C36545" w:rsidP="00C36545">
      <w:pPr>
        <w:pStyle w:val="aa"/>
        <w:spacing w:line="360" w:lineRule="auto"/>
        <w:jc w:val="both"/>
        <w:rPr>
          <w:rFonts w:ascii="David" w:hAnsi="David" w:cs="David"/>
          <w:sz w:val="24"/>
          <w:szCs w:val="24"/>
          <w:rtl/>
        </w:rPr>
      </w:pPr>
    </w:p>
    <w:p w14:paraId="6B897DF1" w14:textId="77777777" w:rsidR="00C36545" w:rsidRPr="00C36545" w:rsidRDefault="00C36545" w:rsidP="00C36545">
      <w:pPr>
        <w:pStyle w:val="aa"/>
        <w:numPr>
          <w:ilvl w:val="0"/>
          <w:numId w:val="1"/>
        </w:numPr>
        <w:spacing w:line="360" w:lineRule="auto"/>
        <w:jc w:val="both"/>
        <w:rPr>
          <w:rFonts w:ascii="David" w:hAnsi="David" w:cs="David"/>
          <w:color w:val="000000"/>
          <w:sz w:val="24"/>
          <w:szCs w:val="24"/>
          <w:shd w:val="clear" w:color="auto" w:fill="FFFFFF"/>
          <w:rtl/>
        </w:rPr>
      </w:pPr>
      <w:r>
        <w:rPr>
          <w:rFonts w:ascii="David" w:hAnsi="David" w:cs="David"/>
          <w:color w:val="000000"/>
          <w:sz w:val="24"/>
          <w:szCs w:val="24"/>
          <w:shd w:val="clear" w:color="auto" w:fill="FFFFFF"/>
          <w:rtl/>
        </w:rPr>
        <w:t xml:space="preserve">כאמור אין מחלוקת בין הצדדים ביחס לרכיב הענישה המרכזי של המאסר בפועל ולכן, אין צורך לדון במתחם העונש ההולם בנושא זה. עם זאת, יצוין כי עיון בפסיקה הנוהגת מלמד כי עונש המאסר עליו הסכימו הצדדים איננו ברף הנמוך של מתחמי הענישה וביחס למקרים אחרים של גידול בהיקף דומה. ראו לדוגמא, פסקי הדין אליהם הפניתי לעיל והאסמכתאות המובאות שם, וכן בנוסף </w:t>
      </w:r>
      <w:hyperlink r:id="rId27" w:history="1">
        <w:r w:rsidR="00662CC0" w:rsidRPr="00662CC0">
          <w:rPr>
            <w:rFonts w:ascii="David" w:hAnsi="David" w:cs="David"/>
            <w:color w:val="0000FF"/>
            <w:sz w:val="24"/>
            <w:szCs w:val="24"/>
            <w:u w:val="single"/>
            <w:shd w:val="clear" w:color="auto" w:fill="FFFFFF"/>
            <w:rtl/>
          </w:rPr>
          <w:t>רע"פ 4512/15</w:t>
        </w:r>
      </w:hyperlink>
      <w:r>
        <w:rPr>
          <w:rFonts w:ascii="David" w:hAnsi="David" w:cs="David"/>
          <w:color w:val="000000"/>
          <w:sz w:val="24"/>
          <w:szCs w:val="24"/>
          <w:shd w:val="clear" w:color="auto" w:fill="FFFFFF"/>
          <w:rtl/>
        </w:rPr>
        <w:t xml:space="preserve"> בעניין </w:t>
      </w:r>
      <w:r>
        <w:rPr>
          <w:rFonts w:ascii="David" w:hAnsi="David" w:cs="David"/>
          <w:b/>
          <w:bCs/>
          <w:color w:val="000000"/>
          <w:sz w:val="24"/>
          <w:szCs w:val="24"/>
          <w:shd w:val="clear" w:color="auto" w:fill="FFFFFF"/>
          <w:rtl/>
        </w:rPr>
        <w:t>הרוש</w:t>
      </w:r>
      <w:r>
        <w:rPr>
          <w:rFonts w:ascii="David" w:hAnsi="David" w:cs="David"/>
          <w:color w:val="000000"/>
          <w:sz w:val="24"/>
          <w:szCs w:val="24"/>
          <w:shd w:val="clear" w:color="auto" w:fill="FFFFFF"/>
          <w:rtl/>
        </w:rPr>
        <w:t xml:space="preserve"> </w:t>
      </w:r>
      <w:hyperlink r:id="rId28" w:history="1">
        <w:r w:rsidR="00662CC0" w:rsidRPr="00662CC0">
          <w:rPr>
            <w:rFonts w:ascii="David" w:hAnsi="David" w:cs="David"/>
            <w:color w:val="0000FF"/>
            <w:sz w:val="24"/>
            <w:szCs w:val="24"/>
            <w:u w:val="single"/>
            <w:shd w:val="clear" w:color="auto" w:fill="FFFFFF"/>
            <w:rtl/>
          </w:rPr>
          <w:t>רע"פ 1787/15</w:t>
        </w:r>
      </w:hyperlink>
      <w:r>
        <w:rPr>
          <w:rFonts w:ascii="David" w:hAnsi="David" w:cs="David"/>
          <w:color w:val="000000"/>
          <w:sz w:val="24"/>
          <w:szCs w:val="24"/>
          <w:shd w:val="clear" w:color="auto" w:fill="FFFFFF"/>
          <w:rtl/>
        </w:rPr>
        <w:t xml:space="preserve"> בעניין </w:t>
      </w:r>
      <w:r>
        <w:rPr>
          <w:rFonts w:ascii="David" w:hAnsi="David" w:cs="David"/>
          <w:b/>
          <w:bCs/>
          <w:color w:val="000000"/>
          <w:sz w:val="24"/>
          <w:szCs w:val="24"/>
          <w:shd w:val="clear" w:color="auto" w:fill="FFFFFF"/>
          <w:rtl/>
        </w:rPr>
        <w:t>עמר</w:t>
      </w:r>
      <w:r>
        <w:rPr>
          <w:rFonts w:ascii="David" w:hAnsi="David" w:cs="David"/>
          <w:color w:val="000000"/>
          <w:sz w:val="24"/>
          <w:szCs w:val="24"/>
          <w:shd w:val="clear" w:color="auto" w:fill="FFFFFF"/>
          <w:rtl/>
        </w:rPr>
        <w:t xml:space="preserve">, </w:t>
      </w:r>
      <w:hyperlink r:id="rId29" w:history="1">
        <w:r w:rsidR="00662CC0" w:rsidRPr="00662CC0">
          <w:rPr>
            <w:rFonts w:ascii="David" w:hAnsi="David" w:cs="David"/>
            <w:color w:val="0000FF"/>
            <w:sz w:val="24"/>
            <w:szCs w:val="24"/>
            <w:u w:val="single"/>
            <w:shd w:val="clear" w:color="auto" w:fill="FFFFFF"/>
            <w:rtl/>
          </w:rPr>
          <w:t>רע"פ 3864/16</w:t>
        </w:r>
      </w:hyperlink>
      <w:r>
        <w:rPr>
          <w:rFonts w:ascii="David" w:hAnsi="David" w:cs="David"/>
          <w:color w:val="000000"/>
          <w:sz w:val="24"/>
          <w:szCs w:val="24"/>
          <w:shd w:val="clear" w:color="auto" w:fill="FFFFFF"/>
          <w:rtl/>
        </w:rPr>
        <w:t xml:space="preserve"> בעניין </w:t>
      </w:r>
      <w:r>
        <w:rPr>
          <w:rFonts w:ascii="David" w:hAnsi="David" w:cs="David"/>
          <w:b/>
          <w:bCs/>
          <w:color w:val="000000"/>
          <w:sz w:val="24"/>
          <w:szCs w:val="24"/>
          <w:shd w:val="clear" w:color="auto" w:fill="FFFFFF"/>
          <w:rtl/>
        </w:rPr>
        <w:t>בן דוד.</w:t>
      </w:r>
    </w:p>
    <w:p w14:paraId="14B187E1" w14:textId="77777777" w:rsidR="00C36545" w:rsidRDefault="00C36545" w:rsidP="00C36545">
      <w:pPr>
        <w:pStyle w:val="aa"/>
        <w:spacing w:line="360" w:lineRule="auto"/>
        <w:jc w:val="both"/>
        <w:rPr>
          <w:rFonts w:ascii="David" w:hAnsi="David" w:cs="David"/>
          <w:color w:val="000000"/>
          <w:sz w:val="24"/>
          <w:szCs w:val="24"/>
          <w:shd w:val="clear" w:color="auto" w:fill="FFFFFF"/>
        </w:rPr>
      </w:pPr>
    </w:p>
    <w:p w14:paraId="79B689FE" w14:textId="77777777" w:rsidR="00C36545" w:rsidRDefault="00C36545" w:rsidP="00C36545">
      <w:pPr>
        <w:pStyle w:val="aa"/>
        <w:numPr>
          <w:ilvl w:val="0"/>
          <w:numId w:val="1"/>
        </w:numPr>
        <w:spacing w:line="360" w:lineRule="auto"/>
        <w:jc w:val="both"/>
        <w:rPr>
          <w:rFonts w:ascii="David" w:hAnsi="David" w:cs="David"/>
          <w:color w:val="000000"/>
          <w:sz w:val="24"/>
          <w:szCs w:val="24"/>
          <w:shd w:val="clear" w:color="auto" w:fill="FFFFFF"/>
        </w:rPr>
      </w:pPr>
      <w:r>
        <w:rPr>
          <w:rFonts w:ascii="David" w:hAnsi="David" w:cs="David"/>
          <w:color w:val="000000"/>
          <w:sz w:val="24"/>
          <w:szCs w:val="24"/>
          <w:shd w:val="clear" w:color="auto" w:fill="FFFFFF"/>
          <w:rtl/>
        </w:rPr>
        <w:t>בקביעת מתחם הקנס ההולם ראו בנוסף גם את הדוגמאות הבאות:</w:t>
      </w:r>
    </w:p>
    <w:p w14:paraId="6AD8CB82" w14:textId="77777777" w:rsidR="00C36545" w:rsidRDefault="00C36545" w:rsidP="00C36545">
      <w:pPr>
        <w:pStyle w:val="aa"/>
        <w:rPr>
          <w:rFonts w:ascii="David" w:hAnsi="David" w:cs="David"/>
          <w:color w:val="000000"/>
          <w:sz w:val="24"/>
          <w:szCs w:val="24"/>
          <w:shd w:val="clear" w:color="auto" w:fill="FFFFFF"/>
        </w:rPr>
      </w:pPr>
    </w:p>
    <w:p w14:paraId="1A042C58" w14:textId="77777777" w:rsidR="00C36545" w:rsidRDefault="00662CC0" w:rsidP="00C36545">
      <w:pPr>
        <w:pStyle w:val="aa"/>
        <w:numPr>
          <w:ilvl w:val="0"/>
          <w:numId w:val="2"/>
        </w:numPr>
        <w:spacing w:line="360" w:lineRule="auto"/>
        <w:jc w:val="both"/>
        <w:rPr>
          <w:rFonts w:ascii="David" w:hAnsi="David" w:cs="David"/>
          <w:color w:val="000000"/>
          <w:sz w:val="24"/>
          <w:szCs w:val="24"/>
          <w:shd w:val="clear" w:color="auto" w:fill="FFFFFF"/>
          <w:rtl/>
        </w:rPr>
      </w:pPr>
      <w:hyperlink r:id="rId30" w:history="1">
        <w:r w:rsidRPr="00662CC0">
          <w:rPr>
            <w:rFonts w:ascii="David" w:hAnsi="David" w:cs="David"/>
            <w:color w:val="0000FF"/>
            <w:sz w:val="24"/>
            <w:szCs w:val="24"/>
            <w:u w:val="single"/>
            <w:shd w:val="clear" w:color="auto" w:fill="FFFFFF"/>
            <w:rtl/>
          </w:rPr>
          <w:t>ת"פ 47787-06-19</w:t>
        </w:r>
      </w:hyperlink>
      <w:r w:rsidR="00C36545">
        <w:rPr>
          <w:rFonts w:ascii="David" w:hAnsi="David" w:cs="David"/>
          <w:color w:val="000000"/>
          <w:sz w:val="24"/>
          <w:szCs w:val="24"/>
          <w:shd w:val="clear" w:color="auto" w:fill="FFFFFF"/>
          <w:rtl/>
        </w:rPr>
        <w:t xml:space="preserve"> </w:t>
      </w:r>
      <w:r w:rsidR="00C36545">
        <w:rPr>
          <w:rFonts w:ascii="David" w:hAnsi="David" w:cs="David"/>
          <w:b/>
          <w:bCs/>
          <w:color w:val="000000"/>
          <w:sz w:val="24"/>
          <w:szCs w:val="24"/>
          <w:shd w:val="clear" w:color="auto" w:fill="FFFFFF"/>
          <w:rtl/>
        </w:rPr>
        <w:t>מדינת ישראל נ' דרור</w:t>
      </w:r>
      <w:r w:rsidR="00C36545">
        <w:rPr>
          <w:rFonts w:ascii="David" w:hAnsi="David" w:cs="David"/>
          <w:color w:val="000000"/>
          <w:sz w:val="24"/>
          <w:szCs w:val="24"/>
          <w:shd w:val="clear" w:color="auto" w:fill="FFFFFF"/>
          <w:rtl/>
        </w:rPr>
        <w:t xml:space="preserve"> </w:t>
      </w:r>
      <w:r w:rsidR="00C36545">
        <w:rPr>
          <w:rFonts w:ascii="David" w:hAnsi="David" w:cs="David"/>
          <w:b/>
          <w:bCs/>
          <w:color w:val="000000"/>
          <w:sz w:val="24"/>
          <w:szCs w:val="24"/>
          <w:shd w:val="clear" w:color="auto" w:fill="FFFFFF"/>
          <w:rtl/>
        </w:rPr>
        <w:t>ואח'</w:t>
      </w:r>
      <w:r w:rsidR="00C36545">
        <w:rPr>
          <w:rFonts w:ascii="David" w:hAnsi="David" w:cs="David"/>
          <w:color w:val="000000"/>
          <w:sz w:val="24"/>
          <w:szCs w:val="24"/>
          <w:shd w:val="clear" w:color="auto" w:fill="FFFFFF"/>
          <w:rtl/>
        </w:rPr>
        <w:t xml:space="preserve">  - </w:t>
      </w:r>
      <w:r>
        <w:rPr>
          <w:color w:val="000000"/>
          <w:sz w:val="24"/>
          <w:szCs w:val="24"/>
          <w:shd w:val="clear" w:color="auto" w:fill="FFFFFF"/>
        </w:rPr>
        <w:t xml:space="preserve">  </w:t>
      </w:r>
      <w:r w:rsidR="00C36545">
        <w:rPr>
          <w:rFonts w:ascii="David" w:hAnsi="David" w:cs="David"/>
          <w:color w:val="000000"/>
          <w:sz w:val="24"/>
          <w:szCs w:val="24"/>
          <w:shd w:val="clear" w:color="auto" w:fill="FFFFFF"/>
          <w:rtl/>
        </w:rPr>
        <w:t xml:space="preserve">הנאשמים הורשעו בגידול סם, בשלוש מעבדות בהיקף של מאות קילוגרמים וכן בגניבת חשמל וזאת במספר אישומים. על הנאשמים הוטלו קנסות בגובה 30,000 - 125,000 ₪, בהתאם לחלקם היחסי בביצוע העבירה, גילם ועברם הפלילי. </w:t>
      </w:r>
    </w:p>
    <w:p w14:paraId="2D25F806" w14:textId="77777777" w:rsidR="00C36545" w:rsidRDefault="00C36545" w:rsidP="00C36545">
      <w:pPr>
        <w:pStyle w:val="aa"/>
        <w:rPr>
          <w:rFonts w:ascii="David" w:hAnsi="David" w:cs="David"/>
          <w:sz w:val="24"/>
          <w:szCs w:val="24"/>
        </w:rPr>
      </w:pPr>
    </w:p>
    <w:p w14:paraId="24A8BFAB" w14:textId="77777777" w:rsidR="00C36545" w:rsidRPr="00C36545" w:rsidRDefault="00662CC0" w:rsidP="00C36545">
      <w:pPr>
        <w:pStyle w:val="aa"/>
        <w:numPr>
          <w:ilvl w:val="0"/>
          <w:numId w:val="2"/>
        </w:numPr>
        <w:spacing w:line="360" w:lineRule="auto"/>
        <w:jc w:val="both"/>
        <w:rPr>
          <w:rFonts w:ascii="David" w:hAnsi="David" w:cs="David"/>
          <w:color w:val="000000"/>
          <w:sz w:val="24"/>
          <w:szCs w:val="24"/>
          <w:shd w:val="clear" w:color="auto" w:fill="FFFFFF"/>
          <w:rtl/>
        </w:rPr>
      </w:pPr>
      <w:hyperlink r:id="rId31" w:history="1">
        <w:r w:rsidRPr="00662CC0">
          <w:rPr>
            <w:rFonts w:ascii="David" w:hAnsi="David" w:cs="David"/>
            <w:color w:val="0000FF"/>
            <w:sz w:val="24"/>
            <w:szCs w:val="24"/>
            <w:u w:val="single"/>
            <w:shd w:val="clear" w:color="auto" w:fill="FFFFFF"/>
            <w:rtl/>
          </w:rPr>
          <w:t>ת"פ 61659-01-20</w:t>
        </w:r>
      </w:hyperlink>
      <w:r w:rsidR="00C36545">
        <w:rPr>
          <w:rFonts w:ascii="David" w:hAnsi="David" w:cs="David"/>
          <w:color w:val="000000"/>
          <w:sz w:val="24"/>
          <w:szCs w:val="24"/>
          <w:shd w:val="clear" w:color="auto" w:fill="FFFFFF"/>
          <w:rtl/>
        </w:rPr>
        <w:t xml:space="preserve"> </w:t>
      </w:r>
      <w:r w:rsidR="00C36545">
        <w:rPr>
          <w:rFonts w:ascii="David" w:hAnsi="David" w:cs="David"/>
          <w:b/>
          <w:bCs/>
          <w:color w:val="000000"/>
          <w:sz w:val="24"/>
          <w:szCs w:val="24"/>
          <w:shd w:val="clear" w:color="auto" w:fill="FFFFFF"/>
          <w:rtl/>
        </w:rPr>
        <w:t>מדינת ישראל נ' בלולו</w:t>
      </w:r>
      <w:r w:rsidR="00C36545">
        <w:rPr>
          <w:rFonts w:ascii="David" w:hAnsi="David" w:cs="David"/>
          <w:color w:val="000000"/>
          <w:sz w:val="24"/>
          <w:szCs w:val="24"/>
          <w:shd w:val="clear" w:color="auto" w:fill="FFFFFF"/>
          <w:rtl/>
        </w:rPr>
        <w:t xml:space="preserve"> - הנאשם הורשע על פי הודאתו, במסגרת הסדר טיעון, בגידול קנביס ובהחזקת חצרים בכך שגידל בנגריה כ-290 שתילים במשקל של 30 ק''ג. על הנאשם ללא הרשעות קודמות שהתגייס להליך טיפולי הוטלה שנת מאסר, קנס בסך של 30,000 ₪ וכן הוחלט להסתפק בפסילת רישיון על תנאי על מנת שלא לפגוע בשיקולי שיקומו.</w:t>
      </w:r>
    </w:p>
    <w:p w14:paraId="78CDD384" w14:textId="77777777" w:rsidR="00C36545" w:rsidRDefault="00C36545" w:rsidP="00C36545">
      <w:pPr>
        <w:pStyle w:val="aa"/>
        <w:rPr>
          <w:rFonts w:ascii="David" w:hAnsi="David" w:cs="David"/>
          <w:color w:val="000000"/>
          <w:sz w:val="24"/>
          <w:szCs w:val="24"/>
          <w:shd w:val="clear" w:color="auto" w:fill="FFFFFF"/>
        </w:rPr>
      </w:pPr>
    </w:p>
    <w:p w14:paraId="0B386B56" w14:textId="77777777" w:rsidR="00C36545" w:rsidRDefault="00662CC0" w:rsidP="00C36545">
      <w:pPr>
        <w:pStyle w:val="aa"/>
        <w:numPr>
          <w:ilvl w:val="0"/>
          <w:numId w:val="2"/>
        </w:numPr>
        <w:spacing w:line="360" w:lineRule="auto"/>
        <w:jc w:val="both"/>
        <w:rPr>
          <w:rFonts w:ascii="David" w:hAnsi="David" w:cs="David"/>
          <w:color w:val="000000"/>
          <w:sz w:val="24"/>
          <w:szCs w:val="24"/>
          <w:shd w:val="clear" w:color="auto" w:fill="FFFFFF"/>
          <w:rtl/>
        </w:rPr>
      </w:pPr>
      <w:hyperlink r:id="rId32" w:history="1">
        <w:r w:rsidRPr="00662CC0">
          <w:rPr>
            <w:rFonts w:ascii="David" w:hAnsi="David" w:cs="David"/>
            <w:color w:val="0000FF"/>
            <w:sz w:val="24"/>
            <w:szCs w:val="24"/>
            <w:u w:val="single"/>
            <w:shd w:val="clear" w:color="auto" w:fill="FFFFFF"/>
            <w:rtl/>
          </w:rPr>
          <w:t>ת"פ 11370-07-16</w:t>
        </w:r>
      </w:hyperlink>
      <w:r w:rsidR="00C36545">
        <w:rPr>
          <w:rFonts w:ascii="David" w:hAnsi="David" w:cs="David"/>
          <w:color w:val="000000"/>
          <w:sz w:val="24"/>
          <w:szCs w:val="24"/>
          <w:shd w:val="clear" w:color="auto" w:fill="FFFFFF"/>
          <w:rtl/>
        </w:rPr>
        <w:t xml:space="preserve"> </w:t>
      </w:r>
      <w:r w:rsidR="00C36545">
        <w:rPr>
          <w:rFonts w:ascii="David" w:hAnsi="David" w:cs="David"/>
          <w:b/>
          <w:bCs/>
          <w:color w:val="000000"/>
          <w:sz w:val="24"/>
          <w:szCs w:val="24"/>
          <w:shd w:val="clear" w:color="auto" w:fill="FFFFFF"/>
          <w:rtl/>
        </w:rPr>
        <w:t>מדינת ישראל נ' גאבר</w:t>
      </w:r>
      <w:r w:rsidR="00C36545">
        <w:rPr>
          <w:rFonts w:ascii="David" w:hAnsi="David" w:cs="David"/>
          <w:color w:val="000000"/>
          <w:sz w:val="24"/>
          <w:szCs w:val="24"/>
          <w:shd w:val="clear" w:color="auto" w:fill="FFFFFF"/>
          <w:rtl/>
        </w:rPr>
        <w:t xml:space="preserve"> - הנאשם הורשע על פי הודאתו בכתב אישום מתוקן בכך שגידל במרתף ביתו 96 שתילי קנבוס במשקל של כ- 31 ק''ג. על הנאשם, ללא הרשעות קודמות שנסיבות חייו מורכבות, הוטלו 18 חודשי מאסר בפועל וקנס בסך של 10,000 ₪. </w:t>
      </w:r>
    </w:p>
    <w:p w14:paraId="0E7A89CD" w14:textId="77777777" w:rsidR="00C36545" w:rsidRDefault="00C36545" w:rsidP="00C36545">
      <w:pPr>
        <w:pStyle w:val="aa"/>
        <w:rPr>
          <w:rFonts w:ascii="David" w:hAnsi="David" w:cs="David"/>
          <w:color w:val="000000"/>
          <w:sz w:val="24"/>
          <w:szCs w:val="24"/>
          <w:shd w:val="clear" w:color="auto" w:fill="FFFFFF"/>
        </w:rPr>
      </w:pPr>
    </w:p>
    <w:p w14:paraId="0E0542DC" w14:textId="77777777" w:rsidR="00C36545" w:rsidRDefault="00C36545" w:rsidP="00C36545">
      <w:pPr>
        <w:pStyle w:val="aa"/>
        <w:numPr>
          <w:ilvl w:val="0"/>
          <w:numId w:val="1"/>
        </w:numPr>
        <w:spacing w:line="360" w:lineRule="auto"/>
        <w:jc w:val="both"/>
        <w:rPr>
          <w:rFonts w:ascii="David" w:hAnsi="David" w:cs="David"/>
          <w:color w:val="000000"/>
          <w:sz w:val="24"/>
          <w:szCs w:val="24"/>
          <w:shd w:val="clear" w:color="auto" w:fill="FFFFFF"/>
          <w:rtl/>
        </w:rPr>
      </w:pPr>
      <w:r>
        <w:rPr>
          <w:rFonts w:ascii="David" w:hAnsi="David" w:cs="David"/>
          <w:color w:val="000000"/>
          <w:sz w:val="24"/>
          <w:szCs w:val="24"/>
          <w:shd w:val="clear" w:color="auto" w:fill="FFFFFF"/>
          <w:rtl/>
        </w:rPr>
        <w:t>לעניין עונש הפסילה, הנאשם במקרה זה לא עבר עבירה תוך שימוש ברכב. אין בפנ</w:t>
      </w:r>
      <w:r>
        <w:rPr>
          <w:rFonts w:ascii="David" w:hAnsi="David" w:cs="David" w:hint="cs"/>
          <w:color w:val="000000"/>
          <w:sz w:val="24"/>
          <w:szCs w:val="24"/>
          <w:shd w:val="clear" w:color="auto" w:fill="FFFFFF"/>
          <w:rtl/>
        </w:rPr>
        <w:t>י</w:t>
      </w:r>
      <w:r>
        <w:rPr>
          <w:rFonts w:ascii="David" w:hAnsi="David" w:cs="David"/>
          <w:color w:val="000000"/>
          <w:sz w:val="24"/>
          <w:szCs w:val="24"/>
          <w:shd w:val="clear" w:color="auto" w:fill="FFFFFF"/>
          <w:rtl/>
        </w:rPr>
        <w:t>י אינדיקציה כי מדובר במי שמשמש בסמים או מכור לסמים באופן שפס</w:t>
      </w:r>
      <w:r>
        <w:rPr>
          <w:rFonts w:ascii="David" w:hAnsi="David" w:cs="David" w:hint="cs"/>
          <w:color w:val="000000"/>
          <w:sz w:val="24"/>
          <w:szCs w:val="24"/>
          <w:shd w:val="clear" w:color="auto" w:fill="FFFFFF"/>
          <w:rtl/>
        </w:rPr>
        <w:t>י</w:t>
      </w:r>
      <w:r>
        <w:rPr>
          <w:rFonts w:ascii="David" w:hAnsi="David" w:cs="David"/>
          <w:color w:val="000000"/>
          <w:sz w:val="24"/>
          <w:szCs w:val="24"/>
          <w:shd w:val="clear" w:color="auto" w:fill="FFFFFF"/>
          <w:rtl/>
        </w:rPr>
        <w:t>לת רישיון הנהיגה מחייבת לצורך הגנה על שלום הציבור. לאור הרקע הכלכלי לביצוע העבירה</w:t>
      </w:r>
      <w:r>
        <w:rPr>
          <w:rFonts w:ascii="David" w:hAnsi="David" w:cs="David" w:hint="cs"/>
          <w:color w:val="000000"/>
          <w:sz w:val="24"/>
          <w:szCs w:val="24"/>
          <w:shd w:val="clear" w:color="auto" w:fill="FFFFFF"/>
          <w:rtl/>
        </w:rPr>
        <w:t>, שמקבל מענה ברכיב הקנס,</w:t>
      </w:r>
      <w:r>
        <w:rPr>
          <w:rFonts w:ascii="David" w:hAnsi="David" w:cs="David"/>
          <w:color w:val="000000"/>
          <w:sz w:val="24"/>
          <w:szCs w:val="24"/>
          <w:shd w:val="clear" w:color="auto" w:fill="FFFFFF"/>
          <w:rtl/>
        </w:rPr>
        <w:t xml:space="preserve"> ועל מנת שלא לפגוע בשיקולי השיקום של הנאשם וביכולתו להתפרנס</w:t>
      </w:r>
      <w:r>
        <w:rPr>
          <w:rFonts w:ascii="David" w:hAnsi="David" w:cs="David" w:hint="cs"/>
          <w:color w:val="000000"/>
          <w:sz w:val="24"/>
          <w:szCs w:val="24"/>
          <w:shd w:val="clear" w:color="auto" w:fill="FFFFFF"/>
          <w:rtl/>
        </w:rPr>
        <w:t>,</w:t>
      </w:r>
      <w:r>
        <w:rPr>
          <w:rFonts w:ascii="David" w:hAnsi="David" w:cs="David"/>
          <w:color w:val="000000"/>
          <w:sz w:val="24"/>
          <w:szCs w:val="24"/>
          <w:shd w:val="clear" w:color="auto" w:fill="FFFFFF"/>
          <w:rtl/>
        </w:rPr>
        <w:t xml:space="preserve"> לפנים משורת הדין אסתפק בהטלת פסילה על תנאי בלבד. </w:t>
      </w:r>
    </w:p>
    <w:p w14:paraId="7AE2AD09" w14:textId="77777777" w:rsidR="00C36545" w:rsidRDefault="00C36545" w:rsidP="00C36545">
      <w:pPr>
        <w:pStyle w:val="aa"/>
        <w:spacing w:line="360" w:lineRule="auto"/>
        <w:jc w:val="both"/>
        <w:rPr>
          <w:rFonts w:ascii="David" w:hAnsi="David" w:cs="David"/>
          <w:color w:val="000000"/>
          <w:sz w:val="24"/>
          <w:szCs w:val="24"/>
          <w:shd w:val="clear" w:color="auto" w:fill="FFFFFF"/>
        </w:rPr>
      </w:pPr>
    </w:p>
    <w:p w14:paraId="65153E89" w14:textId="77777777" w:rsidR="00C36545" w:rsidRDefault="00C36545" w:rsidP="00C36545">
      <w:pPr>
        <w:spacing w:line="360" w:lineRule="auto"/>
        <w:rPr>
          <w:rFonts w:ascii="David" w:hAnsi="David"/>
          <w:b/>
          <w:bCs/>
          <w:u w:val="single"/>
          <w:rtl/>
        </w:rPr>
      </w:pPr>
      <w:r>
        <w:rPr>
          <w:rFonts w:ascii="David" w:hAnsi="David"/>
          <w:b/>
          <w:bCs/>
          <w:u w:val="single"/>
          <w:rtl/>
        </w:rPr>
        <w:t>סוף דבר:</w:t>
      </w:r>
    </w:p>
    <w:p w14:paraId="7B0CE8CE" w14:textId="77777777" w:rsidR="00C36545" w:rsidRDefault="00C36545" w:rsidP="00C36545">
      <w:pPr>
        <w:spacing w:line="360" w:lineRule="auto"/>
        <w:rPr>
          <w:rFonts w:ascii="David" w:hAnsi="David"/>
          <w:b/>
          <w:bCs/>
          <w:u w:val="single"/>
          <w:rtl/>
        </w:rPr>
      </w:pPr>
    </w:p>
    <w:p w14:paraId="394C1B46" w14:textId="77777777" w:rsidR="00C36545" w:rsidRDefault="00C36545" w:rsidP="00C36545">
      <w:pPr>
        <w:pStyle w:val="aa"/>
        <w:numPr>
          <w:ilvl w:val="0"/>
          <w:numId w:val="1"/>
        </w:numPr>
        <w:spacing w:line="360" w:lineRule="auto"/>
        <w:rPr>
          <w:rFonts w:ascii="David" w:hAnsi="David" w:cs="David"/>
          <w:sz w:val="24"/>
          <w:szCs w:val="24"/>
          <w:rtl/>
        </w:rPr>
      </w:pPr>
      <w:r>
        <w:rPr>
          <w:rFonts w:ascii="David" w:hAnsi="David" w:cs="David"/>
          <w:sz w:val="24"/>
          <w:szCs w:val="24"/>
          <w:rtl/>
        </w:rPr>
        <w:t>לאחר ששקלתי את מכלול השיקולים כמפורט לעיל אני מטילה על הנאשם את העונשים הבאים:</w:t>
      </w:r>
    </w:p>
    <w:p w14:paraId="37BF30C2" w14:textId="77777777" w:rsidR="00C36545" w:rsidRDefault="00C36545" w:rsidP="00C36545">
      <w:pPr>
        <w:pStyle w:val="aa"/>
        <w:spacing w:line="360" w:lineRule="auto"/>
        <w:rPr>
          <w:rFonts w:ascii="David" w:hAnsi="David" w:cs="David"/>
          <w:sz w:val="24"/>
          <w:szCs w:val="24"/>
        </w:rPr>
      </w:pPr>
    </w:p>
    <w:p w14:paraId="3CBE64A2" w14:textId="77777777" w:rsidR="00C36545" w:rsidRPr="00C36545" w:rsidRDefault="00C36545" w:rsidP="00C36545">
      <w:pPr>
        <w:pStyle w:val="aa"/>
        <w:numPr>
          <w:ilvl w:val="0"/>
          <w:numId w:val="3"/>
        </w:numPr>
        <w:spacing w:line="360" w:lineRule="auto"/>
        <w:jc w:val="both"/>
        <w:rPr>
          <w:rFonts w:ascii="Arial" w:hAnsi="Arial" w:cs="David"/>
          <w:sz w:val="24"/>
          <w:szCs w:val="24"/>
          <w:rtl/>
        </w:rPr>
      </w:pPr>
      <w:r>
        <w:rPr>
          <w:rFonts w:ascii="Arial" w:hAnsi="Arial" w:cs="David"/>
          <w:sz w:val="24"/>
          <w:szCs w:val="24"/>
          <w:rtl/>
        </w:rPr>
        <w:t xml:space="preserve">18 חודשי מאסר בפועל, בניכוי ימי מעצרו בתיק זה. </w:t>
      </w:r>
    </w:p>
    <w:p w14:paraId="6F2772BD" w14:textId="77777777" w:rsidR="00C36545" w:rsidRDefault="00C36545" w:rsidP="00C36545">
      <w:pPr>
        <w:pStyle w:val="aa"/>
        <w:numPr>
          <w:ilvl w:val="0"/>
          <w:numId w:val="3"/>
        </w:numPr>
        <w:spacing w:line="360" w:lineRule="auto"/>
        <w:jc w:val="both"/>
        <w:rPr>
          <w:rFonts w:ascii="Arial" w:hAnsi="Arial" w:cs="David"/>
          <w:sz w:val="24"/>
          <w:szCs w:val="24"/>
          <w:rtl/>
        </w:rPr>
      </w:pPr>
      <w:r>
        <w:rPr>
          <w:rFonts w:ascii="Arial" w:hAnsi="Arial" w:cs="David"/>
          <w:sz w:val="24"/>
          <w:szCs w:val="24"/>
          <w:rtl/>
        </w:rPr>
        <w:t xml:space="preserve">מאסר על תנאי לתקופה של  8 חודשים. </w:t>
      </w:r>
    </w:p>
    <w:p w14:paraId="5769BF56" w14:textId="77777777" w:rsidR="00C36545" w:rsidRDefault="00C36545" w:rsidP="00C36545">
      <w:pPr>
        <w:spacing w:line="360" w:lineRule="auto"/>
        <w:ind w:left="1080"/>
        <w:jc w:val="both"/>
        <w:rPr>
          <w:rFonts w:ascii="Arial" w:hAnsi="Arial"/>
          <w:rtl/>
        </w:rPr>
      </w:pPr>
      <w:r>
        <w:rPr>
          <w:rFonts w:ascii="Arial" w:hAnsi="Arial"/>
          <w:rtl/>
        </w:rPr>
        <w:t xml:space="preserve">המאסר המותנה יופעל אם תוך תקופה של 3 שנים מיום שחרורו, יעבור הנאשם  עבירת סמים מסוג פשע. </w:t>
      </w:r>
    </w:p>
    <w:p w14:paraId="0EDE17B1" w14:textId="77777777" w:rsidR="00C36545" w:rsidRDefault="00C36545" w:rsidP="00C36545">
      <w:pPr>
        <w:pStyle w:val="aa"/>
        <w:numPr>
          <w:ilvl w:val="0"/>
          <w:numId w:val="3"/>
        </w:numPr>
        <w:spacing w:line="360" w:lineRule="auto"/>
        <w:jc w:val="both"/>
        <w:rPr>
          <w:rFonts w:ascii="Arial" w:hAnsi="Arial" w:cs="David"/>
          <w:sz w:val="24"/>
          <w:szCs w:val="24"/>
          <w:rtl/>
        </w:rPr>
      </w:pPr>
      <w:r>
        <w:rPr>
          <w:rFonts w:ascii="Arial" w:hAnsi="Arial" w:cs="David"/>
          <w:sz w:val="24"/>
          <w:szCs w:val="24"/>
          <w:rtl/>
        </w:rPr>
        <w:t>קנס בסך 10,000</w:t>
      </w:r>
      <w:r w:rsidR="00662CC0">
        <w:rPr>
          <w:rFonts w:ascii="Arial" w:hAnsi="Arial" w:cs="David"/>
          <w:sz w:val="24"/>
          <w:szCs w:val="24"/>
          <w:rtl/>
        </w:rPr>
        <w:t xml:space="preserve"> </w:t>
      </w:r>
      <w:r>
        <w:rPr>
          <w:rFonts w:ascii="Arial" w:hAnsi="Arial" w:cs="David"/>
          <w:sz w:val="24"/>
          <w:szCs w:val="24"/>
          <w:rtl/>
        </w:rPr>
        <w:t xml:space="preserve"> ₪</w:t>
      </w:r>
      <w:r w:rsidR="00662CC0">
        <w:rPr>
          <w:rFonts w:ascii="Arial" w:hAnsi="Arial" w:cs="David"/>
          <w:sz w:val="24"/>
          <w:szCs w:val="24"/>
          <w:rtl/>
        </w:rPr>
        <w:t xml:space="preserve"> </w:t>
      </w:r>
      <w:r>
        <w:rPr>
          <w:rFonts w:ascii="Arial" w:hAnsi="Arial" w:cs="David"/>
          <w:sz w:val="24"/>
          <w:szCs w:val="24"/>
          <w:rtl/>
        </w:rPr>
        <w:t xml:space="preserve"> או 50 ימי מאסר תמורתו. הקנס ישולם ב-10 תשלומים חודשיים שווים ורצופים החל מיום 1.1.24. </w:t>
      </w:r>
    </w:p>
    <w:p w14:paraId="793FA5C8" w14:textId="77777777" w:rsidR="00C36545" w:rsidRDefault="00C36545" w:rsidP="00C36545">
      <w:pPr>
        <w:spacing w:line="360" w:lineRule="auto"/>
        <w:ind w:left="360" w:firstLine="720"/>
        <w:rPr>
          <w:rFonts w:ascii="David" w:hAnsi="David"/>
          <w:rtl/>
        </w:rPr>
      </w:pPr>
      <w:r>
        <w:rPr>
          <w:rFonts w:ascii="David" w:hAnsi="David"/>
          <w:rtl/>
        </w:rPr>
        <w:t xml:space="preserve">את הקנס ניתן לשלם כעבור  3 ימים מהיום באחת מהדרכים הבאות: </w:t>
      </w:r>
    </w:p>
    <w:p w14:paraId="19C7EA9C" w14:textId="77777777" w:rsidR="00C36545" w:rsidRDefault="00C36545" w:rsidP="00C36545">
      <w:pPr>
        <w:numPr>
          <w:ilvl w:val="0"/>
          <w:numId w:val="4"/>
        </w:numPr>
        <w:spacing w:line="360" w:lineRule="auto"/>
        <w:rPr>
          <w:rFonts w:ascii="David" w:hAnsi="David"/>
        </w:rPr>
      </w:pPr>
      <w:r>
        <w:rPr>
          <w:rFonts w:ascii="David" w:hAnsi="David"/>
          <w:rtl/>
        </w:rPr>
        <w:t xml:space="preserve">בכרטיס אשראי – באתר המקוון של רשות האכיפה והגבייה, </w:t>
      </w:r>
      <w:r w:rsidRPr="00C36545">
        <w:rPr>
          <w:rFonts w:ascii="David" w:hAnsi="David"/>
          <w:color w:val="0563C1"/>
          <w:u w:val="single"/>
        </w:rPr>
        <w:t>www.eca.gov.il</w:t>
      </w:r>
      <w:r>
        <w:rPr>
          <w:rFonts w:ascii="David" w:hAnsi="David"/>
        </w:rPr>
        <w:t xml:space="preserve"> </w:t>
      </w:r>
      <w:r w:rsidR="00662CC0">
        <w:rPr>
          <w:rFonts w:ascii="David" w:hAnsi="David"/>
          <w:rtl/>
        </w:rPr>
        <w:t xml:space="preserve"> </w:t>
      </w:r>
    </w:p>
    <w:p w14:paraId="25802D61" w14:textId="77777777" w:rsidR="00C36545" w:rsidRDefault="00C36545" w:rsidP="00C36545">
      <w:pPr>
        <w:numPr>
          <w:ilvl w:val="0"/>
          <w:numId w:val="4"/>
        </w:numPr>
        <w:spacing w:line="360" w:lineRule="auto"/>
        <w:rPr>
          <w:rFonts w:ascii="David" w:hAnsi="David"/>
        </w:rPr>
      </w:pPr>
      <w:r>
        <w:rPr>
          <w:rFonts w:ascii="David" w:hAnsi="David"/>
          <w:rtl/>
        </w:rPr>
        <w:t>מוקד שירות טלפוני בשרות עצמי (מרכז גבייה)</w:t>
      </w:r>
      <w:r w:rsidR="00662CC0">
        <w:rPr>
          <w:rFonts w:ascii="David" w:hAnsi="David"/>
          <w:rtl/>
        </w:rPr>
        <w:t xml:space="preserve"> </w:t>
      </w:r>
      <w:r>
        <w:rPr>
          <w:rFonts w:ascii="David" w:hAnsi="David"/>
          <w:rtl/>
        </w:rPr>
        <w:t xml:space="preserve"> – בטלפון 35592* או בטלפון 073-2055000</w:t>
      </w:r>
    </w:p>
    <w:p w14:paraId="41599963" w14:textId="77777777" w:rsidR="00C36545" w:rsidRDefault="00C36545" w:rsidP="00C36545">
      <w:pPr>
        <w:numPr>
          <w:ilvl w:val="0"/>
          <w:numId w:val="4"/>
        </w:numPr>
        <w:spacing w:line="360" w:lineRule="auto"/>
        <w:rPr>
          <w:rFonts w:ascii="David" w:hAnsi="David"/>
        </w:rPr>
      </w:pPr>
      <w:r>
        <w:rPr>
          <w:rFonts w:ascii="David" w:hAnsi="David"/>
          <w:rtl/>
        </w:rPr>
        <w:t>במזומן בכל סניף של בנק הדואר – בהצגת תעודת זהות בלבד (אין צורך בהצגת בשוברי תשלום).</w:t>
      </w:r>
    </w:p>
    <w:p w14:paraId="255E38D1" w14:textId="77777777" w:rsidR="00C36545" w:rsidRPr="00C36545" w:rsidRDefault="00C36545" w:rsidP="00C36545">
      <w:pPr>
        <w:spacing w:line="360" w:lineRule="auto"/>
        <w:jc w:val="both"/>
        <w:rPr>
          <w:rFonts w:ascii="Arial" w:eastAsia="Calibri" w:hAnsi="Arial"/>
          <w:rtl/>
        </w:rPr>
      </w:pPr>
    </w:p>
    <w:p w14:paraId="2AB67934" w14:textId="77777777" w:rsidR="00C36545" w:rsidRDefault="00C36545" w:rsidP="00C36545">
      <w:pPr>
        <w:pStyle w:val="aa"/>
        <w:numPr>
          <w:ilvl w:val="0"/>
          <w:numId w:val="3"/>
        </w:numPr>
        <w:spacing w:line="360" w:lineRule="auto"/>
        <w:jc w:val="both"/>
        <w:rPr>
          <w:rFonts w:cs="David"/>
          <w:sz w:val="24"/>
          <w:szCs w:val="24"/>
          <w:rtl/>
        </w:rPr>
      </w:pPr>
      <w:r>
        <w:rPr>
          <w:rFonts w:ascii="Arial" w:hAnsi="Arial" w:cs="David"/>
          <w:sz w:val="24"/>
          <w:szCs w:val="24"/>
          <w:rtl/>
        </w:rPr>
        <w:t>פסילה מלקבל או להחזיק רישיון נהיגה על תנאי למשך שנה.</w:t>
      </w:r>
    </w:p>
    <w:p w14:paraId="35547A1C" w14:textId="77777777" w:rsidR="00C36545" w:rsidRDefault="00C36545" w:rsidP="00C36545">
      <w:pPr>
        <w:pStyle w:val="aa"/>
        <w:spacing w:line="360" w:lineRule="auto"/>
        <w:ind w:firstLine="360"/>
        <w:jc w:val="both"/>
        <w:rPr>
          <w:rFonts w:ascii="Arial" w:hAnsi="Arial" w:cs="David"/>
          <w:sz w:val="24"/>
          <w:szCs w:val="24"/>
        </w:rPr>
      </w:pPr>
      <w:r>
        <w:rPr>
          <w:rFonts w:ascii="Arial" w:hAnsi="Arial" w:cs="David"/>
          <w:sz w:val="24"/>
          <w:szCs w:val="24"/>
          <w:rtl/>
        </w:rPr>
        <w:t xml:space="preserve">הפסילה תופעל אם תוך תקופה של 3 שנים מיום שחרורו, יעבור הנאשם עבירת סמים. </w:t>
      </w:r>
    </w:p>
    <w:p w14:paraId="04DD632F" w14:textId="77777777" w:rsidR="00C36545" w:rsidRDefault="00C36545" w:rsidP="00C36545">
      <w:pPr>
        <w:pStyle w:val="aa"/>
        <w:spacing w:line="360" w:lineRule="auto"/>
        <w:jc w:val="both"/>
        <w:rPr>
          <w:rFonts w:ascii="Arial" w:hAnsi="Arial" w:cs="David"/>
          <w:sz w:val="24"/>
          <w:szCs w:val="24"/>
          <w:rtl/>
        </w:rPr>
      </w:pPr>
    </w:p>
    <w:p w14:paraId="3C32C1D7" w14:textId="77777777" w:rsidR="00C36545" w:rsidRDefault="00662CC0" w:rsidP="00C36545">
      <w:pPr>
        <w:pStyle w:val="aa"/>
        <w:numPr>
          <w:ilvl w:val="0"/>
          <w:numId w:val="3"/>
        </w:numPr>
        <w:spacing w:line="360" w:lineRule="auto"/>
        <w:jc w:val="both"/>
        <w:rPr>
          <w:rFonts w:ascii="Arial" w:hAnsi="Arial" w:cs="David"/>
          <w:sz w:val="24"/>
          <w:szCs w:val="24"/>
          <w:rtl/>
        </w:rPr>
      </w:pPr>
      <w:r w:rsidRPr="00662CC0">
        <w:rPr>
          <w:rFonts w:ascii="Arial" w:hAnsi="Arial" w:cs="David"/>
          <w:color w:val="FFFFFF"/>
          <w:sz w:val="2"/>
          <w:szCs w:val="2"/>
          <w:rtl/>
        </w:rPr>
        <w:t>5129371</w:t>
      </w:r>
      <w:r w:rsidR="00C36545">
        <w:rPr>
          <w:rFonts w:ascii="Arial" w:hAnsi="Arial" w:cs="David"/>
          <w:sz w:val="24"/>
          <w:szCs w:val="24"/>
          <w:rtl/>
        </w:rPr>
        <w:t xml:space="preserve">מורה על חילוט התפוסים המפורטים בכתב האישום המתוקן לטובת קרן חילוט. </w:t>
      </w:r>
    </w:p>
    <w:p w14:paraId="02431EB0" w14:textId="77777777" w:rsidR="00C36545" w:rsidRPr="00662CC0" w:rsidRDefault="00662CC0" w:rsidP="00C36545">
      <w:pPr>
        <w:rPr>
          <w:rFonts w:ascii="Arial" w:hAnsi="Arial"/>
          <w:b/>
          <w:bCs/>
          <w:color w:val="FFFFFF"/>
          <w:sz w:val="2"/>
          <w:szCs w:val="2"/>
          <w:rtl/>
        </w:rPr>
      </w:pPr>
      <w:r w:rsidRPr="00662CC0">
        <w:rPr>
          <w:rFonts w:ascii="Arial" w:hAnsi="Arial"/>
          <w:b/>
          <w:bCs/>
          <w:color w:val="FFFFFF"/>
          <w:sz w:val="2"/>
          <w:szCs w:val="2"/>
          <w:rtl/>
        </w:rPr>
        <w:t>54678313</w:t>
      </w:r>
    </w:p>
    <w:p w14:paraId="63FD07A6" w14:textId="77777777" w:rsidR="00C36545" w:rsidRPr="000F2247" w:rsidRDefault="00C36545" w:rsidP="00C36545">
      <w:pPr>
        <w:rPr>
          <w:rFonts w:ascii="Arial" w:hAnsi="Arial"/>
          <w:b/>
          <w:bCs/>
          <w:sz w:val="26"/>
          <w:szCs w:val="26"/>
          <w:rtl/>
        </w:rPr>
      </w:pPr>
    </w:p>
    <w:p w14:paraId="7D1B509B" w14:textId="77777777" w:rsidR="00C36545" w:rsidRPr="000F2247" w:rsidRDefault="00662CC0" w:rsidP="00C36545">
      <w:pPr>
        <w:rPr>
          <w:rFonts w:ascii="Arial" w:hAnsi="Arial"/>
          <w:b/>
          <w:bCs/>
          <w:sz w:val="26"/>
          <w:szCs w:val="26"/>
          <w:rtl/>
        </w:rPr>
      </w:pPr>
      <w:bookmarkStart w:id="8" w:name="Nitan"/>
      <w:r>
        <w:rPr>
          <w:rFonts w:ascii="Arial" w:hAnsi="Arial"/>
          <w:b/>
          <w:bCs/>
          <w:sz w:val="26"/>
          <w:szCs w:val="26"/>
          <w:rtl/>
        </w:rPr>
        <w:t xml:space="preserve">ניתן היום,  ט"ו טבת תשפ"ג, 08 ינואר 2023, בהעדר הצדדים. </w:t>
      </w:r>
      <w:bookmarkEnd w:id="8"/>
    </w:p>
    <w:p w14:paraId="1BF05155" w14:textId="77777777" w:rsidR="00C36545" w:rsidRPr="000F2247" w:rsidRDefault="00C36545" w:rsidP="00662CC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6CE9A4" w14:textId="77777777" w:rsidR="00C36545" w:rsidRPr="0092429F" w:rsidRDefault="0092429F" w:rsidP="00C36545">
      <w:pPr>
        <w:jc w:val="center"/>
        <w:rPr>
          <w:rFonts w:ascii="Arial" w:hAnsi="Arial"/>
          <w:b/>
          <w:bCs/>
          <w:color w:val="FFFFFF"/>
          <w:sz w:val="2"/>
          <w:szCs w:val="2"/>
          <w:rtl/>
        </w:rPr>
      </w:pPr>
      <w:r w:rsidRPr="0092429F">
        <w:rPr>
          <w:rFonts w:ascii="Arial" w:hAnsi="Arial"/>
          <w:b/>
          <w:bCs/>
          <w:color w:val="FFFFFF"/>
          <w:sz w:val="2"/>
          <w:szCs w:val="2"/>
          <w:rtl/>
        </w:rPr>
        <w:t>5129371</w:t>
      </w:r>
    </w:p>
    <w:p w14:paraId="064C2886" w14:textId="77777777" w:rsidR="00C957FF" w:rsidRPr="0092429F" w:rsidRDefault="0092429F" w:rsidP="00662CC0">
      <w:pPr>
        <w:keepNext/>
        <w:rPr>
          <w:rFonts w:ascii="David" w:hAnsi="David"/>
          <w:color w:val="FFFFFF"/>
          <w:sz w:val="2"/>
          <w:szCs w:val="2"/>
          <w:rtl/>
        </w:rPr>
      </w:pPr>
      <w:r w:rsidRPr="0092429F">
        <w:rPr>
          <w:rFonts w:ascii="David" w:hAnsi="David"/>
          <w:color w:val="FFFFFF"/>
          <w:sz w:val="2"/>
          <w:szCs w:val="2"/>
          <w:rtl/>
        </w:rPr>
        <w:t>54678313</w:t>
      </w:r>
    </w:p>
    <w:p w14:paraId="32BB5E8B" w14:textId="77777777" w:rsidR="00662CC0" w:rsidRDefault="00662CC0" w:rsidP="00662CC0">
      <w:pPr>
        <w:rPr>
          <w:rtl/>
        </w:rPr>
      </w:pPr>
    </w:p>
    <w:p w14:paraId="5926C75F" w14:textId="77777777" w:rsidR="00662CC0" w:rsidRDefault="00662CC0" w:rsidP="00662CC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FBB6F4A" w14:textId="77777777" w:rsidR="0092429F" w:rsidRPr="0092429F" w:rsidRDefault="0092429F" w:rsidP="0092429F">
      <w:pPr>
        <w:keepNext/>
        <w:rPr>
          <w:rFonts w:ascii="David" w:hAnsi="David"/>
          <w:color w:val="000000"/>
          <w:sz w:val="22"/>
          <w:szCs w:val="22"/>
          <w:rtl/>
        </w:rPr>
      </w:pPr>
    </w:p>
    <w:p w14:paraId="14A93351" w14:textId="77777777" w:rsidR="0092429F" w:rsidRPr="0092429F" w:rsidRDefault="0092429F" w:rsidP="0092429F">
      <w:pPr>
        <w:keepNext/>
        <w:rPr>
          <w:rFonts w:ascii="David" w:hAnsi="David"/>
          <w:color w:val="000000"/>
          <w:sz w:val="22"/>
          <w:szCs w:val="22"/>
          <w:rtl/>
        </w:rPr>
      </w:pPr>
      <w:r w:rsidRPr="0092429F">
        <w:rPr>
          <w:rFonts w:ascii="David" w:hAnsi="David"/>
          <w:color w:val="000000"/>
          <w:sz w:val="22"/>
          <w:szCs w:val="22"/>
          <w:rtl/>
        </w:rPr>
        <w:t>ענת חולתא 54678313-/</w:t>
      </w:r>
    </w:p>
    <w:p w14:paraId="3A225E34" w14:textId="77777777" w:rsidR="00662CC0" w:rsidRPr="00662CC0" w:rsidRDefault="0092429F" w:rsidP="0092429F">
      <w:pPr>
        <w:rPr>
          <w:color w:val="0000FF"/>
          <w:u w:val="single"/>
        </w:rPr>
      </w:pPr>
      <w:r w:rsidRPr="0092429F">
        <w:rPr>
          <w:color w:val="000000"/>
          <w:u w:val="single"/>
          <w:rtl/>
        </w:rPr>
        <w:t>נוסח מסמך זה כפוף לשינויי ניסוח ועריכה</w:t>
      </w:r>
    </w:p>
    <w:sectPr w:rsidR="00662CC0" w:rsidRPr="00662CC0" w:rsidSect="0092429F">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FE46D" w14:textId="77777777" w:rsidR="0071712A" w:rsidRDefault="0071712A" w:rsidP="00F82024">
      <w:r>
        <w:separator/>
      </w:r>
    </w:p>
  </w:endnote>
  <w:endnote w:type="continuationSeparator" w:id="0">
    <w:p w14:paraId="7CA551E4" w14:textId="77777777" w:rsidR="0071712A" w:rsidRDefault="0071712A" w:rsidP="00F8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6F3E7" w14:textId="77777777" w:rsidR="0092429F" w:rsidRDefault="0092429F" w:rsidP="009242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97DDEE" w14:textId="77777777" w:rsidR="006F5E82" w:rsidRPr="0092429F" w:rsidRDefault="0092429F" w:rsidP="0092429F">
    <w:pPr>
      <w:pStyle w:val="a5"/>
      <w:pBdr>
        <w:top w:val="single" w:sz="4" w:space="1" w:color="auto"/>
        <w:between w:val="single" w:sz="4" w:space="0" w:color="auto"/>
      </w:pBdr>
      <w:spacing w:after="60"/>
      <w:jc w:val="center"/>
      <w:rPr>
        <w:rFonts w:ascii="FrankRuehl" w:hAnsi="FrankRuehl" w:cs="FrankRuehl"/>
        <w:color w:val="000000"/>
      </w:rPr>
    </w:pPr>
    <w:r w:rsidRPr="009242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B7F95" w14:textId="77777777" w:rsidR="0092429F" w:rsidRDefault="0092429F" w:rsidP="009242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3981">
      <w:rPr>
        <w:rFonts w:ascii="FrankRuehl" w:hAnsi="FrankRuehl" w:cs="FrankRuehl"/>
        <w:noProof/>
        <w:rtl/>
      </w:rPr>
      <w:t>1</w:t>
    </w:r>
    <w:r>
      <w:rPr>
        <w:rFonts w:ascii="FrankRuehl" w:hAnsi="FrankRuehl" w:cs="FrankRuehl"/>
        <w:rtl/>
      </w:rPr>
      <w:fldChar w:fldCharType="end"/>
    </w:r>
  </w:p>
  <w:p w14:paraId="245A43C8" w14:textId="77777777" w:rsidR="006F5E82" w:rsidRPr="0092429F" w:rsidRDefault="0092429F" w:rsidP="0092429F">
    <w:pPr>
      <w:pStyle w:val="a5"/>
      <w:pBdr>
        <w:top w:val="single" w:sz="4" w:space="1" w:color="auto"/>
        <w:between w:val="single" w:sz="4" w:space="0" w:color="auto"/>
      </w:pBdr>
      <w:spacing w:after="60"/>
      <w:jc w:val="center"/>
      <w:rPr>
        <w:rFonts w:ascii="FrankRuehl" w:hAnsi="FrankRuehl" w:cs="FrankRuehl"/>
        <w:color w:val="000000"/>
      </w:rPr>
    </w:pPr>
    <w:r w:rsidRPr="0092429F">
      <w:rPr>
        <w:rFonts w:ascii="FrankRuehl" w:hAnsi="FrankRuehl" w:cs="FrankRuehl"/>
        <w:color w:val="000000"/>
      </w:rPr>
      <w:pict w14:anchorId="33236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679CF" w14:textId="77777777" w:rsidR="0071712A" w:rsidRDefault="0071712A" w:rsidP="00F82024">
      <w:r>
        <w:separator/>
      </w:r>
    </w:p>
  </w:footnote>
  <w:footnote w:type="continuationSeparator" w:id="0">
    <w:p w14:paraId="5D0E46C3" w14:textId="77777777" w:rsidR="0071712A" w:rsidRDefault="0071712A" w:rsidP="00F82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377C2" w14:textId="77777777" w:rsidR="00662CC0" w:rsidRPr="0092429F" w:rsidRDefault="0092429F" w:rsidP="009242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66040-06-22</w:t>
    </w:r>
    <w:r>
      <w:rPr>
        <w:rFonts w:ascii="David" w:hAnsi="David"/>
        <w:color w:val="000000"/>
        <w:sz w:val="22"/>
        <w:szCs w:val="22"/>
        <w:rtl/>
      </w:rPr>
      <w:tab/>
      <w:t xml:space="preserve"> מדינת ישראל נ' אלי מעלם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FAD08" w14:textId="77777777" w:rsidR="00662CC0" w:rsidRPr="0092429F" w:rsidRDefault="0092429F" w:rsidP="009242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66040-06-22</w:t>
    </w:r>
    <w:r>
      <w:rPr>
        <w:rFonts w:ascii="David" w:hAnsi="David"/>
        <w:color w:val="000000"/>
        <w:sz w:val="22"/>
        <w:szCs w:val="22"/>
        <w:rtl/>
      </w:rPr>
      <w:tab/>
      <w:t xml:space="preserve"> מדינת ישראל נ' אלי מעלם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Times New Roman"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Times New Roman"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Times New Roman"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37D81929"/>
    <w:multiLevelType w:val="hybridMultilevel"/>
    <w:tmpl w:val="41AA65A2"/>
    <w:lvl w:ilvl="0" w:tplc="A4ACDB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B1674BA"/>
    <w:multiLevelType w:val="hybridMultilevel"/>
    <w:tmpl w:val="9918DCBA"/>
    <w:lvl w:ilvl="0" w:tplc="A13AB270">
      <w:start w:val="1"/>
      <w:numFmt w:val="decimal"/>
      <w:lvlText w:val="%1."/>
      <w:lvlJc w:val="left"/>
      <w:pPr>
        <w:ind w:left="720" w:hanging="360"/>
      </w:pPr>
      <w:rPr>
        <w:rFonts w:ascii="David" w:eastAsia="Calibri" w:hAnsi="David" w:cs="David" w:hint="default"/>
        <w:sz w:val="24"/>
        <w:szCs w:val="24"/>
      </w:rPr>
    </w:lvl>
    <w:lvl w:ilvl="1" w:tplc="E5C8BD52">
      <w:start w:val="1"/>
      <w:numFmt w:val="lowerLetter"/>
      <w:lvlText w:val="%2."/>
      <w:lvlJc w:val="left"/>
      <w:pPr>
        <w:ind w:left="1440" w:hanging="360"/>
      </w:pPr>
    </w:lvl>
    <w:lvl w:ilvl="2" w:tplc="8BACAB3A">
      <w:start w:val="1"/>
      <w:numFmt w:val="lowerRoman"/>
      <w:lvlText w:val="%3."/>
      <w:lvlJc w:val="right"/>
      <w:pPr>
        <w:ind w:left="2160" w:hanging="180"/>
      </w:pPr>
    </w:lvl>
    <w:lvl w:ilvl="3" w:tplc="6A62BD2A">
      <w:start w:val="1"/>
      <w:numFmt w:val="decimal"/>
      <w:lvlText w:val="%4."/>
      <w:lvlJc w:val="left"/>
      <w:pPr>
        <w:ind w:left="2880" w:hanging="360"/>
      </w:pPr>
    </w:lvl>
    <w:lvl w:ilvl="4" w:tplc="91CCD4F6">
      <w:start w:val="1"/>
      <w:numFmt w:val="lowerLetter"/>
      <w:lvlText w:val="%5."/>
      <w:lvlJc w:val="left"/>
      <w:pPr>
        <w:ind w:left="3600" w:hanging="360"/>
      </w:pPr>
    </w:lvl>
    <w:lvl w:ilvl="5" w:tplc="668EAB26">
      <w:start w:val="1"/>
      <w:numFmt w:val="lowerRoman"/>
      <w:lvlText w:val="%6."/>
      <w:lvlJc w:val="right"/>
      <w:pPr>
        <w:ind w:left="4320" w:hanging="180"/>
      </w:pPr>
    </w:lvl>
    <w:lvl w:ilvl="6" w:tplc="5F780DDE">
      <w:start w:val="1"/>
      <w:numFmt w:val="decimal"/>
      <w:lvlText w:val="%7."/>
      <w:lvlJc w:val="left"/>
      <w:pPr>
        <w:ind w:left="5040" w:hanging="360"/>
      </w:pPr>
    </w:lvl>
    <w:lvl w:ilvl="7" w:tplc="7E760E70">
      <w:start w:val="1"/>
      <w:numFmt w:val="lowerLetter"/>
      <w:lvlText w:val="%8."/>
      <w:lvlJc w:val="left"/>
      <w:pPr>
        <w:ind w:left="5760" w:hanging="360"/>
      </w:pPr>
    </w:lvl>
    <w:lvl w:ilvl="8" w:tplc="491C2218">
      <w:start w:val="1"/>
      <w:numFmt w:val="lowerRoman"/>
      <w:lvlText w:val="%9."/>
      <w:lvlJc w:val="right"/>
      <w:pPr>
        <w:ind w:left="6480" w:hanging="180"/>
      </w:pPr>
    </w:lvl>
  </w:abstractNum>
  <w:abstractNum w:abstractNumId="3" w15:restartNumberingAfterBreak="0">
    <w:nsid w:val="62B04FC1"/>
    <w:multiLevelType w:val="hybridMultilevel"/>
    <w:tmpl w:val="6666E048"/>
    <w:lvl w:ilvl="0" w:tplc="EBB4FF8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71308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1816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9299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83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6545"/>
    <w:rsid w:val="001F3975"/>
    <w:rsid w:val="00290618"/>
    <w:rsid w:val="002B12E9"/>
    <w:rsid w:val="002D59A1"/>
    <w:rsid w:val="00662CC0"/>
    <w:rsid w:val="006F5E82"/>
    <w:rsid w:val="0071712A"/>
    <w:rsid w:val="0092429F"/>
    <w:rsid w:val="009A4E4C"/>
    <w:rsid w:val="00AB516A"/>
    <w:rsid w:val="00B32E55"/>
    <w:rsid w:val="00C36545"/>
    <w:rsid w:val="00C957FF"/>
    <w:rsid w:val="00D83981"/>
    <w:rsid w:val="00EB18AE"/>
    <w:rsid w:val="00F820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B10B11"/>
  <w15:chartTrackingRefBased/>
  <w15:docId w15:val="{076BBC0D-4FD9-46A0-9C56-47D1D7BE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65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6545"/>
    <w:pPr>
      <w:tabs>
        <w:tab w:val="center" w:pos="4153"/>
        <w:tab w:val="right" w:pos="8306"/>
      </w:tabs>
    </w:pPr>
  </w:style>
  <w:style w:type="character" w:customStyle="1" w:styleId="a4">
    <w:name w:val="כותרת עליונה תו"/>
    <w:link w:val="a3"/>
    <w:rsid w:val="00C36545"/>
    <w:rPr>
      <w:rFonts w:ascii="Times New Roman" w:eastAsia="Times New Roman" w:hAnsi="Times New Roman" w:cs="David"/>
      <w:sz w:val="24"/>
      <w:szCs w:val="24"/>
    </w:rPr>
  </w:style>
  <w:style w:type="paragraph" w:styleId="a5">
    <w:name w:val="footer"/>
    <w:basedOn w:val="a"/>
    <w:link w:val="a6"/>
    <w:rsid w:val="00C36545"/>
    <w:pPr>
      <w:tabs>
        <w:tab w:val="center" w:pos="4153"/>
        <w:tab w:val="right" w:pos="8306"/>
      </w:tabs>
    </w:pPr>
  </w:style>
  <w:style w:type="character" w:customStyle="1" w:styleId="a6">
    <w:name w:val="כותרת תחתונה תו"/>
    <w:link w:val="a5"/>
    <w:rsid w:val="00C36545"/>
    <w:rPr>
      <w:rFonts w:ascii="Times New Roman" w:eastAsia="Times New Roman" w:hAnsi="Times New Roman" w:cs="David"/>
      <w:sz w:val="24"/>
      <w:szCs w:val="24"/>
    </w:rPr>
  </w:style>
  <w:style w:type="table" w:styleId="a7">
    <w:name w:val="Table Grid"/>
    <w:basedOn w:val="a1"/>
    <w:rsid w:val="00C365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6545"/>
  </w:style>
  <w:style w:type="character" w:customStyle="1" w:styleId="a9">
    <w:name w:val="פיסקת רשימה תו"/>
    <w:link w:val="aa"/>
    <w:locked/>
    <w:rsid w:val="00C36545"/>
  </w:style>
  <w:style w:type="paragraph" w:styleId="aa">
    <w:name w:val="List Paragraph"/>
    <w:basedOn w:val="a"/>
    <w:link w:val="a9"/>
    <w:qFormat/>
    <w:rsid w:val="00C36545"/>
    <w:pPr>
      <w:spacing w:after="160" w:line="254" w:lineRule="auto"/>
      <w:ind w:left="720"/>
      <w:contextualSpacing/>
    </w:pPr>
    <w:rPr>
      <w:rFonts w:ascii="Calibri" w:eastAsia="Calibri" w:hAnsi="Calibri" w:cs="Arial"/>
      <w:sz w:val="22"/>
      <w:szCs w:val="22"/>
    </w:rPr>
  </w:style>
  <w:style w:type="character" w:styleId="Hyperlink">
    <w:name w:val="Hyperlink"/>
    <w:rsid w:val="00662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 TargetMode="External"/><Relationship Id="rId26" Type="http://schemas.openxmlformats.org/officeDocument/2006/relationships/hyperlink" Target="http://www.nevo.co.il/law/74918" TargetMode="External"/><Relationship Id="rId39" Type="http://schemas.openxmlformats.org/officeDocument/2006/relationships/theme" Target="theme/theme1.xml"/><Relationship Id="rId21" Type="http://schemas.openxmlformats.org/officeDocument/2006/relationships/hyperlink" Target="http://www.nevo.co.il/law/4216/10"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36a.a"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4918/39.a"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918/39.a"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14741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2155739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918" TargetMode="External"/><Relationship Id="rId23" Type="http://schemas.openxmlformats.org/officeDocument/2006/relationships/hyperlink" Target="http://www.nevo.co.il/law/4216/36a.a" TargetMode="External"/><Relationship Id="rId28" Type="http://schemas.openxmlformats.org/officeDocument/2006/relationships/hyperlink" Target="http://www.nevo.co.il/case/20111708"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39717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7a.a1" TargetMode="External"/><Relationship Id="rId22" Type="http://schemas.openxmlformats.org/officeDocument/2006/relationships/hyperlink" Target="http://www.nevo.co.il/law/4216/37a.a1" TargetMode="External"/><Relationship Id="rId27" Type="http://schemas.openxmlformats.org/officeDocument/2006/relationships/hyperlink" Target="http://www.nevo.co.il/case/20402486" TargetMode="External"/><Relationship Id="rId30" Type="http://schemas.openxmlformats.org/officeDocument/2006/relationships/hyperlink" Target="http://www.nevo.co.il/case/25802315"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3735667</vt:i4>
      </vt:variant>
      <vt:variant>
        <vt:i4>75</vt:i4>
      </vt:variant>
      <vt:variant>
        <vt:i4>0</vt:i4>
      </vt:variant>
      <vt:variant>
        <vt:i4>5</vt:i4>
      </vt:variant>
      <vt:variant>
        <vt:lpwstr>http://www.nevo.co.il/case/21557398</vt:lpwstr>
      </vt:variant>
      <vt:variant>
        <vt:lpwstr/>
      </vt:variant>
      <vt:variant>
        <vt:i4>3211386</vt:i4>
      </vt:variant>
      <vt:variant>
        <vt:i4>72</vt:i4>
      </vt:variant>
      <vt:variant>
        <vt:i4>0</vt:i4>
      </vt:variant>
      <vt:variant>
        <vt:i4>5</vt:i4>
      </vt:variant>
      <vt:variant>
        <vt:lpwstr>http://www.nevo.co.il/case/26397178</vt:lpwstr>
      </vt:variant>
      <vt:variant>
        <vt:lpwstr/>
      </vt:variant>
      <vt:variant>
        <vt:i4>3735666</vt:i4>
      </vt:variant>
      <vt:variant>
        <vt:i4>69</vt:i4>
      </vt:variant>
      <vt:variant>
        <vt:i4>0</vt:i4>
      </vt:variant>
      <vt:variant>
        <vt:i4>5</vt:i4>
      </vt:variant>
      <vt:variant>
        <vt:lpwstr>http://www.nevo.co.il/case/25802315</vt:lpwstr>
      </vt:variant>
      <vt:variant>
        <vt:lpwstr/>
      </vt:variant>
      <vt:variant>
        <vt:i4>3473523</vt:i4>
      </vt:variant>
      <vt:variant>
        <vt:i4>66</vt:i4>
      </vt:variant>
      <vt:variant>
        <vt:i4>0</vt:i4>
      </vt:variant>
      <vt:variant>
        <vt:i4>5</vt:i4>
      </vt:variant>
      <vt:variant>
        <vt:lpwstr>http://www.nevo.co.il/case/21474176</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8323182</vt:i4>
      </vt:variant>
      <vt:variant>
        <vt:i4>57</vt:i4>
      </vt:variant>
      <vt:variant>
        <vt:i4>0</vt:i4>
      </vt:variant>
      <vt:variant>
        <vt:i4>5</vt:i4>
      </vt:variant>
      <vt:variant>
        <vt:lpwstr>http://www.nevo.co.il/law/74918</vt:lpwstr>
      </vt:variant>
      <vt:variant>
        <vt:lpwstr/>
      </vt:variant>
      <vt:variant>
        <vt:i4>524363</vt:i4>
      </vt:variant>
      <vt:variant>
        <vt:i4>54</vt:i4>
      </vt:variant>
      <vt:variant>
        <vt:i4>0</vt:i4>
      </vt:variant>
      <vt:variant>
        <vt:i4>5</vt:i4>
      </vt:variant>
      <vt:variant>
        <vt:lpwstr>http://www.nevo.co.il/law/74918/39.a</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5046354</vt:i4>
      </vt:variant>
      <vt:variant>
        <vt:i4>48</vt:i4>
      </vt:variant>
      <vt:variant>
        <vt:i4>0</vt:i4>
      </vt:variant>
      <vt:variant>
        <vt:i4>5</vt:i4>
      </vt:variant>
      <vt:variant>
        <vt:lpwstr>http://www.nevo.co.il/law/4216/36a.a</vt:lpwstr>
      </vt:variant>
      <vt:variant>
        <vt:lpwstr/>
      </vt:variant>
      <vt:variant>
        <vt:i4>5046355</vt:i4>
      </vt:variant>
      <vt:variant>
        <vt:i4>45</vt:i4>
      </vt:variant>
      <vt:variant>
        <vt:i4>0</vt:i4>
      </vt:variant>
      <vt:variant>
        <vt:i4>5</vt:i4>
      </vt:variant>
      <vt:variant>
        <vt:lpwstr>http://www.nevo.co.il/law/4216/37a.a1</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524363</vt:i4>
      </vt:variant>
      <vt:variant>
        <vt:i4>27</vt:i4>
      </vt:variant>
      <vt:variant>
        <vt:i4>0</vt:i4>
      </vt:variant>
      <vt:variant>
        <vt:i4>5</vt:i4>
      </vt:variant>
      <vt:variant>
        <vt:lpwstr>http://www.nevo.co.il/law/74918/39.a</vt:lpwstr>
      </vt:variant>
      <vt:variant>
        <vt:lpwstr/>
      </vt:variant>
      <vt:variant>
        <vt:i4>8323182</vt:i4>
      </vt:variant>
      <vt:variant>
        <vt:i4>24</vt:i4>
      </vt:variant>
      <vt:variant>
        <vt:i4>0</vt:i4>
      </vt:variant>
      <vt:variant>
        <vt:i4>5</vt:i4>
      </vt:variant>
      <vt:variant>
        <vt:lpwstr>http://www.nevo.co.il/law/74918</vt:lpwstr>
      </vt:variant>
      <vt:variant>
        <vt:lpwstr/>
      </vt:variant>
      <vt:variant>
        <vt:i4>5046355</vt:i4>
      </vt:variant>
      <vt:variant>
        <vt:i4>21</vt:i4>
      </vt:variant>
      <vt:variant>
        <vt:i4>0</vt:i4>
      </vt:variant>
      <vt:variant>
        <vt:i4>5</vt:i4>
      </vt:variant>
      <vt:variant>
        <vt:lpwstr>http://www.nevo.co.il/law/4216/37a.a1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66040</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 מעלם</vt:lpwstr>
  </property>
  <property fmtid="{D5CDD505-2E9C-101B-9397-08002B2CF9AE}" pid="10" name="LAWYER">
    <vt:lpwstr>גל אוסטיאק;טל ארד</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20230108</vt:lpwstr>
  </property>
  <property fmtid="{D5CDD505-2E9C-101B-9397-08002B2CF9AE}" pid="14" name="TYPE_N_DATE">
    <vt:lpwstr>38020230108</vt:lpwstr>
  </property>
  <property fmtid="{D5CDD505-2E9C-101B-9397-08002B2CF9AE}" pid="15" name="WORDNUMPAGES">
    <vt:lpwstr>5</vt:lpwstr>
  </property>
  <property fmtid="{D5CDD505-2E9C-101B-9397-08002B2CF9AE}" pid="16" name="TYPE_ABS_DATE">
    <vt:lpwstr>380020230108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20402486;20111708;21474176;25802315;26397178;21557398</vt:lpwstr>
  </property>
  <property fmtid="{D5CDD505-2E9C-101B-9397-08002B2CF9AE}" pid="36" name="LAWLISTTMP1">
    <vt:lpwstr>4216/006;007.a;007.c;010;037a.a1;036a.a;036a.b</vt:lpwstr>
  </property>
  <property fmtid="{D5CDD505-2E9C-101B-9397-08002B2CF9AE}" pid="37" name="LAWLISTTMP2">
    <vt:lpwstr>74918/039.a</vt:lpwstr>
  </property>
</Properties>
</file>