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EE6650" w:rsidRPr="001D0521" w14:paraId="771770F8" w14:textId="77777777" w:rsidTr="005304B9">
        <w:trPr>
          <w:trHeight w:hRule="exact" w:val="418"/>
          <w:jc w:val="center"/>
        </w:trPr>
        <w:tc>
          <w:tcPr>
            <w:tcW w:w="8721" w:type="dxa"/>
            <w:gridSpan w:val="2"/>
          </w:tcPr>
          <w:p w14:paraId="4C44665A" w14:textId="77777777" w:rsidR="00EE6650" w:rsidRPr="001D0521" w:rsidRDefault="00EE6650" w:rsidP="005304B9">
            <w:pPr>
              <w:pStyle w:val="a3"/>
              <w:jc w:val="center"/>
              <w:rPr>
                <w:rFonts w:ascii="Tahoma" w:hAnsi="Tahoma" w:cs="Tahoma"/>
                <w:color w:val="000080"/>
                <w:rtl/>
              </w:rPr>
            </w:pPr>
            <w:bookmarkStart w:id="0" w:name="LastJudge"/>
            <w:r w:rsidRPr="001D0521">
              <w:rPr>
                <w:rFonts w:ascii="Tahoma" w:hAnsi="Tahoma" w:cs="Tahoma"/>
                <w:b/>
                <w:bCs/>
                <w:color w:val="000080"/>
                <w:rtl/>
              </w:rPr>
              <w:t>בית משפט השלום בקריית גת</w:t>
            </w:r>
          </w:p>
        </w:tc>
      </w:tr>
      <w:tr w:rsidR="00EE6650" w:rsidRPr="001D0521" w14:paraId="5C943BEF" w14:textId="77777777" w:rsidTr="005304B9">
        <w:trPr>
          <w:trHeight w:val="337"/>
          <w:jc w:val="center"/>
        </w:trPr>
        <w:tc>
          <w:tcPr>
            <w:tcW w:w="5047" w:type="dxa"/>
          </w:tcPr>
          <w:p w14:paraId="5955D7F9" w14:textId="77777777" w:rsidR="00EE6650" w:rsidRPr="001D0521" w:rsidRDefault="00EE6650" w:rsidP="005304B9">
            <w:pPr>
              <w:rPr>
                <w:b/>
                <w:bCs/>
                <w:sz w:val="26"/>
                <w:szCs w:val="26"/>
                <w:rtl/>
              </w:rPr>
            </w:pPr>
          </w:p>
        </w:tc>
        <w:tc>
          <w:tcPr>
            <w:tcW w:w="3674" w:type="dxa"/>
          </w:tcPr>
          <w:p w14:paraId="4D4B4B4A" w14:textId="77777777" w:rsidR="00EE6650" w:rsidRPr="001D0521" w:rsidRDefault="00EE6650" w:rsidP="005304B9">
            <w:pPr>
              <w:pStyle w:val="a3"/>
              <w:jc w:val="right"/>
              <w:rPr>
                <w:b/>
                <w:bCs/>
                <w:sz w:val="26"/>
                <w:szCs w:val="26"/>
                <w:rtl/>
              </w:rPr>
            </w:pPr>
            <w:r w:rsidRPr="001D0521">
              <w:rPr>
                <w:rFonts w:hint="cs"/>
                <w:b/>
                <w:bCs/>
                <w:sz w:val="26"/>
                <w:szCs w:val="26"/>
                <w:rtl/>
              </w:rPr>
              <w:t>11 מרץ 2024</w:t>
            </w:r>
          </w:p>
        </w:tc>
      </w:tr>
      <w:tr w:rsidR="00EE6650" w:rsidRPr="001D0521" w14:paraId="056CC345" w14:textId="77777777" w:rsidTr="005304B9">
        <w:trPr>
          <w:trHeight w:val="337"/>
          <w:jc w:val="center"/>
        </w:trPr>
        <w:tc>
          <w:tcPr>
            <w:tcW w:w="8721" w:type="dxa"/>
            <w:gridSpan w:val="2"/>
          </w:tcPr>
          <w:p w14:paraId="3DCC28CD" w14:textId="77777777" w:rsidR="00EE6650" w:rsidRPr="001D0521" w:rsidRDefault="00EE6650" w:rsidP="005304B9">
            <w:pPr>
              <w:rPr>
                <w:b/>
                <w:bCs/>
                <w:sz w:val="26"/>
                <w:szCs w:val="26"/>
                <w:rtl/>
              </w:rPr>
            </w:pPr>
            <w:r w:rsidRPr="001D0521">
              <w:rPr>
                <w:b/>
                <w:bCs/>
                <w:sz w:val="26"/>
                <w:szCs w:val="26"/>
                <w:rtl/>
              </w:rPr>
              <w:t>ת"פ 16406-07-22 מדינת ישראל נ' יאסו</w:t>
            </w:r>
          </w:p>
          <w:p w14:paraId="5C46064E" w14:textId="77777777" w:rsidR="00EE6650" w:rsidRPr="001D0521" w:rsidRDefault="00EE6650" w:rsidP="005304B9">
            <w:pPr>
              <w:rPr>
                <w:rtl/>
              </w:rPr>
            </w:pPr>
          </w:p>
        </w:tc>
      </w:tr>
    </w:tbl>
    <w:p w14:paraId="388BD4E1" w14:textId="77777777" w:rsidR="00EE6650" w:rsidRPr="001D0521" w:rsidRDefault="00EE6650" w:rsidP="00EE6650"/>
    <w:tbl>
      <w:tblPr>
        <w:bidiVisual/>
        <w:tblW w:w="8820" w:type="dxa"/>
        <w:jc w:val="center"/>
        <w:tblLook w:val="0000" w:firstRow="0" w:lastRow="0" w:firstColumn="0" w:lastColumn="0" w:noHBand="0" w:noVBand="0"/>
      </w:tblPr>
      <w:tblGrid>
        <w:gridCol w:w="873"/>
        <w:gridCol w:w="5392"/>
        <w:gridCol w:w="2456"/>
        <w:gridCol w:w="99"/>
      </w:tblGrid>
      <w:tr w:rsidR="00EE6650" w:rsidRPr="001D0521" w14:paraId="30F830D2" w14:textId="77777777" w:rsidTr="00E2375E">
        <w:trPr>
          <w:gridAfter w:val="1"/>
          <w:wAfter w:w="99" w:type="dxa"/>
          <w:trHeight w:val="337"/>
          <w:jc w:val="center"/>
        </w:trPr>
        <w:tc>
          <w:tcPr>
            <w:tcW w:w="873" w:type="dxa"/>
          </w:tcPr>
          <w:p w14:paraId="67729906" w14:textId="77777777" w:rsidR="00EE6650" w:rsidRPr="001D0521" w:rsidRDefault="00EE6650" w:rsidP="005304B9">
            <w:pPr>
              <w:tabs>
                <w:tab w:val="left" w:pos="1710"/>
              </w:tabs>
              <w:rPr>
                <w:b/>
                <w:bCs/>
                <w:sz w:val="28"/>
                <w:szCs w:val="28"/>
                <w:rtl/>
              </w:rPr>
            </w:pPr>
            <w:r w:rsidRPr="001D0521">
              <w:rPr>
                <w:rFonts w:hint="cs"/>
                <w:b/>
                <w:bCs/>
                <w:sz w:val="28"/>
                <w:szCs w:val="28"/>
                <w:rtl/>
              </w:rPr>
              <w:t>לפני</w:t>
            </w:r>
          </w:p>
        </w:tc>
        <w:tc>
          <w:tcPr>
            <w:tcW w:w="7848" w:type="dxa"/>
            <w:gridSpan w:val="2"/>
          </w:tcPr>
          <w:p w14:paraId="32655A7D" w14:textId="77777777" w:rsidR="00EE6650" w:rsidRPr="001D0521" w:rsidRDefault="00EE6650" w:rsidP="005304B9">
            <w:pPr>
              <w:rPr>
                <w:rFonts w:ascii="Arial" w:hAnsi="Arial"/>
                <w:b/>
                <w:bCs/>
                <w:sz w:val="28"/>
                <w:szCs w:val="28"/>
                <w:rtl/>
              </w:rPr>
            </w:pPr>
            <w:r w:rsidRPr="001D0521">
              <w:rPr>
                <w:rFonts w:ascii="Arial" w:hAnsi="Arial" w:hint="cs"/>
                <w:b/>
                <w:bCs/>
                <w:sz w:val="28"/>
                <w:szCs w:val="28"/>
                <w:rtl/>
              </w:rPr>
              <w:t>כב' ה</w:t>
            </w:r>
            <w:r w:rsidRPr="001D0521">
              <w:rPr>
                <w:rFonts w:ascii="Arial" w:hAnsi="Arial"/>
                <w:b/>
                <w:bCs/>
                <w:sz w:val="28"/>
                <w:szCs w:val="28"/>
                <w:rtl/>
              </w:rPr>
              <w:t xml:space="preserve">שופטת </w:t>
            </w:r>
            <w:r w:rsidRPr="001D0521">
              <w:rPr>
                <w:rFonts w:ascii="Arial" w:hAnsi="Arial" w:hint="cs"/>
                <w:b/>
                <w:bCs/>
                <w:sz w:val="28"/>
                <w:szCs w:val="28"/>
                <w:rtl/>
              </w:rPr>
              <w:t>ה</w:t>
            </w:r>
            <w:r w:rsidRPr="001D0521">
              <w:rPr>
                <w:rFonts w:ascii="Arial" w:hAnsi="Arial"/>
                <w:b/>
                <w:bCs/>
                <w:sz w:val="28"/>
                <w:szCs w:val="28"/>
                <w:rtl/>
              </w:rPr>
              <w:t>בכירה</w:t>
            </w:r>
            <w:r w:rsidRPr="001D0521">
              <w:rPr>
                <w:rFonts w:ascii="Arial" w:hAnsi="Arial" w:hint="cs"/>
                <w:b/>
                <w:bCs/>
                <w:sz w:val="28"/>
                <w:szCs w:val="28"/>
                <w:rtl/>
              </w:rPr>
              <w:t xml:space="preserve"> </w:t>
            </w:r>
            <w:r w:rsidRPr="001D0521">
              <w:rPr>
                <w:rFonts w:ascii="Arial" w:hAnsi="Arial"/>
                <w:b/>
                <w:bCs/>
                <w:sz w:val="28"/>
                <w:szCs w:val="28"/>
                <w:rtl/>
              </w:rPr>
              <w:t>נגה שמואלי-מאייר</w:t>
            </w:r>
          </w:p>
          <w:p w14:paraId="754D490B" w14:textId="77777777" w:rsidR="00EE6650" w:rsidRPr="001D0521" w:rsidRDefault="00EE6650" w:rsidP="005304B9">
            <w:pPr>
              <w:tabs>
                <w:tab w:val="left" w:pos="1710"/>
              </w:tabs>
              <w:rPr>
                <w:rtl/>
              </w:rPr>
            </w:pPr>
          </w:p>
        </w:tc>
      </w:tr>
      <w:tr w:rsidR="00EE6650" w:rsidRPr="001D0521" w14:paraId="05B6AFF2" w14:textId="77777777" w:rsidTr="00E2375E">
        <w:tblPrEx>
          <w:tblLook w:val="01E0" w:firstRow="1" w:lastRow="1" w:firstColumn="1" w:lastColumn="1" w:noHBand="0" w:noVBand="0"/>
        </w:tblPrEx>
        <w:trPr>
          <w:jc w:val="center"/>
        </w:trPr>
        <w:tc>
          <w:tcPr>
            <w:tcW w:w="6265" w:type="dxa"/>
            <w:gridSpan w:val="2"/>
            <w:shd w:val="clear" w:color="auto" w:fill="auto"/>
          </w:tcPr>
          <w:p w14:paraId="3C75ABA6" w14:textId="77777777" w:rsidR="00EE6650" w:rsidRPr="001D0521" w:rsidRDefault="00EE6650" w:rsidP="00EE6650">
            <w:pPr>
              <w:spacing w:line="360" w:lineRule="auto"/>
              <w:rPr>
                <w:rFonts w:ascii="David" w:hAnsi="David"/>
                <w:b/>
                <w:bCs/>
                <w:sz w:val="28"/>
                <w:szCs w:val="28"/>
                <w:rtl/>
              </w:rPr>
            </w:pPr>
            <w:r w:rsidRPr="001D0521">
              <w:rPr>
                <w:rtl/>
              </w:rPr>
              <w:t xml:space="preserve"> </w:t>
            </w:r>
            <w:bookmarkStart w:id="1" w:name="FirstAppellant"/>
            <w:bookmarkStart w:id="2" w:name="FirstLawyer"/>
            <w:r w:rsidRPr="001D0521">
              <w:rPr>
                <w:rFonts w:ascii="David" w:hAnsi="David"/>
                <w:b/>
                <w:bCs/>
                <w:sz w:val="28"/>
                <w:szCs w:val="28"/>
                <w:rtl/>
              </w:rPr>
              <w:t>מדינת ישראל</w:t>
            </w:r>
          </w:p>
          <w:p w14:paraId="0946E476" w14:textId="77777777" w:rsidR="00EE6650" w:rsidRPr="001D0521" w:rsidRDefault="00EE6650" w:rsidP="00EE6650">
            <w:pPr>
              <w:spacing w:line="360" w:lineRule="auto"/>
              <w:rPr>
                <w:rFonts w:ascii="David" w:hAnsi="David"/>
                <w:b/>
                <w:bCs/>
                <w:sz w:val="28"/>
                <w:szCs w:val="28"/>
                <w:rtl/>
              </w:rPr>
            </w:pPr>
            <w:r w:rsidRPr="001D0521">
              <w:rPr>
                <w:rFonts w:ascii="David" w:hAnsi="David"/>
                <w:b/>
                <w:bCs/>
                <w:sz w:val="28"/>
                <w:szCs w:val="28"/>
                <w:rtl/>
              </w:rPr>
              <w:t>ע"י ב"כ עו</w:t>
            </w:r>
            <w:r w:rsidRPr="001D0521">
              <w:rPr>
                <w:rFonts w:ascii="David" w:hAnsi="David" w:hint="cs"/>
                <w:b/>
                <w:bCs/>
                <w:sz w:val="28"/>
                <w:szCs w:val="28"/>
                <w:rtl/>
              </w:rPr>
              <w:t>ה</w:t>
            </w:r>
            <w:r w:rsidRPr="001D0521">
              <w:rPr>
                <w:rFonts w:ascii="David" w:hAnsi="David"/>
                <w:b/>
                <w:bCs/>
                <w:sz w:val="28"/>
                <w:szCs w:val="28"/>
                <w:rtl/>
              </w:rPr>
              <w:t>"ד</w:t>
            </w:r>
            <w:r w:rsidRPr="001D0521">
              <w:rPr>
                <w:rFonts w:ascii="David" w:hAnsi="David" w:hint="cs"/>
                <w:b/>
                <w:bCs/>
                <w:sz w:val="28"/>
                <w:szCs w:val="28"/>
                <w:rtl/>
              </w:rPr>
              <w:t xml:space="preserve"> ליטל נאווי ועוה"ד לימור כהן-גולן </w:t>
            </w:r>
            <w:r w:rsidRPr="001D0521">
              <w:rPr>
                <w:rFonts w:ascii="David" w:hAnsi="David"/>
                <w:b/>
                <w:bCs/>
                <w:sz w:val="28"/>
                <w:szCs w:val="28"/>
                <w:rtl/>
              </w:rPr>
              <w:t>–</w:t>
            </w:r>
            <w:r w:rsidRPr="001D0521">
              <w:rPr>
                <w:rFonts w:ascii="David" w:hAnsi="David" w:hint="cs"/>
                <w:b/>
                <w:bCs/>
                <w:sz w:val="28"/>
                <w:szCs w:val="28"/>
                <w:rtl/>
              </w:rPr>
              <w:t xml:space="preserve"> נוכחות </w:t>
            </w:r>
          </w:p>
        </w:tc>
        <w:tc>
          <w:tcPr>
            <w:tcW w:w="2555" w:type="dxa"/>
            <w:gridSpan w:val="2"/>
            <w:shd w:val="clear" w:color="auto" w:fill="auto"/>
          </w:tcPr>
          <w:p w14:paraId="7FB73E95" w14:textId="77777777" w:rsidR="00EE6650" w:rsidRPr="001D0521" w:rsidRDefault="00EE6650" w:rsidP="00EE6650">
            <w:pPr>
              <w:bidi w:val="0"/>
              <w:spacing w:line="360" w:lineRule="auto"/>
              <w:jc w:val="right"/>
              <w:rPr>
                <w:rFonts w:ascii="David" w:hAnsi="David"/>
                <w:b/>
                <w:bCs/>
                <w:sz w:val="28"/>
                <w:szCs w:val="28"/>
                <w:rtl/>
              </w:rPr>
            </w:pPr>
            <w:r w:rsidRPr="001D0521">
              <w:rPr>
                <w:rFonts w:ascii="David" w:hAnsi="David"/>
                <w:b/>
                <w:bCs/>
                <w:sz w:val="28"/>
                <w:szCs w:val="28"/>
                <w:rtl/>
              </w:rPr>
              <w:t>המאשימה</w:t>
            </w:r>
          </w:p>
          <w:p w14:paraId="33E8D16A" w14:textId="77777777" w:rsidR="00EE6650" w:rsidRPr="001D0521" w:rsidRDefault="00EE6650" w:rsidP="00EE6650">
            <w:pPr>
              <w:spacing w:line="360" w:lineRule="auto"/>
              <w:rPr>
                <w:rFonts w:ascii="David" w:hAnsi="David"/>
                <w:b/>
                <w:bCs/>
                <w:sz w:val="28"/>
                <w:szCs w:val="28"/>
                <w:rtl/>
              </w:rPr>
            </w:pPr>
          </w:p>
        </w:tc>
      </w:tr>
      <w:bookmarkEnd w:id="1"/>
      <w:bookmarkEnd w:id="2"/>
      <w:tr w:rsidR="00EE6650" w:rsidRPr="001D0521" w14:paraId="2BE19F22" w14:textId="77777777" w:rsidTr="00E2375E">
        <w:tblPrEx>
          <w:tblLook w:val="01E0" w:firstRow="1" w:lastRow="1" w:firstColumn="1" w:lastColumn="1" w:noHBand="0" w:noVBand="0"/>
        </w:tblPrEx>
        <w:trPr>
          <w:jc w:val="center"/>
        </w:trPr>
        <w:tc>
          <w:tcPr>
            <w:tcW w:w="8820" w:type="dxa"/>
            <w:gridSpan w:val="4"/>
            <w:shd w:val="clear" w:color="auto" w:fill="auto"/>
          </w:tcPr>
          <w:p w14:paraId="4C88819F" w14:textId="77777777" w:rsidR="00EE6650" w:rsidRPr="001D0521" w:rsidRDefault="00EE6650" w:rsidP="00EE6650">
            <w:pPr>
              <w:spacing w:line="360" w:lineRule="auto"/>
              <w:jc w:val="center"/>
              <w:rPr>
                <w:rFonts w:ascii="David" w:hAnsi="David"/>
                <w:b/>
                <w:bCs/>
                <w:sz w:val="28"/>
                <w:szCs w:val="28"/>
              </w:rPr>
            </w:pPr>
            <w:r w:rsidRPr="001D0521">
              <w:rPr>
                <w:rFonts w:ascii="David" w:hAnsi="David"/>
                <w:b/>
                <w:bCs/>
                <w:sz w:val="28"/>
                <w:szCs w:val="28"/>
                <w:rtl/>
              </w:rPr>
              <w:t>נ</w:t>
            </w:r>
            <w:r w:rsidRPr="001D0521">
              <w:rPr>
                <w:rFonts w:ascii="David" w:hAnsi="David" w:hint="cs"/>
                <w:b/>
                <w:bCs/>
                <w:sz w:val="28"/>
                <w:szCs w:val="28"/>
                <w:rtl/>
              </w:rPr>
              <w:t xml:space="preserve"> </w:t>
            </w:r>
            <w:r w:rsidRPr="001D0521">
              <w:rPr>
                <w:rFonts w:ascii="David" w:hAnsi="David"/>
                <w:b/>
                <w:bCs/>
                <w:sz w:val="28"/>
                <w:szCs w:val="28"/>
                <w:rtl/>
              </w:rPr>
              <w:t>ג</w:t>
            </w:r>
            <w:r w:rsidRPr="001D0521">
              <w:rPr>
                <w:rFonts w:ascii="David" w:hAnsi="David" w:hint="cs"/>
                <w:b/>
                <w:bCs/>
                <w:sz w:val="28"/>
                <w:szCs w:val="28"/>
                <w:rtl/>
              </w:rPr>
              <w:t xml:space="preserve"> </w:t>
            </w:r>
            <w:r w:rsidRPr="001D0521">
              <w:rPr>
                <w:rFonts w:ascii="David" w:hAnsi="David"/>
                <w:b/>
                <w:bCs/>
                <w:sz w:val="28"/>
                <w:szCs w:val="28"/>
                <w:rtl/>
              </w:rPr>
              <w:t>ד</w:t>
            </w:r>
          </w:p>
        </w:tc>
      </w:tr>
      <w:tr w:rsidR="00EE6650" w:rsidRPr="001D0521" w14:paraId="5AA0EF87" w14:textId="77777777" w:rsidTr="00E2375E">
        <w:tblPrEx>
          <w:tblLook w:val="01E0" w:firstRow="1" w:lastRow="1" w:firstColumn="1" w:lastColumn="1" w:noHBand="0" w:noVBand="0"/>
        </w:tblPrEx>
        <w:trPr>
          <w:jc w:val="center"/>
        </w:trPr>
        <w:tc>
          <w:tcPr>
            <w:tcW w:w="6265" w:type="dxa"/>
            <w:gridSpan w:val="2"/>
            <w:shd w:val="clear" w:color="auto" w:fill="auto"/>
          </w:tcPr>
          <w:p w14:paraId="09A2A42F" w14:textId="77777777" w:rsidR="00EE6650" w:rsidRPr="001D0521" w:rsidRDefault="00EE6650" w:rsidP="00EE6650">
            <w:pPr>
              <w:spacing w:line="360" w:lineRule="auto"/>
              <w:rPr>
                <w:rFonts w:ascii="David" w:hAnsi="David"/>
                <w:b/>
                <w:bCs/>
                <w:sz w:val="28"/>
                <w:szCs w:val="28"/>
              </w:rPr>
            </w:pPr>
            <w:r w:rsidRPr="001D0521">
              <w:rPr>
                <w:rFonts w:ascii="David" w:hAnsi="David"/>
                <w:b/>
                <w:bCs/>
                <w:sz w:val="28"/>
                <w:szCs w:val="28"/>
                <w:rtl/>
              </w:rPr>
              <w:t>דני יאסו</w:t>
            </w:r>
            <w:r w:rsidRPr="001D0521">
              <w:rPr>
                <w:rFonts w:ascii="David" w:hAnsi="David" w:hint="cs"/>
                <w:b/>
                <w:bCs/>
                <w:sz w:val="28"/>
                <w:szCs w:val="28"/>
                <w:rtl/>
              </w:rPr>
              <w:t xml:space="preserve"> </w:t>
            </w:r>
            <w:r w:rsidRPr="001D0521">
              <w:rPr>
                <w:rFonts w:ascii="David" w:hAnsi="David"/>
                <w:b/>
                <w:bCs/>
                <w:sz w:val="28"/>
                <w:szCs w:val="28"/>
                <w:rtl/>
              </w:rPr>
              <w:t>–</w:t>
            </w:r>
            <w:r w:rsidRPr="001D0521">
              <w:rPr>
                <w:rFonts w:ascii="David" w:hAnsi="David" w:hint="cs"/>
                <w:b/>
                <w:bCs/>
                <w:sz w:val="28"/>
                <w:szCs w:val="28"/>
                <w:rtl/>
              </w:rPr>
              <w:t xml:space="preserve"> נוכח </w:t>
            </w:r>
          </w:p>
          <w:p w14:paraId="3F8167D4" w14:textId="77777777" w:rsidR="00EE6650" w:rsidRPr="001D0521" w:rsidRDefault="00EE6650" w:rsidP="00EE6650">
            <w:pPr>
              <w:spacing w:line="360" w:lineRule="auto"/>
              <w:rPr>
                <w:rFonts w:ascii="David" w:hAnsi="David"/>
                <w:b/>
                <w:bCs/>
                <w:sz w:val="28"/>
                <w:szCs w:val="28"/>
                <w:rtl/>
              </w:rPr>
            </w:pPr>
            <w:r w:rsidRPr="001D0521">
              <w:rPr>
                <w:rFonts w:ascii="David" w:hAnsi="David"/>
                <w:b/>
                <w:bCs/>
                <w:sz w:val="28"/>
                <w:szCs w:val="28"/>
                <w:rtl/>
              </w:rPr>
              <w:t>ע"י ב"כ עו"ד</w:t>
            </w:r>
            <w:r w:rsidRPr="001D0521">
              <w:rPr>
                <w:rFonts w:ascii="David" w:hAnsi="David" w:hint="cs"/>
                <w:b/>
                <w:bCs/>
                <w:sz w:val="28"/>
                <w:szCs w:val="28"/>
                <w:rtl/>
              </w:rPr>
              <w:t xml:space="preserve"> גילת וקסלר </w:t>
            </w:r>
            <w:r w:rsidRPr="001D0521">
              <w:rPr>
                <w:rFonts w:ascii="David" w:hAnsi="David"/>
                <w:b/>
                <w:bCs/>
                <w:sz w:val="28"/>
                <w:szCs w:val="28"/>
                <w:rtl/>
              </w:rPr>
              <w:t>–</w:t>
            </w:r>
            <w:r w:rsidRPr="001D0521">
              <w:rPr>
                <w:rFonts w:ascii="David" w:hAnsi="David" w:hint="cs"/>
                <w:b/>
                <w:bCs/>
                <w:sz w:val="28"/>
                <w:szCs w:val="28"/>
                <w:rtl/>
              </w:rPr>
              <w:t xml:space="preserve"> נוכחת </w:t>
            </w:r>
          </w:p>
        </w:tc>
        <w:tc>
          <w:tcPr>
            <w:tcW w:w="2555" w:type="dxa"/>
            <w:gridSpan w:val="2"/>
            <w:shd w:val="clear" w:color="auto" w:fill="auto"/>
          </w:tcPr>
          <w:p w14:paraId="6279182A" w14:textId="77777777" w:rsidR="00EE6650" w:rsidRPr="001D0521" w:rsidRDefault="00EE6650" w:rsidP="00EE6650">
            <w:pPr>
              <w:spacing w:line="360" w:lineRule="auto"/>
              <w:rPr>
                <w:rFonts w:ascii="David" w:hAnsi="David"/>
                <w:b/>
                <w:bCs/>
                <w:sz w:val="28"/>
                <w:szCs w:val="28"/>
                <w:rtl/>
              </w:rPr>
            </w:pPr>
            <w:r w:rsidRPr="001D0521">
              <w:rPr>
                <w:rFonts w:ascii="David" w:hAnsi="David"/>
                <w:b/>
                <w:bCs/>
                <w:sz w:val="28"/>
                <w:szCs w:val="28"/>
                <w:rtl/>
              </w:rPr>
              <w:t>הנאשם</w:t>
            </w:r>
          </w:p>
        </w:tc>
      </w:tr>
    </w:tbl>
    <w:p w14:paraId="6B11F9F0" w14:textId="77777777" w:rsidR="00E2375E" w:rsidRPr="00E2375E" w:rsidRDefault="00E2375E" w:rsidP="00E2375E">
      <w:pPr>
        <w:keepNext/>
        <w:keepLines/>
        <w:spacing w:before="120" w:after="120" w:line="240" w:lineRule="exact"/>
        <w:ind w:left="283" w:hanging="283"/>
        <w:jc w:val="both"/>
        <w:outlineLvl w:val="0"/>
        <w:rPr>
          <w:rFonts w:ascii="FrankRuehl" w:hAnsi="FrankRuehl" w:cs="FrankRuehl"/>
          <w:color w:val="0000FF"/>
          <w:rtl/>
        </w:rPr>
      </w:pPr>
    </w:p>
    <w:p w14:paraId="2BAE5B9C" w14:textId="77777777" w:rsidR="005D3F3A" w:rsidRPr="005D3F3A" w:rsidRDefault="005D3F3A" w:rsidP="005D3F3A">
      <w:pPr>
        <w:keepNext/>
        <w:keepLines/>
        <w:spacing w:before="120" w:after="120" w:line="240" w:lineRule="exact"/>
        <w:ind w:left="283" w:hanging="283"/>
        <w:jc w:val="both"/>
        <w:outlineLvl w:val="0"/>
        <w:rPr>
          <w:rFonts w:ascii="FrankRuehl" w:hAnsi="FrankRuehl" w:cs="FrankRuehl"/>
          <w:rtl/>
        </w:rPr>
      </w:pPr>
    </w:p>
    <w:p w14:paraId="5AFD270B" w14:textId="77777777" w:rsidR="00E4153D" w:rsidRDefault="00E4153D" w:rsidP="00E4153D">
      <w:pPr>
        <w:keepNext/>
        <w:keepLines/>
        <w:spacing w:line="360" w:lineRule="auto"/>
        <w:ind w:left="360"/>
        <w:jc w:val="both"/>
        <w:outlineLvl w:val="0"/>
        <w:rPr>
          <w:rFonts w:ascii="David" w:hAnsi="David"/>
          <w:sz w:val="28"/>
          <w:szCs w:val="28"/>
          <w:rtl/>
        </w:rPr>
      </w:pPr>
      <w:bookmarkStart w:id="3" w:name="LawTable"/>
      <w:bookmarkEnd w:id="3"/>
    </w:p>
    <w:p w14:paraId="3CCFB3C1" w14:textId="77777777" w:rsidR="00E4153D" w:rsidRPr="00E4153D" w:rsidRDefault="00E4153D" w:rsidP="00E4153D">
      <w:pPr>
        <w:keepNext/>
        <w:keepLines/>
        <w:spacing w:before="120" w:after="120" w:line="240" w:lineRule="exact"/>
        <w:ind w:left="283" w:hanging="283"/>
        <w:jc w:val="both"/>
        <w:outlineLvl w:val="0"/>
        <w:rPr>
          <w:rFonts w:ascii="FrankRuehl" w:hAnsi="FrankRuehl" w:cs="FrankRuehl"/>
          <w:rtl/>
        </w:rPr>
      </w:pPr>
    </w:p>
    <w:p w14:paraId="072FB607" w14:textId="77777777" w:rsidR="00E4153D" w:rsidRPr="00E4153D" w:rsidRDefault="00E4153D" w:rsidP="00E4153D">
      <w:pPr>
        <w:keepNext/>
        <w:keepLines/>
        <w:spacing w:before="120" w:after="120" w:line="240" w:lineRule="exact"/>
        <w:ind w:left="283" w:hanging="283"/>
        <w:jc w:val="both"/>
        <w:outlineLvl w:val="0"/>
        <w:rPr>
          <w:rFonts w:ascii="FrankRuehl" w:hAnsi="FrankRuehl" w:cs="FrankRuehl"/>
          <w:rtl/>
        </w:rPr>
      </w:pPr>
    </w:p>
    <w:p w14:paraId="4C66E5E3" w14:textId="77777777" w:rsidR="00E4153D" w:rsidRPr="00E4153D" w:rsidRDefault="00E4153D" w:rsidP="00E4153D">
      <w:pPr>
        <w:keepNext/>
        <w:keepLines/>
        <w:spacing w:before="120" w:after="120" w:line="240" w:lineRule="exact"/>
        <w:ind w:left="283" w:hanging="283"/>
        <w:jc w:val="both"/>
        <w:outlineLvl w:val="0"/>
        <w:rPr>
          <w:rFonts w:ascii="FrankRuehl" w:hAnsi="FrankRuehl" w:cs="FrankRuehl"/>
          <w:rtl/>
        </w:rPr>
      </w:pPr>
      <w:r w:rsidRPr="00E4153D">
        <w:rPr>
          <w:rFonts w:ascii="FrankRuehl" w:hAnsi="FrankRuehl" w:cs="FrankRuehl"/>
          <w:rtl/>
        </w:rPr>
        <w:t xml:space="preserve">חקיקה שאוזכרה: </w:t>
      </w:r>
    </w:p>
    <w:p w14:paraId="228E09E9" w14:textId="77777777" w:rsidR="00E4153D" w:rsidRPr="00E4153D" w:rsidRDefault="00E4153D" w:rsidP="00E4153D">
      <w:pPr>
        <w:keepNext/>
        <w:keepLines/>
        <w:spacing w:before="120" w:after="120" w:line="240" w:lineRule="exact"/>
        <w:ind w:left="283" w:hanging="283"/>
        <w:jc w:val="both"/>
        <w:outlineLvl w:val="0"/>
        <w:rPr>
          <w:rFonts w:ascii="FrankRuehl" w:hAnsi="FrankRuehl" w:cs="FrankRuehl"/>
          <w:rtl/>
        </w:rPr>
      </w:pPr>
      <w:hyperlink r:id="rId7" w:history="1">
        <w:r w:rsidRPr="00E4153D">
          <w:rPr>
            <w:rFonts w:ascii="FrankRuehl" w:hAnsi="FrankRuehl" w:cs="FrankRuehl"/>
            <w:color w:val="0000FF"/>
            <w:rtl/>
          </w:rPr>
          <w:t>פקודת הסמים המסוכנים [נוסח חדש], תשל"ג-1973</w:t>
        </w:r>
      </w:hyperlink>
      <w:r w:rsidRPr="00E4153D">
        <w:rPr>
          <w:rFonts w:ascii="FrankRuehl" w:hAnsi="FrankRuehl" w:cs="FrankRuehl"/>
          <w:rtl/>
        </w:rPr>
        <w:t xml:space="preserve">: סע'  </w:t>
      </w:r>
      <w:hyperlink r:id="rId8" w:history="1">
        <w:r w:rsidRPr="00E4153D">
          <w:rPr>
            <w:rFonts w:ascii="FrankRuehl" w:hAnsi="FrankRuehl" w:cs="FrankRuehl"/>
            <w:color w:val="0000FF"/>
            <w:rtl/>
          </w:rPr>
          <w:t>7.א.</w:t>
        </w:r>
      </w:hyperlink>
      <w:r w:rsidRPr="00E4153D">
        <w:rPr>
          <w:rFonts w:ascii="FrankRuehl" w:hAnsi="FrankRuehl" w:cs="FrankRuehl"/>
          <w:rtl/>
        </w:rPr>
        <w:t xml:space="preserve">, </w:t>
      </w:r>
      <w:hyperlink r:id="rId9" w:history="1">
        <w:r w:rsidRPr="00E4153D">
          <w:rPr>
            <w:rFonts w:ascii="FrankRuehl" w:hAnsi="FrankRuehl" w:cs="FrankRuehl"/>
            <w:color w:val="0000FF"/>
            <w:rtl/>
          </w:rPr>
          <w:t>7.ג</w:t>
        </w:r>
      </w:hyperlink>
    </w:p>
    <w:p w14:paraId="3E1EFE52" w14:textId="77777777" w:rsidR="00E4153D" w:rsidRPr="00E4153D" w:rsidRDefault="00E4153D" w:rsidP="00E4153D">
      <w:pPr>
        <w:keepNext/>
        <w:keepLines/>
        <w:spacing w:before="120" w:after="120" w:line="240" w:lineRule="exact"/>
        <w:ind w:left="283" w:hanging="283"/>
        <w:jc w:val="both"/>
        <w:outlineLvl w:val="0"/>
        <w:rPr>
          <w:rFonts w:ascii="FrankRuehl" w:hAnsi="FrankRuehl" w:cs="FrankRuehl"/>
          <w:rtl/>
        </w:rPr>
      </w:pPr>
      <w:hyperlink r:id="rId10" w:history="1">
        <w:r w:rsidRPr="00E4153D">
          <w:rPr>
            <w:rFonts w:ascii="FrankRuehl" w:hAnsi="FrankRuehl" w:cs="FrankRuehl"/>
            <w:color w:val="0000FF"/>
            <w:rtl/>
          </w:rPr>
          <w:t>חוק העונשין, תשל"ז-1977</w:t>
        </w:r>
      </w:hyperlink>
      <w:r w:rsidRPr="00E4153D">
        <w:rPr>
          <w:rFonts w:ascii="FrankRuehl" w:hAnsi="FrankRuehl" w:cs="FrankRuehl"/>
          <w:rtl/>
        </w:rPr>
        <w:t xml:space="preserve">: סע'  </w:t>
      </w:r>
      <w:hyperlink r:id="rId11" w:history="1">
        <w:r w:rsidRPr="00E4153D">
          <w:rPr>
            <w:rFonts w:ascii="FrankRuehl" w:hAnsi="FrankRuehl" w:cs="FrankRuehl"/>
            <w:color w:val="0000FF"/>
            <w:rtl/>
          </w:rPr>
          <w:t>40ג(א)</w:t>
        </w:r>
      </w:hyperlink>
      <w:r w:rsidRPr="00E4153D">
        <w:rPr>
          <w:rFonts w:ascii="FrankRuehl" w:hAnsi="FrankRuehl" w:cs="FrankRuehl"/>
          <w:rtl/>
        </w:rPr>
        <w:t xml:space="preserve">, </w:t>
      </w:r>
      <w:hyperlink r:id="rId12" w:history="1">
        <w:r w:rsidRPr="00E4153D">
          <w:rPr>
            <w:rFonts w:ascii="FrankRuehl" w:hAnsi="FrankRuehl" w:cs="FrankRuehl"/>
            <w:color w:val="0000FF"/>
            <w:rtl/>
          </w:rPr>
          <w:t>40יא</w:t>
        </w:r>
      </w:hyperlink>
    </w:p>
    <w:p w14:paraId="460F5EFD" w14:textId="77777777" w:rsidR="00E4153D" w:rsidRPr="00E4153D" w:rsidRDefault="00E4153D" w:rsidP="00E4153D">
      <w:pPr>
        <w:keepNext/>
        <w:keepLines/>
        <w:spacing w:line="360" w:lineRule="auto"/>
        <w:ind w:left="360"/>
        <w:jc w:val="both"/>
        <w:outlineLvl w:val="0"/>
        <w:rPr>
          <w:rFonts w:ascii="David" w:hAnsi="David"/>
          <w:sz w:val="28"/>
          <w:szCs w:val="28"/>
          <w:rtl/>
        </w:rPr>
      </w:pPr>
      <w:bookmarkStart w:id="4" w:name="LawTable_End"/>
      <w:bookmarkEnd w:id="4"/>
    </w:p>
    <w:p w14:paraId="56BBE986" w14:textId="77777777" w:rsidR="00EE6650" w:rsidRPr="005D3F3A" w:rsidRDefault="00EE6650" w:rsidP="005D3F3A">
      <w:pPr>
        <w:keepNext/>
        <w:keepLines/>
        <w:spacing w:line="360" w:lineRule="auto"/>
        <w:ind w:left="360"/>
        <w:jc w:val="both"/>
        <w:outlineLvl w:val="0"/>
        <w:rPr>
          <w:rFonts w:ascii="David" w:hAnsi="David"/>
          <w:sz w:val="28"/>
          <w:szCs w:val="28"/>
        </w:rPr>
      </w:pPr>
    </w:p>
    <w:tbl>
      <w:tblPr>
        <w:bidiVisual/>
        <w:tblW w:w="8820" w:type="dxa"/>
        <w:jc w:val="center"/>
        <w:tblLook w:val="01E0" w:firstRow="1" w:lastRow="1" w:firstColumn="1" w:lastColumn="1" w:noHBand="0" w:noVBand="0"/>
      </w:tblPr>
      <w:tblGrid>
        <w:gridCol w:w="8820"/>
      </w:tblGrid>
      <w:tr w:rsidR="00EE6650" w:rsidRPr="00C75721" w14:paraId="75D1DBBE" w14:textId="77777777" w:rsidTr="00EE6650">
        <w:trPr>
          <w:jc w:val="center"/>
        </w:trPr>
        <w:tc>
          <w:tcPr>
            <w:tcW w:w="8820" w:type="dxa"/>
            <w:shd w:val="clear" w:color="auto" w:fill="auto"/>
          </w:tcPr>
          <w:p w14:paraId="01FA9CD0" w14:textId="77777777" w:rsidR="001D0521" w:rsidRPr="001D0521" w:rsidRDefault="001D0521" w:rsidP="001D0521">
            <w:pPr>
              <w:bidi w:val="0"/>
              <w:spacing w:line="360" w:lineRule="auto"/>
              <w:jc w:val="center"/>
              <w:rPr>
                <w:rFonts w:ascii="David" w:hAnsi="David"/>
                <w:b/>
                <w:bCs/>
                <w:i/>
                <w:iCs/>
                <w:sz w:val="36"/>
                <w:szCs w:val="36"/>
                <w:u w:val="single"/>
              </w:rPr>
            </w:pPr>
            <w:bookmarkStart w:id="5" w:name="PsakDin" w:colFirst="0" w:colLast="0"/>
            <w:bookmarkEnd w:id="0"/>
            <w:r w:rsidRPr="001D0521">
              <w:rPr>
                <w:rFonts w:ascii="David" w:hAnsi="David"/>
                <w:b/>
                <w:bCs/>
                <w:i/>
                <w:iCs/>
                <w:sz w:val="36"/>
                <w:szCs w:val="36"/>
                <w:u w:val="single"/>
                <w:rtl/>
              </w:rPr>
              <w:t>גזר דין</w:t>
            </w:r>
          </w:p>
          <w:p w14:paraId="065E96F5" w14:textId="77777777" w:rsidR="00EE6650" w:rsidRPr="001D0521" w:rsidRDefault="00EE6650" w:rsidP="001D0521">
            <w:pPr>
              <w:bidi w:val="0"/>
              <w:spacing w:line="360" w:lineRule="auto"/>
              <w:jc w:val="center"/>
              <w:rPr>
                <w:rFonts w:ascii="David" w:hAnsi="David"/>
                <w:b/>
                <w:bCs/>
                <w:i/>
                <w:iCs/>
                <w:sz w:val="36"/>
                <w:szCs w:val="36"/>
                <w:u w:val="single"/>
              </w:rPr>
            </w:pPr>
          </w:p>
        </w:tc>
      </w:tr>
    </w:tbl>
    <w:bookmarkEnd w:id="5"/>
    <w:p w14:paraId="0EE7F556" w14:textId="77777777" w:rsidR="00EE6650" w:rsidRPr="00C75721" w:rsidRDefault="00EE6650" w:rsidP="00EE6650">
      <w:pPr>
        <w:keepNext/>
        <w:keepLines/>
        <w:numPr>
          <w:ilvl w:val="0"/>
          <w:numId w:val="1"/>
        </w:numPr>
        <w:spacing w:line="360" w:lineRule="auto"/>
        <w:ind w:left="425" w:hanging="425"/>
        <w:jc w:val="both"/>
        <w:outlineLvl w:val="0"/>
        <w:rPr>
          <w:rFonts w:ascii="David" w:hAnsi="David"/>
          <w:bCs/>
          <w:sz w:val="28"/>
          <w:szCs w:val="28"/>
          <w:u w:val="single"/>
          <w:rtl/>
        </w:rPr>
      </w:pPr>
      <w:r w:rsidRPr="00C75721">
        <w:rPr>
          <w:rFonts w:ascii="David" w:hAnsi="David"/>
          <w:bCs/>
          <w:sz w:val="28"/>
          <w:szCs w:val="28"/>
          <w:u w:val="single"/>
          <w:rtl/>
        </w:rPr>
        <w:t>רקע עובדתי</w:t>
      </w:r>
    </w:p>
    <w:p w14:paraId="73BBAF64" w14:textId="77777777" w:rsidR="00EE6650" w:rsidRPr="00C75721" w:rsidRDefault="00EE6650" w:rsidP="00EE6650">
      <w:pPr>
        <w:numPr>
          <w:ilvl w:val="0"/>
          <w:numId w:val="2"/>
        </w:numPr>
        <w:spacing w:line="360" w:lineRule="auto"/>
        <w:ind w:left="-58" w:hanging="283"/>
        <w:jc w:val="both"/>
        <w:rPr>
          <w:rFonts w:ascii="David" w:eastAsia="Calibri" w:hAnsi="David"/>
          <w:rtl/>
        </w:rPr>
      </w:pPr>
      <w:bookmarkStart w:id="6" w:name="ABSTRACT_START"/>
      <w:bookmarkEnd w:id="6"/>
      <w:r w:rsidRPr="00C75721">
        <w:rPr>
          <w:rFonts w:ascii="David" w:eastAsia="Calibri" w:hAnsi="David"/>
          <w:rtl/>
        </w:rPr>
        <w:t xml:space="preserve">כפי הנטען </w:t>
      </w:r>
      <w:r w:rsidRPr="00C75721">
        <w:rPr>
          <w:rFonts w:ascii="David" w:eastAsia="Calibri" w:hAnsi="David"/>
          <w:b/>
          <w:bCs/>
          <w:rtl/>
        </w:rPr>
        <w:t>בעובדות כתב האישום המתוקן</w:t>
      </w:r>
      <w:r w:rsidRPr="00C75721">
        <w:rPr>
          <w:rFonts w:ascii="David" w:eastAsia="Calibri" w:hAnsi="David"/>
          <w:rtl/>
        </w:rPr>
        <w:t>, ביום 27.01.2022 סמוך לשעה 23:00 החזיק הנאשם בסמים מסוכנים בביתו שברח' עתניאל בן קנז 5 דירה 3 בקריית גת (להלן: "</w:t>
      </w:r>
      <w:r w:rsidRPr="00C75721">
        <w:rPr>
          <w:rFonts w:ascii="David" w:eastAsia="Calibri" w:hAnsi="David"/>
          <w:b/>
          <w:bCs/>
          <w:rtl/>
        </w:rPr>
        <w:t>הדירה</w:t>
      </w:r>
      <w:r w:rsidRPr="00C75721">
        <w:rPr>
          <w:rFonts w:ascii="David" w:eastAsia="Calibri" w:hAnsi="David"/>
          <w:rtl/>
        </w:rPr>
        <w:t xml:space="preserve">"), שלא לצריכתו העצמית כמפורט להלן: </w:t>
      </w:r>
    </w:p>
    <w:p w14:paraId="024496A7" w14:textId="77777777" w:rsidR="00EE6650" w:rsidRPr="00C75721" w:rsidRDefault="00EE6650" w:rsidP="00EE6650">
      <w:pPr>
        <w:numPr>
          <w:ilvl w:val="0"/>
          <w:numId w:val="3"/>
        </w:numPr>
        <w:spacing w:line="360" w:lineRule="auto"/>
        <w:jc w:val="both"/>
        <w:rPr>
          <w:rFonts w:ascii="David" w:eastAsia="Calibri" w:hAnsi="David"/>
        </w:rPr>
      </w:pPr>
      <w:r w:rsidRPr="00C75721">
        <w:rPr>
          <w:rFonts w:ascii="David" w:eastAsia="Calibri" w:hAnsi="David"/>
          <w:rtl/>
        </w:rPr>
        <w:t>בפח בחדר השינה החזיק הנאשם בסם מסוכן מסוג קנבוס במשקל כולל של 75 גר' נטו;</w:t>
      </w:r>
    </w:p>
    <w:p w14:paraId="1C5439F2" w14:textId="77777777" w:rsidR="00EE6650" w:rsidRPr="00C75721" w:rsidRDefault="00EE6650" w:rsidP="00EE6650">
      <w:pPr>
        <w:numPr>
          <w:ilvl w:val="0"/>
          <w:numId w:val="3"/>
        </w:numPr>
        <w:spacing w:line="360" w:lineRule="auto"/>
        <w:jc w:val="both"/>
        <w:rPr>
          <w:rFonts w:ascii="David" w:eastAsia="Calibri" w:hAnsi="David"/>
        </w:rPr>
      </w:pPr>
      <w:r w:rsidRPr="00C75721">
        <w:rPr>
          <w:rFonts w:ascii="David" w:eastAsia="Calibri" w:hAnsi="David"/>
          <w:rtl/>
        </w:rPr>
        <w:t xml:space="preserve">ובארון שבחדר השינה החזיק הנאשם בסם מסוכן מסוג </w:t>
      </w:r>
      <w:r w:rsidRPr="00C75721">
        <w:rPr>
          <w:rFonts w:ascii="David" w:eastAsia="Calibri" w:hAnsi="David"/>
        </w:rPr>
        <w:t>MDMA</w:t>
      </w:r>
      <w:r w:rsidRPr="00C75721">
        <w:rPr>
          <w:rFonts w:ascii="David" w:eastAsia="Calibri" w:hAnsi="David"/>
          <w:rtl/>
        </w:rPr>
        <w:t xml:space="preserve"> במשקל כולל של 0.50 גר' נטו.</w:t>
      </w:r>
    </w:p>
    <w:p w14:paraId="663FB202" w14:textId="77777777" w:rsidR="00EE6650" w:rsidRPr="00C75721" w:rsidRDefault="00EE6650" w:rsidP="00EE6650">
      <w:pPr>
        <w:numPr>
          <w:ilvl w:val="0"/>
          <w:numId w:val="2"/>
        </w:numPr>
        <w:spacing w:line="360" w:lineRule="auto"/>
        <w:ind w:left="-58" w:hanging="283"/>
        <w:jc w:val="both"/>
        <w:rPr>
          <w:rFonts w:ascii="David" w:eastAsia="Calibri" w:hAnsi="David"/>
        </w:rPr>
      </w:pPr>
      <w:bookmarkStart w:id="7" w:name="ABSTRACT_END"/>
      <w:bookmarkEnd w:id="7"/>
      <w:r w:rsidRPr="00C75721">
        <w:rPr>
          <w:rFonts w:ascii="David" w:eastAsia="Calibri" w:hAnsi="David"/>
          <w:rtl/>
        </w:rPr>
        <w:t xml:space="preserve">הנאשם הודה במיוחס לו לעיל, ועל יסוד הודאתו זו הורשע בעבירה של  </w:t>
      </w:r>
      <w:r w:rsidRPr="00C75721">
        <w:rPr>
          <w:rFonts w:ascii="David" w:eastAsia="Calibri" w:hAnsi="David"/>
          <w:b/>
          <w:bCs/>
          <w:rtl/>
        </w:rPr>
        <w:t>החזקת סם שלא לצריכה עצמית</w:t>
      </w:r>
      <w:r w:rsidRPr="00C75721">
        <w:rPr>
          <w:rFonts w:ascii="David" w:eastAsia="Calibri" w:hAnsi="David"/>
          <w:rtl/>
        </w:rPr>
        <w:t xml:space="preserve"> לפי </w:t>
      </w:r>
      <w:hyperlink r:id="rId13" w:history="1">
        <w:r w:rsidR="00E2375E" w:rsidRPr="00E2375E">
          <w:rPr>
            <w:rStyle w:val="Hyperlink"/>
            <w:rFonts w:ascii="David" w:eastAsia="Calibri" w:hAnsi="David"/>
            <w:rtl/>
          </w:rPr>
          <w:t>סעיפים 7(א)+7(ג)</w:t>
        </w:r>
      </w:hyperlink>
      <w:r w:rsidRPr="00C75721">
        <w:rPr>
          <w:rFonts w:ascii="David" w:eastAsia="Calibri" w:hAnsi="David"/>
          <w:rtl/>
        </w:rPr>
        <w:t xml:space="preserve"> רישא </w:t>
      </w:r>
      <w:r w:rsidRPr="00C75721">
        <w:rPr>
          <w:rFonts w:ascii="David" w:eastAsia="Calibri" w:hAnsi="David"/>
          <w:u w:val="single"/>
          <w:rtl/>
        </w:rPr>
        <w:t>ל</w:t>
      </w:r>
      <w:hyperlink r:id="rId14" w:history="1">
        <w:r w:rsidR="001D0521" w:rsidRPr="001D0521">
          <w:rPr>
            <w:rFonts w:ascii="David" w:eastAsia="Calibri" w:hAnsi="David"/>
            <w:color w:val="0000FF"/>
            <w:u w:val="single"/>
            <w:rtl/>
          </w:rPr>
          <w:t>פקודת הסמים המסוכנים</w:t>
        </w:r>
      </w:hyperlink>
      <w:r w:rsidRPr="00C75721">
        <w:rPr>
          <w:rFonts w:ascii="David" w:eastAsia="Calibri" w:hAnsi="David"/>
          <w:u w:val="single"/>
          <w:rtl/>
        </w:rPr>
        <w:t xml:space="preserve"> (נוסח חדש) התשל"ג – 1973</w:t>
      </w:r>
      <w:r w:rsidRPr="00C75721">
        <w:rPr>
          <w:rFonts w:ascii="David" w:eastAsia="Calibri" w:hAnsi="David"/>
          <w:rtl/>
        </w:rPr>
        <w:t xml:space="preserve"> (להלן: "</w:t>
      </w:r>
      <w:r w:rsidRPr="00C75721">
        <w:rPr>
          <w:rFonts w:ascii="David" w:eastAsia="Calibri" w:hAnsi="David"/>
          <w:b/>
          <w:bCs/>
          <w:rtl/>
        </w:rPr>
        <w:t>הפקודה"; "פקודת הסמים המסוכנים"</w:t>
      </w:r>
      <w:r w:rsidRPr="00C75721">
        <w:rPr>
          <w:rFonts w:ascii="David" w:eastAsia="Calibri" w:hAnsi="David"/>
          <w:rtl/>
        </w:rPr>
        <w:t>).</w:t>
      </w:r>
    </w:p>
    <w:p w14:paraId="349CF74E" w14:textId="77777777" w:rsidR="00EE6650" w:rsidRPr="00C75721" w:rsidRDefault="00EE6650" w:rsidP="00EE6650">
      <w:pPr>
        <w:numPr>
          <w:ilvl w:val="0"/>
          <w:numId w:val="2"/>
        </w:numPr>
        <w:spacing w:line="360" w:lineRule="auto"/>
        <w:ind w:left="-58" w:hanging="283"/>
        <w:contextualSpacing/>
        <w:jc w:val="both"/>
        <w:rPr>
          <w:rFonts w:ascii="David" w:eastAsia="Calibri" w:hAnsi="David"/>
        </w:rPr>
      </w:pPr>
      <w:r w:rsidRPr="00C75721">
        <w:rPr>
          <w:rFonts w:ascii="David" w:eastAsia="Calibri" w:hAnsi="David"/>
          <w:rtl/>
        </w:rPr>
        <w:t xml:space="preserve">הצדדים לא הגיעו להסכמות לעניין העונש, אך הוסכם כי הנאשם ישלח לשירות המבחן על מנת שיתקבל תסקיר בעניינו וכי הצדדים ישובו להידבר לאחר קבלת תסקיר. </w:t>
      </w:r>
    </w:p>
    <w:p w14:paraId="04C8397D" w14:textId="77777777" w:rsidR="00EE6650" w:rsidRPr="00C75721" w:rsidRDefault="00EE6650" w:rsidP="00EE6650">
      <w:pPr>
        <w:numPr>
          <w:ilvl w:val="0"/>
          <w:numId w:val="2"/>
        </w:numPr>
        <w:spacing w:line="360" w:lineRule="auto"/>
        <w:ind w:left="-58" w:hanging="283"/>
        <w:contextualSpacing/>
        <w:jc w:val="both"/>
        <w:rPr>
          <w:rFonts w:ascii="David" w:eastAsia="Calibri" w:hAnsi="David"/>
        </w:rPr>
      </w:pPr>
      <w:r w:rsidRPr="00C75721">
        <w:rPr>
          <w:rFonts w:ascii="David" w:eastAsia="Calibri" w:hAnsi="David"/>
          <w:rtl/>
        </w:rPr>
        <w:lastRenderedPageBreak/>
        <w:t xml:space="preserve">בעניינו של הנאשם </w:t>
      </w:r>
      <w:r w:rsidRPr="0057582F">
        <w:rPr>
          <w:rFonts w:ascii="David" w:eastAsia="Calibri" w:hAnsi="David"/>
          <w:b/>
          <w:bCs/>
          <w:rtl/>
        </w:rPr>
        <w:t>התקבל תסקיר ובסופו המלצה לענישה מותנית</w:t>
      </w:r>
      <w:r w:rsidRPr="00C75721">
        <w:rPr>
          <w:rFonts w:ascii="David" w:eastAsia="Calibri" w:hAnsi="David"/>
          <w:rtl/>
        </w:rPr>
        <w:t>. בגוף התסקיר, עומד שירות המבחן על קורות חייו וחיי משפחתו של הנאשם, על מאפייניו האישיותיים, יחסו לעבירה, ועוד. מטעמים של צנעת הפרט לא אעלה עלי גזר הדין את כל המפורט בתסקיר האמור, מלבד אותם נתונים הרלוונטיים לשאלת העונש שאליהם אתייחס בהמשך.</w:t>
      </w:r>
    </w:p>
    <w:p w14:paraId="10523533" w14:textId="77777777" w:rsidR="00EE6650" w:rsidRDefault="00EE6650" w:rsidP="00EE6650">
      <w:pPr>
        <w:numPr>
          <w:ilvl w:val="0"/>
          <w:numId w:val="2"/>
        </w:numPr>
        <w:spacing w:line="360" w:lineRule="auto"/>
        <w:ind w:left="-58" w:hanging="283"/>
        <w:jc w:val="both"/>
        <w:rPr>
          <w:rFonts w:ascii="David" w:eastAsia="Calibri" w:hAnsi="David"/>
        </w:rPr>
      </w:pPr>
      <w:r w:rsidRPr="00C75721">
        <w:rPr>
          <w:rFonts w:ascii="David" w:eastAsia="Calibri" w:hAnsi="David"/>
          <w:b/>
          <w:bCs/>
          <w:rtl/>
        </w:rPr>
        <w:t>מחוות דעת הממונה על עבודות השירות</w:t>
      </w:r>
      <w:r w:rsidRPr="00C75721">
        <w:rPr>
          <w:rFonts w:ascii="David" w:eastAsia="Calibri" w:hAnsi="David"/>
          <w:rtl/>
        </w:rPr>
        <w:t xml:space="preserve"> אשר התקבלה ביום 13.02.2024, עולה כי הנאשם מתאים לביצוע עבודות שירות במגבלות.</w:t>
      </w:r>
    </w:p>
    <w:p w14:paraId="3CCF8F43" w14:textId="77777777" w:rsidR="00EE6650" w:rsidRPr="00C75721" w:rsidRDefault="00EE6650" w:rsidP="00EE6650">
      <w:pPr>
        <w:spacing w:line="360" w:lineRule="auto"/>
        <w:ind w:left="-58"/>
        <w:jc w:val="both"/>
        <w:rPr>
          <w:rFonts w:ascii="David" w:eastAsia="Calibri" w:hAnsi="David"/>
        </w:rPr>
      </w:pPr>
    </w:p>
    <w:p w14:paraId="01B7DDDA" w14:textId="77777777" w:rsidR="00EE6650" w:rsidRPr="00C75721" w:rsidRDefault="00EE6650" w:rsidP="00EE6650">
      <w:pPr>
        <w:keepNext/>
        <w:keepLines/>
        <w:numPr>
          <w:ilvl w:val="0"/>
          <w:numId w:val="1"/>
        </w:numPr>
        <w:spacing w:line="360" w:lineRule="auto"/>
        <w:ind w:left="360"/>
        <w:jc w:val="both"/>
        <w:outlineLvl w:val="0"/>
        <w:rPr>
          <w:rFonts w:ascii="David" w:hAnsi="David"/>
          <w:bCs/>
          <w:sz w:val="28"/>
          <w:szCs w:val="28"/>
          <w:u w:val="single"/>
        </w:rPr>
      </w:pPr>
      <w:r w:rsidRPr="00C75721">
        <w:rPr>
          <w:rFonts w:ascii="David" w:hAnsi="David"/>
          <w:bCs/>
          <w:sz w:val="28"/>
          <w:szCs w:val="28"/>
          <w:u w:val="single"/>
          <w:rtl/>
        </w:rPr>
        <w:t>טיעוני הצדדים (עיקרי הדברים)</w:t>
      </w:r>
    </w:p>
    <w:p w14:paraId="05C6A5E0" w14:textId="77777777" w:rsidR="00EE6650" w:rsidRPr="00C75721" w:rsidRDefault="00EE6650" w:rsidP="00EE6650">
      <w:pPr>
        <w:numPr>
          <w:ilvl w:val="0"/>
          <w:numId w:val="2"/>
        </w:numPr>
        <w:spacing w:line="360" w:lineRule="auto"/>
        <w:ind w:left="-58" w:hanging="283"/>
        <w:contextualSpacing/>
        <w:jc w:val="both"/>
        <w:rPr>
          <w:rFonts w:ascii="David" w:eastAsia="Calibri" w:hAnsi="David"/>
          <w:rtl/>
        </w:rPr>
      </w:pPr>
      <w:r w:rsidRPr="00C75721">
        <w:rPr>
          <w:rFonts w:ascii="David" w:eastAsia="Calibri" w:hAnsi="David"/>
          <w:b/>
          <w:bCs/>
          <w:rtl/>
        </w:rPr>
        <w:t>המאשימה,</w:t>
      </w:r>
      <w:r w:rsidRPr="00C75721">
        <w:rPr>
          <w:rFonts w:ascii="David" w:eastAsia="Calibri" w:hAnsi="David"/>
          <w:rtl/>
        </w:rPr>
        <w:t xml:space="preserve"> עמדה על הערכים המוגנים שנפגעו כתוצאה ממעשיו של הנאשם, על חומרת מעשיו בדגש על כמות הסם שנתפסה בחזקתו ולסוג הסם הקשה שבין היתר הלה החזיק שלא לשימושו העצמי ועתרה לקבוע מתחם עונש הולם הנע בין 4 חודשים מאסר שיכול וירוצו בעבודות שירות לבין-18 חודשים מאסר בפועל. בהמשך לאלו, ובהינתן עברו הפלילי של הנאשם (שהתיישן לו זה מכבר), עתרה המאשימה להשית על הנאשם ענישה בגדרי המתחם לצד ענישה נלוות בדמות מאסר מותנה, פסילה בפועל, פסילה מותנית, קנס והתחייבות.  </w:t>
      </w:r>
    </w:p>
    <w:p w14:paraId="30D64643" w14:textId="77777777" w:rsidR="00EE6650" w:rsidRPr="00C75721" w:rsidRDefault="00EE6650" w:rsidP="00EE6650">
      <w:pPr>
        <w:numPr>
          <w:ilvl w:val="0"/>
          <w:numId w:val="2"/>
        </w:numPr>
        <w:spacing w:line="360" w:lineRule="auto"/>
        <w:ind w:left="-58" w:hanging="283"/>
        <w:jc w:val="both"/>
        <w:rPr>
          <w:rFonts w:ascii="David" w:eastAsia="Calibri" w:hAnsi="David"/>
          <w:rtl/>
        </w:rPr>
      </w:pPr>
      <w:r w:rsidRPr="00C75721">
        <w:rPr>
          <w:rFonts w:ascii="David" w:eastAsia="Calibri" w:hAnsi="David"/>
          <w:b/>
          <w:bCs/>
          <w:rtl/>
        </w:rPr>
        <w:t>מנגד, ההגנה,</w:t>
      </w:r>
      <w:r w:rsidRPr="00C75721">
        <w:rPr>
          <w:rFonts w:ascii="David" w:eastAsia="Calibri" w:hAnsi="David"/>
          <w:rtl/>
        </w:rPr>
        <w:t xml:space="preserve"> חלקה על מתחם העונש ההולם לו עתרה המאשימה ועתרה לקבוע מתחם הנע ממאסר מותנה ברף התחתון ועד לכמה חודשים מאסר שיכול וירוצה בעבודות שירות</w:t>
      </w:r>
      <w:r>
        <w:rPr>
          <w:rFonts w:ascii="David" w:eastAsia="Calibri" w:hAnsi="David" w:hint="cs"/>
          <w:rtl/>
        </w:rPr>
        <w:t xml:space="preserve"> ברף העליון</w:t>
      </w:r>
      <w:r w:rsidRPr="00C75721">
        <w:rPr>
          <w:rFonts w:ascii="David" w:eastAsia="Calibri" w:hAnsi="David"/>
          <w:rtl/>
        </w:rPr>
        <w:t>. בכל הנוגע לנסיבות שאינן קשורות לביצוע העבירה</w:t>
      </w:r>
      <w:r>
        <w:rPr>
          <w:rFonts w:ascii="David" w:eastAsia="Calibri" w:hAnsi="David" w:hint="cs"/>
          <w:rtl/>
        </w:rPr>
        <w:t>,</w:t>
      </w:r>
      <w:r w:rsidRPr="00C75721">
        <w:rPr>
          <w:rFonts w:ascii="David" w:eastAsia="Calibri" w:hAnsi="David"/>
          <w:rtl/>
        </w:rPr>
        <w:t xml:space="preserve"> הפנתה הסנגורית לנסיבותיו האישיות של הנאשם; לעובדה כי חרף עברו הפלילי</w:t>
      </w:r>
      <w:r>
        <w:rPr>
          <w:rFonts w:ascii="David" w:eastAsia="Calibri" w:hAnsi="David" w:hint="cs"/>
          <w:rtl/>
        </w:rPr>
        <w:t xml:space="preserve"> שהתיישן</w:t>
      </w:r>
      <w:r w:rsidRPr="00C75721">
        <w:rPr>
          <w:rFonts w:ascii="David" w:eastAsia="Calibri" w:hAnsi="David"/>
          <w:rtl/>
        </w:rPr>
        <w:t>, הרי שמאז ביצוע העבירה שבמוקד כתב האישום לא נפתחו נגד הנאשם תיקים נוספים; היותו של הנאשם אדם נורמטיבי ויצרני; ולכך שהשתת ענישה בדמות מאסר שירוצה בעבודות עבודות שירות עלולה לפגוע קשות בפרנסתו של הנאשם ובסיכויי שיקומו. מכל האמור עתרה הסנגורית לאמץ את המלצותיו של שירות המבחן לעניין העונש ולהסתפק בעניינו של הנאשם בענישה צופה פני עתיד.</w:t>
      </w:r>
    </w:p>
    <w:p w14:paraId="2752588A" w14:textId="77777777" w:rsidR="00EE6650" w:rsidRPr="00C75721" w:rsidRDefault="00EE6650" w:rsidP="00EE6650">
      <w:pPr>
        <w:numPr>
          <w:ilvl w:val="0"/>
          <w:numId w:val="2"/>
        </w:numPr>
        <w:spacing w:line="360" w:lineRule="auto"/>
        <w:ind w:left="-58"/>
        <w:contextualSpacing/>
        <w:jc w:val="both"/>
        <w:rPr>
          <w:rFonts w:ascii="David" w:eastAsia="Calibri" w:hAnsi="David"/>
        </w:rPr>
      </w:pPr>
      <w:r w:rsidRPr="00C75721">
        <w:rPr>
          <w:rFonts w:ascii="David" w:eastAsia="Calibri" w:hAnsi="David"/>
          <w:b/>
          <w:bCs/>
          <w:rtl/>
        </w:rPr>
        <w:t xml:space="preserve">הנאשם, </w:t>
      </w:r>
      <w:r w:rsidRPr="00C75721">
        <w:rPr>
          <w:rFonts w:ascii="David" w:eastAsia="Calibri" w:hAnsi="David"/>
          <w:rtl/>
        </w:rPr>
        <w:t xml:space="preserve">אשר קיבל את "זכות המילה האחרונה", הביע חרטה על מעשיו וביקש כי בית המשפט יתחשב בו לעניין העונש על מנת שלא לפגוע במקור פרנסתו. </w:t>
      </w:r>
    </w:p>
    <w:p w14:paraId="1D1B796B" w14:textId="77777777" w:rsidR="00EE6650" w:rsidRDefault="00EE6650" w:rsidP="00EE6650">
      <w:pPr>
        <w:keepNext/>
        <w:keepLines/>
        <w:spacing w:line="360" w:lineRule="auto"/>
        <w:jc w:val="center"/>
        <w:outlineLvl w:val="0"/>
        <w:rPr>
          <w:rFonts w:ascii="David" w:hAnsi="David"/>
          <w:bCs/>
          <w:sz w:val="36"/>
          <w:szCs w:val="36"/>
          <w:u w:val="single"/>
          <w:rtl/>
        </w:rPr>
      </w:pPr>
    </w:p>
    <w:p w14:paraId="420DC072" w14:textId="77777777" w:rsidR="00EE6650" w:rsidRPr="00C75721" w:rsidRDefault="00EE6650" w:rsidP="00EE6650">
      <w:pPr>
        <w:keepNext/>
        <w:keepLines/>
        <w:spacing w:line="360" w:lineRule="auto"/>
        <w:jc w:val="center"/>
        <w:outlineLvl w:val="0"/>
        <w:rPr>
          <w:rFonts w:ascii="David" w:hAnsi="David"/>
          <w:bCs/>
          <w:sz w:val="36"/>
          <w:szCs w:val="36"/>
          <w:u w:val="single"/>
        </w:rPr>
      </w:pPr>
      <w:r w:rsidRPr="00C75721">
        <w:rPr>
          <w:rFonts w:ascii="David" w:hAnsi="David"/>
          <w:bCs/>
          <w:sz w:val="36"/>
          <w:szCs w:val="36"/>
          <w:u w:val="single"/>
          <w:rtl/>
        </w:rPr>
        <w:t>דיון והכרעה</w:t>
      </w:r>
    </w:p>
    <w:p w14:paraId="249CAAF2" w14:textId="77777777" w:rsidR="00EE6650" w:rsidRPr="00C75721" w:rsidRDefault="00EE6650" w:rsidP="00EE6650">
      <w:pPr>
        <w:keepNext/>
        <w:keepLines/>
        <w:spacing w:line="360" w:lineRule="auto"/>
        <w:outlineLvl w:val="0"/>
        <w:rPr>
          <w:rFonts w:ascii="David" w:hAnsi="David"/>
          <w:bCs/>
          <w:sz w:val="28"/>
          <w:szCs w:val="28"/>
          <w:u w:val="single"/>
          <w:rtl/>
        </w:rPr>
      </w:pPr>
      <w:r w:rsidRPr="00C75721">
        <w:rPr>
          <w:rFonts w:ascii="David" w:hAnsi="David"/>
          <w:bCs/>
          <w:sz w:val="28"/>
          <w:szCs w:val="28"/>
          <w:rtl/>
        </w:rPr>
        <w:t xml:space="preserve">ג.    </w:t>
      </w:r>
      <w:r w:rsidRPr="00C75721">
        <w:rPr>
          <w:rFonts w:ascii="David" w:hAnsi="David"/>
          <w:bCs/>
          <w:sz w:val="28"/>
          <w:szCs w:val="28"/>
          <w:u w:val="single"/>
          <w:rtl/>
        </w:rPr>
        <w:t>קביעת מתחם העונש ההולם</w:t>
      </w:r>
    </w:p>
    <w:p w14:paraId="2956D9B0" w14:textId="77777777" w:rsidR="00EE6650" w:rsidRPr="00C75721" w:rsidRDefault="00EE6650" w:rsidP="00EE6650">
      <w:pPr>
        <w:numPr>
          <w:ilvl w:val="0"/>
          <w:numId w:val="2"/>
        </w:numPr>
        <w:spacing w:line="360" w:lineRule="auto"/>
        <w:ind w:left="-58"/>
        <w:contextualSpacing/>
        <w:jc w:val="both"/>
        <w:rPr>
          <w:rFonts w:ascii="David" w:eastAsia="Calibri" w:hAnsi="David"/>
        </w:rPr>
      </w:pPr>
      <w:r w:rsidRPr="00C75721">
        <w:rPr>
          <w:rFonts w:ascii="David" w:eastAsia="Calibri" w:hAnsi="David"/>
          <w:rtl/>
        </w:rPr>
        <w:t xml:space="preserve">מאחר שאין חולק על כך שכלל מעשיו של הנאשם מהווים "אירוע אחד" ובהתאם למתווה שקבע המחוקק בתיקון 113 </w:t>
      </w:r>
      <w:r w:rsidRPr="00C75721">
        <w:rPr>
          <w:rFonts w:ascii="David" w:eastAsia="Calibri" w:hAnsi="David"/>
          <w:u w:val="single"/>
          <w:rtl/>
        </w:rPr>
        <w:t>ל</w:t>
      </w:r>
      <w:hyperlink r:id="rId15" w:history="1">
        <w:r w:rsidR="001D0521" w:rsidRPr="001D0521">
          <w:rPr>
            <w:rFonts w:ascii="David" w:eastAsia="Calibri" w:hAnsi="David"/>
            <w:color w:val="0000FF"/>
            <w:u w:val="single"/>
            <w:rtl/>
          </w:rPr>
          <w:t>חוק העונשין</w:t>
        </w:r>
      </w:hyperlink>
      <w:r w:rsidRPr="00C75721">
        <w:rPr>
          <w:rFonts w:ascii="David" w:eastAsia="Calibri" w:hAnsi="David"/>
          <w:rtl/>
        </w:rPr>
        <w:t xml:space="preserve"> (ופורש לאחר מכן בפסיקתו של בית המשפט העליון), אקבע בשלב הראשון את מתחם העונש ההולם את המעשים, ולאחר מכן אבחן אם יש מקום לסטות לקולה מהמתחם האמור או שמא יש לגזור את עונשו של הנאשם בתוך גדריו (על אודות המתווה לגזירת העונש, ראו למשל, </w:t>
      </w:r>
      <w:hyperlink r:id="rId16" w:history="1">
        <w:r w:rsidR="001D0521" w:rsidRPr="001D0521">
          <w:rPr>
            <w:rFonts w:ascii="David" w:eastAsia="Calibri" w:hAnsi="David"/>
            <w:color w:val="0000FF"/>
            <w:u w:val="single"/>
            <w:rtl/>
          </w:rPr>
          <w:t>ע"פ 8641/12</w:t>
        </w:r>
      </w:hyperlink>
      <w:r w:rsidRPr="00C75721">
        <w:rPr>
          <w:rFonts w:ascii="David" w:eastAsia="Calibri" w:hAnsi="David"/>
          <w:rtl/>
        </w:rPr>
        <w:t xml:space="preserve"> </w:t>
      </w:r>
      <w:r w:rsidRPr="00C75721">
        <w:rPr>
          <w:rFonts w:ascii="David" w:eastAsia="Calibri" w:hAnsi="David"/>
          <w:b/>
          <w:bCs/>
          <w:rtl/>
        </w:rPr>
        <w:t>מוחמד סעד נ' מדינת ישראל</w:t>
      </w:r>
      <w:r w:rsidRPr="00C75721">
        <w:rPr>
          <w:rFonts w:ascii="David" w:eastAsia="Calibri" w:hAnsi="David"/>
          <w:rtl/>
        </w:rPr>
        <w:t>, [פורסם בנבו] (05.08.2013)).</w:t>
      </w:r>
    </w:p>
    <w:p w14:paraId="03E9EB44" w14:textId="77777777" w:rsidR="00EE6650" w:rsidRPr="00C75721" w:rsidRDefault="00EE6650" w:rsidP="00EE6650">
      <w:pPr>
        <w:numPr>
          <w:ilvl w:val="0"/>
          <w:numId w:val="2"/>
        </w:numPr>
        <w:spacing w:line="360" w:lineRule="auto"/>
        <w:ind w:left="-58" w:hanging="425"/>
        <w:contextualSpacing/>
        <w:jc w:val="both"/>
        <w:rPr>
          <w:rFonts w:ascii="David" w:eastAsia="Calibri" w:hAnsi="David"/>
        </w:rPr>
      </w:pPr>
      <w:r w:rsidRPr="00C75721">
        <w:rPr>
          <w:rFonts w:ascii="David" w:eastAsia="Calibri" w:hAnsi="David"/>
          <w:rtl/>
        </w:rPr>
        <w:t xml:space="preserve">כאמור </w:t>
      </w:r>
      <w:hyperlink r:id="rId17" w:history="1">
        <w:r w:rsidR="00E2375E" w:rsidRPr="00E2375E">
          <w:rPr>
            <w:rStyle w:val="Hyperlink"/>
            <w:rFonts w:ascii="David" w:eastAsia="Calibri" w:hAnsi="David"/>
            <w:rtl/>
          </w:rPr>
          <w:t>בסעיף 40ג(א)</w:t>
        </w:r>
      </w:hyperlink>
      <w:r w:rsidRPr="00C75721">
        <w:rPr>
          <w:rFonts w:ascii="David" w:eastAsia="Calibri" w:hAnsi="David"/>
          <w:rtl/>
        </w:rPr>
        <w:t xml:space="preserve"> </w:t>
      </w:r>
      <w:r w:rsidRPr="00C75721">
        <w:rPr>
          <w:rFonts w:ascii="David" w:eastAsia="Calibri" w:hAnsi="David"/>
          <w:u w:val="single"/>
          <w:rtl/>
        </w:rPr>
        <w:t>ל</w:t>
      </w:r>
      <w:hyperlink r:id="rId18" w:history="1">
        <w:r w:rsidR="001D0521" w:rsidRPr="001D0521">
          <w:rPr>
            <w:rFonts w:ascii="David" w:eastAsia="Calibri" w:hAnsi="David"/>
            <w:color w:val="0000FF"/>
            <w:u w:val="single"/>
            <w:rtl/>
          </w:rPr>
          <w:t>חוק העונשין</w:t>
        </w:r>
      </w:hyperlink>
      <w:r w:rsidRPr="00C75721">
        <w:rPr>
          <w:rFonts w:ascii="David" w:eastAsia="Calibri" w:hAnsi="David"/>
          <w:u w:val="single"/>
          <w:rtl/>
        </w:rPr>
        <w:t>,</w:t>
      </w:r>
      <w:r w:rsidRPr="00C75721">
        <w:rPr>
          <w:rFonts w:ascii="David" w:eastAsia="Calibri" w:hAnsi="David"/>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w:t>
      </w:r>
    </w:p>
    <w:p w14:paraId="3FF33744" w14:textId="77777777" w:rsidR="00EE6650" w:rsidRPr="00C75721" w:rsidRDefault="00EE6650" w:rsidP="00EE6650">
      <w:pPr>
        <w:numPr>
          <w:ilvl w:val="0"/>
          <w:numId w:val="2"/>
        </w:numPr>
        <w:spacing w:line="360" w:lineRule="auto"/>
        <w:ind w:left="-58" w:hanging="425"/>
        <w:contextualSpacing/>
        <w:jc w:val="both"/>
        <w:rPr>
          <w:rFonts w:ascii="David" w:eastAsia="Calibri" w:hAnsi="David"/>
        </w:rPr>
      </w:pPr>
      <w:r w:rsidRPr="00C75721">
        <w:rPr>
          <w:rFonts w:ascii="David" w:eastAsia="Calibri" w:hAnsi="David"/>
          <w:rtl/>
        </w:rPr>
        <w:t xml:space="preserve">לגופו של עניין, ובכל הנוגע </w:t>
      </w:r>
      <w:r w:rsidRPr="00C75721">
        <w:rPr>
          <w:rFonts w:ascii="David" w:eastAsia="Calibri" w:hAnsi="David"/>
          <w:b/>
          <w:bCs/>
          <w:rtl/>
        </w:rPr>
        <w:t>לעבירת הסמים</w:t>
      </w:r>
      <w:r w:rsidRPr="00C75721">
        <w:rPr>
          <w:rFonts w:ascii="David" w:eastAsia="Calibri" w:hAnsi="David"/>
          <w:rtl/>
        </w:rPr>
        <w:t xml:space="preserve"> אותה עבר הנאשם, נדמה כי אין צורך להכביר מילים על אודות החומרה הרבה הכרוכה בעבירה זו. </w:t>
      </w:r>
      <w:hyperlink r:id="rId19" w:history="1">
        <w:r w:rsidR="001D0521" w:rsidRPr="001D0521">
          <w:rPr>
            <w:rFonts w:ascii="David" w:eastAsia="Calibri" w:hAnsi="David"/>
            <w:color w:val="0000FF"/>
            <w:u w:val="single"/>
            <w:rtl/>
          </w:rPr>
          <w:t>פקודת הסמים המסוכנים</w:t>
        </w:r>
      </w:hyperlink>
      <w:r w:rsidRPr="00C75721">
        <w:rPr>
          <w:rFonts w:ascii="David" w:eastAsia="Calibri" w:hAnsi="David"/>
          <w:rtl/>
        </w:rPr>
        <w:t xml:space="preserve"> נחקקה על מנת להגן על ערכים </w:t>
      </w:r>
      <w:r w:rsidRPr="00C75721">
        <w:rPr>
          <w:rFonts w:ascii="David" w:eastAsia="Calibri" w:hAnsi="David"/>
          <w:rtl/>
        </w:rPr>
        <w:lastRenderedPageBreak/>
        <w:t xml:space="preserve">חברתיים מרכזיים ובראשם החובה להגן על שלומו של הציבור, בריאותו, על בטחונו האישי ועל רכושו. </w:t>
      </w:r>
    </w:p>
    <w:p w14:paraId="709C01F1" w14:textId="77777777" w:rsidR="00EE6650" w:rsidRPr="00C75721" w:rsidRDefault="00EE6650" w:rsidP="00EE6650">
      <w:pPr>
        <w:numPr>
          <w:ilvl w:val="0"/>
          <w:numId w:val="2"/>
        </w:numPr>
        <w:spacing w:line="360" w:lineRule="auto"/>
        <w:ind w:left="-58" w:hanging="425"/>
        <w:contextualSpacing/>
        <w:jc w:val="both"/>
        <w:rPr>
          <w:rFonts w:ascii="David" w:eastAsia="Calibri" w:hAnsi="David"/>
        </w:rPr>
      </w:pPr>
      <w:r w:rsidRPr="00C75721">
        <w:rPr>
          <w:rFonts w:ascii="David" w:eastAsia="Calibri" w:hAnsi="David"/>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0" w:history="1">
        <w:r w:rsidR="001D0521" w:rsidRPr="001D0521">
          <w:rPr>
            <w:rFonts w:ascii="David" w:eastAsia="Calibri" w:hAnsi="David"/>
            <w:color w:val="0000FF"/>
            <w:u w:val="single"/>
            <w:rtl/>
          </w:rPr>
          <w:t>ע"פ 575/88</w:t>
        </w:r>
      </w:hyperlink>
      <w:r w:rsidRPr="00C75721">
        <w:rPr>
          <w:rFonts w:ascii="David" w:eastAsia="Calibri" w:hAnsi="David"/>
          <w:rtl/>
        </w:rPr>
        <w:t xml:space="preserve"> </w:t>
      </w:r>
      <w:r w:rsidRPr="00C75721">
        <w:rPr>
          <w:rFonts w:ascii="David" w:eastAsia="Calibri" w:hAnsi="David"/>
          <w:b/>
          <w:bCs/>
          <w:rtl/>
        </w:rPr>
        <w:t>עודה נגד מדינת ישראל</w:t>
      </w:r>
      <w:r w:rsidRPr="00C75721">
        <w:rPr>
          <w:rFonts w:ascii="David" w:eastAsia="Calibri" w:hAnsi="David"/>
          <w:rtl/>
        </w:rPr>
        <w:t xml:space="preserve"> [פורסם בנבו] (11.12.1988);</w:t>
      </w:r>
      <w:r w:rsidRPr="00C75721">
        <w:rPr>
          <w:rFonts w:ascii="David" w:eastAsia="Calibri" w:hAnsi="David"/>
          <w:u w:val="single"/>
          <w:rtl/>
        </w:rPr>
        <w:t xml:space="preserve"> </w:t>
      </w:r>
      <w:hyperlink r:id="rId21" w:history="1">
        <w:r w:rsidR="001D0521" w:rsidRPr="001D0521">
          <w:rPr>
            <w:rFonts w:ascii="David" w:eastAsia="Calibri" w:hAnsi="David"/>
            <w:color w:val="0000FF"/>
            <w:u w:val="single"/>
            <w:rtl/>
          </w:rPr>
          <w:t>ע"פ 972/11</w:t>
        </w:r>
      </w:hyperlink>
      <w:r w:rsidRPr="00C75721">
        <w:rPr>
          <w:rFonts w:ascii="David" w:eastAsia="Calibri" w:hAnsi="David"/>
          <w:rtl/>
        </w:rPr>
        <w:t xml:space="preserve"> </w:t>
      </w:r>
      <w:r w:rsidRPr="00C75721">
        <w:rPr>
          <w:rFonts w:ascii="David" w:eastAsia="Calibri" w:hAnsi="David"/>
          <w:b/>
          <w:bCs/>
          <w:rtl/>
        </w:rPr>
        <w:t>מדינת ישראל נגד יניב יונה</w:t>
      </w:r>
      <w:r w:rsidRPr="00C75721">
        <w:rPr>
          <w:rFonts w:ascii="David" w:eastAsia="Calibri" w:hAnsi="David"/>
          <w:rtl/>
        </w:rPr>
        <w:t xml:space="preserve"> [פורסם בנבו] (04.07.2012); </w:t>
      </w:r>
      <w:hyperlink r:id="rId22" w:history="1">
        <w:r w:rsidR="001D0521" w:rsidRPr="001D0521">
          <w:rPr>
            <w:rFonts w:ascii="David" w:eastAsia="Calibri" w:hAnsi="David"/>
            <w:color w:val="0000FF"/>
            <w:u w:val="single"/>
            <w:rtl/>
          </w:rPr>
          <w:t>ע"פ 3117/12</w:t>
        </w:r>
      </w:hyperlink>
      <w:r w:rsidRPr="00C75721">
        <w:rPr>
          <w:rFonts w:ascii="David" w:eastAsia="Calibri" w:hAnsi="David"/>
          <w:u w:val="single"/>
          <w:rtl/>
        </w:rPr>
        <w:t xml:space="preserve"> </w:t>
      </w:r>
      <w:r w:rsidRPr="00C75721">
        <w:rPr>
          <w:rFonts w:ascii="David" w:eastAsia="Calibri" w:hAnsi="David"/>
          <w:b/>
          <w:bCs/>
          <w:rtl/>
        </w:rPr>
        <w:t>ארביב נ' מדינת ישראל</w:t>
      </w:r>
      <w:r w:rsidRPr="00C75721">
        <w:rPr>
          <w:rFonts w:ascii="David" w:eastAsia="Calibri" w:hAnsi="David"/>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2C037D61" w14:textId="77777777" w:rsidR="00EE6650" w:rsidRPr="00C75721" w:rsidRDefault="00EE6650" w:rsidP="00EE6650">
      <w:pPr>
        <w:numPr>
          <w:ilvl w:val="0"/>
          <w:numId w:val="2"/>
        </w:numPr>
        <w:spacing w:line="360" w:lineRule="auto"/>
        <w:ind w:left="-58" w:hanging="425"/>
        <w:contextualSpacing/>
        <w:jc w:val="both"/>
        <w:rPr>
          <w:rFonts w:ascii="David" w:eastAsia="Calibri" w:hAnsi="David"/>
        </w:rPr>
      </w:pPr>
      <w:r w:rsidRPr="00C75721">
        <w:rPr>
          <w:rFonts w:ascii="David" w:eastAsia="Calibri" w:hAnsi="David"/>
          <w:rtl/>
        </w:rPr>
        <w:t xml:space="preserve">אם לא די באלה, הרי שעל חומרתה היתרה של </w:t>
      </w:r>
      <w:r>
        <w:rPr>
          <w:rFonts w:ascii="David" w:eastAsia="Calibri" w:hAnsi="David" w:hint="cs"/>
          <w:rtl/>
        </w:rPr>
        <w:t>ע</w:t>
      </w:r>
      <w:r w:rsidRPr="00C75721">
        <w:rPr>
          <w:rFonts w:ascii="David" w:eastAsia="Calibri" w:hAnsi="David"/>
          <w:rtl/>
        </w:rPr>
        <w:t xml:space="preserve">בירת החזקת הסם שלא לצריכה עצמית, אותה עבר הנאשם, יכולה להעיד גם הענישה אשר נקבעה בצדה. וכך, העונש המרבי בגין ביצוע עבירת </w:t>
      </w:r>
      <w:r w:rsidRPr="00C75721">
        <w:rPr>
          <w:rFonts w:ascii="David" w:eastAsia="Calibri" w:hAnsi="David"/>
          <w:b/>
          <w:bCs/>
          <w:rtl/>
        </w:rPr>
        <w:t>החזקת הסם שלא לצריכה עצמית</w:t>
      </w:r>
      <w:r w:rsidRPr="00C75721">
        <w:rPr>
          <w:rFonts w:ascii="David" w:eastAsia="Calibri" w:hAnsi="David"/>
          <w:rtl/>
        </w:rPr>
        <w:t xml:space="preserve"> הוא 20 שנות מאסר. </w:t>
      </w:r>
    </w:p>
    <w:p w14:paraId="1CEDAB69" w14:textId="77777777" w:rsidR="00EE6650" w:rsidRPr="00C75721" w:rsidRDefault="00EE6650" w:rsidP="00EE6650">
      <w:pPr>
        <w:numPr>
          <w:ilvl w:val="0"/>
          <w:numId w:val="2"/>
        </w:numPr>
        <w:spacing w:line="360" w:lineRule="auto"/>
        <w:ind w:left="-58" w:hanging="425"/>
        <w:contextualSpacing/>
        <w:jc w:val="both"/>
        <w:rPr>
          <w:rFonts w:ascii="David" w:eastAsia="Calibri" w:hAnsi="David"/>
          <w:b/>
          <w:bCs/>
        </w:rPr>
      </w:pPr>
      <w:r w:rsidRPr="00C75721">
        <w:rPr>
          <w:rFonts w:ascii="David" w:eastAsia="Calibri" w:hAnsi="David"/>
          <w:rtl/>
        </w:rPr>
        <w:t xml:space="preserve">בשים לב לסוג הסם ולכמות הסם אותה החזיק הנאשם שלא לצריכתו העצמית, ולאור יתר הנסיבות הקשורות בביצוע העבירה, כפי שיפורט בהמשך הדברים, נדמה כי </w:t>
      </w:r>
      <w:r w:rsidRPr="00C75721">
        <w:rPr>
          <w:rFonts w:ascii="David" w:eastAsia="Calibri" w:hAnsi="David"/>
          <w:b/>
          <w:bCs/>
          <w:rtl/>
        </w:rPr>
        <w:t>מידת הפגיעה בערכים המוגנים במקרה הנדון מצויה ברף שאיננו נמוך כלל ועיקר</w:t>
      </w:r>
      <w:r w:rsidRPr="00C75721">
        <w:rPr>
          <w:rFonts w:ascii="David" w:eastAsia="Calibri" w:hAnsi="David"/>
          <w:rtl/>
        </w:rPr>
        <w:t>.</w:t>
      </w:r>
      <w:r w:rsidRPr="00C75721">
        <w:rPr>
          <w:rFonts w:ascii="David" w:eastAsia="Calibri" w:hAnsi="David"/>
          <w:b/>
          <w:bCs/>
          <w:rtl/>
        </w:rPr>
        <w:t xml:space="preserve"> </w:t>
      </w:r>
    </w:p>
    <w:p w14:paraId="64D5A552" w14:textId="77777777" w:rsidR="00EE6650" w:rsidRPr="00C75721" w:rsidRDefault="00EE6650" w:rsidP="00EE6650">
      <w:pPr>
        <w:numPr>
          <w:ilvl w:val="0"/>
          <w:numId w:val="2"/>
        </w:numPr>
        <w:spacing w:line="360" w:lineRule="auto"/>
        <w:ind w:left="-58" w:hanging="426"/>
        <w:contextualSpacing/>
        <w:jc w:val="both"/>
        <w:rPr>
          <w:rFonts w:ascii="David" w:eastAsia="Calibri" w:hAnsi="David"/>
        </w:rPr>
      </w:pPr>
      <w:r w:rsidRPr="00C75721">
        <w:rPr>
          <w:rFonts w:ascii="David" w:eastAsia="Calibri" w:hAnsi="David"/>
          <w:rtl/>
        </w:rPr>
        <w:t xml:space="preserve">בבחינת </w:t>
      </w:r>
      <w:r w:rsidRPr="00C75721">
        <w:rPr>
          <w:rFonts w:ascii="David" w:eastAsia="Calibri" w:hAnsi="David"/>
          <w:b/>
          <w:bCs/>
          <w:rtl/>
        </w:rPr>
        <w:t>הנסיבות הקשורות לביצוע העבירה</w:t>
      </w:r>
      <w:r w:rsidRPr="00C75721">
        <w:rPr>
          <w:rFonts w:ascii="David" w:eastAsia="Calibri" w:hAnsi="David"/>
          <w:rtl/>
        </w:rPr>
        <w:t xml:space="preserve">, הרי שמבלי להתעלם מכך שהכמות המשמעותית של הסמים אותה החזיק הנאשם עניינה סמים מסוג ה'קנבוס' אשר נמנים עם הסמים "הקלים", ואינם מצויים במדרג חומרה גבוה מבין הסמים השונים (כמובן שהדברים נאמרים מבלי שבית המשפט מקל ראש ולו לרגע בנזקים שגם סמים "קלים" אלה עלולים להסב לנאשם ולסביבתו), הרי שבשיקולים לחומרה, נתתי דעתי לעובדה שהנאשם החזיק אף בכמות סם מסוג </w:t>
      </w:r>
      <w:r w:rsidRPr="00C75721">
        <w:rPr>
          <w:rFonts w:ascii="David" w:eastAsia="Calibri" w:hAnsi="David"/>
        </w:rPr>
        <w:t>MDMA</w:t>
      </w:r>
      <w:r w:rsidRPr="00C75721">
        <w:rPr>
          <w:rFonts w:ascii="David" w:eastAsia="Calibri" w:hAnsi="David"/>
          <w:rtl/>
        </w:rPr>
        <w:t xml:space="preserve"> הנמנה עם "הסמים הקשים", כאשר שנים רבות של מחקרים מדעיים שנעשו בתחום לימדו אותנו כי הנזקים שסם זה מביא עמו קשים מהנזקים הנגרמים עקב שימוש בסמים "קלים" כגון חשיש או מריחואנה. בכל הנוגע למשקל הסם הרי שנתתי דעתי לכמות הסם של 0.5 גר' נטו מסוג </w:t>
      </w:r>
      <w:r w:rsidRPr="00C75721">
        <w:rPr>
          <w:rFonts w:ascii="David" w:eastAsia="Calibri" w:hAnsi="David"/>
        </w:rPr>
        <w:t>MDMA</w:t>
      </w:r>
      <w:r w:rsidRPr="00C75721">
        <w:rPr>
          <w:rFonts w:ascii="David" w:eastAsia="Calibri" w:hAnsi="David"/>
          <w:rtl/>
        </w:rPr>
        <w:t xml:space="preserve"> שנמצאה ברשותו של הנאשם, אם כי נדמה כי אין המדובר בכמות סם גבוהה באופן מיוחד. עוד נתתי דעתי לכמות הסם במשקל כולל של 75.5 גר' נטו משני סוגי הסם אשר נתפסה ברשותו של הנאשם. ברי כי כמות זו אינה מבוטלת כלל ועיקר והגבוהה פי כמה וכמה מ"חזקת הצריכה העצמית" הקבועה בפקודה. </w:t>
      </w:r>
    </w:p>
    <w:p w14:paraId="7334343F" w14:textId="77777777" w:rsidR="00EE6650" w:rsidRPr="00C75721" w:rsidRDefault="00EE6650" w:rsidP="00EE6650">
      <w:pPr>
        <w:numPr>
          <w:ilvl w:val="0"/>
          <w:numId w:val="2"/>
        </w:numPr>
        <w:spacing w:line="360" w:lineRule="auto"/>
        <w:ind w:left="-58" w:hanging="426"/>
        <w:contextualSpacing/>
        <w:jc w:val="both"/>
        <w:rPr>
          <w:rFonts w:ascii="David" w:eastAsia="Calibri" w:hAnsi="David"/>
        </w:rPr>
      </w:pPr>
      <w:r w:rsidRPr="00C75721">
        <w:rPr>
          <w:rFonts w:ascii="David" w:eastAsia="Calibri" w:hAnsi="David"/>
          <w:b/>
          <w:bCs/>
          <w:rtl/>
        </w:rPr>
        <w:t>אשר לסיבות שהביאו את הנאשם לבצע את העבירה,</w:t>
      </w:r>
      <w:r w:rsidRPr="00C75721">
        <w:rPr>
          <w:rFonts w:ascii="David" w:eastAsia="Calibri" w:hAnsi="David"/>
          <w:rtl/>
        </w:rPr>
        <w:t xml:space="preserve"> הרי שכפי העולה מתסקיר שירות המבחן ומטיעוני ההגנה לעונש, הנאשם לא כיחד כי החזיק את הסם מסוג קנבוס לשימושו העצמי וכי החזקת הסם נועדה לצורך הקלת מכאוביו בשל הבעיות הרפואיות עמן הוא מתמודד ושבגינן אף עבר כמה ניתוחים. באשר להחזקת הסם מסוג </w:t>
      </w:r>
      <w:r w:rsidRPr="00C75721">
        <w:rPr>
          <w:rFonts w:ascii="David" w:eastAsia="Calibri" w:hAnsi="David"/>
        </w:rPr>
        <w:t>MDMA</w:t>
      </w:r>
      <w:r w:rsidRPr="00C75721">
        <w:rPr>
          <w:rFonts w:ascii="David" w:eastAsia="Calibri" w:hAnsi="David"/>
          <w:rtl/>
        </w:rPr>
        <w:t xml:space="preserve">, ציין הלה, כי הסם לא נועד לשימושו העצמי אלא הוא התבקש להביאו למסיבה של מכרה. </w:t>
      </w:r>
      <w:r w:rsidRPr="00C75721">
        <w:rPr>
          <w:rFonts w:ascii="David" w:hAnsi="David"/>
          <w:rtl/>
        </w:rPr>
        <w:t xml:space="preserve">ועדיין, </w:t>
      </w:r>
      <w:r w:rsidRPr="00C75721">
        <w:rPr>
          <w:rFonts w:ascii="David" w:eastAsia="Calibri" w:hAnsi="David"/>
          <w:rtl/>
        </w:rPr>
        <w:t xml:space="preserve">אין בכל אלה כדי להצדיק במאומה את ביצוע העבירה שנעברה על ידו שאין להקל ראש בחומרתה. מנגד ולקולה, מצאתי להתחשב בכך שמדובר באירוע חד פעמי ובודד שאינו מלמד על דפוס פעולה עברייני כרוני, קבוע ומתמשך. </w:t>
      </w:r>
    </w:p>
    <w:p w14:paraId="34C53F96" w14:textId="77777777" w:rsidR="00EE6650" w:rsidRPr="00C75721" w:rsidRDefault="00EE6650" w:rsidP="00EE6650">
      <w:pPr>
        <w:numPr>
          <w:ilvl w:val="0"/>
          <w:numId w:val="2"/>
        </w:numPr>
        <w:spacing w:line="360" w:lineRule="auto"/>
        <w:ind w:left="-58"/>
        <w:jc w:val="both"/>
        <w:rPr>
          <w:rFonts w:ascii="David" w:eastAsia="Calibri" w:hAnsi="David"/>
        </w:rPr>
      </w:pPr>
      <w:r w:rsidRPr="00C75721">
        <w:rPr>
          <w:rFonts w:ascii="David" w:eastAsia="Calibri" w:hAnsi="David"/>
          <w:rtl/>
        </w:rPr>
        <w:t xml:space="preserve">כאן יוער, כי כמות הסם אותה החזיק הנאשם במקרה הנדון, מהווה חזקה לכך שהסמים לא הוחזקו לצריכתו העצמית גרידא. מה עוד, שחיזוק לכך ניתן למצוא בכך שהנאשם הודה בעבירה של החזקת סם </w:t>
      </w:r>
      <w:r w:rsidRPr="00C75721">
        <w:rPr>
          <w:rFonts w:ascii="David" w:eastAsia="Calibri" w:hAnsi="David"/>
          <w:b/>
          <w:bCs/>
          <w:rtl/>
        </w:rPr>
        <w:t xml:space="preserve">שלא </w:t>
      </w:r>
      <w:r w:rsidRPr="00C75721">
        <w:rPr>
          <w:rFonts w:ascii="David" w:eastAsia="Calibri" w:hAnsi="David"/>
          <w:rtl/>
        </w:rPr>
        <w:t>לצריכה עצמית. ואולם, ועל אף שהמחוקק קבע כי בכמות זו שהחזיק הנאשם יש לראות כהחזקה שלא לצריכה עצמית אזי, אין הדבר מצביע בהכרח כי המדובר בהחזקה שמטרתה הייתה להפיץ את הסם. וכך נוסח העניין בקפידה ב</w:t>
      </w:r>
      <w:hyperlink r:id="rId23" w:history="1">
        <w:r w:rsidR="001D0521" w:rsidRPr="001D0521">
          <w:rPr>
            <w:rFonts w:ascii="David" w:hAnsi="David"/>
            <w:color w:val="0000FF"/>
            <w:u w:val="single"/>
            <w:rtl/>
          </w:rPr>
          <w:t>ת"פ (שלום י-ם) 7414-01-15</w:t>
        </w:r>
      </w:hyperlink>
      <w:r w:rsidRPr="00C75721">
        <w:rPr>
          <w:rFonts w:ascii="David" w:hAnsi="David"/>
          <w:rtl/>
        </w:rPr>
        <w:t xml:space="preserve"> </w:t>
      </w:r>
      <w:r w:rsidRPr="00C75721">
        <w:rPr>
          <w:rFonts w:ascii="David" w:hAnsi="David"/>
          <w:b/>
          <w:bCs/>
          <w:rtl/>
        </w:rPr>
        <w:t>מדינת ישראל נ' ניסים שגב</w:t>
      </w:r>
      <w:r w:rsidRPr="00C75721">
        <w:rPr>
          <w:rFonts w:ascii="David" w:hAnsi="David"/>
          <w:rtl/>
        </w:rPr>
        <w:t xml:space="preserve"> [פורסם בנבו] (26.02.2017): </w:t>
      </w:r>
      <w:r w:rsidRPr="00C75721">
        <w:rPr>
          <w:rFonts w:ascii="David" w:eastAsia="Calibri" w:hAnsi="David"/>
          <w:rtl/>
        </w:rPr>
        <w:t xml:space="preserve">".... </w:t>
      </w:r>
      <w:r w:rsidRPr="00C75721">
        <w:rPr>
          <w:rFonts w:ascii="David" w:eastAsia="Calibri" w:hAnsi="David"/>
          <w:b/>
          <w:bCs/>
          <w:rtl/>
        </w:rPr>
        <w:t>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r w:rsidRPr="00C75721">
        <w:rPr>
          <w:rFonts w:ascii="David" w:eastAsia="Calibri" w:hAnsi="David"/>
          <w:rtl/>
        </w:rPr>
        <w:t>".</w:t>
      </w:r>
    </w:p>
    <w:p w14:paraId="0E252A26" w14:textId="77777777" w:rsidR="00EE6650" w:rsidRPr="00C75721" w:rsidRDefault="00EE6650" w:rsidP="00EE6650">
      <w:pPr>
        <w:numPr>
          <w:ilvl w:val="0"/>
          <w:numId w:val="2"/>
        </w:numPr>
        <w:spacing w:line="360" w:lineRule="auto"/>
        <w:ind w:left="-58"/>
        <w:contextualSpacing/>
        <w:jc w:val="both"/>
        <w:rPr>
          <w:rFonts w:ascii="David" w:eastAsia="Calibri" w:hAnsi="David"/>
        </w:rPr>
      </w:pPr>
      <w:r w:rsidRPr="00C75721">
        <w:rPr>
          <w:rFonts w:ascii="David" w:eastAsia="Calibri" w:hAnsi="David"/>
          <w:rtl/>
        </w:rPr>
        <w:t xml:space="preserve">בסיכומה של נקודה זה ייאמר, כי אין לו לדיין אלא מה שעיניו רואות </w:t>
      </w:r>
      <w:r w:rsidRPr="00C75721">
        <w:rPr>
          <w:rFonts w:ascii="David" w:eastAsia="Calibri" w:hAnsi="David"/>
          <w:b/>
          <w:bCs/>
          <w:rtl/>
        </w:rPr>
        <w:t xml:space="preserve">– </w:t>
      </w:r>
      <w:r w:rsidRPr="00C75721">
        <w:rPr>
          <w:rFonts w:ascii="David" w:eastAsia="Calibri" w:hAnsi="David"/>
          <w:rtl/>
        </w:rPr>
        <w:t xml:space="preserve">ומבלי להתעלם מהחזקה החוקית ומרמת האשמה ה'רישמית' שהיא יוצרת, הרי שיש להניח לטובתו של הנאשם כי רמת האשמה המוטלת לפתחו היא נמוכה, עת לא הוכח לפניי כי הלה החזיק את הסם במטרה להפיצו או לסחור בו. </w:t>
      </w:r>
    </w:p>
    <w:p w14:paraId="42CEA050" w14:textId="77777777" w:rsidR="00EE6650" w:rsidRPr="00C75721" w:rsidRDefault="00EE6650" w:rsidP="00EE6650">
      <w:pPr>
        <w:numPr>
          <w:ilvl w:val="0"/>
          <w:numId w:val="2"/>
        </w:numPr>
        <w:spacing w:line="360" w:lineRule="auto"/>
        <w:ind w:left="-58"/>
        <w:contextualSpacing/>
        <w:jc w:val="both"/>
        <w:rPr>
          <w:rFonts w:ascii="David" w:eastAsia="Calibri" w:hAnsi="David"/>
        </w:rPr>
      </w:pPr>
      <w:r w:rsidRPr="00C75721">
        <w:rPr>
          <w:rFonts w:ascii="David" w:eastAsia="Calibri" w:hAnsi="David"/>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0BE8F2DC" w14:textId="77777777" w:rsidR="00EE6650" w:rsidRPr="00C75721" w:rsidRDefault="00EE6650" w:rsidP="00EE6650">
      <w:pPr>
        <w:numPr>
          <w:ilvl w:val="0"/>
          <w:numId w:val="2"/>
        </w:numPr>
        <w:spacing w:line="360" w:lineRule="auto"/>
        <w:ind w:left="-58" w:hanging="425"/>
        <w:contextualSpacing/>
        <w:jc w:val="both"/>
        <w:rPr>
          <w:rFonts w:ascii="David" w:eastAsia="Calibri" w:hAnsi="David"/>
        </w:rPr>
      </w:pPr>
      <w:r w:rsidRPr="00C75721">
        <w:rPr>
          <w:rFonts w:ascii="David" w:eastAsia="Calibri" w:hAnsi="David"/>
          <w:rtl/>
        </w:rPr>
        <w:t xml:space="preserve">אשר </w:t>
      </w:r>
      <w:r w:rsidRPr="00C75721">
        <w:rPr>
          <w:rFonts w:ascii="David" w:eastAsia="Calibri" w:hAnsi="David"/>
          <w:b/>
          <w:bCs/>
          <w:rtl/>
        </w:rPr>
        <w:t>למדיניות הענישה הנוהגת</w:t>
      </w:r>
      <w:r w:rsidRPr="00C75721">
        <w:rPr>
          <w:rFonts w:ascii="David" w:eastAsia="Calibri" w:hAnsi="David"/>
          <w:rtl/>
        </w:rPr>
        <w:t xml:space="preserve">, סקירת הפסיקה מלמדת כי בעבירה של החזקת סם הקנבוס (או החשיש) או החזקת סם מסוג </w:t>
      </w:r>
      <w:r w:rsidRPr="00C75721">
        <w:rPr>
          <w:rFonts w:ascii="David" w:eastAsia="Calibri" w:hAnsi="David"/>
        </w:rPr>
        <w:t>MDMA</w:t>
      </w:r>
      <w:r w:rsidRPr="00C75721">
        <w:rPr>
          <w:rFonts w:ascii="David" w:eastAsia="Calibri" w:hAnsi="David"/>
          <w:rtl/>
        </w:rPr>
        <w:t xml:space="preserve"> שלא לצריכה עצמית, קיים מנעד רחב של עונשים, הכול בהתאם לכמות הסם ונסיבות החזקתו, ואולם, </w:t>
      </w:r>
      <w:r w:rsidRPr="00C75721">
        <w:rPr>
          <w:rFonts w:ascii="David" w:eastAsia="Calibri" w:hAnsi="David"/>
          <w:b/>
          <w:bCs/>
          <w:rtl/>
        </w:rPr>
        <w:t>בדרך כלל,</w:t>
      </w:r>
      <w:r w:rsidRPr="00C75721">
        <w:rPr>
          <w:rFonts w:ascii="David" w:eastAsia="Calibri" w:hAnsi="David"/>
          <w:rtl/>
        </w:rPr>
        <w:t xml:space="preserve"> </w:t>
      </w:r>
      <w:r w:rsidRPr="00C75721">
        <w:rPr>
          <w:rFonts w:ascii="David" w:eastAsia="Calibri" w:hAnsi="David"/>
          <w:b/>
          <w:bCs/>
          <w:rtl/>
        </w:rPr>
        <w:t xml:space="preserve">העונש הדומיננטי הוא, עונש הנע בין כמה חודשים מאסר שיכול להיות מרוצה בעבודות שירות ועד לתקופה ארוכה יותר המרוצה מאחורי סורג ובריח </w:t>
      </w:r>
      <w:r w:rsidRPr="00C75721">
        <w:rPr>
          <w:rFonts w:ascii="David" w:eastAsia="Calibri" w:hAnsi="David"/>
          <w:rtl/>
        </w:rPr>
        <w:t>(ראו למשל,</w:t>
      </w:r>
      <w:r w:rsidRPr="00C75721">
        <w:rPr>
          <w:rFonts w:ascii="David" w:eastAsia="Calibri" w:hAnsi="David"/>
          <w:shd w:val="clear" w:color="auto" w:fill="FAFAFA"/>
          <w:rtl/>
        </w:rPr>
        <w:t xml:space="preserve"> </w:t>
      </w:r>
      <w:hyperlink r:id="rId24" w:history="1">
        <w:r w:rsidR="001D0521" w:rsidRPr="001D0521">
          <w:rPr>
            <w:rFonts w:ascii="David" w:eastAsia="Calibri" w:hAnsi="David"/>
            <w:color w:val="0000FF"/>
            <w:u w:val="single"/>
            <w:rtl/>
          </w:rPr>
          <w:t>רע"פ 322/15</w:t>
        </w:r>
      </w:hyperlink>
      <w:r w:rsidRPr="00C75721">
        <w:rPr>
          <w:rFonts w:ascii="David" w:eastAsia="Calibri" w:hAnsi="David"/>
          <w:u w:val="single"/>
          <w:rtl/>
        </w:rPr>
        <w:t xml:space="preserve"> </w:t>
      </w:r>
      <w:r w:rsidRPr="00C75721">
        <w:rPr>
          <w:rFonts w:ascii="David" w:eastAsia="Calibri" w:hAnsi="David"/>
          <w:b/>
          <w:bCs/>
          <w:rtl/>
        </w:rPr>
        <w:t>ג'אנח נ' מדינת ישראל</w:t>
      </w:r>
      <w:r w:rsidRPr="00C75721">
        <w:rPr>
          <w:rFonts w:ascii="David" w:eastAsia="Calibri" w:hAnsi="David"/>
          <w:rtl/>
        </w:rPr>
        <w:t xml:space="preserve"> [פורסם בנבו] (22.01.2015); </w:t>
      </w:r>
      <w:r w:rsidRPr="00C75721">
        <w:rPr>
          <w:rFonts w:ascii="David" w:eastAsia="Calibri" w:hAnsi="David"/>
          <w:u w:val="single"/>
          <w:shd w:val="clear" w:color="auto" w:fill="FAFAFA"/>
          <w:rtl/>
        </w:rPr>
        <w:t xml:space="preserve"> </w:t>
      </w:r>
      <w:hyperlink r:id="rId25" w:history="1">
        <w:r w:rsidR="001D0521" w:rsidRPr="001D0521">
          <w:rPr>
            <w:rFonts w:ascii="David" w:eastAsia="Calibri" w:hAnsi="David"/>
            <w:color w:val="0000FF"/>
            <w:u w:val="single"/>
            <w:rtl/>
          </w:rPr>
          <w:t>ת"פ (ב"ש) 14656-12-20</w:t>
        </w:r>
      </w:hyperlink>
      <w:r w:rsidRPr="00C75721">
        <w:rPr>
          <w:rFonts w:ascii="David" w:eastAsia="Calibri" w:hAnsi="David"/>
          <w:rtl/>
        </w:rPr>
        <w:t xml:space="preserve"> </w:t>
      </w:r>
      <w:r w:rsidRPr="00C75721">
        <w:rPr>
          <w:rFonts w:ascii="David" w:eastAsia="Calibri" w:hAnsi="David"/>
          <w:b/>
          <w:bCs/>
          <w:rtl/>
        </w:rPr>
        <w:t>מדינת ישראל נ' פאדי</w:t>
      </w:r>
      <w:r w:rsidRPr="00C75721">
        <w:rPr>
          <w:rFonts w:ascii="David" w:eastAsia="Calibri" w:hAnsi="David"/>
          <w:rtl/>
        </w:rPr>
        <w:t xml:space="preserve"> [פורסם בנבו] (10.3.2021); </w:t>
      </w:r>
      <w:r w:rsidR="001D0521">
        <w:rPr>
          <w:rFonts w:ascii="David" w:eastAsia="Calibri" w:hAnsi="David"/>
          <w:rtl/>
        </w:rPr>
        <w:t xml:space="preserve"> </w:t>
      </w:r>
      <w:hyperlink r:id="rId26" w:history="1">
        <w:r w:rsidR="001D0521" w:rsidRPr="001D0521">
          <w:rPr>
            <w:rFonts w:ascii="David" w:eastAsia="Calibri" w:hAnsi="David"/>
            <w:color w:val="0000FF"/>
            <w:u w:val="single"/>
            <w:rtl/>
          </w:rPr>
          <w:t>ת"פ (ת"א) 55701-01-16</w:t>
        </w:r>
      </w:hyperlink>
      <w:r w:rsidRPr="00C75721">
        <w:rPr>
          <w:rFonts w:ascii="David" w:eastAsia="Calibri" w:hAnsi="David"/>
          <w:rtl/>
        </w:rPr>
        <w:t xml:space="preserve"> </w:t>
      </w:r>
      <w:r w:rsidRPr="00C75721">
        <w:rPr>
          <w:rFonts w:ascii="David" w:eastAsia="Calibri" w:hAnsi="David"/>
          <w:b/>
          <w:bCs/>
          <w:rtl/>
        </w:rPr>
        <w:t xml:space="preserve">מדינת ישראל נ' אבו רחימה </w:t>
      </w:r>
      <w:r w:rsidRPr="00C75721">
        <w:rPr>
          <w:rFonts w:ascii="David" w:eastAsia="Calibri" w:hAnsi="David"/>
          <w:rtl/>
        </w:rPr>
        <w:t xml:space="preserve">[פורסם בנבו] (13.06.2017); </w:t>
      </w:r>
      <w:hyperlink r:id="rId27" w:history="1">
        <w:r w:rsidR="001D0521" w:rsidRPr="001D0521">
          <w:rPr>
            <w:rFonts w:ascii="David" w:eastAsia="Calibri" w:hAnsi="David"/>
            <w:color w:val="0000FF"/>
            <w:u w:val="single"/>
            <w:rtl/>
          </w:rPr>
          <w:t>ת"פ (ק"ג) 15091-06-21</w:t>
        </w:r>
      </w:hyperlink>
      <w:r w:rsidRPr="00C75721">
        <w:rPr>
          <w:rFonts w:ascii="David" w:eastAsia="Calibri" w:hAnsi="David"/>
          <w:rtl/>
        </w:rPr>
        <w:t xml:space="preserve">  </w:t>
      </w:r>
      <w:r w:rsidRPr="00C75721">
        <w:rPr>
          <w:rFonts w:ascii="David" w:eastAsia="Calibri" w:hAnsi="David"/>
          <w:b/>
          <w:bCs/>
          <w:rtl/>
        </w:rPr>
        <w:t>מדינת ישראל נ' אידו</w:t>
      </w:r>
      <w:r w:rsidRPr="00C75721">
        <w:rPr>
          <w:rFonts w:ascii="David" w:eastAsia="Calibri" w:hAnsi="David"/>
          <w:rtl/>
        </w:rPr>
        <w:t xml:space="preserve"> [פורסם בנבו] (</w:t>
      </w:r>
      <w:r w:rsidRPr="00C75721">
        <w:rPr>
          <w:rFonts w:ascii="David" w:eastAsia="Calibri" w:hAnsi="David"/>
        </w:rPr>
        <w:t>11.04.2022</w:t>
      </w:r>
      <w:r w:rsidRPr="00C75721">
        <w:rPr>
          <w:rFonts w:ascii="David" w:eastAsia="Calibri" w:hAnsi="David"/>
          <w:rtl/>
        </w:rPr>
        <w:t xml:space="preserve">); </w:t>
      </w:r>
      <w:hyperlink r:id="rId28" w:history="1">
        <w:r w:rsidR="001D0521" w:rsidRPr="001D0521">
          <w:rPr>
            <w:rFonts w:ascii="David" w:eastAsia="Calibri" w:hAnsi="David"/>
            <w:color w:val="0000FF"/>
            <w:u w:val="single"/>
            <w:rtl/>
          </w:rPr>
          <w:t>ת"פ (ק"ג) 19830-10-20</w:t>
        </w:r>
      </w:hyperlink>
      <w:r w:rsidRPr="00C75721">
        <w:rPr>
          <w:rFonts w:ascii="David" w:eastAsia="Calibri" w:hAnsi="David"/>
          <w:rtl/>
        </w:rPr>
        <w:t xml:space="preserve"> </w:t>
      </w:r>
      <w:r w:rsidRPr="00C75721">
        <w:rPr>
          <w:rFonts w:ascii="David" w:eastAsia="Calibri" w:hAnsi="David"/>
          <w:b/>
          <w:bCs/>
          <w:rtl/>
        </w:rPr>
        <w:t>מדינת ישראל נ' עזריה</w:t>
      </w:r>
      <w:r w:rsidRPr="00C75721">
        <w:rPr>
          <w:rFonts w:ascii="David" w:eastAsia="Calibri" w:hAnsi="David"/>
          <w:rtl/>
        </w:rPr>
        <w:t xml:space="preserve"> [פורסם בנבו] (14.12.2022)</w:t>
      </w:r>
      <w:r w:rsidRPr="00C75721">
        <w:rPr>
          <w:rFonts w:ascii="David" w:eastAsia="Calibri" w:hAnsi="David"/>
          <w:u w:val="single"/>
          <w:rtl/>
        </w:rPr>
        <w:t xml:space="preserve">; </w:t>
      </w:r>
      <w:hyperlink r:id="rId29" w:history="1">
        <w:r w:rsidR="001D0521" w:rsidRPr="001D0521">
          <w:rPr>
            <w:rFonts w:ascii="David" w:eastAsia="Calibri" w:hAnsi="David"/>
            <w:color w:val="0000FF"/>
            <w:u w:val="single"/>
            <w:rtl/>
          </w:rPr>
          <w:t>ת"פ (פ"ת) 11125-03-16</w:t>
        </w:r>
      </w:hyperlink>
      <w:r w:rsidRPr="00C75721">
        <w:rPr>
          <w:rFonts w:ascii="David" w:eastAsia="Calibri" w:hAnsi="David"/>
          <w:rtl/>
        </w:rPr>
        <w:t xml:space="preserve"> </w:t>
      </w:r>
      <w:r w:rsidRPr="00C75721">
        <w:rPr>
          <w:rFonts w:ascii="David" w:eastAsia="Calibri" w:hAnsi="David"/>
          <w:b/>
          <w:bCs/>
          <w:rtl/>
        </w:rPr>
        <w:t xml:space="preserve">מדינת ישראל נ' חרזי </w:t>
      </w:r>
      <w:r w:rsidRPr="00C75721">
        <w:rPr>
          <w:rFonts w:ascii="David" w:eastAsia="Calibri" w:hAnsi="David"/>
          <w:rtl/>
        </w:rPr>
        <w:t xml:space="preserve">(28.6.2017); </w:t>
      </w:r>
      <w:r w:rsidR="001D0521">
        <w:rPr>
          <w:rFonts w:ascii="David" w:eastAsia="Calibri" w:hAnsi="David"/>
        </w:rPr>
        <w:t xml:space="preserve"> </w:t>
      </w:r>
      <w:hyperlink r:id="rId30" w:history="1">
        <w:r w:rsidR="001D0521" w:rsidRPr="001D0521">
          <w:rPr>
            <w:rFonts w:ascii="David" w:eastAsia="Calibri" w:hAnsi="David"/>
            <w:color w:val="0000FF"/>
            <w:u w:val="single"/>
            <w:rtl/>
          </w:rPr>
          <w:t>ת"פ (ק"ג) 46422-05-21</w:t>
        </w:r>
      </w:hyperlink>
      <w:r w:rsidR="001D0521">
        <w:rPr>
          <w:rFonts w:ascii="David" w:eastAsia="Calibri" w:hAnsi="David"/>
          <w:u w:val="single"/>
          <w:rtl/>
        </w:rPr>
        <w:t xml:space="preserve"> </w:t>
      </w:r>
      <w:r w:rsidRPr="00C75721">
        <w:rPr>
          <w:rFonts w:ascii="David" w:eastAsia="Calibri" w:hAnsi="David"/>
          <w:b/>
          <w:bCs/>
          <w:rtl/>
        </w:rPr>
        <w:t>מדינת ישראל</w:t>
      </w:r>
      <w:r w:rsidR="001D0521">
        <w:rPr>
          <w:rFonts w:ascii="David" w:eastAsia="Calibri" w:hAnsi="David"/>
          <w:b/>
          <w:bCs/>
          <w:rtl/>
        </w:rPr>
        <w:t xml:space="preserve"> </w:t>
      </w:r>
      <w:r w:rsidRPr="00C75721">
        <w:rPr>
          <w:rFonts w:ascii="David" w:eastAsia="Calibri" w:hAnsi="David"/>
          <w:b/>
          <w:bCs/>
          <w:rtl/>
        </w:rPr>
        <w:t>נ' משורי</w:t>
      </w:r>
      <w:r w:rsidRPr="00C75721">
        <w:rPr>
          <w:rFonts w:ascii="David" w:eastAsia="Calibri" w:hAnsi="David"/>
          <w:rtl/>
        </w:rPr>
        <w:t xml:space="preserve"> [פורסם בנבו] (28.12.2022); </w:t>
      </w:r>
      <w:hyperlink r:id="rId31" w:history="1">
        <w:r w:rsidR="001D0521" w:rsidRPr="001D0521">
          <w:rPr>
            <w:rFonts w:ascii="David" w:eastAsia="Calibri" w:hAnsi="David"/>
            <w:color w:val="0000FF"/>
            <w:u w:val="single"/>
            <w:rtl/>
          </w:rPr>
          <w:t>ת"פ (רח') 34771-07-20</w:t>
        </w:r>
      </w:hyperlink>
      <w:r w:rsidR="001D0521">
        <w:rPr>
          <w:rFonts w:ascii="David" w:eastAsia="Calibri" w:hAnsi="David"/>
          <w:rtl/>
        </w:rPr>
        <w:t xml:space="preserve"> </w:t>
      </w:r>
      <w:r w:rsidRPr="00C75721">
        <w:rPr>
          <w:rFonts w:ascii="David" w:eastAsia="Calibri" w:hAnsi="David"/>
          <w:rtl/>
        </w:rPr>
        <w:t xml:space="preserve"> </w:t>
      </w:r>
      <w:r w:rsidRPr="00C75721">
        <w:rPr>
          <w:rFonts w:ascii="David" w:eastAsia="Calibri" w:hAnsi="David"/>
          <w:b/>
          <w:bCs/>
          <w:rtl/>
        </w:rPr>
        <w:t xml:space="preserve">מדינת ישראל נ' נוי </w:t>
      </w:r>
      <w:r w:rsidRPr="00C75721">
        <w:rPr>
          <w:rFonts w:ascii="David" w:eastAsia="Calibri" w:hAnsi="David"/>
          <w:rtl/>
        </w:rPr>
        <w:t>[פורסם בנבו] (30.05.2021);</w:t>
      </w:r>
      <w:r w:rsidRPr="00C75721">
        <w:rPr>
          <w:rFonts w:ascii="David" w:hAnsi="David"/>
          <w:rtl/>
        </w:rPr>
        <w:t xml:space="preserve"> </w:t>
      </w:r>
      <w:hyperlink r:id="rId32" w:history="1">
        <w:r w:rsidR="001D0521" w:rsidRPr="001D0521">
          <w:rPr>
            <w:rFonts w:ascii="David" w:eastAsia="Calibri" w:hAnsi="David"/>
            <w:color w:val="0000FF"/>
            <w:u w:val="single"/>
            <w:rtl/>
          </w:rPr>
          <w:t>ת"פ (קר') 64995-06-19</w:t>
        </w:r>
      </w:hyperlink>
      <w:r w:rsidR="001D0521">
        <w:rPr>
          <w:rFonts w:ascii="David" w:eastAsia="Calibri" w:hAnsi="David"/>
        </w:rPr>
        <w:t xml:space="preserve"> </w:t>
      </w:r>
      <w:r w:rsidRPr="00C75721">
        <w:rPr>
          <w:rFonts w:ascii="David" w:eastAsia="Calibri" w:hAnsi="David"/>
          <w:b/>
          <w:bCs/>
          <w:rtl/>
        </w:rPr>
        <w:t>מדינת ישראל נ' דראגמה</w:t>
      </w:r>
      <w:r w:rsidRPr="00C75721">
        <w:rPr>
          <w:rFonts w:ascii="David" w:eastAsia="Calibri" w:hAnsi="David"/>
          <w:rtl/>
        </w:rPr>
        <w:t xml:space="preserve"> [פורסם בנבו] (24.08.2020); </w:t>
      </w:r>
      <w:hyperlink r:id="rId33" w:history="1">
        <w:r w:rsidR="001D0521" w:rsidRPr="001D0521">
          <w:rPr>
            <w:rFonts w:ascii="David" w:eastAsia="Calibri" w:hAnsi="David"/>
            <w:b/>
            <w:color w:val="0000FF"/>
            <w:u w:val="single"/>
            <w:rtl/>
          </w:rPr>
          <w:t>ת"פ (ב"ש) 68386-11-20</w:t>
        </w:r>
      </w:hyperlink>
      <w:r w:rsidR="001D0521">
        <w:rPr>
          <w:rFonts w:ascii="David" w:eastAsia="Calibri" w:hAnsi="David"/>
          <w:b/>
          <w:u w:val="single"/>
          <w:rtl/>
        </w:rPr>
        <w:t xml:space="preserve"> </w:t>
      </w:r>
      <w:r w:rsidRPr="00C75721">
        <w:rPr>
          <w:rFonts w:ascii="David" w:eastAsia="Calibri" w:hAnsi="David"/>
          <w:b/>
          <w:u w:val="single"/>
          <w:rtl/>
        </w:rPr>
        <w:t xml:space="preserve"> </w:t>
      </w:r>
      <w:r w:rsidRPr="00C75721">
        <w:rPr>
          <w:rFonts w:ascii="David" w:eastAsia="Calibri" w:hAnsi="David"/>
          <w:bCs/>
          <w:rtl/>
        </w:rPr>
        <w:t>מדינת ישראל נ' אוואסקר</w:t>
      </w:r>
      <w:r w:rsidRPr="00C75721">
        <w:rPr>
          <w:rFonts w:ascii="David" w:eastAsia="Calibri" w:hAnsi="David"/>
          <w:b/>
        </w:rPr>
        <w:t xml:space="preserve"> </w:t>
      </w:r>
      <w:r w:rsidRPr="00C75721">
        <w:rPr>
          <w:rFonts w:ascii="David" w:eastAsia="Calibri" w:hAnsi="David"/>
          <w:rtl/>
        </w:rPr>
        <w:t>[פורסם בנבו] (19.09.2022);</w:t>
      </w:r>
      <w:r w:rsidRPr="00C75721">
        <w:rPr>
          <w:rFonts w:ascii="David" w:hAnsi="David"/>
          <w:b/>
          <w:rtl/>
        </w:rPr>
        <w:t xml:space="preserve"> </w:t>
      </w:r>
      <w:r w:rsidRPr="00C75721">
        <w:rPr>
          <w:rFonts w:ascii="David" w:hAnsi="David"/>
          <w:b/>
          <w:u w:val="single"/>
          <w:rtl/>
        </w:rPr>
        <w:t>ו</w:t>
      </w:r>
      <w:hyperlink r:id="rId34" w:history="1">
        <w:r w:rsidR="001D0521" w:rsidRPr="001D0521">
          <w:rPr>
            <w:rFonts w:ascii="David" w:eastAsia="Calibri" w:hAnsi="David"/>
            <w:b/>
            <w:color w:val="0000FF"/>
            <w:u w:val="single"/>
            <w:rtl/>
          </w:rPr>
          <w:t>ת"פ (ב"ש) 21530-01-20</w:t>
        </w:r>
      </w:hyperlink>
      <w:r w:rsidR="001D0521">
        <w:rPr>
          <w:rFonts w:ascii="David" w:eastAsia="Calibri" w:hAnsi="David"/>
          <w:b/>
          <w:u w:val="single"/>
          <w:rtl/>
        </w:rPr>
        <w:t xml:space="preserve"> </w:t>
      </w:r>
      <w:r w:rsidRPr="00C75721">
        <w:rPr>
          <w:rFonts w:ascii="David" w:eastAsia="Calibri" w:hAnsi="David"/>
          <w:b/>
          <w:rtl/>
        </w:rPr>
        <w:t xml:space="preserve"> </w:t>
      </w:r>
      <w:r w:rsidRPr="00C75721">
        <w:rPr>
          <w:rFonts w:ascii="David" w:eastAsia="Calibri" w:hAnsi="David"/>
          <w:bCs/>
          <w:rtl/>
        </w:rPr>
        <w:t xml:space="preserve">מדינת ישראל נ' אדריאן </w:t>
      </w:r>
      <w:r w:rsidRPr="00C75721">
        <w:rPr>
          <w:rFonts w:ascii="David" w:eastAsia="Calibri" w:hAnsi="David"/>
          <w:rtl/>
        </w:rPr>
        <w:t>[פורסם בנבו] (07.02.2023)</w:t>
      </w:r>
      <w:r>
        <w:rPr>
          <w:rFonts w:ascii="David" w:eastAsia="Calibri" w:hAnsi="David" w:hint="cs"/>
          <w:rtl/>
        </w:rPr>
        <w:t xml:space="preserve"> )</w:t>
      </w:r>
      <w:r w:rsidRPr="00C75721">
        <w:rPr>
          <w:rFonts w:ascii="David" w:eastAsia="Calibri" w:hAnsi="David"/>
          <w:rtl/>
        </w:rPr>
        <w:t>.</w:t>
      </w:r>
    </w:p>
    <w:p w14:paraId="02B99494" w14:textId="77777777" w:rsidR="00EE6650" w:rsidRPr="00C75721" w:rsidRDefault="00EE6650" w:rsidP="00EE6650">
      <w:pPr>
        <w:numPr>
          <w:ilvl w:val="0"/>
          <w:numId w:val="2"/>
        </w:numPr>
        <w:spacing w:line="360" w:lineRule="auto"/>
        <w:ind w:left="-58" w:hanging="425"/>
        <w:contextualSpacing/>
        <w:jc w:val="both"/>
        <w:rPr>
          <w:rFonts w:ascii="David" w:eastAsia="Calibri" w:hAnsi="David"/>
        </w:rPr>
      </w:pPr>
      <w:r w:rsidRPr="00C75721">
        <w:rPr>
          <w:rFonts w:ascii="David" w:eastAsia="Calibri" w:hAnsi="David"/>
          <w:rtl/>
        </w:rPr>
        <w:t xml:space="preserve">כאן אציין, כי אף לא התעלמתי מהפסיקה אליה הפנו הצדדים, אולם הדבר נעשה תוך ביצוע האבחנות המתבקשות. כך </w:t>
      </w:r>
      <w:r w:rsidRPr="00C75721">
        <w:rPr>
          <w:rFonts w:ascii="David" w:eastAsia="Calibri" w:hAnsi="David"/>
          <w:shd w:val="clear" w:color="auto" w:fill="FAFAFA"/>
          <w:rtl/>
        </w:rPr>
        <w:t xml:space="preserve">למשל, </w:t>
      </w:r>
      <w:r w:rsidRPr="00C75721">
        <w:rPr>
          <w:rFonts w:ascii="David" w:eastAsia="Calibri" w:hAnsi="David"/>
          <w:rtl/>
        </w:rPr>
        <w:t xml:space="preserve">ובכל הנוגע לפסיקה שאליה הפנתה המאשימה, הרי </w:t>
      </w:r>
      <w:r w:rsidRPr="00C75721">
        <w:rPr>
          <w:rFonts w:ascii="David" w:eastAsia="Calibri" w:hAnsi="David"/>
          <w:u w:val="single"/>
          <w:rtl/>
        </w:rPr>
        <w:t>שב</w:t>
      </w:r>
      <w:hyperlink r:id="rId35" w:history="1">
        <w:r w:rsidR="001D0521" w:rsidRPr="001D0521">
          <w:rPr>
            <w:rFonts w:ascii="David" w:eastAsia="Calibri" w:hAnsi="David"/>
            <w:color w:val="0000FF"/>
            <w:u w:val="single"/>
            <w:rtl/>
          </w:rPr>
          <w:t>ת"פ (ק"ג) 52161-05-15</w:t>
        </w:r>
      </w:hyperlink>
      <w:r w:rsidRPr="00C75721">
        <w:rPr>
          <w:rFonts w:ascii="David" w:eastAsia="Calibri" w:hAnsi="David"/>
          <w:u w:val="single"/>
          <w:rtl/>
        </w:rPr>
        <w:t xml:space="preserve"> </w:t>
      </w:r>
      <w:r w:rsidRPr="00C75721">
        <w:rPr>
          <w:rFonts w:ascii="David" w:eastAsia="Calibri" w:hAnsi="David"/>
          <w:b/>
          <w:bCs/>
          <w:rtl/>
        </w:rPr>
        <w:t>מדינת ישראל נ' אזולאי</w:t>
      </w:r>
      <w:r w:rsidRPr="00C75721">
        <w:rPr>
          <w:rFonts w:ascii="David" w:eastAsia="Calibri" w:hAnsi="David"/>
          <w:rtl/>
        </w:rPr>
        <w:t xml:space="preserve"> [פורסם בנבו] (11.04.2022), המדובר בנאשם שהורשע בהחזקת 15 יחידות של סם מסוכן מסוג הרואין במשקל כולל של 6.0383 גר' נטו, שלא לצריכתו העצמית לצד החזקת משקל אלקטרוני. באותו מעמד, נמצא כסף מזומן בסך של 1602.6 ₪, 10 יורו ו-23 דולר, ברי, כי המדובר לא רק בסם מסוג שונה, אלא גם בנסיבות ביצוע העבירה שהינן ברף חומרה גבוה מזה שלפניי, כך שיקשה על בית המשפט לגזור מפסיקה זו תובנות לעניינינו. </w:t>
      </w:r>
    </w:p>
    <w:p w14:paraId="24859D27" w14:textId="77777777" w:rsidR="00EE6650" w:rsidRPr="00C75721" w:rsidRDefault="00EE6650" w:rsidP="00EE6650">
      <w:pPr>
        <w:numPr>
          <w:ilvl w:val="0"/>
          <w:numId w:val="2"/>
        </w:numPr>
        <w:spacing w:line="360" w:lineRule="auto"/>
        <w:ind w:left="-58" w:hanging="425"/>
        <w:contextualSpacing/>
        <w:jc w:val="both"/>
        <w:rPr>
          <w:rFonts w:ascii="David" w:eastAsia="Calibri" w:hAnsi="David"/>
        </w:rPr>
      </w:pPr>
      <w:r w:rsidRPr="00C75721">
        <w:rPr>
          <w:rFonts w:ascii="David" w:eastAsia="Calibri" w:hAnsi="David"/>
          <w:rtl/>
        </w:rPr>
        <w:t>כך, ובכל הנוגע לפסיקה שאליה הפנתה ההגנה, הרי ש</w:t>
      </w:r>
      <w:r w:rsidRPr="00C75721">
        <w:rPr>
          <w:rFonts w:ascii="David" w:eastAsia="Calibri" w:hAnsi="David"/>
          <w:u w:val="single"/>
          <w:rtl/>
        </w:rPr>
        <w:t>בת"פ (חי') 32847-08-20</w:t>
      </w:r>
      <w:r w:rsidRPr="00C75721">
        <w:rPr>
          <w:rFonts w:ascii="David" w:eastAsia="Calibri" w:hAnsi="David"/>
          <w:rtl/>
        </w:rPr>
        <w:t xml:space="preserve"> </w:t>
      </w:r>
      <w:r w:rsidRPr="00C75721">
        <w:rPr>
          <w:rFonts w:ascii="David" w:eastAsia="Calibri" w:hAnsi="David"/>
          <w:b/>
          <w:bCs/>
          <w:rtl/>
        </w:rPr>
        <w:t xml:space="preserve">מדינת ישראל נ' הרשקו  </w:t>
      </w:r>
      <w:r w:rsidRPr="00C75721">
        <w:rPr>
          <w:rFonts w:ascii="David" w:eastAsia="Calibri" w:hAnsi="David"/>
          <w:rtl/>
        </w:rPr>
        <w:t xml:space="preserve">[טרם פורסם במאגרים המשפטיים] (11.01.2022), הנאשם הורשע יחד עם אחר בעבירה של גידול, ייצור והכנת סם מסוכן בצוותא. בית המשפט קבע כי המדובר במקרה שבו יש להשוות בין עונשם של שני הנאשמים בשל עיקרון אחידות הענישה וגזר על הנאשם עונש של מאסר מותנה, כפי שנגזר על הנאשם האחר. ברי כי המדובר בעבירה שונה ובנסיבות שונות מאלו שבעניינינו, כך שלא ניתן לגזור תובנות מפסיקה זו למקרה המונח לפתחי; </w:t>
      </w:r>
      <w:r w:rsidRPr="00C75721">
        <w:rPr>
          <w:rFonts w:ascii="David" w:eastAsia="Calibri" w:hAnsi="David"/>
          <w:u w:val="single"/>
          <w:rtl/>
        </w:rPr>
        <w:t>ב</w:t>
      </w:r>
      <w:hyperlink r:id="rId36" w:history="1">
        <w:r w:rsidR="001D0521" w:rsidRPr="001D0521">
          <w:rPr>
            <w:rFonts w:ascii="David" w:eastAsia="Calibri" w:hAnsi="David"/>
            <w:color w:val="0000FF"/>
            <w:u w:val="single"/>
            <w:rtl/>
          </w:rPr>
          <w:t>ת"פ (פ"ת) 45791-02-18</w:t>
        </w:r>
      </w:hyperlink>
      <w:r w:rsidRPr="00C75721">
        <w:rPr>
          <w:rFonts w:ascii="David" w:eastAsia="Calibri" w:hAnsi="David"/>
          <w:rtl/>
        </w:rPr>
        <w:t xml:space="preserve"> </w:t>
      </w:r>
      <w:r w:rsidRPr="00C75721">
        <w:rPr>
          <w:rFonts w:ascii="David" w:eastAsia="Calibri" w:hAnsi="David"/>
          <w:b/>
          <w:bCs/>
          <w:rtl/>
        </w:rPr>
        <w:t>מדינת ישראל נ' דבורינצ'נקו</w:t>
      </w:r>
      <w:r w:rsidRPr="00C75721">
        <w:rPr>
          <w:rFonts w:ascii="David" w:eastAsia="Calibri" w:hAnsi="David"/>
          <w:rtl/>
        </w:rPr>
        <w:t xml:space="preserve"> [טרם פורסם במאגרים המשפטיים] (11.03.2020), הנאשם </w:t>
      </w:r>
      <w:r w:rsidRPr="00C75721">
        <w:rPr>
          <w:rFonts w:ascii="David" w:hAnsi="David"/>
          <w:rtl/>
        </w:rPr>
        <w:t xml:space="preserve">הורשע בעבירה </w:t>
      </w:r>
      <w:r w:rsidRPr="00C75721">
        <w:rPr>
          <w:rFonts w:ascii="David" w:eastAsia="Calibri" w:hAnsi="David"/>
          <w:rtl/>
        </w:rPr>
        <w:t>של גידול, ייצור והכנת סם מסוכן,</w:t>
      </w:r>
      <w:r w:rsidRPr="00C75721">
        <w:rPr>
          <w:rFonts w:ascii="David" w:hAnsi="David"/>
          <w:rtl/>
        </w:rPr>
        <w:t xml:space="preserve"> בכך שגידל במעבדה 8 שתילי קנבוס במשקל של 346 גר' באמצעות ציוד נלווה. </w:t>
      </w:r>
      <w:r w:rsidRPr="00C75721">
        <w:rPr>
          <w:rFonts w:ascii="David" w:eastAsia="Calibri" w:hAnsi="David"/>
          <w:rtl/>
        </w:rPr>
        <w:t xml:space="preserve">בית המשפט </w:t>
      </w:r>
      <w:r w:rsidRPr="00C75721">
        <w:rPr>
          <w:rFonts w:ascii="David" w:hAnsi="David"/>
          <w:noProof/>
          <w:rtl/>
        </w:rPr>
        <w:t>קבע מתחם עונש הולם הנע מכמה חודשים מאסר שיכול שירוצו בעבודות שירות ועד למאסר בפועל ו</w:t>
      </w:r>
      <w:r w:rsidRPr="00C75721">
        <w:rPr>
          <w:rFonts w:ascii="David" w:eastAsia="Calibri" w:hAnsi="David"/>
          <w:rtl/>
        </w:rPr>
        <w:t>החליט באותו מקרה לסטות ממתחם העונש ההולם, בהתחשב</w:t>
      </w:r>
      <w:r w:rsidRPr="00C75721">
        <w:rPr>
          <w:rFonts w:ascii="David" w:hAnsi="David"/>
          <w:rtl/>
        </w:rPr>
        <w:t xml:space="preserve"> בשיקולי שיקום. גם כאן ייאמר כי המדובר בעבירה שונה ובנסיבות שונות מעניינינו כך שיקשה על בית המשפט לגזור אף מפסיקה זו תובנות לעניינינו; </w:t>
      </w:r>
      <w:r w:rsidRPr="00C75721">
        <w:rPr>
          <w:rFonts w:ascii="David" w:eastAsia="Calibri" w:hAnsi="David"/>
          <w:u w:val="single"/>
          <w:rtl/>
        </w:rPr>
        <w:t>ב</w:t>
      </w:r>
      <w:hyperlink r:id="rId37" w:history="1">
        <w:r w:rsidR="001D0521" w:rsidRPr="001D0521">
          <w:rPr>
            <w:rFonts w:ascii="David" w:eastAsia="Calibri" w:hAnsi="David"/>
            <w:color w:val="0000FF"/>
            <w:u w:val="single"/>
            <w:rtl/>
          </w:rPr>
          <w:t>ת"פ (ת"א) 25406-04-19</w:t>
        </w:r>
      </w:hyperlink>
      <w:r w:rsidRPr="00C75721">
        <w:rPr>
          <w:rFonts w:ascii="David" w:eastAsia="Calibri" w:hAnsi="David"/>
          <w:rtl/>
        </w:rPr>
        <w:t xml:space="preserve"> </w:t>
      </w:r>
      <w:r w:rsidRPr="00C75721">
        <w:rPr>
          <w:rFonts w:ascii="David" w:eastAsia="Calibri" w:hAnsi="David"/>
          <w:b/>
          <w:bCs/>
          <w:rtl/>
        </w:rPr>
        <w:t xml:space="preserve">מדינת ישראל נ' יעקב </w:t>
      </w:r>
      <w:r w:rsidRPr="00C75721">
        <w:rPr>
          <w:rFonts w:ascii="David" w:eastAsia="Calibri" w:hAnsi="David"/>
          <w:rtl/>
        </w:rPr>
        <w:t>[טרם פורסם במאגרים המשפטיים] (21.03.2022)</w:t>
      </w:r>
      <w:r w:rsidRPr="00C75721">
        <w:rPr>
          <w:rFonts w:ascii="David" w:hAnsi="David"/>
          <w:noProof/>
          <w:rtl/>
        </w:rPr>
        <w:t xml:space="preserve">, </w:t>
      </w:r>
      <w:r w:rsidRPr="00C75721">
        <w:rPr>
          <w:rFonts w:ascii="David" w:eastAsia="Calibri" w:hAnsi="David"/>
          <w:rtl/>
        </w:rPr>
        <w:t xml:space="preserve">הנאשם הורשע בעבירה של החזקת סם מסוג קנבוס שלא לצריכה עצמית במשקלים לא מבוטלים. מעבר לעובדה כי מדובר בכמויות שונות ובסוג סם שונה (הרי במקרה שלפניי החזיק הנאשם שלא לצריכתו העצמית מעבר לסם הקנבוס גם בסם מסוג </w:t>
      </w:r>
      <w:r w:rsidRPr="00C75721">
        <w:rPr>
          <w:rFonts w:ascii="David" w:eastAsia="Calibri" w:hAnsi="David"/>
        </w:rPr>
        <w:t>MDMA</w:t>
      </w:r>
      <w:r w:rsidRPr="00C75721">
        <w:rPr>
          <w:rFonts w:ascii="David" w:eastAsia="Calibri" w:hAnsi="David"/>
          <w:rtl/>
        </w:rPr>
        <w:t xml:space="preserve">), הרי ששם הגבילה המאשימה את עתירתה העונשית ל -8 חודשים מאסר שיכול שירוצו בעבודות שירות (וזאת בניגוד לעניינינו). עוד יש לציין כי </w:t>
      </w:r>
      <w:r w:rsidRPr="00C75721">
        <w:rPr>
          <w:rFonts w:ascii="David" w:hAnsi="David"/>
          <w:noProof/>
          <w:rtl/>
        </w:rPr>
        <w:t xml:space="preserve">בית המשפט קבע שם כי על מתחם העונש ההולם בגין העבירות שבהן הורשע הנאשם לנוע בין כמה חודשים מאסר שיכול וירוצו בדרך של עבודות שירות ועד ל-12 חודשים מאסר לריצוי בפועל לצד ענישה נלווית (בשונה מהמתחם לו עתרה ההגנה בתיק שלפנינו) וגזר בסופו של יום על הנאשם 90 ימים מאסר לריצוי על דרך של עבודות שירות; </w:t>
      </w:r>
      <w:r w:rsidRPr="00C75721">
        <w:rPr>
          <w:rFonts w:ascii="David" w:eastAsia="Calibri" w:hAnsi="David"/>
          <w:rtl/>
        </w:rPr>
        <w:t>ב</w:t>
      </w:r>
      <w:r w:rsidRPr="00C75721">
        <w:rPr>
          <w:rFonts w:ascii="David" w:eastAsia="Calibri" w:hAnsi="David"/>
          <w:u w:val="single"/>
          <w:rtl/>
        </w:rPr>
        <w:t xml:space="preserve">ת"פ (ק"ג) </w:t>
      </w:r>
      <w:hyperlink r:id="rId38" w:history="1">
        <w:r w:rsidR="005D3F3A" w:rsidRPr="005D3F3A">
          <w:rPr>
            <w:rStyle w:val="Hyperlink"/>
            <w:rFonts w:ascii="David" w:eastAsia="Calibri" w:hAnsi="David"/>
            <w:rtl/>
          </w:rPr>
          <w:t xml:space="preserve">2200-1054-08-21 </w:t>
        </w:r>
      </w:hyperlink>
      <w:r w:rsidRPr="00C75721">
        <w:rPr>
          <w:rFonts w:ascii="David" w:eastAsia="Calibri" w:hAnsi="David"/>
          <w:rtl/>
        </w:rPr>
        <w:t xml:space="preserve"> </w:t>
      </w:r>
      <w:r w:rsidRPr="00C75721">
        <w:rPr>
          <w:rFonts w:ascii="David" w:eastAsia="Calibri" w:hAnsi="David"/>
          <w:b/>
          <w:bCs/>
          <w:rtl/>
        </w:rPr>
        <w:t>מדינת ישראל נ' פוטריצ'נקו</w:t>
      </w:r>
      <w:r w:rsidRPr="00C75721">
        <w:rPr>
          <w:rFonts w:ascii="David" w:eastAsia="Calibri" w:hAnsi="David"/>
          <w:rtl/>
        </w:rPr>
        <w:t xml:space="preserve"> [פורסם בנבו] (20.07.2022), שניתן על ידי מותב זה, הורשע הנאשם בעבירות של החזקת סם לצריכה עצמית והחזקת סם שלא לצריכה עצמית. מעבר לעובדה כי המדובר בצבר עבירות שונה מזה שלפנינו, הרי ששם נקבע מתחם עונש הולם הנע בין כמה חודשים מאסר שיכול וירוצו בעבודות שירות לבין- 8 חודשים מאסר בפועל (גם זאת בשונה מהמתחם לו עתרה ההגנה בתיק שלפנינו). עוד יוער כי במקרה שם, בסופו של יום נגזרו על הנאשם 45 ימים מאסר לריצוי על דרך של עבודות שירות; ב</w:t>
      </w:r>
      <w:hyperlink r:id="rId39" w:history="1">
        <w:r w:rsidR="001D0521" w:rsidRPr="001D0521">
          <w:rPr>
            <w:rFonts w:ascii="David" w:hAnsi="David"/>
            <w:noProof/>
            <w:color w:val="0000FF"/>
            <w:u w:val="single"/>
            <w:rtl/>
          </w:rPr>
          <w:t>ת"פ (ק"ג) 17242-03-22</w:t>
        </w:r>
      </w:hyperlink>
      <w:r w:rsidRPr="00C75721">
        <w:rPr>
          <w:rFonts w:ascii="David" w:hAnsi="David"/>
          <w:noProof/>
          <w:rtl/>
        </w:rPr>
        <w:t xml:space="preserve"> </w:t>
      </w:r>
      <w:r w:rsidRPr="00C75721">
        <w:rPr>
          <w:rFonts w:ascii="David" w:hAnsi="David"/>
          <w:b/>
          <w:bCs/>
          <w:noProof/>
          <w:rtl/>
        </w:rPr>
        <w:t xml:space="preserve">מדינת ישראל נ' אלול </w:t>
      </w:r>
      <w:r w:rsidRPr="00C75721">
        <w:rPr>
          <w:rFonts w:ascii="David" w:hAnsi="David"/>
          <w:noProof/>
          <w:rtl/>
        </w:rPr>
        <w:t xml:space="preserve">[פורסם בנבו] (12.07.2023), שניתן על ידי מותב זה, החזיק הנאשם ב- 340 גר' סם מסוג קנבוס וחשיש שלא לצריכתו העצמית. גם כאן מדובר בצבר עבירות שונה מזה שבענייניו. מעבר לעובדה כי בית המשפט קבע שעל מתחם העונש ההולם לנוע בין מאסר קצר (שניתן לרצותו בעבודות שירות) לבין 12 חודשים מאסר בפועל (בשונה מהמתחם לו עתרה ההגנה), הרי שבסופו של דבר מצא בית המשפט להשית על הנאשם ענישה בדמות מאסר מותנה לצד ענישה בדמות צו של"צ בהיקף של 270 שעות בשל נסיבותיו האישיות הייחודיות </w:t>
      </w:r>
      <w:r w:rsidRPr="00C75721">
        <w:rPr>
          <w:rFonts w:ascii="David" w:eastAsia="Calibri" w:hAnsi="David"/>
          <w:rtl/>
        </w:rPr>
        <w:t>והמלצתו החיובית של שירות המבחן ;</w:t>
      </w:r>
      <w:r w:rsidRPr="00C75721">
        <w:rPr>
          <w:rFonts w:ascii="David" w:eastAsia="Calibri" w:hAnsi="David"/>
          <w:u w:val="single"/>
          <w:rtl/>
        </w:rPr>
        <w:t xml:space="preserve"> ב</w:t>
      </w:r>
      <w:hyperlink r:id="rId40" w:history="1">
        <w:r w:rsidR="001D0521" w:rsidRPr="001D0521">
          <w:rPr>
            <w:rFonts w:ascii="David" w:eastAsia="Calibri" w:hAnsi="David"/>
            <w:color w:val="0000FF"/>
            <w:u w:val="single"/>
            <w:rtl/>
          </w:rPr>
          <w:t>ת"פ (ת"א) 5504-01-22</w:t>
        </w:r>
      </w:hyperlink>
      <w:r w:rsidRPr="00C75721">
        <w:rPr>
          <w:rFonts w:ascii="David" w:eastAsia="Calibri" w:hAnsi="David"/>
          <w:b/>
          <w:bCs/>
          <w:rtl/>
        </w:rPr>
        <w:t xml:space="preserve"> מדינת ישראל נ' דמרי </w:t>
      </w:r>
      <w:r w:rsidRPr="00C75721">
        <w:rPr>
          <w:rFonts w:ascii="David" w:eastAsia="Calibri" w:hAnsi="David"/>
          <w:rtl/>
        </w:rPr>
        <w:t xml:space="preserve">[לא פורסם במאגרים המשפטיים] (21.12.2023), הורשע הנאשם בהחזקת סם מסוג קנבוס במשקל של 466.74 גר' נטו שלא לצריכתו העצמית ובעבירה של החזקת כלים לצריכה עצמית. בית משפט קבע כי על מתחם העונש ההולם לנוע בין מאסר מותנה לבין- 10 חודשים מאסר בפועל, והשית על הנאשם עונש בדמות מאסר מותנה. </w:t>
      </w:r>
      <w:r>
        <w:rPr>
          <w:rFonts w:ascii="David" w:eastAsia="Calibri" w:hAnsi="David" w:hint="cs"/>
          <w:rtl/>
        </w:rPr>
        <w:t xml:space="preserve">גם כאן </w:t>
      </w:r>
      <w:r w:rsidRPr="00C75721">
        <w:rPr>
          <w:rFonts w:ascii="David" w:eastAsia="Calibri" w:hAnsi="David"/>
          <w:rtl/>
        </w:rPr>
        <w:t xml:space="preserve">מדובר בצבר עבירות ובנסיבות שונות מאלו שבעניינינו, כך שלא ניתן לגזור תובנות אף מפסיקה זו למקרה המונח לפתחי; </w:t>
      </w:r>
      <w:r w:rsidRPr="00C75721">
        <w:rPr>
          <w:rFonts w:ascii="David" w:eastAsia="Calibri" w:hAnsi="David"/>
          <w:u w:val="single"/>
          <w:rtl/>
        </w:rPr>
        <w:t>וב</w:t>
      </w:r>
      <w:hyperlink r:id="rId41" w:history="1">
        <w:r w:rsidR="001D0521" w:rsidRPr="001D0521">
          <w:rPr>
            <w:rFonts w:ascii="David" w:eastAsia="Calibri" w:hAnsi="David"/>
            <w:color w:val="0000FF"/>
            <w:u w:val="single"/>
            <w:rtl/>
          </w:rPr>
          <w:t>ת"פ (ת"א) 25947-06-22</w:t>
        </w:r>
      </w:hyperlink>
      <w:r w:rsidRPr="00C75721">
        <w:rPr>
          <w:rFonts w:ascii="David" w:eastAsia="Calibri" w:hAnsi="David"/>
          <w:b/>
          <w:bCs/>
          <w:rtl/>
        </w:rPr>
        <w:t xml:space="preserve"> מדינת ישראל נ' חי </w:t>
      </w:r>
      <w:r w:rsidRPr="00C75721">
        <w:rPr>
          <w:rFonts w:ascii="David" w:eastAsia="Calibri" w:hAnsi="David"/>
          <w:rtl/>
        </w:rPr>
        <w:t>[טרם פורסם במאגרים המשפטיים] (17.12.2023), שם הורשע הנאשם בעבירה של החזקת סם מסוג קנבוס במשקל כולל של 500 גר' שלא לצריכתו העצמית. בית משפט קבע כי על מתחם העונש ההולם לנוע בין מאסר מותנה לבין -10 חודשים מאסר בפועל וגזר על הנאשם מאסר מותנה בשל מצבו הרפואי ונסיבותיו האישיות.</w:t>
      </w:r>
      <w:r w:rsidRPr="00C75721">
        <w:rPr>
          <w:rFonts w:ascii="David" w:hAnsi="David"/>
          <w:rtl/>
        </w:rPr>
        <w:t xml:space="preserve"> </w:t>
      </w:r>
      <w:r>
        <w:rPr>
          <w:rFonts w:ascii="David" w:eastAsia="Calibri" w:hAnsi="David" w:hint="cs"/>
          <w:rtl/>
        </w:rPr>
        <w:t xml:space="preserve">מעבר לעובדה </w:t>
      </w:r>
      <w:r w:rsidRPr="00C75721">
        <w:rPr>
          <w:rFonts w:ascii="David" w:eastAsia="Calibri" w:hAnsi="David"/>
          <w:rtl/>
        </w:rPr>
        <w:t xml:space="preserve">כי המדובר בעבירות שונות מאלו שבעניינינו (שהרי במקרה שלפניי (כזכור) החזיק הנאשם שלא לצריכתו העצמית </w:t>
      </w:r>
      <w:r>
        <w:rPr>
          <w:rFonts w:ascii="David" w:eastAsia="Calibri" w:hAnsi="David" w:hint="cs"/>
          <w:rtl/>
        </w:rPr>
        <w:t>בנוסף</w:t>
      </w:r>
      <w:r w:rsidRPr="00C75721">
        <w:rPr>
          <w:rFonts w:ascii="David" w:eastAsia="Calibri" w:hAnsi="David"/>
          <w:rtl/>
        </w:rPr>
        <w:t xml:space="preserve"> לסם הקנבוס גם בסם מסוג </w:t>
      </w:r>
      <w:r w:rsidRPr="00C75721">
        <w:rPr>
          <w:rFonts w:ascii="David" w:eastAsia="Calibri" w:hAnsi="David"/>
        </w:rPr>
        <w:t>MDMA</w:t>
      </w:r>
      <w:r w:rsidRPr="00C75721">
        <w:rPr>
          <w:rFonts w:ascii="David" w:eastAsia="Calibri" w:hAnsi="David"/>
          <w:rtl/>
        </w:rPr>
        <w:t xml:space="preserve">), הרי שגם נסיבות העושה שונות מענייננו, כך שיקשה על בית המשפט לגזור גזירה שווה מפסיקה זו למקרה שלפניי. </w:t>
      </w:r>
    </w:p>
    <w:p w14:paraId="34EA9B2A" w14:textId="77777777" w:rsidR="00EE6650" w:rsidRPr="00C75721" w:rsidRDefault="00EE6650" w:rsidP="00EE6650">
      <w:pPr>
        <w:numPr>
          <w:ilvl w:val="0"/>
          <w:numId w:val="2"/>
        </w:numPr>
        <w:spacing w:line="360" w:lineRule="auto"/>
        <w:ind w:left="-58"/>
        <w:contextualSpacing/>
        <w:jc w:val="both"/>
        <w:rPr>
          <w:rFonts w:ascii="David" w:eastAsia="Calibri" w:hAnsi="David"/>
          <w:rtl/>
        </w:rPr>
      </w:pPr>
      <w:r w:rsidRPr="00C75721">
        <w:rPr>
          <w:rFonts w:ascii="David" w:eastAsia="Calibri" w:hAnsi="David"/>
          <w:rtl/>
        </w:rPr>
        <w:t xml:space="preserve">אולם חשוב להדגיש כי נהיר לבית המשפט שקיימים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C75721">
        <w:rPr>
          <w:rFonts w:ascii="David" w:eastAsia="Calibri" w:hAnsi="David"/>
          <w:b/>
          <w:bCs/>
          <w:rtl/>
        </w:rPr>
        <w:t>ו"אין עסקינן בשיטת ניקוד, או באריתמטיקה. ענישה היא מלאכת מחשבת – ולא מלאכת מחשב"</w:t>
      </w:r>
      <w:r w:rsidRPr="00C75721">
        <w:rPr>
          <w:rFonts w:ascii="David" w:eastAsia="Calibri" w:hAnsi="David"/>
          <w:rtl/>
        </w:rPr>
        <w:t xml:space="preserve"> (ראו לעניין זה, </w:t>
      </w:r>
      <w:hyperlink r:id="rId42" w:history="1">
        <w:r w:rsidR="001D0521" w:rsidRPr="001D0521">
          <w:rPr>
            <w:rFonts w:ascii="David" w:eastAsia="Calibri" w:hAnsi="David"/>
            <w:color w:val="0000FF"/>
            <w:u w:val="single"/>
            <w:rtl/>
          </w:rPr>
          <w:t>ע"פ 5768/10</w:t>
        </w:r>
      </w:hyperlink>
      <w:r w:rsidRPr="00C75721">
        <w:rPr>
          <w:rFonts w:ascii="David" w:eastAsia="Calibri" w:hAnsi="David"/>
          <w:rtl/>
        </w:rPr>
        <w:t xml:space="preserve"> </w:t>
      </w:r>
      <w:r w:rsidRPr="00C75721">
        <w:rPr>
          <w:rFonts w:ascii="David" w:eastAsia="Calibri" w:hAnsi="David"/>
          <w:b/>
          <w:bCs/>
          <w:rtl/>
        </w:rPr>
        <w:t>פלוני נ' מדינת ישראל</w:t>
      </w:r>
      <w:r w:rsidRPr="00C75721">
        <w:rPr>
          <w:rFonts w:ascii="David" w:eastAsia="Calibri" w:hAnsi="David"/>
          <w:rtl/>
        </w:rPr>
        <w:t xml:space="preserve">, </w:t>
      </w:r>
      <w:r w:rsidRPr="00C75721">
        <w:rPr>
          <w:rFonts w:ascii="David" w:eastAsia="Calibri" w:hAnsi="David"/>
          <w:shd w:val="clear" w:color="auto" w:fill="FAFAFA"/>
          <w:rtl/>
        </w:rPr>
        <w:t>[פורסם בנבו] (</w:t>
      </w:r>
      <w:r w:rsidRPr="00C75721">
        <w:rPr>
          <w:rFonts w:ascii="David" w:eastAsia="Calibri" w:hAnsi="David"/>
          <w:rtl/>
        </w:rPr>
        <w:t xml:space="preserve">08.06.2015)). לעולם אין לגזור עונשו של נאשם על סמך כותרות העבירות שבהן הוא הורשע ויש להתחשב במכלול הנסיבות בכל מקרה לגופו (ראו והשוו, </w:t>
      </w:r>
      <w:hyperlink r:id="rId43" w:history="1">
        <w:r w:rsidR="001D0521" w:rsidRPr="001D0521">
          <w:rPr>
            <w:rFonts w:ascii="David" w:eastAsia="Calibri" w:hAnsi="David"/>
            <w:color w:val="0000FF"/>
            <w:u w:val="single"/>
            <w:rtl/>
          </w:rPr>
          <w:t>ע"פ 433/89</w:t>
        </w:r>
      </w:hyperlink>
      <w:r w:rsidRPr="00C75721">
        <w:rPr>
          <w:rFonts w:ascii="David" w:eastAsia="Calibri" w:hAnsi="David"/>
          <w:rtl/>
        </w:rPr>
        <w:t xml:space="preserve"> </w:t>
      </w:r>
      <w:r w:rsidRPr="00C75721">
        <w:rPr>
          <w:rFonts w:ascii="David" w:eastAsia="Calibri" w:hAnsi="David"/>
          <w:b/>
          <w:bCs/>
          <w:rtl/>
        </w:rPr>
        <w:t>ג'ורג' אטיאס נ' מדינת ישראל</w:t>
      </w:r>
      <w:r w:rsidRPr="00C75721">
        <w:rPr>
          <w:rFonts w:ascii="David" w:eastAsia="Calibri" w:hAnsi="David"/>
          <w:rtl/>
        </w:rPr>
        <w:t xml:space="preserve">, פ"ד מג(4) 170, (1989); </w:t>
      </w:r>
      <w:r w:rsidRPr="00C75721">
        <w:rPr>
          <w:rFonts w:ascii="David" w:eastAsia="Calibri" w:hAnsi="David"/>
          <w:u w:val="single"/>
          <w:rtl/>
        </w:rPr>
        <w:t>ו</w:t>
      </w:r>
      <w:hyperlink r:id="rId44" w:history="1">
        <w:r w:rsidR="001D0521" w:rsidRPr="001D0521">
          <w:rPr>
            <w:rFonts w:ascii="David" w:eastAsia="Calibri" w:hAnsi="David"/>
            <w:color w:val="0000FF"/>
            <w:u w:val="single"/>
            <w:rtl/>
          </w:rPr>
          <w:t>רע"פ 3173/09</w:t>
        </w:r>
      </w:hyperlink>
      <w:r w:rsidRPr="00C75721">
        <w:rPr>
          <w:rFonts w:ascii="David" w:eastAsia="Calibri" w:hAnsi="David"/>
          <w:rtl/>
        </w:rPr>
        <w:t xml:space="preserve"> </w:t>
      </w:r>
      <w:r w:rsidRPr="00C75721">
        <w:rPr>
          <w:rFonts w:ascii="David" w:eastAsia="Calibri" w:hAnsi="David"/>
          <w:b/>
          <w:bCs/>
          <w:rtl/>
        </w:rPr>
        <w:t>פראגין נ' מדינת ישראל</w:t>
      </w:r>
      <w:r w:rsidRPr="00C75721">
        <w:rPr>
          <w:rFonts w:ascii="David" w:eastAsia="Calibri" w:hAnsi="David"/>
          <w:rtl/>
        </w:rPr>
        <w:t xml:space="preserve">, </w:t>
      </w:r>
      <w:r w:rsidRPr="00C75721">
        <w:rPr>
          <w:rFonts w:ascii="David" w:eastAsia="Calibri" w:hAnsi="David"/>
          <w:shd w:val="clear" w:color="auto" w:fill="FAFAFA"/>
          <w:rtl/>
        </w:rPr>
        <w:t>[פורסם בנבו] (</w:t>
      </w:r>
      <w:r w:rsidRPr="00C75721">
        <w:rPr>
          <w:rFonts w:ascii="David" w:eastAsia="Calibri" w:hAnsi="David"/>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5" w:history="1">
        <w:r w:rsidR="001D0521" w:rsidRPr="001D0521">
          <w:rPr>
            <w:rFonts w:ascii="David" w:eastAsia="Calibri" w:hAnsi="David"/>
            <w:color w:val="0000FF"/>
            <w:u w:val="single"/>
            <w:rtl/>
          </w:rPr>
          <w:t>ע"פ 1903/13</w:t>
        </w:r>
      </w:hyperlink>
      <w:r w:rsidRPr="00C75721">
        <w:rPr>
          <w:rFonts w:ascii="David" w:eastAsia="Calibri" w:hAnsi="David"/>
          <w:rtl/>
        </w:rPr>
        <w:t xml:space="preserve"> </w:t>
      </w:r>
      <w:r w:rsidRPr="00C75721">
        <w:rPr>
          <w:rFonts w:ascii="David" w:eastAsia="Calibri" w:hAnsi="David"/>
          <w:b/>
          <w:bCs/>
          <w:rtl/>
        </w:rPr>
        <w:t>חמודה עיאשה נ' מדינת ישראל</w:t>
      </w:r>
      <w:r w:rsidRPr="00C75721">
        <w:rPr>
          <w:rFonts w:ascii="David" w:eastAsia="Calibri" w:hAnsi="David"/>
          <w:rtl/>
        </w:rPr>
        <w:t xml:space="preserve">, </w:t>
      </w:r>
      <w:r w:rsidRPr="00C75721">
        <w:rPr>
          <w:rFonts w:ascii="David" w:eastAsia="Calibri" w:hAnsi="David"/>
          <w:shd w:val="clear" w:color="auto" w:fill="FAFAFA"/>
          <w:rtl/>
        </w:rPr>
        <w:t>[פורסם בנבו] (</w:t>
      </w:r>
      <w:r w:rsidRPr="00C75721">
        <w:rPr>
          <w:rFonts w:ascii="David" w:eastAsia="Calibri" w:hAnsi="David"/>
          <w:rtl/>
        </w:rPr>
        <w:t>25.06.2013)).</w:t>
      </w:r>
    </w:p>
    <w:p w14:paraId="274F7B5E" w14:textId="77777777" w:rsidR="00EE6650" w:rsidRPr="00C75721" w:rsidRDefault="00EE6650" w:rsidP="00EE6650">
      <w:pPr>
        <w:numPr>
          <w:ilvl w:val="0"/>
          <w:numId w:val="2"/>
        </w:numPr>
        <w:spacing w:line="360" w:lineRule="auto"/>
        <w:ind w:left="-58"/>
        <w:contextualSpacing/>
        <w:jc w:val="both"/>
        <w:rPr>
          <w:rFonts w:ascii="David" w:eastAsia="Calibri" w:hAnsi="David"/>
          <w:b/>
          <w:bCs/>
        </w:rPr>
      </w:pPr>
      <w:r w:rsidRPr="00C75721">
        <w:rPr>
          <w:rFonts w:ascii="David" w:eastAsia="Calibri" w:hAnsi="David"/>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לעיל, ובשים לב לסוגם של הסמים, כמותם ונסיבות החזקתם, הריני לקבוע כי </w:t>
      </w:r>
      <w:r w:rsidRPr="00C75721">
        <w:rPr>
          <w:rFonts w:ascii="David" w:eastAsia="Calibri" w:hAnsi="David"/>
          <w:b/>
          <w:bCs/>
          <w:rtl/>
        </w:rPr>
        <w:t>על מתחם העונש ההולם לנוע במקרה הנדון בין מאסר קצר (שניתן לרצותו בעבודות שירות) לבין 12 חודשים מאסר בפועל</w:t>
      </w:r>
      <w:r w:rsidRPr="00C75721">
        <w:rPr>
          <w:rFonts w:ascii="David" w:eastAsia="Calibri" w:hAnsi="David"/>
          <w:rtl/>
        </w:rPr>
        <w:t>.</w:t>
      </w:r>
    </w:p>
    <w:p w14:paraId="2F3C8836" w14:textId="77777777" w:rsidR="00EE6650" w:rsidRPr="00C75721" w:rsidRDefault="00EE6650" w:rsidP="00EE6650">
      <w:pPr>
        <w:tabs>
          <w:tab w:val="right" w:pos="7371"/>
        </w:tabs>
        <w:spacing w:line="360" w:lineRule="auto"/>
        <w:ind w:left="-58" w:right="-625" w:hanging="357"/>
        <w:contextualSpacing/>
        <w:jc w:val="both"/>
        <w:rPr>
          <w:rFonts w:ascii="David" w:eastAsia="Calibri" w:hAnsi="David"/>
          <w:b/>
          <w:bCs/>
        </w:rPr>
      </w:pPr>
    </w:p>
    <w:p w14:paraId="404248E6" w14:textId="77777777" w:rsidR="00EE6650" w:rsidRPr="00C75721" w:rsidRDefault="00EE6650" w:rsidP="00EE6650">
      <w:pPr>
        <w:keepNext/>
        <w:keepLines/>
        <w:tabs>
          <w:tab w:val="right" w:pos="7371"/>
        </w:tabs>
        <w:spacing w:line="360" w:lineRule="auto"/>
        <w:ind w:left="-63" w:right="-625" w:hanging="357"/>
        <w:jc w:val="center"/>
        <w:outlineLvl w:val="0"/>
        <w:rPr>
          <w:rFonts w:ascii="David" w:eastAsia="Calibri" w:hAnsi="David"/>
          <w:b/>
          <w:bCs/>
          <w:sz w:val="32"/>
          <w:szCs w:val="32"/>
          <w:u w:val="single"/>
        </w:rPr>
      </w:pPr>
      <w:r w:rsidRPr="00C75721">
        <w:rPr>
          <w:rFonts w:ascii="David" w:eastAsia="Calibri" w:hAnsi="David"/>
          <w:b/>
          <w:bCs/>
          <w:sz w:val="32"/>
          <w:szCs w:val="32"/>
          <w:u w:val="single"/>
          <w:rtl/>
        </w:rPr>
        <w:t>גזירת הדין</w:t>
      </w:r>
    </w:p>
    <w:p w14:paraId="49F36BC2" w14:textId="77777777" w:rsidR="00EE6650" w:rsidRPr="00C75721" w:rsidRDefault="00EE6650" w:rsidP="00EE6650">
      <w:pPr>
        <w:keepNext/>
        <w:keepLines/>
        <w:spacing w:line="360" w:lineRule="auto"/>
        <w:jc w:val="both"/>
        <w:outlineLvl w:val="0"/>
        <w:rPr>
          <w:rFonts w:ascii="David" w:eastAsia="Calibri" w:hAnsi="David"/>
          <w:b/>
          <w:bCs/>
          <w:sz w:val="28"/>
          <w:szCs w:val="28"/>
          <w:u w:val="single"/>
          <w:rtl/>
        </w:rPr>
      </w:pPr>
      <w:r w:rsidRPr="00C75721">
        <w:rPr>
          <w:rFonts w:ascii="David" w:eastAsia="Calibri" w:hAnsi="David"/>
          <w:b/>
          <w:bCs/>
          <w:sz w:val="28"/>
          <w:szCs w:val="28"/>
          <w:rtl/>
        </w:rPr>
        <w:t>ד.</w:t>
      </w:r>
      <w:r w:rsidRPr="00C75721">
        <w:rPr>
          <w:rFonts w:ascii="David" w:eastAsia="Calibri" w:hAnsi="David"/>
          <w:rtl/>
        </w:rPr>
        <w:t xml:space="preserve"> </w:t>
      </w:r>
      <w:r w:rsidRPr="00C75721">
        <w:rPr>
          <w:rFonts w:ascii="David" w:eastAsia="Calibri" w:hAnsi="David"/>
          <w:b/>
          <w:bCs/>
          <w:sz w:val="28"/>
          <w:szCs w:val="28"/>
          <w:u w:val="single"/>
          <w:rtl/>
        </w:rPr>
        <w:t>גזירת העונש המתאים לנאשם</w:t>
      </w:r>
    </w:p>
    <w:p w14:paraId="1A79C0E7" w14:textId="77777777" w:rsidR="00EE6650" w:rsidRPr="00C75721" w:rsidRDefault="00EE6650" w:rsidP="00EE6650">
      <w:pPr>
        <w:numPr>
          <w:ilvl w:val="0"/>
          <w:numId w:val="2"/>
        </w:numPr>
        <w:spacing w:line="360" w:lineRule="auto"/>
        <w:ind w:left="-58"/>
        <w:contextualSpacing/>
        <w:jc w:val="both"/>
        <w:rPr>
          <w:rFonts w:ascii="David" w:eastAsia="Calibri" w:hAnsi="David"/>
        </w:rPr>
      </w:pPr>
      <w:r w:rsidRPr="00C75721">
        <w:rPr>
          <w:rFonts w:ascii="David" w:eastAsia="Calibri" w:hAnsi="David"/>
          <w:rtl/>
        </w:rPr>
        <w:t xml:space="preserve">כעת נותר לגזור את עונשו של הנאשם, ולצורך כך, כמצוות המחוקק </w:t>
      </w:r>
      <w:hyperlink r:id="rId46" w:history="1">
        <w:r w:rsidR="00E2375E" w:rsidRPr="00E2375E">
          <w:rPr>
            <w:rStyle w:val="Hyperlink"/>
            <w:rFonts w:ascii="David" w:eastAsia="Calibri" w:hAnsi="David"/>
            <w:rtl/>
          </w:rPr>
          <w:t>בסעיף 40יא</w:t>
        </w:r>
      </w:hyperlink>
      <w:r w:rsidRPr="00C75721">
        <w:rPr>
          <w:rFonts w:ascii="David" w:eastAsia="Calibri" w:hAnsi="David"/>
          <w:rtl/>
        </w:rPr>
        <w:t xml:space="preserve"> ל</w:t>
      </w:r>
      <w:hyperlink r:id="rId47" w:history="1">
        <w:r w:rsidR="001D0521" w:rsidRPr="001D0521">
          <w:rPr>
            <w:rFonts w:ascii="David" w:eastAsia="Calibri" w:hAnsi="David"/>
            <w:color w:val="0000FF"/>
            <w:u w:val="single"/>
            <w:rtl/>
          </w:rPr>
          <w:t>חוק העונשין</w:t>
        </w:r>
      </w:hyperlink>
      <w:r w:rsidRPr="00C75721">
        <w:rPr>
          <w:rFonts w:ascii="David" w:eastAsia="Calibri" w:hAnsi="David"/>
          <w:rtl/>
        </w:rPr>
        <w:t xml:space="preserve">, יש להתחשב בנסיבות שאינן קשורות בביצוע העבירה. </w:t>
      </w:r>
    </w:p>
    <w:p w14:paraId="4BEA2613" w14:textId="77777777" w:rsidR="00EE6650" w:rsidRPr="00C75721" w:rsidRDefault="00EE6650" w:rsidP="00EE6650">
      <w:pPr>
        <w:numPr>
          <w:ilvl w:val="0"/>
          <w:numId w:val="2"/>
        </w:numPr>
        <w:shd w:val="clear" w:color="auto" w:fill="FAFAFA"/>
        <w:spacing w:line="360" w:lineRule="auto"/>
        <w:ind w:left="-118"/>
        <w:contextualSpacing/>
        <w:jc w:val="both"/>
        <w:rPr>
          <w:rFonts w:ascii="David" w:eastAsia="Calibri" w:hAnsi="David"/>
        </w:rPr>
      </w:pPr>
      <w:r w:rsidRPr="00C75721">
        <w:rPr>
          <w:rFonts w:ascii="David" w:eastAsia="Calibri" w:hAnsi="David"/>
          <w:rtl/>
        </w:rPr>
        <w:t xml:space="preserve">בעניין זה, בראש ובראשונה נתתי דעתי </w:t>
      </w:r>
      <w:r w:rsidRPr="00C75721">
        <w:rPr>
          <w:rFonts w:ascii="David" w:eastAsia="Calibri" w:hAnsi="David"/>
          <w:b/>
          <w:bCs/>
          <w:rtl/>
        </w:rPr>
        <w:t xml:space="preserve">לעברו הפלילי (ת/2) </w:t>
      </w:r>
      <w:r w:rsidRPr="00C75721">
        <w:rPr>
          <w:rFonts w:ascii="David" w:eastAsia="Calibri" w:hAnsi="David"/>
          <w:rtl/>
        </w:rPr>
        <w:t xml:space="preserve">של הנאשם, שהתיישן לו זה מכבר והכולל 4 הרשעות קודמות (כשהאחרונה שבהן משנת 2013) בעבירות של שימוש וסחר בסמים, שוד, חבלה חמורה, תקיפה סתם, איומים, קבלת דבר במרמה, והחזקת אגרופן או סכין שלא כדין, בגינן הלה נידון למגוון עונשים ובהם מאסרים בפועל, אותם ריצה הנאשם בין השנים 2011-2013 וכן בין השנים  2013-2014, לצד מאסרים מותנים וענישה נלווית. </w:t>
      </w:r>
    </w:p>
    <w:p w14:paraId="70C37DAB" w14:textId="77777777" w:rsidR="00EE6650" w:rsidRPr="00C75721" w:rsidRDefault="00EE6650" w:rsidP="00EE6650">
      <w:pPr>
        <w:numPr>
          <w:ilvl w:val="0"/>
          <w:numId w:val="2"/>
        </w:numPr>
        <w:shd w:val="clear" w:color="auto" w:fill="FAFAFA"/>
        <w:spacing w:line="360" w:lineRule="auto"/>
        <w:ind w:left="-118"/>
        <w:contextualSpacing/>
        <w:jc w:val="both"/>
        <w:rPr>
          <w:rFonts w:ascii="David" w:eastAsia="Calibri" w:hAnsi="David"/>
        </w:rPr>
      </w:pPr>
      <w:r w:rsidRPr="00C75721">
        <w:rPr>
          <w:rFonts w:ascii="David" w:eastAsia="Calibri" w:hAnsi="David"/>
          <w:rtl/>
        </w:rPr>
        <w:t xml:space="preserve">כן נתתי דעתי לפגיעה שיכול ותגרם לנאשם ככל שיושת עליו עונש מאסר (ולו לריצוי בעבודות שירות) וזאת בשים לב לפגיעה הכלכלית הכרוכה בכך ומבלי להתעלם מכך שהנאשם כבר הספיק לרצות עונשי מאסר בעברו. </w:t>
      </w:r>
    </w:p>
    <w:p w14:paraId="16B8F000" w14:textId="77777777" w:rsidR="00EE6650" w:rsidRPr="00C75721" w:rsidRDefault="00EE6650" w:rsidP="00EE6650">
      <w:pPr>
        <w:numPr>
          <w:ilvl w:val="0"/>
          <w:numId w:val="2"/>
        </w:numPr>
        <w:shd w:val="clear" w:color="auto" w:fill="FAFAFA"/>
        <w:spacing w:line="360" w:lineRule="auto"/>
        <w:ind w:left="-118"/>
        <w:contextualSpacing/>
        <w:jc w:val="both"/>
        <w:rPr>
          <w:rFonts w:ascii="David" w:eastAsia="Calibri" w:hAnsi="David"/>
        </w:rPr>
      </w:pPr>
      <w:r w:rsidRPr="00C75721">
        <w:rPr>
          <w:rFonts w:ascii="David" w:eastAsia="Calibri" w:hAnsi="David"/>
          <w:rtl/>
        </w:rPr>
        <w:t>לקולה, יש ליתן את הדעת לכך שהנאשם הודה בביצוע העבירה, לקח אחריות על מעשיו, הביא לחיסכון בזמן שיפוטי יקר ואף ייתר את הצורך בשמיעת העדים.</w:t>
      </w:r>
    </w:p>
    <w:p w14:paraId="4FDBF29C" w14:textId="77777777" w:rsidR="00EE6650" w:rsidRPr="00C75721" w:rsidRDefault="00EE6650" w:rsidP="00EE6650">
      <w:pPr>
        <w:numPr>
          <w:ilvl w:val="0"/>
          <w:numId w:val="2"/>
        </w:numPr>
        <w:tabs>
          <w:tab w:val="left" w:pos="8306"/>
        </w:tabs>
        <w:spacing w:line="360" w:lineRule="auto"/>
        <w:ind w:left="-199"/>
        <w:contextualSpacing/>
        <w:jc w:val="both"/>
        <w:rPr>
          <w:rFonts w:ascii="David" w:eastAsia="Calibri" w:hAnsi="David"/>
          <w:b/>
          <w:bCs/>
        </w:rPr>
      </w:pPr>
      <w:r w:rsidRPr="00C75721">
        <w:rPr>
          <w:rFonts w:ascii="David" w:eastAsia="Calibri" w:hAnsi="David"/>
          <w:rtl/>
        </w:rPr>
        <w:t xml:space="preserve">עוד לא נעלם מעיניי שהעבירה שבמוקד כתב האישום המתוקן </w:t>
      </w:r>
      <w:r w:rsidRPr="008F19DB">
        <w:rPr>
          <w:rFonts w:ascii="David" w:eastAsia="Calibri" w:hAnsi="David"/>
          <w:b/>
          <w:bCs/>
          <w:rtl/>
        </w:rPr>
        <w:t>בוצעה לפני למעלה משנתיים</w:t>
      </w:r>
      <w:r w:rsidRPr="00C75721">
        <w:rPr>
          <w:rFonts w:ascii="David" w:eastAsia="Calibri" w:hAnsi="David"/>
          <w:rtl/>
        </w:rPr>
        <w:t xml:space="preserve">, כשאת מירב המשקל בנקודה זו יש להעניק לא לאותה ספירת זמן "טכנית",  אלא לכך שעסקינן בנאשם, שהינו אזרח יצרני המשולב בשוק העבודה והתעסוקה וכי בפרק הזמן שחלף מאז ביצוע העבירה שבגינה הוא נותן את הדין כעת, הלה היטיב את דרכיו ונמנע מלשוב ולבצע עבירות נוספות. </w:t>
      </w:r>
    </w:p>
    <w:p w14:paraId="43F736DE" w14:textId="77777777" w:rsidR="00EE6650" w:rsidRPr="00C75721" w:rsidRDefault="00EE6650" w:rsidP="00EE6650">
      <w:pPr>
        <w:numPr>
          <w:ilvl w:val="0"/>
          <w:numId w:val="2"/>
        </w:numPr>
        <w:tabs>
          <w:tab w:val="left" w:pos="8306"/>
        </w:tabs>
        <w:spacing w:line="360" w:lineRule="auto"/>
        <w:ind w:left="-199"/>
        <w:contextualSpacing/>
        <w:jc w:val="both"/>
        <w:rPr>
          <w:rFonts w:ascii="David" w:eastAsia="Calibri" w:hAnsi="David"/>
          <w:b/>
          <w:bCs/>
        </w:rPr>
      </w:pPr>
      <w:r w:rsidRPr="00C75721">
        <w:rPr>
          <w:rFonts w:ascii="David" w:eastAsia="Calibri" w:hAnsi="David"/>
          <w:rtl/>
        </w:rPr>
        <w:t xml:space="preserve">עוד נתתי דעתי </w:t>
      </w:r>
      <w:r w:rsidRPr="00C75721">
        <w:rPr>
          <w:rFonts w:ascii="David" w:eastAsia="Calibri" w:hAnsi="David"/>
          <w:b/>
          <w:bCs/>
          <w:rtl/>
        </w:rPr>
        <w:t>לאמור בתסקיר שירות המבחן שהוגשו בעניינו של הנאשם ביום 18.06.2023</w:t>
      </w:r>
      <w:r w:rsidRPr="00C75721">
        <w:rPr>
          <w:rFonts w:ascii="David" w:eastAsia="Calibri" w:hAnsi="David"/>
          <w:rtl/>
        </w:rPr>
        <w:t xml:space="preserve">. כך, שירות המבחן התרשם בתסקירו </w:t>
      </w:r>
      <w:r w:rsidRPr="00C75721">
        <w:rPr>
          <w:rFonts w:ascii="David" w:eastAsia="Calibri" w:hAnsi="David"/>
          <w:b/>
          <w:bCs/>
          <w:rtl/>
        </w:rPr>
        <w:t>מגורמי הסיכון</w:t>
      </w:r>
      <w:r w:rsidRPr="00C75721">
        <w:rPr>
          <w:rFonts w:ascii="David" w:eastAsia="Calibri" w:hAnsi="David"/>
          <w:rtl/>
        </w:rPr>
        <w:t xml:space="preserve"> הקמים בעניינו של הנאשם ובהם, מעורבותו של הנאשם מגיל צעיר בפלילים תוך שעונשי המאסר שהושתו עליו לא היוו עבורו גבול מרתיע להישנות עבירות נוספות; דפוסיו השוליים של הנאשם לאורך השנים; היותו של הנאשם עסוק במשך שנים רבות בעבירות סמים בשל הסביבה החברתית השולית הסמוכה למקום מגוריו; קשייו של הנאשם לרתום את עצמו לטיפול בתחום ההתמכרויות חרף הצהרותיו המילוליות כי הוא חפץ בכך; והתייחסותו המצמצמת של הנאשם לביצוע העבירה שבמוקד כתב האישום וההתרשמות, לפיה רב הנסתר על הנגלה באשר למעורבותו השולית של הנאשם עד עצם היום הזה. </w:t>
      </w:r>
    </w:p>
    <w:p w14:paraId="7E00C793" w14:textId="77777777" w:rsidR="00EE6650" w:rsidRPr="00C75721" w:rsidRDefault="00EE6650" w:rsidP="00EE6650">
      <w:pPr>
        <w:numPr>
          <w:ilvl w:val="0"/>
          <w:numId w:val="2"/>
        </w:numPr>
        <w:tabs>
          <w:tab w:val="left" w:pos="8306"/>
        </w:tabs>
        <w:spacing w:line="360" w:lineRule="auto"/>
        <w:ind w:left="-199"/>
        <w:contextualSpacing/>
        <w:jc w:val="both"/>
        <w:rPr>
          <w:rFonts w:ascii="David" w:eastAsia="Calibri" w:hAnsi="David"/>
        </w:rPr>
      </w:pPr>
      <w:r w:rsidRPr="00C75721">
        <w:rPr>
          <w:rFonts w:ascii="David" w:eastAsia="Calibri" w:hAnsi="David"/>
          <w:rtl/>
        </w:rPr>
        <w:t xml:space="preserve">לצד זאת התרשם השירות </w:t>
      </w:r>
      <w:r w:rsidRPr="00C75721">
        <w:rPr>
          <w:rFonts w:ascii="David" w:eastAsia="Calibri" w:hAnsi="David"/>
          <w:b/>
          <w:bCs/>
          <w:rtl/>
        </w:rPr>
        <w:t>מגורמי הסיכוי לשיקום</w:t>
      </w:r>
      <w:r w:rsidRPr="00C75721">
        <w:rPr>
          <w:rFonts w:ascii="David" w:eastAsia="Calibri" w:hAnsi="David"/>
          <w:rtl/>
        </w:rPr>
        <w:t xml:space="preserve"> הקמים בעניינו של הנאשם ובכלל זה, השינוי שערך הנאשם בחייו בשנים האחרונות והעובדה כי לא נפתחו כנגדו תיקים חדשים (למעט תיק זה, נ.ש.מ); פנייתו של הנאשם לתעסוקה נורמטיבית והיותו מתפרנס מעמלו; והמוטיבציה שהביע הנאשם לקיים אורח חיים נורמטיבי ושומר חוק. עוד התרשם שירות המבחן כי הנאשם שבע מאורח חייו השולי והתחיל להכיר במחירים ששילם ומשלם עד היום בשל בחירותיו בעבר. </w:t>
      </w:r>
    </w:p>
    <w:p w14:paraId="7EF545F0" w14:textId="77777777" w:rsidR="00EE6650" w:rsidRPr="008F19DB" w:rsidRDefault="00EE6650" w:rsidP="00EE6650">
      <w:pPr>
        <w:numPr>
          <w:ilvl w:val="0"/>
          <w:numId w:val="2"/>
        </w:numPr>
        <w:tabs>
          <w:tab w:val="left" w:pos="8306"/>
        </w:tabs>
        <w:spacing w:line="360" w:lineRule="auto"/>
        <w:ind w:left="-199"/>
        <w:contextualSpacing/>
        <w:jc w:val="both"/>
        <w:rPr>
          <w:rFonts w:ascii="David" w:eastAsia="Calibri" w:hAnsi="David"/>
          <w:b/>
          <w:bCs/>
        </w:rPr>
      </w:pPr>
      <w:r w:rsidRPr="00C75721">
        <w:rPr>
          <w:rFonts w:ascii="David" w:eastAsia="Calibri" w:hAnsi="David"/>
          <w:rtl/>
        </w:rPr>
        <w:t xml:space="preserve">בסופו של תסקיר, ציין שירות המבחן כי להתרשמותו בתחילה סבר כי היה מקום להשית על הנאשם צו מבחן לצד רכיבי ענישה נוספים לצורך בניית תכנית טיפולית אשר תסייע בעדו להתמודד עם דפוסי התמכרותו לסמים (וזאת לאור הצהרותיו המילוליות לשינוי אורחות חייו). עם זאת, ובשל העובדה כי הלה לא התייצב לשלוש הפגישות עם הגורמים הטיפוליים מהיחידה להתמכרויות, ובשל הקשיים שהלה הציף בפני שירות המבחן להירתם ולהיתרם מטיפול בשלב זה בחייו – </w:t>
      </w:r>
      <w:r w:rsidRPr="008F19DB">
        <w:rPr>
          <w:rFonts w:ascii="David" w:eastAsia="Calibri" w:hAnsi="David"/>
          <w:b/>
          <w:bCs/>
          <w:rtl/>
        </w:rPr>
        <w:t xml:space="preserve">המליץ השירות בסופו של יום להסתפק בעניינו בענישה מותנית שתשמר את הישגיו התעסוקתיים מהשנה האחרונה (כראש צוות במפעל "פח תעש") מצד אחד, ותהווה עבורו גבול ברור ומרתיע להישנות עבירות מתחום הסמים, מצד שני. </w:t>
      </w:r>
    </w:p>
    <w:p w14:paraId="22890BFD" w14:textId="77777777" w:rsidR="00EE6650" w:rsidRPr="00C75721" w:rsidRDefault="00EE6650" w:rsidP="00EE6650">
      <w:pPr>
        <w:numPr>
          <w:ilvl w:val="0"/>
          <w:numId w:val="2"/>
        </w:numPr>
        <w:spacing w:line="360" w:lineRule="auto"/>
        <w:ind w:left="-199"/>
        <w:contextualSpacing/>
        <w:jc w:val="both"/>
        <w:rPr>
          <w:rFonts w:ascii="David" w:eastAsia="Calibri" w:hAnsi="David"/>
        </w:rPr>
      </w:pPr>
      <w:r w:rsidRPr="00C75721">
        <w:rPr>
          <w:rFonts w:ascii="David" w:eastAsia="Calibri" w:hAnsi="David"/>
          <w:rtl/>
        </w:rPr>
        <w:t xml:space="preserve">בסיכומה של נקודה זו ייאמר, כי התחבטתי רבות באשר לעונש שראוי להשית על הנאשם בתיק זה. מחד גיסא, בסופו של יום, וחרף נזקקותו הטיפולית, הלה לא נטל חלק בהליכים שיקומיים ייעודיים במסגרת שירות המבחן שהוא הגורם המוסמך לכך בחוק, תוך ששירות המבחן סבר מלכתחילה כי יש מקום לרתום את הנאשם להליך שיקום ולשלבו בתכנית טיפולית שתסייע לו להתמודד עם דפוסי התמכרותו לסמים. כך שברי כי אותו מוקד בעייתי, קווי אישיותו, ותפיסת עולמו שעמדו ברקע לביצוע העבירה לא אוין. מאידך גיסא, הרי שמעצם שמירת הנאשם על ניהול אורח חיים תקין ונורמטיבי, יציבותו התעסוקתית, מערכת יחסיו היציבה עם בת זוגו (מערכת יחסים שאותה הוא מבקש למסד בקרוב); והיותו, הלכה למעשה, אזרח שומר חוק מזה למעלה משנתיים מאז שביצע את העבירה שבגינה הוא נותן את הדין כיום – יש כדי לחזק את מסקנתי, לפיה הנאשם השתקם או לחילופין כי קיים סיכוי ממשי שישתקם באופן מלא בעתיד. בנוסף לאלו, להתרשמותי, היה גם בהליכים המשפטיים כדי להרתיע את הנאשם ולהציב בפניו גבולות ברורים להתנהגותו. </w:t>
      </w:r>
    </w:p>
    <w:p w14:paraId="7E9DAFDD" w14:textId="77777777" w:rsidR="00EE6650" w:rsidRPr="00C75721" w:rsidRDefault="00EE6650" w:rsidP="00EE6650">
      <w:pPr>
        <w:numPr>
          <w:ilvl w:val="0"/>
          <w:numId w:val="2"/>
        </w:numPr>
        <w:spacing w:line="360" w:lineRule="auto"/>
        <w:ind w:left="-199"/>
        <w:contextualSpacing/>
        <w:jc w:val="both"/>
        <w:rPr>
          <w:rFonts w:ascii="David" w:eastAsia="Calibri" w:hAnsi="David"/>
        </w:rPr>
      </w:pPr>
      <w:r w:rsidRPr="00C75721">
        <w:rPr>
          <w:rFonts w:ascii="David" w:eastAsia="Calibri" w:hAnsi="David"/>
          <w:rtl/>
        </w:rPr>
        <w:t xml:space="preserve">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48" w:history="1">
        <w:r w:rsidR="001D0521" w:rsidRPr="001D0521">
          <w:rPr>
            <w:rFonts w:ascii="David" w:eastAsia="Calibri" w:hAnsi="David"/>
            <w:color w:val="0000FF"/>
            <w:u w:val="single"/>
            <w:rtl/>
          </w:rPr>
          <w:t>ע"פ 1903/13</w:t>
        </w:r>
      </w:hyperlink>
      <w:r w:rsidRPr="00C75721">
        <w:rPr>
          <w:rFonts w:ascii="David" w:eastAsia="Calibri" w:hAnsi="David"/>
          <w:rtl/>
        </w:rPr>
        <w:t xml:space="preserve"> </w:t>
      </w:r>
      <w:r w:rsidRPr="00C75721">
        <w:rPr>
          <w:rFonts w:ascii="David" w:eastAsia="Calibri" w:hAnsi="David"/>
          <w:b/>
          <w:bCs/>
          <w:rtl/>
        </w:rPr>
        <w:t>חמודה עיאשה נ' מדינת ישראל</w:t>
      </w:r>
      <w:r w:rsidRPr="00C75721">
        <w:rPr>
          <w:rFonts w:ascii="David" w:eastAsia="Calibri" w:hAnsi="David"/>
          <w:rtl/>
        </w:rPr>
        <w:t xml:space="preserve">, [פורסם בנבו] (14.07.2013); </w:t>
      </w:r>
      <w:hyperlink r:id="rId49" w:history="1">
        <w:r w:rsidR="001D0521" w:rsidRPr="001D0521">
          <w:rPr>
            <w:rFonts w:ascii="David" w:eastAsia="Calibri" w:hAnsi="David"/>
            <w:color w:val="0000FF"/>
            <w:u w:val="single"/>
            <w:rtl/>
          </w:rPr>
          <w:t>רע"פ 7683/13</w:t>
        </w:r>
      </w:hyperlink>
      <w:r w:rsidRPr="00C75721">
        <w:rPr>
          <w:rFonts w:ascii="David" w:eastAsia="Calibri" w:hAnsi="David"/>
          <w:rtl/>
        </w:rPr>
        <w:t xml:space="preserve"> </w:t>
      </w:r>
      <w:r w:rsidRPr="00C75721">
        <w:rPr>
          <w:rFonts w:ascii="David" w:eastAsia="Calibri" w:hAnsi="David"/>
          <w:b/>
          <w:bCs/>
          <w:rtl/>
        </w:rPr>
        <w:t>דויד פרלמן נ' מדינת ישראל,</w:t>
      </w:r>
      <w:r w:rsidRPr="00C75721">
        <w:rPr>
          <w:rFonts w:ascii="David" w:eastAsia="Calibri" w:hAnsi="David"/>
          <w:rtl/>
        </w:rPr>
        <w:t xml:space="preserve"> [פורסם בנבו] (23.02.2014); </w:t>
      </w:r>
      <w:hyperlink r:id="rId50" w:history="1">
        <w:r w:rsidR="001D0521" w:rsidRPr="001D0521">
          <w:rPr>
            <w:rFonts w:ascii="David" w:eastAsia="Calibri" w:hAnsi="David"/>
            <w:color w:val="0000FF"/>
            <w:u w:val="single"/>
            <w:rtl/>
          </w:rPr>
          <w:t>רע"פ 1441/14</w:t>
        </w:r>
      </w:hyperlink>
      <w:r w:rsidRPr="00C75721">
        <w:rPr>
          <w:rFonts w:ascii="David" w:eastAsia="Calibri" w:hAnsi="David"/>
          <w:rtl/>
        </w:rPr>
        <w:t xml:space="preserve"> </w:t>
      </w:r>
      <w:r w:rsidRPr="00C75721">
        <w:rPr>
          <w:rFonts w:ascii="David" w:eastAsia="Calibri" w:hAnsi="David"/>
          <w:b/>
          <w:bCs/>
          <w:rtl/>
        </w:rPr>
        <w:t>חמיס נ' מדינת ישראל,</w:t>
      </w:r>
      <w:r w:rsidRPr="00C75721">
        <w:rPr>
          <w:rFonts w:ascii="David" w:eastAsia="Calibri" w:hAnsi="David"/>
          <w:rtl/>
        </w:rPr>
        <w:t xml:space="preserve"> (09.12.2014);</w:t>
      </w:r>
      <w:r w:rsidRPr="00C75721">
        <w:rPr>
          <w:rFonts w:ascii="David" w:eastAsia="Calibri" w:hAnsi="David"/>
        </w:rPr>
        <w:t xml:space="preserve"> </w:t>
      </w:r>
      <w:hyperlink r:id="rId51" w:history="1">
        <w:r w:rsidR="001D0521" w:rsidRPr="001D0521">
          <w:rPr>
            <w:rFonts w:ascii="David" w:eastAsia="Calibri" w:hAnsi="David"/>
            <w:color w:val="0000FF"/>
            <w:u w:val="single"/>
            <w:rtl/>
          </w:rPr>
          <w:t>ע"פ 5341/13</w:t>
        </w:r>
      </w:hyperlink>
      <w:r w:rsidRPr="00C75721">
        <w:rPr>
          <w:rFonts w:ascii="David" w:eastAsia="Calibri" w:hAnsi="David"/>
          <w:rtl/>
        </w:rPr>
        <w:t xml:space="preserve"> </w:t>
      </w:r>
      <w:r w:rsidRPr="00C75721">
        <w:rPr>
          <w:rFonts w:ascii="David" w:eastAsia="Calibri" w:hAnsi="David"/>
          <w:b/>
          <w:bCs/>
          <w:rtl/>
        </w:rPr>
        <w:t>מדינת ישראל נ' מוחמד אלקרעאן</w:t>
      </w:r>
      <w:r w:rsidRPr="00C75721">
        <w:rPr>
          <w:rFonts w:ascii="David" w:eastAsia="Calibri" w:hAnsi="David"/>
          <w:rtl/>
        </w:rPr>
        <w:t xml:space="preserve">, [פורסם בנבו] (08.12.2013); </w:t>
      </w:r>
      <w:r w:rsidRPr="00C75721">
        <w:rPr>
          <w:rFonts w:ascii="David" w:eastAsia="Calibri" w:hAnsi="David"/>
          <w:u w:val="single"/>
          <w:rtl/>
        </w:rPr>
        <w:t>ו</w:t>
      </w:r>
      <w:hyperlink r:id="rId52" w:history="1">
        <w:r w:rsidR="001D0521" w:rsidRPr="001D0521">
          <w:rPr>
            <w:rFonts w:ascii="David" w:eastAsia="Calibri" w:hAnsi="David"/>
            <w:color w:val="0000FF"/>
            <w:u w:val="single"/>
            <w:rtl/>
          </w:rPr>
          <w:t>עפ"ג (מחוזי באר שבע) 37682-03-13</w:t>
        </w:r>
      </w:hyperlink>
      <w:r w:rsidRPr="00C75721">
        <w:rPr>
          <w:rFonts w:ascii="David" w:eastAsia="Calibri" w:hAnsi="David"/>
          <w:rtl/>
        </w:rPr>
        <w:t xml:space="preserve"> </w:t>
      </w:r>
      <w:r w:rsidRPr="00C75721">
        <w:rPr>
          <w:rFonts w:ascii="David" w:eastAsia="Calibri" w:hAnsi="David"/>
          <w:b/>
          <w:bCs/>
          <w:rtl/>
        </w:rPr>
        <w:t>גרניק נ' מדינת ישראל</w:t>
      </w:r>
      <w:r w:rsidRPr="00C75721">
        <w:rPr>
          <w:rFonts w:ascii="David" w:eastAsia="Calibri" w:hAnsi="David"/>
          <w:rtl/>
        </w:rPr>
        <w:t>, [פורסם בנבו] 20.11.2013)). והרי שגם במקרה שלפניי, וכאמור זה מכבר, עסקינן בנאשם שבמשך תקופה ממושכת מאז שביצע את העבירה שבגינה הוא נותן את הדין כעת, היטיב את דרכיו, עובד בעבודה מסודרת ונמנע מלשוב ולבצע עבירות נוספות.</w:t>
      </w:r>
    </w:p>
    <w:p w14:paraId="0270B204" w14:textId="77777777" w:rsidR="00EE6650" w:rsidRPr="00C75721" w:rsidRDefault="00EE6650" w:rsidP="00EE6650">
      <w:pPr>
        <w:numPr>
          <w:ilvl w:val="0"/>
          <w:numId w:val="2"/>
        </w:numPr>
        <w:spacing w:line="360" w:lineRule="auto"/>
        <w:ind w:left="-199"/>
        <w:contextualSpacing/>
        <w:jc w:val="both"/>
        <w:rPr>
          <w:rFonts w:ascii="David" w:eastAsia="Calibri" w:hAnsi="David"/>
        </w:rPr>
      </w:pPr>
      <w:r w:rsidRPr="00C75721">
        <w:rPr>
          <w:rFonts w:ascii="David" w:eastAsia="Calibri" w:hAnsi="David"/>
          <w:rtl/>
        </w:rPr>
        <w:t>כמו כן, יש לתת את הדעת לכך ששירות המבחן, שהוא כידוע הגורם האמון על בחינת התקדמותו של הנאשם בפן השיקומי, התרשם ממכלול השיקולים והעריך בסופו של יום כי הנאשם מצוי בתהליך שינוי משמעותי, והמליץ לשמר את הישגיו התעסוקתיים.</w:t>
      </w:r>
    </w:p>
    <w:p w14:paraId="3869F954" w14:textId="77777777" w:rsidR="00EE6650" w:rsidRPr="00EE6650" w:rsidRDefault="00EE6650" w:rsidP="00EE6650">
      <w:pPr>
        <w:pStyle w:val="aa"/>
        <w:numPr>
          <w:ilvl w:val="0"/>
          <w:numId w:val="2"/>
        </w:numPr>
        <w:spacing w:after="0"/>
        <w:ind w:left="-199"/>
      </w:pPr>
      <w:r w:rsidRPr="00C75721">
        <w:rPr>
          <w:rtl/>
        </w:rPr>
        <w:t xml:space="preserve">בנוסף לכל האמור עד כה, מצאתי להתחשב בדברים שמסר הנאשם לשירות המבחן מהם נלמד כי השימוש בסם מסייע לו להתמודד עם בעיותיו הרפואיות אשר בגינן הלה נאלץ לעבור כמה ניתוחים וכי בשל מצבו הרפואי הוא פועל על מנת להוציא רישיון לשימוש בקנבוס רפואי. ברי כי מצב רפואי של נאשם, רעוע ככל שיהיה, אינו מהווה "חיסיון" מפני השתת עונש מאסר (ולו לריצוי על דרך של עבודות שירות). יחד עם זאת, על בית המשפט לשקול נסיבה זו בכובד ראש ולאזנה אל מול יתר הנסיבות והשיקולים. שכן, יש לזכור כי השתת עונש מאסר על עבריין בריא שאינו סובל מבעיות רפואיות ניכרות אינו שקול להשתת עונש מאסר על אדם שמצבו הבריאותי קשה ושהמאסר עלול להרע לו בצורה משמעותית (ראו והשוו, למשל, </w:t>
      </w:r>
      <w:hyperlink r:id="rId53" w:history="1">
        <w:r w:rsidR="001D0521" w:rsidRPr="001D0521">
          <w:rPr>
            <w:color w:val="0000FF"/>
            <w:u w:val="single"/>
            <w:rtl/>
          </w:rPr>
          <w:t>ע"פ 7453/09</w:t>
        </w:r>
      </w:hyperlink>
      <w:r w:rsidRPr="00C75721">
        <w:rPr>
          <w:rtl/>
        </w:rPr>
        <w:t xml:space="preserve"> </w:t>
      </w:r>
      <w:r w:rsidRPr="00C75721">
        <w:rPr>
          <w:b/>
          <w:bCs/>
          <w:rtl/>
        </w:rPr>
        <w:t>פלוני נ' מדינת ישראל</w:t>
      </w:r>
      <w:r w:rsidRPr="00C75721">
        <w:rPr>
          <w:rtl/>
        </w:rPr>
        <w:t xml:space="preserve">, [פורסם בנבו] (16.03.2011)). </w:t>
      </w:r>
    </w:p>
    <w:p w14:paraId="548ED5FF" w14:textId="77777777" w:rsidR="00EE6650" w:rsidRPr="00EE6650" w:rsidRDefault="00EE6650" w:rsidP="00EE6650">
      <w:pPr>
        <w:pStyle w:val="aa"/>
        <w:numPr>
          <w:ilvl w:val="0"/>
          <w:numId w:val="2"/>
        </w:numPr>
        <w:spacing w:after="0"/>
        <w:ind w:left="-199"/>
      </w:pPr>
      <w:r w:rsidRPr="00C75721">
        <w:rPr>
          <w:rtl/>
        </w:rPr>
        <w:t xml:space="preserve">עוד יצוין, כי </w:t>
      </w:r>
      <w:r w:rsidRPr="00C75721">
        <w:rPr>
          <w:b/>
          <w:bCs/>
          <w:rtl/>
        </w:rPr>
        <w:t>במקרים חריגים</w:t>
      </w:r>
      <w:r w:rsidRPr="00C75721">
        <w:rPr>
          <w:rtl/>
        </w:rPr>
        <w:t xml:space="preserve"> יכול מצב בריאותי של נאשם, </w:t>
      </w:r>
      <w:r w:rsidRPr="00C75721">
        <w:rPr>
          <w:b/>
          <w:bCs/>
          <w:rtl/>
        </w:rPr>
        <w:t>כשלעצמו</w:t>
      </w:r>
      <w:r w:rsidRPr="00C75721">
        <w:rPr>
          <w:rtl/>
        </w:rPr>
        <w:t xml:space="preserve">, להצדיק סטייה לקולה ממתחם העונש ההולם (וראו בעניין זה, פסק הדין בעניינו של אורי לופליאנסקי, </w:t>
      </w:r>
      <w:r w:rsidRPr="00C75721">
        <w:rPr>
          <w:u w:val="single"/>
          <w:rtl/>
        </w:rPr>
        <w:t>ב</w:t>
      </w:r>
      <w:hyperlink r:id="rId54" w:history="1">
        <w:r w:rsidR="001D0521" w:rsidRPr="001D0521">
          <w:rPr>
            <w:color w:val="0000FF"/>
            <w:u w:val="single"/>
            <w:rtl/>
          </w:rPr>
          <w:t>ע"פ 4456/14</w:t>
        </w:r>
      </w:hyperlink>
      <w:r w:rsidRPr="00C75721">
        <w:rPr>
          <w:rtl/>
        </w:rPr>
        <w:t xml:space="preserve"> </w:t>
      </w:r>
      <w:r w:rsidRPr="00C75721">
        <w:rPr>
          <w:b/>
          <w:bCs/>
          <w:rtl/>
        </w:rPr>
        <w:t>אביגדור קלנר נ' מדינת ישראל</w:t>
      </w:r>
      <w:r w:rsidRPr="00C75721">
        <w:rPr>
          <w:rtl/>
        </w:rPr>
        <w:t xml:space="preserve">, [פורסם בנבו] (29.12.2015); </w:t>
      </w:r>
      <w:r w:rsidRPr="00C75721">
        <w:rPr>
          <w:u w:val="single"/>
          <w:rtl/>
        </w:rPr>
        <w:t>ו</w:t>
      </w:r>
      <w:hyperlink r:id="rId55" w:history="1">
        <w:r w:rsidR="001D0521" w:rsidRPr="001D0521">
          <w:rPr>
            <w:color w:val="0000FF"/>
            <w:u w:val="single"/>
            <w:rtl/>
          </w:rPr>
          <w:t>ע"פ 4506/15</w:t>
        </w:r>
      </w:hyperlink>
      <w:r w:rsidRPr="00C75721">
        <w:rPr>
          <w:rtl/>
        </w:rPr>
        <w:t xml:space="preserve"> </w:t>
      </w:r>
      <w:r w:rsidRPr="00C75721">
        <w:rPr>
          <w:b/>
          <w:bCs/>
          <w:rtl/>
        </w:rPr>
        <w:t>צבי בר נ' מדינת ישראל</w:t>
      </w:r>
      <w:r w:rsidRPr="00C75721">
        <w:rPr>
          <w:rtl/>
        </w:rPr>
        <w:t xml:space="preserve">, [פורסם בנבו] (11.12.2016)). אכן, כל מקרה צריך להיבחן לגופו ולא בכל מקום שבו עסקינן בנאשם הלוקה בבריאותו יביא הדבר מניה וביה לסטייה לקולה ממתחם העונש וממילא גם לא להימנעות מהשתת עונש מאסר. לצד אלה, וכאמור זה מכבר, אין להתעלם מהעובדה כי בהשוואה לאנשים בריאים, נשיאת עונש מאסר היא קשה ופוגענית יותר בעבור אנשים שמצבם הבריאותי רעוע, והרי שהנזק שעלול להיגרם להם כתוצאה מעונש זה הוא רב יותר. </w:t>
      </w:r>
    </w:p>
    <w:p w14:paraId="06B47740" w14:textId="77777777" w:rsidR="00EE6650" w:rsidRPr="00EE6650" w:rsidRDefault="00EE6650" w:rsidP="00EE6650">
      <w:pPr>
        <w:pStyle w:val="aa"/>
        <w:numPr>
          <w:ilvl w:val="0"/>
          <w:numId w:val="2"/>
        </w:numPr>
        <w:spacing w:after="0"/>
        <w:ind w:left="-199"/>
      </w:pPr>
      <w:r w:rsidRPr="00C75721">
        <w:rPr>
          <w:rtl/>
        </w:rPr>
        <w:t>כללם של דברים, מצאתי כי יש לבכר במקרה הנדון את שיקולי השיקום על פני יתר השיקולים שבענישה ולסטות בעניינו של הנאשם לקולה ממתחם העונש ההולם.</w:t>
      </w:r>
    </w:p>
    <w:p w14:paraId="544F7D08" w14:textId="77777777" w:rsidR="00EE6650" w:rsidRPr="00EE6650" w:rsidRDefault="00EE6650" w:rsidP="00EE6650">
      <w:pPr>
        <w:pStyle w:val="aa"/>
        <w:numPr>
          <w:ilvl w:val="0"/>
          <w:numId w:val="2"/>
        </w:numPr>
        <w:spacing w:after="0"/>
        <w:ind w:left="-199"/>
      </w:pPr>
      <w:r w:rsidRPr="00C75721">
        <w:rPr>
          <w:b/>
          <w:bCs/>
          <w:rtl/>
        </w:rPr>
        <w:t>ומן התם אל הכא</w:t>
      </w:r>
      <w:r w:rsidRPr="00C75721">
        <w:rPr>
          <w:rtl/>
        </w:rPr>
        <w:t xml:space="preserve">,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באופן יחסי, שהודה בביצוע העבירה והביע צער וחרטה על מעשיו; בשל החשש שהשתת ענישה בדמות מאסר (ולו לריצוי בעבודות שירות) תפגע אנושות בדרכו השיקומית ובתעסוקתו הנורמטיבית; ונוכח המלצתו העונשית של שירות המבחן – מצאתי כי ניתן בזו הפעם ללכת לקראתו ולבכר את שיקול השיקום בעניינו. </w:t>
      </w:r>
    </w:p>
    <w:p w14:paraId="087C913F" w14:textId="77777777" w:rsidR="00EE6650" w:rsidRPr="00EE6650" w:rsidRDefault="00EE6650" w:rsidP="00EE6650">
      <w:pPr>
        <w:pStyle w:val="aa"/>
        <w:numPr>
          <w:ilvl w:val="0"/>
          <w:numId w:val="2"/>
        </w:numPr>
        <w:spacing w:after="0"/>
        <w:ind w:left="-199"/>
      </w:pPr>
      <w:r w:rsidRPr="008F19DB">
        <w:rPr>
          <w:rtl/>
        </w:rPr>
        <w:t xml:space="preserve">אכן, מלאכת גזירת הדין איננה קלה כלל ועיקר, ובית המשפט מודע לפסיקה המורה כי בעניינם של נאשמים שהורשעו בעבירה ממין זה שבה הורשע הנאשם, צריך האינטרס האישי של הנאשמים לסגת מפני שיקולי הענישה האחרים. יחד עם זאת, כפי שצוין זה מכבר, הענישה לעולם צריכה להיות אינדיווידואלית. </w:t>
      </w:r>
    </w:p>
    <w:p w14:paraId="2DDCE299" w14:textId="77777777" w:rsidR="00EE6650" w:rsidRPr="00EE6650" w:rsidRDefault="00EE6650" w:rsidP="00EE6650">
      <w:pPr>
        <w:pStyle w:val="aa"/>
        <w:numPr>
          <w:ilvl w:val="0"/>
          <w:numId w:val="2"/>
        </w:numPr>
        <w:spacing w:after="0"/>
        <w:ind w:left="-199"/>
      </w:pPr>
      <w:r w:rsidRPr="00C75721">
        <w:rPr>
          <w:rtl/>
        </w:rPr>
        <w:t>בכל הנוגע לרכיב פסילת רישיון הנהיגה של הנאשם, בשים לב לעובדה שהמדובר בנאשם אשר עורך מאמצים להעלות את חייו על מסלול נורמטיבי, מצאתי כי ניתן בזו הפעם ללכת לקראתו בפן הזה ולהסתפק בפסילת רישיון מותנית בלבד</w:t>
      </w:r>
      <w:r w:rsidRPr="00C75721">
        <w:t>.</w:t>
      </w:r>
    </w:p>
    <w:p w14:paraId="0DEDD0B7" w14:textId="77777777" w:rsidR="00EE6650" w:rsidRPr="00EE6650" w:rsidRDefault="00EE6650" w:rsidP="00EE6650">
      <w:pPr>
        <w:pStyle w:val="aa"/>
        <w:numPr>
          <w:ilvl w:val="0"/>
          <w:numId w:val="2"/>
        </w:numPr>
        <w:spacing w:after="0"/>
        <w:ind w:left="-199"/>
      </w:pPr>
      <w:r w:rsidRPr="00C75721">
        <w:rPr>
          <w:b/>
          <w:bCs/>
          <w:rtl/>
        </w:rPr>
        <w:t>מכל המקובץ לעיל, אני גוזרת על הנאשם את העונשים הבאים:</w:t>
      </w:r>
      <w:r w:rsidRPr="00C75721">
        <w:rPr>
          <w:rtl/>
        </w:rPr>
        <w:t xml:space="preserve"> </w:t>
      </w:r>
    </w:p>
    <w:p w14:paraId="776CBABE" w14:textId="77777777" w:rsidR="00EE6650" w:rsidRPr="00C75721" w:rsidRDefault="00EE6650" w:rsidP="00EE6650">
      <w:pPr>
        <w:pStyle w:val="aa"/>
        <w:numPr>
          <w:ilvl w:val="0"/>
          <w:numId w:val="5"/>
        </w:numPr>
        <w:ind w:left="360"/>
        <w:rPr>
          <w:b/>
          <w:bCs/>
          <w:rtl/>
        </w:rPr>
      </w:pPr>
      <w:r w:rsidRPr="00C75721">
        <w:rPr>
          <w:b/>
          <w:bCs/>
          <w:rtl/>
        </w:rPr>
        <w:t>מאסר מותנה למשך 8 חודשים, אשר יופעל אם תוך תקופה של 3 שנים מהיום הנאשם יעבור  כל עביר</w:t>
      </w:r>
      <w:r>
        <w:rPr>
          <w:rFonts w:hint="cs"/>
          <w:b/>
          <w:bCs/>
          <w:rtl/>
        </w:rPr>
        <w:t>ת סמים</w:t>
      </w:r>
      <w:r w:rsidRPr="00C75721">
        <w:rPr>
          <w:b/>
          <w:bCs/>
          <w:rtl/>
        </w:rPr>
        <w:t xml:space="preserve"> מסוג פשע בניגוד </w:t>
      </w:r>
      <w:r w:rsidRPr="00C75721">
        <w:rPr>
          <w:b/>
          <w:bCs/>
          <w:u w:val="single"/>
          <w:rtl/>
        </w:rPr>
        <w:t>ל</w:t>
      </w:r>
      <w:hyperlink r:id="rId56" w:history="1">
        <w:r w:rsidR="001D0521" w:rsidRPr="001D0521">
          <w:rPr>
            <w:b/>
            <w:bCs/>
            <w:color w:val="0000FF"/>
            <w:u w:val="single"/>
            <w:rtl/>
          </w:rPr>
          <w:t>פקודת הסמים המסוכנים</w:t>
        </w:r>
      </w:hyperlink>
      <w:r w:rsidRPr="00C75721">
        <w:rPr>
          <w:b/>
          <w:bCs/>
          <w:u w:val="single"/>
          <w:rtl/>
        </w:rPr>
        <w:t>.</w:t>
      </w:r>
    </w:p>
    <w:p w14:paraId="2145090E" w14:textId="77777777" w:rsidR="00EE6650" w:rsidRPr="00C75721" w:rsidRDefault="00EE6650" w:rsidP="00EE6650">
      <w:pPr>
        <w:pStyle w:val="aa"/>
        <w:numPr>
          <w:ilvl w:val="0"/>
          <w:numId w:val="5"/>
        </w:numPr>
        <w:ind w:left="360"/>
        <w:rPr>
          <w:b/>
          <w:bCs/>
          <w:rtl/>
        </w:rPr>
      </w:pPr>
      <w:r w:rsidRPr="00C75721">
        <w:rPr>
          <w:b/>
          <w:bCs/>
          <w:rtl/>
        </w:rPr>
        <w:t>מאסר מותנה למשך 4 חודשים, אשר יופעל אם תוך תקופה של שנתיים מהיום הנאשם יעבור כל עביר</w:t>
      </w:r>
      <w:r>
        <w:rPr>
          <w:rFonts w:hint="cs"/>
          <w:b/>
          <w:bCs/>
          <w:rtl/>
        </w:rPr>
        <w:t>ת סמים</w:t>
      </w:r>
      <w:r w:rsidRPr="00C75721">
        <w:rPr>
          <w:b/>
          <w:bCs/>
          <w:rtl/>
        </w:rPr>
        <w:t xml:space="preserve"> מסוג עוון בניגוד </w:t>
      </w:r>
      <w:r w:rsidRPr="00C75721">
        <w:rPr>
          <w:b/>
          <w:bCs/>
          <w:u w:val="single"/>
          <w:rtl/>
        </w:rPr>
        <w:t>ל</w:t>
      </w:r>
      <w:hyperlink r:id="rId57" w:history="1">
        <w:r w:rsidR="001D0521" w:rsidRPr="001D0521">
          <w:rPr>
            <w:b/>
            <w:bCs/>
            <w:color w:val="0000FF"/>
            <w:u w:val="single"/>
            <w:rtl/>
          </w:rPr>
          <w:t>פקודת הסמים המסוכנים</w:t>
        </w:r>
      </w:hyperlink>
      <w:r w:rsidRPr="00C75721">
        <w:rPr>
          <w:b/>
          <w:bCs/>
          <w:u w:val="single"/>
          <w:rtl/>
        </w:rPr>
        <w:t>.</w:t>
      </w:r>
    </w:p>
    <w:p w14:paraId="707925A4" w14:textId="77777777" w:rsidR="00EE6650" w:rsidRDefault="00EE6650" w:rsidP="00EE6650">
      <w:pPr>
        <w:pStyle w:val="aa"/>
        <w:numPr>
          <w:ilvl w:val="0"/>
          <w:numId w:val="5"/>
        </w:numPr>
        <w:ind w:left="360"/>
        <w:rPr>
          <w:b/>
          <w:bCs/>
        </w:rPr>
      </w:pPr>
      <w:r w:rsidRPr="00C75721">
        <w:rPr>
          <w:b/>
          <w:bCs/>
          <w:rtl/>
        </w:rPr>
        <w:t>קנס בסך 3,000 ₪ או 30 ימים מאסר תמורתו.</w:t>
      </w:r>
    </w:p>
    <w:p w14:paraId="72A5F052" w14:textId="77777777" w:rsidR="00EE6650" w:rsidRPr="00146060" w:rsidRDefault="00EE6650" w:rsidP="00EE6650">
      <w:pPr>
        <w:pStyle w:val="aa"/>
        <w:ind w:left="360" w:firstLine="0"/>
        <w:rPr>
          <w:rtl/>
        </w:rPr>
      </w:pPr>
      <w:r w:rsidRPr="00146060">
        <w:rPr>
          <w:rtl/>
        </w:rPr>
        <w:t>הקנס ישולם ב</w:t>
      </w:r>
      <w:r w:rsidRPr="00146060">
        <w:rPr>
          <w:rFonts w:hint="cs"/>
          <w:rtl/>
        </w:rPr>
        <w:t>- 6 שיעורים שווים ורצופים, כשהראשון שבהם בתוך 60 יום מהיום.</w:t>
      </w:r>
    </w:p>
    <w:p w14:paraId="630181C8" w14:textId="77777777" w:rsidR="00EE6650" w:rsidRDefault="00EE6650" w:rsidP="00EE6650">
      <w:pPr>
        <w:pStyle w:val="aa"/>
        <w:ind w:left="360" w:firstLine="0"/>
        <w:rPr>
          <w:rtl/>
        </w:rPr>
      </w:pPr>
      <w:r w:rsidRPr="00C75721">
        <w:rPr>
          <w:rFonts w:hint="cs"/>
          <w:rtl/>
        </w:rPr>
        <w:t>תשומת לב הנאשם כי החוב מועבר למרכז לגביית קנסות, אגרות והוצאות ברשות האכיפה והגבייה, בהתאם למועדים והתשלומים שנקבעו בגזר הדין.</w:t>
      </w:r>
    </w:p>
    <w:p w14:paraId="4BDCC992" w14:textId="77777777" w:rsidR="00EE6650" w:rsidRDefault="00EE6650" w:rsidP="00EE6650">
      <w:pPr>
        <w:pStyle w:val="aa"/>
        <w:ind w:left="360" w:firstLine="0"/>
        <w:rPr>
          <w:rtl/>
        </w:rPr>
      </w:pPr>
      <w:r w:rsidRPr="00C75721">
        <w:rPr>
          <w:rFonts w:hint="cs"/>
          <w:rtl/>
        </w:rPr>
        <w:t>ניתן יהיה לשלם את הקנס ההוצאות כעבור שלושה ימים מיום מתן גזר הדין לחשבון המרכז לגביית קנסות, אגרות והוצאות ברשות האכיפה והגבייה באחת מהדרכים הבאות:</w:t>
      </w:r>
    </w:p>
    <w:p w14:paraId="702DBFCD" w14:textId="77777777" w:rsidR="00EE6650" w:rsidRPr="00C75721" w:rsidRDefault="00EE6650" w:rsidP="00EE6650">
      <w:pPr>
        <w:pStyle w:val="aa"/>
        <w:numPr>
          <w:ilvl w:val="0"/>
          <w:numId w:val="4"/>
        </w:numPr>
        <w:spacing w:after="0"/>
        <w:jc w:val="left"/>
        <w:rPr>
          <w:rFonts w:ascii="Times New Roman" w:hAnsi="Times New Roman"/>
          <w:sz w:val="22"/>
          <w:szCs w:val="22"/>
          <w:rtl/>
        </w:rPr>
      </w:pPr>
      <w:r w:rsidRPr="00C75721">
        <w:rPr>
          <w:rFonts w:hint="cs"/>
          <w:sz w:val="22"/>
          <w:szCs w:val="22"/>
          <w:rtl/>
        </w:rPr>
        <w:t xml:space="preserve">בכרטיס אשראי – באתר המקוון של רשות האכיפה והגבייה, </w:t>
      </w:r>
      <w:hyperlink r:id="rId58" w:history="1">
        <w:r w:rsidRPr="00C75721">
          <w:rPr>
            <w:rStyle w:val="Hyperlink"/>
            <w:rFonts w:cs="Calibri" w:hint="cs"/>
            <w:sz w:val="22"/>
            <w:szCs w:val="22"/>
          </w:rPr>
          <w:t>www.eca.gov.il</w:t>
        </w:r>
      </w:hyperlink>
      <w:r w:rsidRPr="00C75721">
        <w:rPr>
          <w:rFonts w:hint="cs"/>
          <w:sz w:val="22"/>
          <w:szCs w:val="22"/>
        </w:rPr>
        <w:t xml:space="preserve"> </w:t>
      </w:r>
      <w:r w:rsidR="001D0521">
        <w:rPr>
          <w:rFonts w:hint="cs"/>
          <w:sz w:val="22"/>
          <w:szCs w:val="22"/>
          <w:rtl/>
        </w:rPr>
        <w:t xml:space="preserve"> </w:t>
      </w:r>
    </w:p>
    <w:p w14:paraId="26240C8B" w14:textId="77777777" w:rsidR="00EE6650" w:rsidRPr="00C75721" w:rsidRDefault="00EE6650" w:rsidP="00EE6650">
      <w:pPr>
        <w:pStyle w:val="aa"/>
        <w:numPr>
          <w:ilvl w:val="0"/>
          <w:numId w:val="4"/>
        </w:numPr>
        <w:spacing w:after="0"/>
        <w:jc w:val="left"/>
        <w:rPr>
          <w:rFonts w:ascii="Times New Roman" w:hAnsi="Times New Roman"/>
          <w:sz w:val="22"/>
          <w:szCs w:val="22"/>
          <w:rtl/>
        </w:rPr>
      </w:pPr>
      <w:r w:rsidRPr="00C75721">
        <w:rPr>
          <w:rFonts w:hint="cs"/>
          <w:sz w:val="22"/>
          <w:szCs w:val="22"/>
          <w:rtl/>
        </w:rPr>
        <w:t>במוקד שירות טלפוני בשרות עצמי (מרכז גבייה)</w:t>
      </w:r>
      <w:r w:rsidR="001D0521">
        <w:rPr>
          <w:rFonts w:hint="cs"/>
          <w:sz w:val="22"/>
          <w:szCs w:val="22"/>
          <w:rtl/>
        </w:rPr>
        <w:t xml:space="preserve"> </w:t>
      </w:r>
      <w:r w:rsidRPr="00C75721">
        <w:rPr>
          <w:rFonts w:hint="cs"/>
          <w:sz w:val="22"/>
          <w:szCs w:val="22"/>
          <w:rtl/>
        </w:rPr>
        <w:t xml:space="preserve"> – בטלפון 35592* או בטלפון 073-2055000</w:t>
      </w:r>
    </w:p>
    <w:p w14:paraId="5001E7B8" w14:textId="77777777" w:rsidR="00EE6650" w:rsidRPr="00C75721" w:rsidRDefault="00EE6650" w:rsidP="00EE6650">
      <w:pPr>
        <w:pStyle w:val="aa"/>
        <w:numPr>
          <w:ilvl w:val="0"/>
          <w:numId w:val="4"/>
        </w:numPr>
        <w:spacing w:after="0"/>
        <w:jc w:val="left"/>
        <w:rPr>
          <w:rFonts w:ascii="Times New Roman" w:hAnsi="Times New Roman"/>
          <w:sz w:val="22"/>
          <w:szCs w:val="22"/>
          <w:rtl/>
        </w:rPr>
      </w:pPr>
      <w:r w:rsidRPr="00C75721">
        <w:rPr>
          <w:rFonts w:hint="cs"/>
          <w:sz w:val="22"/>
          <w:szCs w:val="22"/>
          <w:rtl/>
        </w:rPr>
        <w:t>במזומן בכל סניף של בנק הדואר – בהצגת תעודת זהות בלבד (אין צורך בשוברי תשלום).</w:t>
      </w:r>
    </w:p>
    <w:p w14:paraId="742352A9" w14:textId="77777777" w:rsidR="00EE6650" w:rsidRPr="00C75721" w:rsidRDefault="00EE6650" w:rsidP="00EE6650">
      <w:pPr>
        <w:spacing w:line="360" w:lineRule="auto"/>
        <w:rPr>
          <w:rFonts w:ascii="David" w:hAnsi="David"/>
          <w:sz w:val="22"/>
          <w:szCs w:val="22"/>
          <w:rtl/>
        </w:rPr>
      </w:pPr>
    </w:p>
    <w:p w14:paraId="0A270EEA" w14:textId="77777777" w:rsidR="00EE6650" w:rsidRPr="00C75721" w:rsidRDefault="00EE6650" w:rsidP="00EE6650">
      <w:pPr>
        <w:pStyle w:val="aa"/>
        <w:numPr>
          <w:ilvl w:val="0"/>
          <w:numId w:val="5"/>
        </w:numPr>
        <w:ind w:left="360"/>
        <w:rPr>
          <w:b/>
          <w:bCs/>
          <w:rtl/>
        </w:rPr>
      </w:pPr>
      <w:r w:rsidRPr="00C75721">
        <w:rPr>
          <w:b/>
          <w:bCs/>
          <w:rtl/>
        </w:rPr>
        <w:t>הנאשם יצהיר על התחייבות על סך 10,000</w:t>
      </w:r>
      <w:r>
        <w:rPr>
          <w:rFonts w:hint="cs"/>
          <w:b/>
          <w:bCs/>
          <w:rtl/>
        </w:rPr>
        <w:t xml:space="preserve"> </w:t>
      </w:r>
      <w:r w:rsidRPr="00C75721">
        <w:rPr>
          <w:b/>
          <w:bCs/>
          <w:rtl/>
        </w:rPr>
        <w:t xml:space="preserve">₪ להימנע מביצוע העבירה שבה הורשע וזאת לתקופה של שנתיים מהיום. </w:t>
      </w:r>
    </w:p>
    <w:p w14:paraId="1773E1AE" w14:textId="77777777" w:rsidR="00EE6650" w:rsidRPr="00C75721" w:rsidRDefault="00EE6650" w:rsidP="00EE6650">
      <w:pPr>
        <w:pStyle w:val="aa"/>
        <w:numPr>
          <w:ilvl w:val="0"/>
          <w:numId w:val="5"/>
        </w:numPr>
        <w:ind w:left="360"/>
        <w:rPr>
          <w:b/>
          <w:bCs/>
          <w:u w:val="single"/>
          <w:rtl/>
        </w:rPr>
      </w:pPr>
      <w:r w:rsidRPr="00C75721">
        <w:rPr>
          <w:b/>
          <w:bCs/>
          <w:rtl/>
        </w:rPr>
        <w:t xml:space="preserve">הנני פוסלת הנאשם מלקבל ומלהחזיק רישיון נהיגה למשך 6 חודשים בתנאי שלא יעבור כל עבירה בניגוד </w:t>
      </w:r>
      <w:r w:rsidRPr="00C75721">
        <w:rPr>
          <w:b/>
          <w:bCs/>
          <w:u w:val="single"/>
          <w:rtl/>
        </w:rPr>
        <w:t>ל</w:t>
      </w:r>
      <w:hyperlink r:id="rId59" w:history="1">
        <w:r w:rsidR="001D0521" w:rsidRPr="001D0521">
          <w:rPr>
            <w:b/>
            <w:bCs/>
            <w:color w:val="0000FF"/>
            <w:u w:val="single"/>
            <w:rtl/>
          </w:rPr>
          <w:t>פקודת הסמים המסוכנים</w:t>
        </w:r>
      </w:hyperlink>
      <w:r w:rsidRPr="00C75721">
        <w:rPr>
          <w:b/>
          <w:bCs/>
          <w:rtl/>
        </w:rPr>
        <w:t xml:space="preserve"> במשך שנתיים מהיום.</w:t>
      </w:r>
    </w:p>
    <w:p w14:paraId="53A58C4D" w14:textId="77777777" w:rsidR="00EE6650" w:rsidRDefault="00EE6650" w:rsidP="00EE6650">
      <w:pPr>
        <w:spacing w:line="360" w:lineRule="auto"/>
        <w:rPr>
          <w:rFonts w:eastAsia="Calibri"/>
          <w:b/>
          <w:bCs/>
          <w:rtl/>
        </w:rPr>
      </w:pPr>
    </w:p>
    <w:p w14:paraId="110459BD" w14:textId="77777777" w:rsidR="00EE6650" w:rsidRPr="008F19DB" w:rsidRDefault="00EE6650" w:rsidP="00EE6650">
      <w:pPr>
        <w:spacing w:line="360" w:lineRule="auto"/>
        <w:jc w:val="both"/>
        <w:rPr>
          <w:rFonts w:eastAsia="Calibri"/>
          <w:rtl/>
        </w:rPr>
      </w:pPr>
      <w:r w:rsidRPr="008F19DB">
        <w:rPr>
          <w:rFonts w:eastAsia="Calibri" w:hint="cs"/>
          <w:rtl/>
        </w:rPr>
        <w:t xml:space="preserve">ניתן צו להשמדת המוצג </w:t>
      </w:r>
      <w:r w:rsidRPr="008F19DB">
        <w:rPr>
          <w:rFonts w:eastAsia="Calibri"/>
          <w:rtl/>
        </w:rPr>
        <w:t>–</w:t>
      </w:r>
      <w:r w:rsidRPr="008F19DB">
        <w:rPr>
          <w:rFonts w:eastAsia="Calibri" w:hint="cs"/>
          <w:rtl/>
        </w:rPr>
        <w:t xml:space="preserve"> סמים, בכפוף לחלוף תקופת הערעור.</w:t>
      </w:r>
    </w:p>
    <w:p w14:paraId="6EF3737C" w14:textId="77777777" w:rsidR="00EE6650" w:rsidRDefault="00EE6650" w:rsidP="00EE6650">
      <w:pPr>
        <w:spacing w:line="360" w:lineRule="auto"/>
        <w:rPr>
          <w:rFonts w:eastAsia="Calibri"/>
          <w:b/>
          <w:bCs/>
          <w:rtl/>
        </w:rPr>
      </w:pPr>
    </w:p>
    <w:p w14:paraId="0CA2555C" w14:textId="77777777" w:rsidR="00EE6650" w:rsidRPr="00325CB4" w:rsidRDefault="00EE6650" w:rsidP="00EE6650">
      <w:pPr>
        <w:spacing w:line="360" w:lineRule="auto"/>
        <w:rPr>
          <w:rFonts w:eastAsia="Calibri"/>
          <w:b/>
          <w:bCs/>
          <w:rtl/>
        </w:rPr>
      </w:pPr>
      <w:r w:rsidRPr="00325CB4">
        <w:rPr>
          <w:rFonts w:eastAsia="Calibri"/>
          <w:b/>
          <w:bCs/>
          <w:rtl/>
        </w:rPr>
        <w:t>זכות ערעור כחוק.</w:t>
      </w:r>
    </w:p>
    <w:p w14:paraId="4AB160E5" w14:textId="77777777" w:rsidR="00EE6650" w:rsidRDefault="00EE6650" w:rsidP="00EE6650">
      <w:pPr>
        <w:jc w:val="both"/>
        <w:rPr>
          <w:rFonts w:ascii="David" w:hAnsi="David"/>
          <w:b/>
          <w:bCs/>
          <w:rtl/>
        </w:rPr>
      </w:pPr>
    </w:p>
    <w:p w14:paraId="11DF0D0E" w14:textId="77777777" w:rsidR="00EE6650" w:rsidRPr="00C75721" w:rsidRDefault="00EE6650" w:rsidP="00EE6650">
      <w:pPr>
        <w:spacing w:line="360" w:lineRule="auto"/>
        <w:jc w:val="both"/>
        <w:rPr>
          <w:rFonts w:ascii="David" w:hAnsi="David"/>
          <w:b/>
          <w:bCs/>
          <w:rtl/>
        </w:rPr>
      </w:pPr>
      <w:r w:rsidRPr="00C75721">
        <w:rPr>
          <w:rFonts w:ascii="David" w:hAnsi="David"/>
          <w:b/>
          <w:bCs/>
          <w:rtl/>
        </w:rPr>
        <w:t>נית</w:t>
      </w:r>
      <w:r>
        <w:rPr>
          <w:rFonts w:ascii="David" w:hAnsi="David" w:hint="cs"/>
          <w:b/>
          <w:bCs/>
          <w:rtl/>
        </w:rPr>
        <w:t>ן</w:t>
      </w:r>
      <w:r w:rsidRPr="00C75721">
        <w:rPr>
          <w:rFonts w:ascii="David" w:hAnsi="David"/>
          <w:b/>
          <w:bCs/>
          <w:rtl/>
        </w:rPr>
        <w:t xml:space="preserve"> </w:t>
      </w:r>
      <w:r>
        <w:rPr>
          <w:rFonts w:ascii="David" w:hAnsi="David" w:hint="cs"/>
          <w:b/>
          <w:bCs/>
          <w:rtl/>
        </w:rPr>
        <w:t xml:space="preserve">והודע </w:t>
      </w:r>
      <w:r w:rsidRPr="00C75721">
        <w:rPr>
          <w:rFonts w:ascii="David" w:hAnsi="David"/>
          <w:b/>
          <w:bCs/>
          <w:rtl/>
        </w:rPr>
        <w:t xml:space="preserve">היום, </w:t>
      </w:r>
      <w:r>
        <w:rPr>
          <w:rFonts w:ascii="David" w:hAnsi="David" w:hint="cs"/>
          <w:b/>
          <w:bCs/>
          <w:rtl/>
        </w:rPr>
        <w:t>א'</w:t>
      </w:r>
      <w:r w:rsidRPr="00C75721">
        <w:rPr>
          <w:rFonts w:ascii="David" w:hAnsi="David"/>
          <w:b/>
          <w:bCs/>
          <w:rtl/>
        </w:rPr>
        <w:t xml:space="preserve"> </w:t>
      </w:r>
      <w:r>
        <w:rPr>
          <w:rFonts w:ascii="David" w:hAnsi="David"/>
          <w:b/>
          <w:bCs/>
          <w:rtl/>
        </w:rPr>
        <w:t>א' אדר ב' תשפ"ד</w:t>
      </w:r>
      <w:r w:rsidRPr="00C75721">
        <w:rPr>
          <w:rFonts w:ascii="David" w:hAnsi="David"/>
          <w:b/>
          <w:bCs/>
          <w:rtl/>
        </w:rPr>
        <w:t xml:space="preserve">, </w:t>
      </w:r>
      <w:r>
        <w:rPr>
          <w:rFonts w:ascii="David" w:hAnsi="David" w:hint="cs"/>
          <w:b/>
          <w:bCs/>
          <w:rtl/>
        </w:rPr>
        <w:t>11</w:t>
      </w:r>
      <w:r>
        <w:rPr>
          <w:rFonts w:ascii="David" w:hAnsi="David"/>
          <w:b/>
          <w:bCs/>
          <w:rtl/>
        </w:rPr>
        <w:t>11 מרץ 2024, ב</w:t>
      </w:r>
      <w:r>
        <w:rPr>
          <w:rFonts w:ascii="David" w:hAnsi="David" w:hint="cs"/>
          <w:b/>
          <w:bCs/>
          <w:rtl/>
        </w:rPr>
        <w:t>מעמד</w:t>
      </w:r>
      <w:r w:rsidRPr="00C75721">
        <w:rPr>
          <w:rFonts w:ascii="David" w:hAnsi="David"/>
          <w:b/>
          <w:bCs/>
          <w:rtl/>
        </w:rPr>
        <w:t xml:space="preserve"> הצדדים.</w:t>
      </w:r>
    </w:p>
    <w:p w14:paraId="3504A016" w14:textId="77777777" w:rsidR="00EE6650" w:rsidRPr="00C75721" w:rsidRDefault="00EE6650" w:rsidP="00EE6650">
      <w:pPr>
        <w:spacing w:line="360" w:lineRule="auto"/>
        <w:jc w:val="both"/>
        <w:rPr>
          <w:rFonts w:ascii="David" w:hAnsi="David"/>
          <w:rtl/>
        </w:rPr>
      </w:pPr>
    </w:p>
    <w:p w14:paraId="0D7E4935" w14:textId="77777777" w:rsidR="00EE6650" w:rsidRPr="00C75721" w:rsidRDefault="00AF2A5D" w:rsidP="00EE6650">
      <w:pPr>
        <w:spacing w:line="360" w:lineRule="auto"/>
        <w:ind w:left="3600" w:firstLine="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25pt;visibility:visible">
            <v:imagedata r:id="rId60" o:title=""/>
          </v:shape>
        </w:pict>
      </w:r>
    </w:p>
    <w:p w14:paraId="40CB283B" w14:textId="77777777" w:rsidR="00EE6650" w:rsidRPr="00C75721" w:rsidRDefault="00EE6650" w:rsidP="00EE6650">
      <w:pPr>
        <w:spacing w:line="360" w:lineRule="auto"/>
        <w:ind w:left="3600" w:firstLine="720"/>
        <w:jc w:val="both"/>
        <w:rPr>
          <w:rFonts w:ascii="David" w:hAnsi="David"/>
          <w:rtl/>
        </w:rPr>
      </w:pPr>
    </w:p>
    <w:p w14:paraId="4CD33F31" w14:textId="77777777" w:rsidR="00EE6650" w:rsidRPr="00C75721" w:rsidRDefault="00EE6650" w:rsidP="00EE6650">
      <w:pPr>
        <w:spacing w:line="360" w:lineRule="auto"/>
        <w:jc w:val="both"/>
        <w:rPr>
          <w:rFonts w:ascii="David" w:hAnsi="David"/>
          <w:rtl/>
        </w:rPr>
      </w:pPr>
    </w:p>
    <w:p w14:paraId="5F2C19E2" w14:textId="77777777" w:rsidR="00EE6650" w:rsidRDefault="00EE6650" w:rsidP="00EE6650">
      <w:pPr>
        <w:spacing w:line="360" w:lineRule="auto"/>
        <w:ind w:left="-559"/>
        <w:contextualSpacing/>
        <w:jc w:val="both"/>
        <w:rPr>
          <w:rFonts w:ascii="David" w:eastAsia="Calibri" w:hAnsi="David"/>
          <w:b/>
          <w:bCs/>
          <w:u w:val="single"/>
          <w:rtl/>
        </w:rPr>
      </w:pPr>
    </w:p>
    <w:p w14:paraId="39E9E033" w14:textId="77777777" w:rsidR="00EE6650" w:rsidRPr="00C75721" w:rsidRDefault="00EE6650" w:rsidP="00EE6650">
      <w:pPr>
        <w:spacing w:line="360" w:lineRule="auto"/>
        <w:ind w:left="-559"/>
        <w:contextualSpacing/>
        <w:jc w:val="both"/>
        <w:rPr>
          <w:rFonts w:ascii="David" w:eastAsia="Calibri" w:hAnsi="David"/>
          <w:rtl/>
        </w:rPr>
      </w:pPr>
      <w:r w:rsidRPr="00C75721">
        <w:rPr>
          <w:rFonts w:ascii="David" w:eastAsia="Calibri" w:hAnsi="David"/>
          <w:b/>
          <w:bCs/>
          <w:u w:val="single"/>
          <w:rtl/>
        </w:rPr>
        <w:t>הנאשם:</w:t>
      </w:r>
    </w:p>
    <w:p w14:paraId="5C4AC9FC" w14:textId="77777777" w:rsidR="00EE6650" w:rsidRPr="00C75721" w:rsidRDefault="00EE6650" w:rsidP="00EE6650">
      <w:pPr>
        <w:spacing w:line="360" w:lineRule="auto"/>
        <w:ind w:left="-559"/>
        <w:contextualSpacing/>
        <w:jc w:val="both"/>
        <w:rPr>
          <w:rFonts w:ascii="David" w:eastAsia="Calibri" w:hAnsi="David"/>
          <w:rtl/>
        </w:rPr>
      </w:pPr>
      <w:r w:rsidRPr="00C75721">
        <w:rPr>
          <w:rFonts w:ascii="David" w:eastAsia="Calibri" w:hAnsi="David"/>
          <w:rtl/>
        </w:rPr>
        <w:t>אני מתחייב שלא לעבור עבירה שבה הורשעתי וזאת למשך שנתיים מהיום.</w:t>
      </w:r>
    </w:p>
    <w:p w14:paraId="3C33B0FF" w14:textId="77777777" w:rsidR="00EE6650" w:rsidRPr="00C75721" w:rsidRDefault="00EE6650" w:rsidP="00EE6650">
      <w:pPr>
        <w:spacing w:line="360" w:lineRule="auto"/>
        <w:ind w:left="-559"/>
        <w:contextualSpacing/>
        <w:jc w:val="both"/>
        <w:rPr>
          <w:rFonts w:ascii="David" w:eastAsia="Calibri" w:hAnsi="David"/>
        </w:rPr>
      </w:pPr>
      <w:r w:rsidRPr="00C75721">
        <w:rPr>
          <w:rFonts w:ascii="David" w:eastAsia="Calibri" w:hAnsi="David"/>
          <w:rtl/>
        </w:rPr>
        <w:t xml:space="preserve">הובהר לי, כי ככל שאעבור עבירה  שבה הורשעתי במשך שנתיים מהיום, אזי יושת עלי סך של 10,000 ₪. </w:t>
      </w:r>
    </w:p>
    <w:p w14:paraId="261A086C" w14:textId="77777777" w:rsidR="00EE6650" w:rsidRDefault="00EE6650" w:rsidP="00EE6650">
      <w:pPr>
        <w:spacing w:line="360" w:lineRule="auto"/>
        <w:ind w:left="-63" w:hanging="357"/>
        <w:jc w:val="center"/>
        <w:rPr>
          <w:rFonts w:ascii="David" w:eastAsia="Calibri" w:hAnsi="David"/>
          <w:b/>
          <w:bCs/>
          <w:u w:val="single"/>
          <w:rtl/>
        </w:rPr>
      </w:pPr>
    </w:p>
    <w:p w14:paraId="4FC1CC48" w14:textId="77777777" w:rsidR="00EE6650" w:rsidRPr="00C75721" w:rsidRDefault="00EE6650" w:rsidP="00EE6650">
      <w:pPr>
        <w:spacing w:line="360" w:lineRule="auto"/>
        <w:ind w:left="-63" w:hanging="357"/>
        <w:jc w:val="center"/>
        <w:rPr>
          <w:rFonts w:ascii="David" w:eastAsia="Calibri" w:hAnsi="David"/>
          <w:b/>
          <w:bCs/>
          <w:u w:val="single"/>
          <w:rtl/>
        </w:rPr>
      </w:pPr>
      <w:r w:rsidRPr="00C75721">
        <w:rPr>
          <w:rFonts w:ascii="David" w:eastAsia="Calibri" w:hAnsi="David"/>
          <w:b/>
          <w:bCs/>
          <w:u w:val="single"/>
          <w:rtl/>
        </w:rPr>
        <w:t>החלטה</w:t>
      </w:r>
    </w:p>
    <w:p w14:paraId="58C6D712" w14:textId="77777777" w:rsidR="00EE6650" w:rsidRDefault="00EE6650" w:rsidP="00EE6650">
      <w:pPr>
        <w:spacing w:line="360" w:lineRule="auto"/>
        <w:ind w:left="-63" w:hanging="357"/>
        <w:jc w:val="both"/>
        <w:rPr>
          <w:rFonts w:ascii="David" w:hAnsi="David"/>
          <w:rtl/>
        </w:rPr>
      </w:pPr>
      <w:r w:rsidRPr="00C75721">
        <w:rPr>
          <w:rFonts w:ascii="David" w:eastAsia="Calibri" w:hAnsi="David"/>
          <w:rtl/>
        </w:rPr>
        <w:t xml:space="preserve">רשמתי לפניי את התחייבות הנאשם להימנע מביצוע העבירה כמפורט בגזר הדין. </w:t>
      </w:r>
    </w:p>
    <w:p w14:paraId="5F35C37A" w14:textId="77777777" w:rsidR="00EE6650" w:rsidRPr="00325CB4" w:rsidRDefault="00EE6650" w:rsidP="00EE6650">
      <w:pPr>
        <w:spacing w:line="360" w:lineRule="auto"/>
        <w:ind w:left="-63" w:hanging="357"/>
        <w:jc w:val="both"/>
        <w:rPr>
          <w:rFonts w:ascii="David" w:hAnsi="David"/>
          <w:b/>
          <w:bCs/>
          <w:sz w:val="8"/>
          <w:szCs w:val="8"/>
          <w:rtl/>
        </w:rPr>
      </w:pPr>
      <w:r w:rsidRPr="00325CB4">
        <w:rPr>
          <w:rFonts w:ascii="David" w:hAnsi="David"/>
          <w:sz w:val="8"/>
          <w:szCs w:val="8"/>
          <w:rtl/>
        </w:rPr>
        <w:t>&lt;#3#&gt;</w:t>
      </w:r>
    </w:p>
    <w:p w14:paraId="2C98F56A" w14:textId="77777777" w:rsidR="00EE6650" w:rsidRPr="00C75721" w:rsidRDefault="001D0521" w:rsidP="00EE6650">
      <w:pPr>
        <w:spacing w:line="360" w:lineRule="auto"/>
        <w:ind w:left="4320"/>
        <w:jc w:val="center"/>
        <w:rPr>
          <w:rFonts w:ascii="David" w:hAnsi="David"/>
          <w:rtl/>
        </w:rPr>
      </w:pPr>
      <w:bookmarkStart w:id="8" w:name="Nitan"/>
      <w:r w:rsidRPr="001D0521">
        <w:rPr>
          <w:rFonts w:ascii="David" w:hAnsi="David"/>
          <w:b/>
          <w:bCs/>
          <w:color w:val="FFFFFF"/>
          <w:sz w:val="2"/>
          <w:szCs w:val="2"/>
          <w:rtl/>
        </w:rPr>
        <w:t>5129371</w:t>
      </w:r>
      <w:r>
        <w:rPr>
          <w:rFonts w:ascii="David" w:hAnsi="David"/>
          <w:b/>
          <w:bCs/>
          <w:rtl/>
        </w:rPr>
        <w:t xml:space="preserve">ניתנה והודעה היום א' אדר ב' תשפ"ד, 11/3/2024 במעמד הנוכחים. </w:t>
      </w:r>
      <w:bookmarkEnd w:id="8"/>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EE6650" w:rsidRPr="00C75721" w14:paraId="72B9C488" w14:textId="77777777" w:rsidTr="00EE6650">
        <w:trPr>
          <w:trHeight w:val="316"/>
        </w:trPr>
        <w:tc>
          <w:tcPr>
            <w:tcW w:w="3936" w:type="dxa"/>
            <w:tcBorders>
              <w:top w:val="nil"/>
              <w:left w:val="nil"/>
              <w:bottom w:val="single" w:sz="4" w:space="0" w:color="auto"/>
              <w:right w:val="nil"/>
            </w:tcBorders>
            <w:shd w:val="clear" w:color="auto" w:fill="auto"/>
          </w:tcPr>
          <w:p w14:paraId="030BB209" w14:textId="77777777" w:rsidR="00EE6650" w:rsidRPr="001D0521" w:rsidRDefault="001D0521" w:rsidP="00EE6650">
            <w:pPr>
              <w:spacing w:line="360" w:lineRule="auto"/>
              <w:jc w:val="center"/>
              <w:rPr>
                <w:rFonts w:ascii="David" w:hAnsi="David"/>
                <w:color w:val="FFFFFF"/>
                <w:sz w:val="2"/>
                <w:szCs w:val="2"/>
              </w:rPr>
            </w:pPr>
            <w:r w:rsidRPr="001D0521">
              <w:rPr>
                <w:rFonts w:ascii="David" w:hAnsi="David"/>
                <w:color w:val="FFFFFF"/>
                <w:sz w:val="2"/>
                <w:szCs w:val="2"/>
                <w:rtl/>
              </w:rPr>
              <w:t>54678313</w:t>
            </w:r>
          </w:p>
        </w:tc>
      </w:tr>
      <w:tr w:rsidR="00EE6650" w:rsidRPr="00C75721" w14:paraId="5BAD3ECC" w14:textId="77777777" w:rsidTr="00EE6650">
        <w:trPr>
          <w:trHeight w:val="361"/>
        </w:trPr>
        <w:tc>
          <w:tcPr>
            <w:tcW w:w="3936" w:type="dxa"/>
            <w:tcBorders>
              <w:top w:val="single" w:sz="4" w:space="0" w:color="auto"/>
              <w:left w:val="nil"/>
              <w:bottom w:val="nil"/>
              <w:right w:val="nil"/>
            </w:tcBorders>
            <w:shd w:val="clear" w:color="auto" w:fill="auto"/>
          </w:tcPr>
          <w:p w14:paraId="5BB57743" w14:textId="77777777" w:rsidR="00EE6650" w:rsidRPr="00EE6650" w:rsidRDefault="00EE6650" w:rsidP="00EE6650">
            <w:pPr>
              <w:spacing w:line="360" w:lineRule="auto"/>
              <w:jc w:val="center"/>
              <w:rPr>
                <w:rFonts w:ascii="David" w:hAnsi="David"/>
                <w:b/>
                <w:bCs/>
                <w:rtl/>
              </w:rPr>
            </w:pPr>
            <w:r w:rsidRPr="00EE6650">
              <w:rPr>
                <w:rFonts w:ascii="David" w:hAnsi="David"/>
                <w:b/>
                <w:bCs/>
                <w:rtl/>
              </w:rPr>
              <w:t xml:space="preserve">נגה שמואלי </w:t>
            </w:r>
            <w:r w:rsidRPr="00EE6650">
              <w:rPr>
                <w:rFonts w:ascii="David" w:hAnsi="David"/>
                <w:b/>
                <w:bCs/>
                <w:vertAlign w:val="superscript"/>
                <w:rtl/>
              </w:rPr>
              <w:t>–</w:t>
            </w:r>
            <w:r w:rsidRPr="00EE6650">
              <w:rPr>
                <w:rFonts w:ascii="David" w:hAnsi="David"/>
                <w:b/>
                <w:bCs/>
                <w:rtl/>
              </w:rPr>
              <w:t xml:space="preserve"> מאייר, שופטת בכירה</w:t>
            </w:r>
          </w:p>
        </w:tc>
      </w:tr>
    </w:tbl>
    <w:p w14:paraId="204F02CF" w14:textId="77777777" w:rsidR="001D0521" w:rsidRDefault="001D0521" w:rsidP="001D0521">
      <w:pPr>
        <w:rPr>
          <w:rtl/>
        </w:rPr>
      </w:pPr>
    </w:p>
    <w:p w14:paraId="122B8BDB" w14:textId="77777777" w:rsidR="001D0521" w:rsidRDefault="001D0521" w:rsidP="001D0521">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2BA0FD11" w14:textId="77777777" w:rsidR="00E2375E" w:rsidRPr="00E2375E" w:rsidRDefault="00E2375E" w:rsidP="00E2375E">
      <w:pPr>
        <w:keepNext/>
        <w:rPr>
          <w:rFonts w:ascii="David" w:hAnsi="David" w:hint="cs"/>
          <w:color w:val="000000"/>
          <w:sz w:val="22"/>
          <w:szCs w:val="22"/>
          <w:rtl/>
        </w:rPr>
      </w:pPr>
    </w:p>
    <w:p w14:paraId="5A194AF8" w14:textId="77777777" w:rsidR="00E2375E" w:rsidRPr="00E2375E" w:rsidRDefault="00E2375E" w:rsidP="00E2375E">
      <w:pPr>
        <w:keepNext/>
        <w:rPr>
          <w:rFonts w:ascii="David" w:hAnsi="David"/>
          <w:color w:val="000000"/>
          <w:sz w:val="22"/>
          <w:szCs w:val="22"/>
          <w:rtl/>
        </w:rPr>
      </w:pPr>
      <w:r w:rsidRPr="00E2375E">
        <w:rPr>
          <w:rFonts w:ascii="David" w:hAnsi="David"/>
          <w:color w:val="000000"/>
          <w:sz w:val="22"/>
          <w:szCs w:val="22"/>
          <w:rtl/>
        </w:rPr>
        <w:t>נגה שמואלי מאייר 54678313-/</w:t>
      </w:r>
    </w:p>
    <w:p w14:paraId="175DE51D" w14:textId="77777777" w:rsidR="001D0521" w:rsidRPr="001D0521" w:rsidRDefault="00E2375E" w:rsidP="00E2375E">
      <w:pPr>
        <w:rPr>
          <w:rFonts w:hint="cs"/>
          <w:color w:val="0000FF"/>
          <w:u w:val="single"/>
        </w:rPr>
      </w:pPr>
      <w:r w:rsidRPr="00E2375E">
        <w:rPr>
          <w:color w:val="000000"/>
          <w:u w:val="single"/>
          <w:rtl/>
        </w:rPr>
        <w:t>נוסח מסמך זה כפוף לשינויי ניסוח ועריכה</w:t>
      </w:r>
    </w:p>
    <w:sectPr w:rsidR="001D0521" w:rsidRPr="001D0521" w:rsidSect="00E2375E">
      <w:headerReference w:type="even" r:id="rId62"/>
      <w:headerReference w:type="default" r:id="rId63"/>
      <w:footerReference w:type="even" r:id="rId64"/>
      <w:footerReference w:type="default" r:id="rId6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DD4C7" w14:textId="77777777" w:rsidR="003F1514" w:rsidRDefault="003F1514" w:rsidP="00AF2A5D">
      <w:r>
        <w:separator/>
      </w:r>
    </w:p>
  </w:endnote>
  <w:endnote w:type="continuationSeparator" w:id="0">
    <w:p w14:paraId="35D3FF54" w14:textId="77777777" w:rsidR="003F1514" w:rsidRDefault="003F1514" w:rsidP="00AF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E6C5A" w14:textId="77777777" w:rsidR="00E2375E" w:rsidRDefault="00E2375E" w:rsidP="00E237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BF6C19" w14:textId="77777777" w:rsidR="001D0521" w:rsidRPr="00E2375E" w:rsidRDefault="00E2375E" w:rsidP="00E2375E">
    <w:pPr>
      <w:pStyle w:val="a5"/>
      <w:pBdr>
        <w:top w:val="single" w:sz="4" w:space="1" w:color="auto"/>
        <w:between w:val="single" w:sz="4" w:space="0" w:color="auto"/>
      </w:pBdr>
      <w:spacing w:after="60"/>
      <w:jc w:val="center"/>
      <w:rPr>
        <w:rFonts w:ascii="FrankRuehl" w:hAnsi="FrankRuehl" w:cs="FrankRuehl"/>
        <w:color w:val="000000"/>
      </w:rPr>
    </w:pPr>
    <w:r w:rsidRPr="00E237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A8D88" w14:textId="77777777" w:rsidR="00E2375E" w:rsidRDefault="00E2375E" w:rsidP="00E2375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77F11">
      <w:rPr>
        <w:rStyle w:val="a8"/>
        <w:rFonts w:ascii="FrankRuehl" w:hAnsi="FrankRuehl" w:cs="FrankRuehl"/>
        <w:noProof/>
        <w:rtl/>
      </w:rPr>
      <w:t>1</w:t>
    </w:r>
    <w:r>
      <w:rPr>
        <w:rStyle w:val="a8"/>
        <w:rFonts w:ascii="FrankRuehl" w:hAnsi="FrankRuehl" w:cs="FrankRuehl"/>
        <w:rtl/>
      </w:rPr>
      <w:fldChar w:fldCharType="end"/>
    </w:r>
  </w:p>
  <w:p w14:paraId="06646843" w14:textId="77777777" w:rsidR="005304B9" w:rsidRPr="00E2375E" w:rsidRDefault="00E2375E" w:rsidP="00E2375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2375E">
      <w:rPr>
        <w:rStyle w:val="a8"/>
        <w:rFonts w:ascii="FrankRuehl" w:hAnsi="FrankRuehl" w:cs="FrankRuehl" w:hint="cs"/>
        <w:color w:val="000000"/>
      </w:rPr>
      <w:pict w14:anchorId="252F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9FBBA" w14:textId="77777777" w:rsidR="003F1514" w:rsidRDefault="003F1514" w:rsidP="00AF2A5D">
      <w:r>
        <w:separator/>
      </w:r>
    </w:p>
  </w:footnote>
  <w:footnote w:type="continuationSeparator" w:id="0">
    <w:p w14:paraId="4FF6EED6" w14:textId="77777777" w:rsidR="003F1514" w:rsidRDefault="003F1514" w:rsidP="00AF2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063F4" w14:textId="77777777" w:rsidR="001D0521" w:rsidRPr="00E2375E" w:rsidRDefault="00E2375E" w:rsidP="00E237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16406-07-22</w:t>
    </w:r>
    <w:r>
      <w:rPr>
        <w:rFonts w:ascii="David" w:hAnsi="David"/>
        <w:color w:val="000000"/>
        <w:sz w:val="22"/>
        <w:szCs w:val="22"/>
        <w:rtl/>
      </w:rPr>
      <w:tab/>
      <w:t xml:space="preserve"> מדינת ישראל נ' דני יאסו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B4551" w14:textId="77777777" w:rsidR="001D0521" w:rsidRPr="00E2375E" w:rsidRDefault="00E2375E" w:rsidP="00E237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16406-07-22</w:t>
    </w:r>
    <w:r>
      <w:rPr>
        <w:rFonts w:ascii="David" w:hAnsi="David"/>
        <w:color w:val="000000"/>
        <w:sz w:val="22"/>
        <w:szCs w:val="22"/>
        <w:rtl/>
      </w:rPr>
      <w:tab/>
      <w:t xml:space="preserve"> מדינת ישראל נ' דני יאסו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D277F34"/>
    <w:multiLevelType w:val="hybridMultilevel"/>
    <w:tmpl w:val="0624ECDC"/>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b w:val="0"/>
        <w:bCs/>
      </w:r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2" w15:restartNumberingAfterBreak="0">
    <w:nsid w:val="51F03AF4"/>
    <w:multiLevelType w:val="hybridMultilevel"/>
    <w:tmpl w:val="AF18CDEA"/>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cs="Courier New" w:hint="default"/>
      </w:rPr>
    </w:lvl>
    <w:lvl w:ilvl="2" w:tplc="04090005">
      <w:start w:val="1"/>
      <w:numFmt w:val="bullet"/>
      <w:lvlText w:val=""/>
      <w:lvlJc w:val="left"/>
      <w:pPr>
        <w:ind w:left="2102" w:hanging="360"/>
      </w:pPr>
      <w:rPr>
        <w:rFonts w:ascii="Wingdings" w:hAnsi="Wingdings" w:hint="default"/>
      </w:rPr>
    </w:lvl>
    <w:lvl w:ilvl="3" w:tplc="04090001">
      <w:start w:val="1"/>
      <w:numFmt w:val="bullet"/>
      <w:lvlText w:val=""/>
      <w:lvlJc w:val="left"/>
      <w:pPr>
        <w:ind w:left="2822" w:hanging="360"/>
      </w:pPr>
      <w:rPr>
        <w:rFonts w:ascii="Symbol" w:hAnsi="Symbol" w:hint="default"/>
      </w:rPr>
    </w:lvl>
    <w:lvl w:ilvl="4" w:tplc="04090003">
      <w:start w:val="1"/>
      <w:numFmt w:val="bullet"/>
      <w:lvlText w:val="o"/>
      <w:lvlJc w:val="left"/>
      <w:pPr>
        <w:ind w:left="3542" w:hanging="360"/>
      </w:pPr>
      <w:rPr>
        <w:rFonts w:ascii="Courier New" w:hAnsi="Courier New" w:cs="Courier New" w:hint="default"/>
      </w:rPr>
    </w:lvl>
    <w:lvl w:ilvl="5" w:tplc="04090005">
      <w:start w:val="1"/>
      <w:numFmt w:val="bullet"/>
      <w:lvlText w:val=""/>
      <w:lvlJc w:val="left"/>
      <w:pPr>
        <w:ind w:left="4262" w:hanging="360"/>
      </w:pPr>
      <w:rPr>
        <w:rFonts w:ascii="Wingdings" w:hAnsi="Wingdings" w:hint="default"/>
      </w:rPr>
    </w:lvl>
    <w:lvl w:ilvl="6" w:tplc="04090001">
      <w:start w:val="1"/>
      <w:numFmt w:val="bullet"/>
      <w:lvlText w:val=""/>
      <w:lvlJc w:val="left"/>
      <w:pPr>
        <w:ind w:left="4982" w:hanging="360"/>
      </w:pPr>
      <w:rPr>
        <w:rFonts w:ascii="Symbol" w:hAnsi="Symbol" w:hint="default"/>
      </w:rPr>
    </w:lvl>
    <w:lvl w:ilvl="7" w:tplc="04090003">
      <w:start w:val="1"/>
      <w:numFmt w:val="bullet"/>
      <w:lvlText w:val="o"/>
      <w:lvlJc w:val="left"/>
      <w:pPr>
        <w:ind w:left="5702" w:hanging="360"/>
      </w:pPr>
      <w:rPr>
        <w:rFonts w:ascii="Courier New" w:hAnsi="Courier New" w:cs="Courier New" w:hint="default"/>
      </w:rPr>
    </w:lvl>
    <w:lvl w:ilvl="8" w:tplc="04090005">
      <w:start w:val="1"/>
      <w:numFmt w:val="bullet"/>
      <w:lvlText w:val=""/>
      <w:lvlJc w:val="left"/>
      <w:pPr>
        <w:ind w:left="6422" w:hanging="360"/>
      </w:pPr>
      <w:rPr>
        <w:rFonts w:ascii="Wingdings" w:hAnsi="Wingdings" w:hint="default"/>
      </w:rPr>
    </w:lvl>
  </w:abstractNum>
  <w:abstractNum w:abstractNumId="3" w15:restartNumberingAfterBreak="0">
    <w:nsid w:val="58FA2F02"/>
    <w:multiLevelType w:val="hybridMultilevel"/>
    <w:tmpl w:val="49D6F13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E1DE5"/>
    <w:multiLevelType w:val="hybridMultilevel"/>
    <w:tmpl w:val="4ACE219C"/>
    <w:lvl w:ilvl="0" w:tplc="39F60BB0">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70326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0680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0450519">
    <w:abstractNumId w:val="2"/>
  </w:num>
  <w:num w:numId="4" w16cid:durableId="604967954">
    <w:abstractNumId w:val="0"/>
  </w:num>
  <w:num w:numId="5" w16cid:durableId="861213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6650"/>
    <w:rsid w:val="001B5A3B"/>
    <w:rsid w:val="001D0521"/>
    <w:rsid w:val="003C0F6F"/>
    <w:rsid w:val="003F1514"/>
    <w:rsid w:val="00411479"/>
    <w:rsid w:val="00511892"/>
    <w:rsid w:val="005304B9"/>
    <w:rsid w:val="005D3F3A"/>
    <w:rsid w:val="0080754D"/>
    <w:rsid w:val="00977F11"/>
    <w:rsid w:val="00AF2A5D"/>
    <w:rsid w:val="00BB45BB"/>
    <w:rsid w:val="00CE1D15"/>
    <w:rsid w:val="00E2375E"/>
    <w:rsid w:val="00E4153D"/>
    <w:rsid w:val="00EE6650"/>
    <w:rsid w:val="00F75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A2064C"/>
  <w15:chartTrackingRefBased/>
  <w15:docId w15:val="{BC463B80-01E8-4210-92DD-16A83F64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66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6650"/>
    <w:pPr>
      <w:tabs>
        <w:tab w:val="center" w:pos="4153"/>
        <w:tab w:val="right" w:pos="8306"/>
      </w:tabs>
    </w:pPr>
  </w:style>
  <w:style w:type="character" w:customStyle="1" w:styleId="a4">
    <w:name w:val="כותרת עליונה תו"/>
    <w:link w:val="a3"/>
    <w:rsid w:val="00EE6650"/>
    <w:rPr>
      <w:rFonts w:ascii="Times New Roman" w:eastAsia="Times New Roman" w:hAnsi="Times New Roman" w:cs="David"/>
      <w:sz w:val="24"/>
      <w:szCs w:val="24"/>
    </w:rPr>
  </w:style>
  <w:style w:type="paragraph" w:styleId="a5">
    <w:name w:val="footer"/>
    <w:basedOn w:val="a"/>
    <w:link w:val="a6"/>
    <w:rsid w:val="00EE6650"/>
    <w:pPr>
      <w:tabs>
        <w:tab w:val="center" w:pos="4153"/>
        <w:tab w:val="right" w:pos="8306"/>
      </w:tabs>
    </w:pPr>
  </w:style>
  <w:style w:type="character" w:customStyle="1" w:styleId="a6">
    <w:name w:val="כותרת תחתונה תו"/>
    <w:link w:val="a5"/>
    <w:rsid w:val="00EE6650"/>
    <w:rPr>
      <w:rFonts w:ascii="Times New Roman" w:eastAsia="Times New Roman" w:hAnsi="Times New Roman" w:cs="David"/>
      <w:sz w:val="24"/>
      <w:szCs w:val="24"/>
    </w:rPr>
  </w:style>
  <w:style w:type="table" w:styleId="a7">
    <w:name w:val="Table Grid"/>
    <w:basedOn w:val="a1"/>
    <w:rsid w:val="00EE66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E6650"/>
    <w:rPr>
      <w:noProof w:val="0"/>
    </w:rPr>
  </w:style>
  <w:style w:type="character" w:styleId="Hyperlink">
    <w:name w:val="Hyperlink"/>
    <w:rsid w:val="00EE6650"/>
    <w:rPr>
      <w:noProof w:val="0"/>
      <w:color w:val="0000FF"/>
      <w:u w:val="single"/>
    </w:rPr>
  </w:style>
  <w:style w:type="character" w:customStyle="1" w:styleId="a9">
    <w:name w:val="פיסקת רשימה תו"/>
    <w:link w:val="aa"/>
    <w:locked/>
    <w:rsid w:val="00EE6650"/>
    <w:rPr>
      <w:rFonts w:ascii="David" w:hAnsi="David" w:cs="David"/>
      <w:sz w:val="24"/>
      <w:szCs w:val="24"/>
    </w:rPr>
  </w:style>
  <w:style w:type="paragraph" w:styleId="aa">
    <w:name w:val="List Paragraph"/>
    <w:basedOn w:val="a"/>
    <w:link w:val="a9"/>
    <w:qFormat/>
    <w:rsid w:val="00EE6650"/>
    <w:pPr>
      <w:spacing w:after="160" w:line="360" w:lineRule="auto"/>
      <w:ind w:left="720" w:hanging="357"/>
      <w:contextualSpacing/>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0916220"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26347296" TargetMode="External"/><Relationship Id="rId42" Type="http://schemas.openxmlformats.org/officeDocument/2006/relationships/hyperlink" Target="http://www.nevo.co.il/case/6032057"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12930657" TargetMode="External"/><Relationship Id="rId55" Type="http://schemas.openxmlformats.org/officeDocument/2006/relationships/hyperlink" Target="http://www.nevo.co.il/case/20402459"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573417" TargetMode="External"/><Relationship Id="rId29" Type="http://schemas.openxmlformats.org/officeDocument/2006/relationships/hyperlink" Target="http://www.nevo.co.il/case/210139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9999565" TargetMode="External"/><Relationship Id="rId32" Type="http://schemas.openxmlformats.org/officeDocument/2006/relationships/hyperlink" Target="http://www.nevo.co.il/case/25822643" TargetMode="External"/><Relationship Id="rId37" Type="http://schemas.openxmlformats.org/officeDocument/2006/relationships/hyperlink" Target="http://www.nevo.co.il/case/25614571" TargetMode="External"/><Relationship Id="rId40" Type="http://schemas.openxmlformats.org/officeDocument/2006/relationships/hyperlink" Target="http://www.nevo.co.il/case/28220013" TargetMode="External"/><Relationship Id="rId45" Type="http://schemas.openxmlformats.org/officeDocument/2006/relationships/hyperlink" Target="http://www.nevo.co.il/case/6824952" TargetMode="External"/><Relationship Id="rId53" Type="http://schemas.openxmlformats.org/officeDocument/2006/relationships/hyperlink" Target="http://www.nevo.co.il/case/6247807" TargetMode="External"/><Relationship Id="rId58" Type="http://schemas.openxmlformats.org/officeDocument/2006/relationships/hyperlink" Target="http://www.eca.gov.il"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7684323" TargetMode="External"/><Relationship Id="rId30" Type="http://schemas.openxmlformats.org/officeDocument/2006/relationships/hyperlink" Target="http://www.nevo.co.il/case/27642411" TargetMode="External"/><Relationship Id="rId35" Type="http://schemas.openxmlformats.org/officeDocument/2006/relationships/hyperlink" Target="http://www.nevo.co.il/case/20315348" TargetMode="External"/><Relationship Id="rId43" Type="http://schemas.openxmlformats.org/officeDocument/2006/relationships/hyperlink" Target="http://www.nevo.co.il/case/17941073" TargetMode="External"/><Relationship Id="rId48" Type="http://schemas.openxmlformats.org/officeDocument/2006/relationships/hyperlink" Target="http://www.nevo.co.il/case/6824952" TargetMode="External"/><Relationship Id="rId56" Type="http://schemas.openxmlformats.org/officeDocument/2006/relationships/hyperlink" Target="http://www.nevo.co.il/law/4216" TargetMode="External"/><Relationship Id="rId64"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7821838"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7217205" TargetMode="External"/><Relationship Id="rId33" Type="http://schemas.openxmlformats.org/officeDocument/2006/relationships/hyperlink" Target="http://www.nevo.co.il/case/27195223" TargetMode="External"/><Relationship Id="rId38" Type="http://schemas.openxmlformats.org/officeDocument/2006/relationships/hyperlink" Target="http://www.nevo.co.il/case/27825649" TargetMode="External"/><Relationship Id="rId46" Type="http://schemas.openxmlformats.org/officeDocument/2006/relationships/hyperlink" Target="http://www.nevo.co.il/law/70301/40ja" TargetMode="External"/><Relationship Id="rId59" Type="http://schemas.openxmlformats.org/officeDocument/2006/relationships/hyperlink" Target="http://www.nevo.co.il/law/4216" TargetMode="External"/><Relationship Id="rId67" Type="http://schemas.openxmlformats.org/officeDocument/2006/relationships/theme" Target="theme/theme1.xml"/><Relationship Id="rId20" Type="http://schemas.openxmlformats.org/officeDocument/2006/relationships/hyperlink" Target="http://www.nevo.co.il/case/17939812" TargetMode="External"/><Relationship Id="rId41" Type="http://schemas.openxmlformats.org/officeDocument/2006/relationships/hyperlink" Target="http://www.nevo.co.il/case/28684248" TargetMode="External"/><Relationship Id="rId54" Type="http://schemas.openxmlformats.org/officeDocument/2006/relationships/hyperlink" Target="http://www.nevo.co.il/case/17015235"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8791199" TargetMode="External"/><Relationship Id="rId28" Type="http://schemas.openxmlformats.org/officeDocument/2006/relationships/hyperlink" Target="http://www.nevo.co.il/case/27059542" TargetMode="External"/><Relationship Id="rId36" Type="http://schemas.openxmlformats.org/officeDocument/2006/relationships/hyperlink" Target="http://www.nevo.co.il/case/23656279" TargetMode="External"/><Relationship Id="rId49" Type="http://schemas.openxmlformats.org/officeDocument/2006/relationships/hyperlink" Target="http://www.nevo.co.il/case/10459128" TargetMode="External"/><Relationship Id="rId57"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6847975" TargetMode="External"/><Relationship Id="rId44" Type="http://schemas.openxmlformats.org/officeDocument/2006/relationships/hyperlink" Target="http://www.nevo.co.il/case/5880417" TargetMode="External"/><Relationship Id="rId52" Type="http://schemas.openxmlformats.org/officeDocument/2006/relationships/hyperlink" Target="http://www.nevo.co.il/case/6848505" TargetMode="External"/><Relationship Id="rId60" Type="http://schemas.openxmlformats.org/officeDocument/2006/relationships/image" Target="media/image1.jpe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83831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4403</Words>
  <Characters>22019</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26370</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8257637</vt:i4>
      </vt:variant>
      <vt:variant>
        <vt:i4>156</vt:i4>
      </vt:variant>
      <vt:variant>
        <vt:i4>0</vt:i4>
      </vt:variant>
      <vt:variant>
        <vt:i4>5</vt:i4>
      </vt:variant>
      <vt:variant>
        <vt:lpwstr>http://www.nevo.co.il/law/4216</vt:lpwstr>
      </vt:variant>
      <vt:variant>
        <vt:lpwstr/>
      </vt:variant>
      <vt:variant>
        <vt:i4>7864368</vt:i4>
      </vt:variant>
      <vt:variant>
        <vt:i4>153</vt:i4>
      </vt:variant>
      <vt:variant>
        <vt:i4>0</vt:i4>
      </vt:variant>
      <vt:variant>
        <vt:i4>5</vt:i4>
      </vt:variant>
      <vt:variant>
        <vt:lpwstr>http://www.eca.gov.il/</vt:lpwstr>
      </vt:variant>
      <vt:variant>
        <vt:lpwstr/>
      </vt:variant>
      <vt:variant>
        <vt:i4>8257637</vt:i4>
      </vt:variant>
      <vt:variant>
        <vt:i4>150</vt:i4>
      </vt:variant>
      <vt:variant>
        <vt:i4>0</vt:i4>
      </vt:variant>
      <vt:variant>
        <vt:i4>5</vt:i4>
      </vt:variant>
      <vt:variant>
        <vt:lpwstr>http://www.nevo.co.il/law/4216</vt:lpwstr>
      </vt:variant>
      <vt:variant>
        <vt:lpwstr/>
      </vt:variant>
      <vt:variant>
        <vt:i4>8257637</vt:i4>
      </vt:variant>
      <vt:variant>
        <vt:i4>147</vt:i4>
      </vt:variant>
      <vt:variant>
        <vt:i4>0</vt:i4>
      </vt:variant>
      <vt:variant>
        <vt:i4>5</vt:i4>
      </vt:variant>
      <vt:variant>
        <vt:lpwstr>http://www.nevo.co.il/law/4216</vt:lpwstr>
      </vt:variant>
      <vt:variant>
        <vt:lpwstr/>
      </vt:variant>
      <vt:variant>
        <vt:i4>3211376</vt:i4>
      </vt:variant>
      <vt:variant>
        <vt:i4>144</vt:i4>
      </vt:variant>
      <vt:variant>
        <vt:i4>0</vt:i4>
      </vt:variant>
      <vt:variant>
        <vt:i4>5</vt:i4>
      </vt:variant>
      <vt:variant>
        <vt:lpwstr>http://www.nevo.co.il/case/20402459</vt:lpwstr>
      </vt:variant>
      <vt:variant>
        <vt:lpwstr/>
      </vt:variant>
      <vt:variant>
        <vt:i4>3604592</vt:i4>
      </vt:variant>
      <vt:variant>
        <vt:i4>141</vt:i4>
      </vt:variant>
      <vt:variant>
        <vt:i4>0</vt:i4>
      </vt:variant>
      <vt:variant>
        <vt:i4>5</vt:i4>
      </vt:variant>
      <vt:variant>
        <vt:lpwstr>http://www.nevo.co.il/case/17015235</vt:lpwstr>
      </vt:variant>
      <vt:variant>
        <vt:lpwstr/>
      </vt:variant>
      <vt:variant>
        <vt:i4>3997809</vt:i4>
      </vt:variant>
      <vt:variant>
        <vt:i4>138</vt:i4>
      </vt:variant>
      <vt:variant>
        <vt:i4>0</vt:i4>
      </vt:variant>
      <vt:variant>
        <vt:i4>5</vt:i4>
      </vt:variant>
      <vt:variant>
        <vt:lpwstr>http://www.nevo.co.il/case/6247807</vt:lpwstr>
      </vt:variant>
      <vt:variant>
        <vt:lpwstr/>
      </vt:variant>
      <vt:variant>
        <vt:i4>3276916</vt:i4>
      </vt:variant>
      <vt:variant>
        <vt:i4>135</vt:i4>
      </vt:variant>
      <vt:variant>
        <vt:i4>0</vt:i4>
      </vt:variant>
      <vt:variant>
        <vt:i4>5</vt:i4>
      </vt:variant>
      <vt:variant>
        <vt:lpwstr>http://www.nevo.co.il/case/6848505</vt:lpwstr>
      </vt:variant>
      <vt:variant>
        <vt:lpwstr/>
      </vt:variant>
      <vt:variant>
        <vt:i4>3473534</vt:i4>
      </vt:variant>
      <vt:variant>
        <vt:i4>132</vt:i4>
      </vt:variant>
      <vt:variant>
        <vt:i4>0</vt:i4>
      </vt:variant>
      <vt:variant>
        <vt:i4>5</vt:i4>
      </vt:variant>
      <vt:variant>
        <vt:lpwstr>http://www.nevo.co.il/case/7821838</vt:lpwstr>
      </vt:variant>
      <vt:variant>
        <vt:lpwstr/>
      </vt:variant>
      <vt:variant>
        <vt:i4>3997811</vt:i4>
      </vt:variant>
      <vt:variant>
        <vt:i4>129</vt:i4>
      </vt:variant>
      <vt:variant>
        <vt:i4>0</vt:i4>
      </vt:variant>
      <vt:variant>
        <vt:i4>5</vt:i4>
      </vt:variant>
      <vt:variant>
        <vt:lpwstr>http://www.nevo.co.il/case/12930657</vt:lpwstr>
      </vt:variant>
      <vt:variant>
        <vt:lpwstr/>
      </vt:variant>
      <vt:variant>
        <vt:i4>4063344</vt:i4>
      </vt:variant>
      <vt:variant>
        <vt:i4>126</vt:i4>
      </vt:variant>
      <vt:variant>
        <vt:i4>0</vt:i4>
      </vt:variant>
      <vt:variant>
        <vt:i4>5</vt:i4>
      </vt:variant>
      <vt:variant>
        <vt:lpwstr>http://www.nevo.co.il/case/10459128</vt:lpwstr>
      </vt:variant>
      <vt:variant>
        <vt:lpwstr/>
      </vt:variant>
      <vt:variant>
        <vt:i4>4128893</vt:i4>
      </vt:variant>
      <vt:variant>
        <vt:i4>123</vt:i4>
      </vt:variant>
      <vt:variant>
        <vt:i4>0</vt:i4>
      </vt:variant>
      <vt:variant>
        <vt:i4>5</vt:i4>
      </vt:variant>
      <vt:variant>
        <vt:lpwstr>http://www.nevo.co.il/case/6824952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4128893</vt:i4>
      </vt:variant>
      <vt:variant>
        <vt:i4>114</vt:i4>
      </vt:variant>
      <vt:variant>
        <vt:i4>0</vt:i4>
      </vt:variant>
      <vt:variant>
        <vt:i4>5</vt:i4>
      </vt:variant>
      <vt:variant>
        <vt:lpwstr>http://www.nevo.co.il/case/6824952</vt:lpwstr>
      </vt:variant>
      <vt:variant>
        <vt:lpwstr/>
      </vt:variant>
      <vt:variant>
        <vt:i4>4063357</vt:i4>
      </vt:variant>
      <vt:variant>
        <vt:i4>111</vt:i4>
      </vt:variant>
      <vt:variant>
        <vt:i4>0</vt:i4>
      </vt:variant>
      <vt:variant>
        <vt:i4>5</vt:i4>
      </vt:variant>
      <vt:variant>
        <vt:lpwstr>http://www.nevo.co.il/case/5880417</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3276915</vt:i4>
      </vt:variant>
      <vt:variant>
        <vt:i4>105</vt:i4>
      </vt:variant>
      <vt:variant>
        <vt:i4>0</vt:i4>
      </vt:variant>
      <vt:variant>
        <vt:i4>5</vt:i4>
      </vt:variant>
      <vt:variant>
        <vt:lpwstr>http://www.nevo.co.il/case/6032057</vt:lpwstr>
      </vt:variant>
      <vt:variant>
        <vt:lpwstr/>
      </vt:variant>
      <vt:variant>
        <vt:i4>3407990</vt:i4>
      </vt:variant>
      <vt:variant>
        <vt:i4>102</vt:i4>
      </vt:variant>
      <vt:variant>
        <vt:i4>0</vt:i4>
      </vt:variant>
      <vt:variant>
        <vt:i4>5</vt:i4>
      </vt:variant>
      <vt:variant>
        <vt:lpwstr>http://www.nevo.co.il/case/28684248</vt:lpwstr>
      </vt:variant>
      <vt:variant>
        <vt:lpwstr/>
      </vt:variant>
      <vt:variant>
        <vt:i4>3211390</vt:i4>
      </vt:variant>
      <vt:variant>
        <vt:i4>99</vt:i4>
      </vt:variant>
      <vt:variant>
        <vt:i4>0</vt:i4>
      </vt:variant>
      <vt:variant>
        <vt:i4>5</vt:i4>
      </vt:variant>
      <vt:variant>
        <vt:lpwstr>http://www.nevo.co.il/case/28220013</vt:lpwstr>
      </vt:variant>
      <vt:variant>
        <vt:lpwstr/>
      </vt:variant>
      <vt:variant>
        <vt:i4>3801205</vt:i4>
      </vt:variant>
      <vt:variant>
        <vt:i4>96</vt:i4>
      </vt:variant>
      <vt:variant>
        <vt:i4>0</vt:i4>
      </vt:variant>
      <vt:variant>
        <vt:i4>5</vt:i4>
      </vt:variant>
      <vt:variant>
        <vt:lpwstr>http://www.nevo.co.il/case/28383187</vt:lpwstr>
      </vt:variant>
      <vt:variant>
        <vt:lpwstr/>
      </vt:variant>
      <vt:variant>
        <vt:i4>3866743</vt:i4>
      </vt:variant>
      <vt:variant>
        <vt:i4>93</vt:i4>
      </vt:variant>
      <vt:variant>
        <vt:i4>0</vt:i4>
      </vt:variant>
      <vt:variant>
        <vt:i4>5</vt:i4>
      </vt:variant>
      <vt:variant>
        <vt:lpwstr>http://www.nevo.co.il/case/27825649</vt:lpwstr>
      </vt:variant>
      <vt:variant>
        <vt:lpwstr/>
      </vt:variant>
      <vt:variant>
        <vt:i4>3604597</vt:i4>
      </vt:variant>
      <vt:variant>
        <vt:i4>90</vt:i4>
      </vt:variant>
      <vt:variant>
        <vt:i4>0</vt:i4>
      </vt:variant>
      <vt:variant>
        <vt:i4>5</vt:i4>
      </vt:variant>
      <vt:variant>
        <vt:lpwstr>http://www.nevo.co.il/case/25614571</vt:lpwstr>
      </vt:variant>
      <vt:variant>
        <vt:lpwstr/>
      </vt:variant>
      <vt:variant>
        <vt:i4>3473520</vt:i4>
      </vt:variant>
      <vt:variant>
        <vt:i4>87</vt:i4>
      </vt:variant>
      <vt:variant>
        <vt:i4>0</vt:i4>
      </vt:variant>
      <vt:variant>
        <vt:i4>5</vt:i4>
      </vt:variant>
      <vt:variant>
        <vt:lpwstr>http://www.nevo.co.il/case/23656279</vt:lpwstr>
      </vt:variant>
      <vt:variant>
        <vt:lpwstr/>
      </vt:variant>
      <vt:variant>
        <vt:i4>3145846</vt:i4>
      </vt:variant>
      <vt:variant>
        <vt:i4>84</vt:i4>
      </vt:variant>
      <vt:variant>
        <vt:i4>0</vt:i4>
      </vt:variant>
      <vt:variant>
        <vt:i4>5</vt:i4>
      </vt:variant>
      <vt:variant>
        <vt:lpwstr>http://www.nevo.co.il/case/20315348</vt:lpwstr>
      </vt:variant>
      <vt:variant>
        <vt:lpwstr/>
      </vt:variant>
      <vt:variant>
        <vt:i4>4128884</vt:i4>
      </vt:variant>
      <vt:variant>
        <vt:i4>81</vt:i4>
      </vt:variant>
      <vt:variant>
        <vt:i4>0</vt:i4>
      </vt:variant>
      <vt:variant>
        <vt:i4>5</vt:i4>
      </vt:variant>
      <vt:variant>
        <vt:lpwstr>http://www.nevo.co.il/case/26347296</vt:lpwstr>
      </vt:variant>
      <vt:variant>
        <vt:lpwstr/>
      </vt:variant>
      <vt:variant>
        <vt:i4>3407992</vt:i4>
      </vt:variant>
      <vt:variant>
        <vt:i4>78</vt:i4>
      </vt:variant>
      <vt:variant>
        <vt:i4>0</vt:i4>
      </vt:variant>
      <vt:variant>
        <vt:i4>5</vt:i4>
      </vt:variant>
      <vt:variant>
        <vt:lpwstr>http://www.nevo.co.il/case/27195223</vt:lpwstr>
      </vt:variant>
      <vt:variant>
        <vt:lpwstr/>
      </vt:variant>
      <vt:variant>
        <vt:i4>3932277</vt:i4>
      </vt:variant>
      <vt:variant>
        <vt:i4>75</vt:i4>
      </vt:variant>
      <vt:variant>
        <vt:i4>0</vt:i4>
      </vt:variant>
      <vt:variant>
        <vt:i4>5</vt:i4>
      </vt:variant>
      <vt:variant>
        <vt:lpwstr>http://www.nevo.co.il/case/25822643</vt:lpwstr>
      </vt:variant>
      <vt:variant>
        <vt:lpwstr/>
      </vt:variant>
      <vt:variant>
        <vt:i4>3801215</vt:i4>
      </vt:variant>
      <vt:variant>
        <vt:i4>72</vt:i4>
      </vt:variant>
      <vt:variant>
        <vt:i4>0</vt:i4>
      </vt:variant>
      <vt:variant>
        <vt:i4>5</vt:i4>
      </vt:variant>
      <vt:variant>
        <vt:lpwstr>http://www.nevo.co.il/case/26847975</vt:lpwstr>
      </vt:variant>
      <vt:variant>
        <vt:lpwstr/>
      </vt:variant>
      <vt:variant>
        <vt:i4>3604595</vt:i4>
      </vt:variant>
      <vt:variant>
        <vt:i4>69</vt:i4>
      </vt:variant>
      <vt:variant>
        <vt:i4>0</vt:i4>
      </vt:variant>
      <vt:variant>
        <vt:i4>5</vt:i4>
      </vt:variant>
      <vt:variant>
        <vt:lpwstr>http://www.nevo.co.il/case/27642411</vt:lpwstr>
      </vt:variant>
      <vt:variant>
        <vt:lpwstr/>
      </vt:variant>
      <vt:variant>
        <vt:i4>3145853</vt:i4>
      </vt:variant>
      <vt:variant>
        <vt:i4>66</vt:i4>
      </vt:variant>
      <vt:variant>
        <vt:i4>0</vt:i4>
      </vt:variant>
      <vt:variant>
        <vt:i4>5</vt:i4>
      </vt:variant>
      <vt:variant>
        <vt:lpwstr>http://www.nevo.co.il/case/21013916</vt:lpwstr>
      </vt:variant>
      <vt:variant>
        <vt:lpwstr/>
      </vt:variant>
      <vt:variant>
        <vt:i4>4128883</vt:i4>
      </vt:variant>
      <vt:variant>
        <vt:i4>63</vt:i4>
      </vt:variant>
      <vt:variant>
        <vt:i4>0</vt:i4>
      </vt:variant>
      <vt:variant>
        <vt:i4>5</vt:i4>
      </vt:variant>
      <vt:variant>
        <vt:lpwstr>http://www.nevo.co.il/case/27059542</vt:lpwstr>
      </vt:variant>
      <vt:variant>
        <vt:lpwstr/>
      </vt:variant>
      <vt:variant>
        <vt:i4>3276920</vt:i4>
      </vt:variant>
      <vt:variant>
        <vt:i4>60</vt:i4>
      </vt:variant>
      <vt:variant>
        <vt:i4>0</vt:i4>
      </vt:variant>
      <vt:variant>
        <vt:i4>5</vt:i4>
      </vt:variant>
      <vt:variant>
        <vt:lpwstr>http://www.nevo.co.il/case/27684323</vt:lpwstr>
      </vt:variant>
      <vt:variant>
        <vt:lpwstr/>
      </vt:variant>
      <vt:variant>
        <vt:i4>4128887</vt:i4>
      </vt:variant>
      <vt:variant>
        <vt:i4>57</vt:i4>
      </vt:variant>
      <vt:variant>
        <vt:i4>0</vt:i4>
      </vt:variant>
      <vt:variant>
        <vt:i4>5</vt:i4>
      </vt:variant>
      <vt:variant>
        <vt:lpwstr>http://www.nevo.co.il/case/20916220</vt:lpwstr>
      </vt:variant>
      <vt:variant>
        <vt:lpwstr/>
      </vt:variant>
      <vt:variant>
        <vt:i4>3604592</vt:i4>
      </vt:variant>
      <vt:variant>
        <vt:i4>54</vt:i4>
      </vt:variant>
      <vt:variant>
        <vt:i4>0</vt:i4>
      </vt:variant>
      <vt:variant>
        <vt:i4>5</vt:i4>
      </vt:variant>
      <vt:variant>
        <vt:lpwstr>http://www.nevo.co.il/case/27217205</vt:lpwstr>
      </vt:variant>
      <vt:variant>
        <vt:lpwstr/>
      </vt:variant>
      <vt:variant>
        <vt:i4>3604593</vt:i4>
      </vt:variant>
      <vt:variant>
        <vt:i4>51</vt:i4>
      </vt:variant>
      <vt:variant>
        <vt:i4>0</vt:i4>
      </vt:variant>
      <vt:variant>
        <vt:i4>5</vt:i4>
      </vt:variant>
      <vt:variant>
        <vt:lpwstr>http://www.nevo.co.il/case/19999565</vt:lpwstr>
      </vt:variant>
      <vt:variant>
        <vt:lpwstr/>
      </vt:variant>
      <vt:variant>
        <vt:i4>4063348</vt:i4>
      </vt:variant>
      <vt:variant>
        <vt:i4>48</vt:i4>
      </vt:variant>
      <vt:variant>
        <vt:i4>0</vt:i4>
      </vt:variant>
      <vt:variant>
        <vt:i4>5</vt:i4>
      </vt:variant>
      <vt:variant>
        <vt:lpwstr>http://www.nevo.co.il/case/18791199</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3145848</vt:i4>
      </vt:variant>
      <vt:variant>
        <vt:i4>39</vt:i4>
      </vt:variant>
      <vt:variant>
        <vt:i4>0</vt:i4>
      </vt:variant>
      <vt:variant>
        <vt:i4>5</vt:i4>
      </vt:variant>
      <vt:variant>
        <vt:lpwstr>http://www.nevo.co.il/case/17939812</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2025-04-23T01:31:00Z</dcterms:created>
  <dcterms:modified xsi:type="dcterms:W3CDTF">2025-04-23T01:31:00Z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16406</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דני יאסו</vt:lpwstr>
  </property>
  <property fmtid="{D5CDD505-2E9C-101B-9397-08002B2CF9AE}" pid="10" name="LAWYER">
    <vt:lpwstr>ליטל נאווי;לימור כהן גולן;גילת וקסלר</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20240311</vt:lpwstr>
  </property>
  <property fmtid="{D5CDD505-2E9C-101B-9397-08002B2CF9AE}" pid="14" name="TYPE_N_DATE">
    <vt:lpwstr>38020240311</vt:lpwstr>
  </property>
  <property fmtid="{D5CDD505-2E9C-101B-9397-08002B2CF9AE}" pid="15" name="WORDNUMPAGES">
    <vt:lpwstr>10</vt:lpwstr>
  </property>
  <property fmtid="{D5CDD505-2E9C-101B-9397-08002B2CF9AE}" pid="16" name="TYPE_ABS_DATE">
    <vt:lpwstr>380020240311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5573417;5738608;5583030;18791199;19999565;27217205;20916220;27684323;27059542;21013916;27642411;26847975;25822643;27195223;26347296;20315348;23656279;25614571;27825649;28383187;28220013;28684248;6032057;17941073;5880417;6824952:2;10459128;12930657</vt:lpwstr>
  </property>
  <property fmtid="{D5CDD505-2E9C-101B-9397-08002B2CF9AE}" pid="36" name="CASESLISTTMP2">
    <vt:lpwstr>7821838;6848505;6247807;17015235;20402459</vt:lpwstr>
  </property>
  <property fmtid="{D5CDD505-2E9C-101B-9397-08002B2CF9AE}" pid="37" name="LAWLISTTMP1">
    <vt:lpwstr>4216/007.a;007.c</vt:lpwstr>
  </property>
  <property fmtid="{D5CDD505-2E9C-101B-9397-08002B2CF9AE}" pid="38" name="LAWLISTTMP2">
    <vt:lpwstr>70301/040c.a;40ja</vt:lpwstr>
  </property>
</Properties>
</file>