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595" w:type="dxa"/>
        <w:jc w:val="center"/>
        <w:tblLook w:val="0000" w:firstRow="0" w:lastRow="0" w:firstColumn="0" w:lastColumn="0" w:noHBand="0" w:noVBand="0"/>
      </w:tblPr>
      <w:tblGrid>
        <w:gridCol w:w="1231"/>
        <w:gridCol w:w="2963"/>
        <w:gridCol w:w="752"/>
        <w:gridCol w:w="3577"/>
        <w:gridCol w:w="72"/>
      </w:tblGrid>
      <w:tr w:rsidR="008C50BA" w:rsidRPr="00AF1257" w14:paraId="21AE5F90" w14:textId="77777777" w:rsidTr="00C76BE2">
        <w:trPr>
          <w:gridAfter w:val="1"/>
          <w:wAfter w:w="72" w:type="dxa"/>
          <w:trHeight w:hRule="exact" w:val="418"/>
          <w:jc w:val="center"/>
        </w:trPr>
        <w:tc>
          <w:tcPr>
            <w:tcW w:w="8523" w:type="dxa"/>
            <w:gridSpan w:val="4"/>
          </w:tcPr>
          <w:p w14:paraId="7E83CF23" w14:textId="77777777" w:rsidR="008C50BA" w:rsidRPr="00AF1257" w:rsidRDefault="008C50BA" w:rsidP="007255B0">
            <w:pPr>
              <w:pStyle w:val="a3"/>
              <w:jc w:val="center"/>
              <w:rPr>
                <w:rFonts w:ascii="Tahoma" w:hAnsi="Tahoma" w:cs="Tahoma"/>
                <w:color w:val="000080"/>
                <w:rtl/>
              </w:rPr>
            </w:pPr>
            <w:bookmarkStart w:id="0" w:name="FirstLawyer"/>
            <w:r w:rsidRPr="00AF1257">
              <w:rPr>
                <w:rFonts w:ascii="Tahoma" w:hAnsi="Tahoma" w:cs="Tahoma"/>
                <w:b/>
                <w:bCs/>
                <w:color w:val="000080"/>
                <w:rtl/>
              </w:rPr>
              <w:t>בית משפט השלום בנתניה</w:t>
            </w:r>
          </w:p>
        </w:tc>
      </w:tr>
      <w:tr w:rsidR="008C50BA" w:rsidRPr="00AF1257" w14:paraId="64CA1F4B" w14:textId="77777777" w:rsidTr="00C76BE2">
        <w:trPr>
          <w:gridAfter w:val="1"/>
          <w:wAfter w:w="72" w:type="dxa"/>
          <w:trHeight w:val="337"/>
          <w:jc w:val="center"/>
        </w:trPr>
        <w:tc>
          <w:tcPr>
            <w:tcW w:w="4946" w:type="dxa"/>
            <w:gridSpan w:val="3"/>
          </w:tcPr>
          <w:p w14:paraId="3994D5E1" w14:textId="77777777" w:rsidR="008C50BA" w:rsidRPr="00AF1257" w:rsidRDefault="008C50BA" w:rsidP="007255B0">
            <w:pPr>
              <w:rPr>
                <w:rFonts w:cs="FrankRuehl"/>
                <w:sz w:val="28"/>
                <w:szCs w:val="28"/>
                <w:rtl/>
              </w:rPr>
            </w:pPr>
            <w:r w:rsidRPr="00AF1257">
              <w:rPr>
                <w:rFonts w:cs="FrankRuehl"/>
                <w:sz w:val="28"/>
                <w:szCs w:val="28"/>
                <w:rtl/>
              </w:rPr>
              <w:t>ת"פ</w:t>
            </w:r>
            <w:r w:rsidRPr="00AF1257">
              <w:rPr>
                <w:rFonts w:cs="FrankRuehl" w:hint="cs"/>
                <w:sz w:val="28"/>
                <w:szCs w:val="28"/>
                <w:rtl/>
              </w:rPr>
              <w:t xml:space="preserve"> </w:t>
            </w:r>
            <w:r w:rsidRPr="00AF1257">
              <w:rPr>
                <w:rFonts w:cs="FrankRuehl"/>
                <w:sz w:val="28"/>
                <w:szCs w:val="28"/>
                <w:rtl/>
              </w:rPr>
              <w:t>59618-07-22</w:t>
            </w:r>
            <w:r w:rsidRPr="00AF1257">
              <w:rPr>
                <w:rFonts w:cs="FrankRuehl" w:hint="cs"/>
                <w:sz w:val="28"/>
                <w:szCs w:val="28"/>
                <w:rtl/>
              </w:rPr>
              <w:t xml:space="preserve"> </w:t>
            </w:r>
            <w:r w:rsidRPr="00AF1257">
              <w:rPr>
                <w:rFonts w:cs="FrankRuehl"/>
                <w:sz w:val="28"/>
                <w:szCs w:val="28"/>
                <w:rtl/>
              </w:rPr>
              <w:t>מדינת ישראל נ' גולן</w:t>
            </w:r>
            <w:r w:rsidRPr="00AF1257">
              <w:rPr>
                <w:rFonts w:cs="FrankRuehl"/>
                <w:sz w:val="28"/>
                <w:szCs w:val="28"/>
                <w:rtl/>
              </w:rPr>
              <w:br/>
            </w:r>
            <w:r w:rsidRPr="00AF1257">
              <w:rPr>
                <w:rFonts w:cs="FrankRuehl" w:hint="cs"/>
                <w:sz w:val="28"/>
                <w:szCs w:val="28"/>
                <w:rtl/>
              </w:rPr>
              <w:t xml:space="preserve">ת"פ 62743-01-23 </w:t>
            </w:r>
          </w:p>
        </w:tc>
        <w:tc>
          <w:tcPr>
            <w:tcW w:w="3577" w:type="dxa"/>
          </w:tcPr>
          <w:p w14:paraId="1DDDE5EB" w14:textId="77777777" w:rsidR="008C50BA" w:rsidRPr="00AF1257" w:rsidRDefault="008C50BA" w:rsidP="007255B0">
            <w:pPr>
              <w:pStyle w:val="a3"/>
              <w:jc w:val="right"/>
              <w:rPr>
                <w:rFonts w:cs="FrankRuehl"/>
                <w:sz w:val="28"/>
                <w:szCs w:val="28"/>
                <w:rtl/>
              </w:rPr>
            </w:pPr>
          </w:p>
        </w:tc>
      </w:tr>
      <w:tr w:rsidR="008C50BA" w:rsidRPr="00AF1257" w14:paraId="2B100CD5" w14:textId="77777777" w:rsidTr="00C76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31" w:type="dxa"/>
            <w:tcBorders>
              <w:top w:val="nil"/>
              <w:left w:val="nil"/>
              <w:bottom w:val="nil"/>
              <w:right w:val="nil"/>
            </w:tcBorders>
            <w:shd w:val="clear" w:color="auto" w:fill="auto"/>
          </w:tcPr>
          <w:p w14:paraId="391F5F8E" w14:textId="77777777" w:rsidR="008C50BA" w:rsidRPr="00AF1257" w:rsidRDefault="008C50BA" w:rsidP="008C50BA">
            <w:pPr>
              <w:jc w:val="both"/>
              <w:rPr>
                <w:rFonts w:ascii="David" w:hAnsi="David"/>
                <w:sz w:val="26"/>
                <w:szCs w:val="26"/>
              </w:rPr>
            </w:pPr>
            <w:r w:rsidRPr="00AF1257">
              <w:rPr>
                <w:rFonts w:ascii="David" w:hAnsi="David" w:hint="cs"/>
                <w:sz w:val="26"/>
                <w:szCs w:val="26"/>
                <w:rtl/>
              </w:rPr>
              <w:t>ל</w:t>
            </w:r>
            <w:r w:rsidRPr="00AF1257">
              <w:rPr>
                <w:rFonts w:ascii="David" w:hAnsi="David"/>
                <w:sz w:val="26"/>
                <w:szCs w:val="26"/>
                <w:rtl/>
              </w:rPr>
              <w:t xml:space="preserve">פני </w:t>
            </w:r>
          </w:p>
        </w:tc>
        <w:tc>
          <w:tcPr>
            <w:tcW w:w="7364" w:type="dxa"/>
            <w:gridSpan w:val="4"/>
            <w:tcBorders>
              <w:top w:val="nil"/>
              <w:left w:val="nil"/>
              <w:bottom w:val="nil"/>
              <w:right w:val="nil"/>
            </w:tcBorders>
            <w:shd w:val="clear" w:color="auto" w:fill="auto"/>
          </w:tcPr>
          <w:p w14:paraId="03A1A63A" w14:textId="77777777" w:rsidR="008C50BA" w:rsidRPr="00AF1257" w:rsidRDefault="008C50BA" w:rsidP="007255B0">
            <w:pPr>
              <w:rPr>
                <w:rFonts w:ascii="David" w:hAnsi="David"/>
                <w:b/>
                <w:bCs/>
                <w:sz w:val="26"/>
                <w:szCs w:val="26"/>
                <w:rtl/>
              </w:rPr>
            </w:pPr>
            <w:r w:rsidRPr="00AF1257">
              <w:rPr>
                <w:rFonts w:ascii="David" w:hAnsi="David"/>
                <w:b/>
                <w:bCs/>
                <w:sz w:val="26"/>
                <w:szCs w:val="26"/>
                <w:rtl/>
              </w:rPr>
              <w:t>כבוד השופטת, סגנית הנשיא זהר דיבון סגל</w:t>
            </w:r>
          </w:p>
          <w:p w14:paraId="6B72B82A" w14:textId="77777777" w:rsidR="008C50BA" w:rsidRPr="00AF1257" w:rsidRDefault="008C50BA" w:rsidP="008C50BA">
            <w:pPr>
              <w:jc w:val="both"/>
              <w:rPr>
                <w:rFonts w:ascii="David" w:hAnsi="David"/>
                <w:sz w:val="26"/>
                <w:szCs w:val="26"/>
              </w:rPr>
            </w:pPr>
          </w:p>
        </w:tc>
      </w:tr>
      <w:tr w:rsidR="008C50BA" w:rsidRPr="00AF1257" w14:paraId="79B163AA" w14:textId="77777777" w:rsidTr="00C76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21C91EAC" w14:textId="77777777" w:rsidR="008C50BA" w:rsidRPr="00AF1257" w:rsidRDefault="008C50BA" w:rsidP="008C50BA">
            <w:pPr>
              <w:jc w:val="both"/>
              <w:rPr>
                <w:rFonts w:ascii="David" w:hAnsi="David"/>
                <w:sz w:val="26"/>
                <w:szCs w:val="26"/>
                <w:rtl/>
              </w:rPr>
            </w:pPr>
            <w:bookmarkStart w:id="1" w:name="FirstAppellant"/>
            <w:bookmarkStart w:id="2" w:name="LastJudge"/>
            <w:bookmarkEnd w:id="2"/>
            <w:r w:rsidRPr="00AF1257">
              <w:rPr>
                <w:rFonts w:ascii="David" w:hAnsi="David"/>
                <w:sz w:val="26"/>
                <w:szCs w:val="26"/>
                <w:rtl/>
              </w:rPr>
              <w:t>בעניין:</w:t>
            </w:r>
          </w:p>
          <w:p w14:paraId="3BAA776A" w14:textId="77777777" w:rsidR="008C50BA" w:rsidRPr="00AF1257" w:rsidRDefault="008C50BA" w:rsidP="008C50BA">
            <w:pPr>
              <w:suppressLineNumbers/>
            </w:pPr>
            <w:r w:rsidRPr="00AF1257">
              <w:rPr>
                <w:rFonts w:ascii="Arial" w:hAnsi="Arial" w:hint="cs"/>
                <w:b/>
                <w:bCs/>
                <w:sz w:val="26"/>
                <w:szCs w:val="26"/>
                <w:rtl/>
              </w:rPr>
              <w:t>ה</w:t>
            </w:r>
            <w:r w:rsidRPr="00AF1257">
              <w:rPr>
                <w:rFonts w:ascii="Arial" w:hAnsi="Arial"/>
                <w:b/>
                <w:bCs/>
                <w:sz w:val="26"/>
                <w:szCs w:val="26"/>
                <w:rtl/>
              </w:rPr>
              <w:t>מאשימה</w:t>
            </w:r>
          </w:p>
          <w:p w14:paraId="15B3E990" w14:textId="77777777" w:rsidR="008C50BA" w:rsidRPr="00AF1257" w:rsidRDefault="008C50BA" w:rsidP="008C50BA">
            <w:pPr>
              <w:jc w:val="both"/>
              <w:rPr>
                <w:rFonts w:ascii="David" w:hAnsi="David"/>
                <w:sz w:val="26"/>
                <w:szCs w:val="26"/>
              </w:rPr>
            </w:pPr>
          </w:p>
        </w:tc>
        <w:tc>
          <w:tcPr>
            <w:tcW w:w="2963" w:type="dxa"/>
            <w:tcBorders>
              <w:top w:val="nil"/>
              <w:left w:val="nil"/>
              <w:bottom w:val="nil"/>
              <w:right w:val="nil"/>
            </w:tcBorders>
            <w:shd w:val="clear" w:color="auto" w:fill="auto"/>
          </w:tcPr>
          <w:p w14:paraId="3213FACD" w14:textId="77777777" w:rsidR="008C50BA" w:rsidRPr="00AF1257" w:rsidRDefault="008C50BA" w:rsidP="008C50BA">
            <w:pPr>
              <w:suppressLineNumbers/>
              <w:rPr>
                <w:rFonts w:ascii="David" w:hAnsi="David"/>
                <w:sz w:val="26"/>
                <w:szCs w:val="26"/>
                <w:rtl/>
              </w:rPr>
            </w:pPr>
          </w:p>
          <w:p w14:paraId="43895ADF" w14:textId="77777777" w:rsidR="008C50BA" w:rsidRPr="00AF1257" w:rsidRDefault="008C50BA" w:rsidP="008C50BA">
            <w:pPr>
              <w:suppressLineNumbers/>
              <w:rPr>
                <w:rFonts w:ascii="Arial" w:hAnsi="Arial"/>
                <w:b/>
                <w:bCs/>
                <w:sz w:val="26"/>
                <w:szCs w:val="26"/>
                <w:rtl/>
              </w:rPr>
            </w:pPr>
            <w:r w:rsidRPr="00AF1257">
              <w:rPr>
                <w:rFonts w:ascii="Arial" w:hAnsi="Arial"/>
                <w:b/>
                <w:bCs/>
                <w:sz w:val="26"/>
                <w:szCs w:val="26"/>
                <w:rtl/>
              </w:rPr>
              <w:t>מדינת ישראל</w:t>
            </w:r>
            <w:r w:rsidRPr="00AF1257">
              <w:rPr>
                <w:rFonts w:ascii="Arial" w:hAnsi="Arial" w:hint="cs"/>
                <w:b/>
                <w:bCs/>
                <w:sz w:val="26"/>
                <w:szCs w:val="26"/>
                <w:rtl/>
              </w:rPr>
              <w:t xml:space="preserve"> </w:t>
            </w:r>
          </w:p>
          <w:p w14:paraId="076FF308" w14:textId="77777777" w:rsidR="008C50BA" w:rsidRPr="00AF1257" w:rsidRDefault="008C50BA" w:rsidP="008C50BA">
            <w:pPr>
              <w:suppressLineNumbers/>
              <w:rPr>
                <w:rtl/>
              </w:rPr>
            </w:pPr>
            <w:r w:rsidRPr="00AF1257">
              <w:rPr>
                <w:rFonts w:ascii="Arial" w:hAnsi="Arial" w:hint="cs"/>
                <w:b/>
                <w:bCs/>
                <w:sz w:val="26"/>
                <w:szCs w:val="26"/>
                <w:rtl/>
              </w:rPr>
              <w:t xml:space="preserve">יחידת תביעות שלוחת נתניה </w:t>
            </w:r>
            <w:r w:rsidRPr="00AF1257">
              <w:rPr>
                <w:rFonts w:ascii="Arial" w:hAnsi="Arial"/>
                <w:b/>
                <w:bCs/>
                <w:sz w:val="26"/>
                <w:szCs w:val="26"/>
                <w:rtl/>
              </w:rPr>
              <w:t>ע"י ב"כ עוה"ד</w:t>
            </w:r>
            <w:r w:rsidRPr="00AF1257">
              <w:rPr>
                <w:rFonts w:ascii="Arial" w:hAnsi="Arial" w:hint="cs"/>
                <w:b/>
                <w:bCs/>
                <w:sz w:val="26"/>
                <w:szCs w:val="26"/>
                <w:rtl/>
              </w:rPr>
              <w:t xml:space="preserve"> יורי קורנברג </w:t>
            </w:r>
          </w:p>
          <w:p w14:paraId="6CCB4176" w14:textId="77777777" w:rsidR="008C50BA" w:rsidRPr="00AF1257" w:rsidRDefault="008C50BA" w:rsidP="008C50BA">
            <w:pPr>
              <w:suppressLineNumbers/>
            </w:pPr>
          </w:p>
        </w:tc>
        <w:tc>
          <w:tcPr>
            <w:tcW w:w="4401" w:type="dxa"/>
            <w:gridSpan w:val="3"/>
            <w:tcBorders>
              <w:top w:val="nil"/>
              <w:left w:val="nil"/>
              <w:bottom w:val="nil"/>
              <w:right w:val="nil"/>
            </w:tcBorders>
            <w:shd w:val="clear" w:color="auto" w:fill="auto"/>
            <w:vAlign w:val="center"/>
          </w:tcPr>
          <w:p w14:paraId="4C9B379D" w14:textId="77777777" w:rsidR="008C50BA" w:rsidRPr="00AF1257" w:rsidRDefault="008C50BA" w:rsidP="008C50BA">
            <w:pPr>
              <w:suppressLineNumbers/>
              <w:rPr>
                <w:rFonts w:ascii="David" w:hAnsi="David"/>
                <w:sz w:val="26"/>
                <w:szCs w:val="26"/>
              </w:rPr>
            </w:pPr>
          </w:p>
        </w:tc>
      </w:tr>
      <w:bookmarkEnd w:id="1"/>
      <w:tr w:rsidR="008C50BA" w:rsidRPr="00AF1257" w14:paraId="086A520F" w14:textId="77777777" w:rsidTr="00C76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25496499" w14:textId="77777777" w:rsidR="008C50BA" w:rsidRPr="00AF1257" w:rsidRDefault="008C50BA" w:rsidP="008C50BA">
            <w:pPr>
              <w:jc w:val="both"/>
              <w:rPr>
                <w:rFonts w:ascii="David" w:hAnsi="David"/>
                <w:sz w:val="26"/>
                <w:szCs w:val="26"/>
                <w:rtl/>
              </w:rPr>
            </w:pPr>
          </w:p>
        </w:tc>
        <w:tc>
          <w:tcPr>
            <w:tcW w:w="7364" w:type="dxa"/>
            <w:gridSpan w:val="4"/>
            <w:tcBorders>
              <w:top w:val="nil"/>
              <w:left w:val="nil"/>
              <w:bottom w:val="nil"/>
              <w:right w:val="nil"/>
            </w:tcBorders>
            <w:shd w:val="clear" w:color="auto" w:fill="auto"/>
          </w:tcPr>
          <w:p w14:paraId="0BA51488" w14:textId="77777777" w:rsidR="008C50BA" w:rsidRPr="00AF1257" w:rsidRDefault="008C50BA" w:rsidP="008C50BA">
            <w:pPr>
              <w:jc w:val="center"/>
              <w:rPr>
                <w:rFonts w:ascii="David" w:hAnsi="David"/>
                <w:b/>
                <w:bCs/>
                <w:sz w:val="26"/>
                <w:szCs w:val="26"/>
                <w:rtl/>
              </w:rPr>
            </w:pPr>
          </w:p>
          <w:p w14:paraId="57115BCE" w14:textId="77777777" w:rsidR="008C50BA" w:rsidRPr="00AF1257" w:rsidRDefault="008C50BA" w:rsidP="007255B0">
            <w:pPr>
              <w:rPr>
                <w:rFonts w:ascii="David" w:hAnsi="David"/>
                <w:b/>
                <w:bCs/>
                <w:sz w:val="26"/>
                <w:szCs w:val="26"/>
                <w:rtl/>
              </w:rPr>
            </w:pPr>
            <w:r w:rsidRPr="00AF1257">
              <w:rPr>
                <w:rFonts w:ascii="David" w:hAnsi="David" w:hint="cs"/>
                <w:b/>
                <w:bCs/>
                <w:sz w:val="26"/>
                <w:szCs w:val="26"/>
                <w:rtl/>
              </w:rPr>
              <w:t xml:space="preserve">              </w:t>
            </w:r>
            <w:r w:rsidRPr="00AF1257">
              <w:rPr>
                <w:rFonts w:ascii="David" w:hAnsi="David"/>
                <w:b/>
                <w:bCs/>
                <w:sz w:val="26"/>
                <w:szCs w:val="26"/>
                <w:rtl/>
              </w:rPr>
              <w:t>נגד</w:t>
            </w:r>
          </w:p>
          <w:p w14:paraId="4FFBC2BB" w14:textId="77777777" w:rsidR="008C50BA" w:rsidRPr="00AF1257" w:rsidRDefault="008C50BA" w:rsidP="007255B0">
            <w:pPr>
              <w:rPr>
                <w:rFonts w:ascii="David" w:hAnsi="David"/>
                <w:b/>
                <w:bCs/>
                <w:sz w:val="26"/>
                <w:szCs w:val="26"/>
              </w:rPr>
            </w:pPr>
          </w:p>
        </w:tc>
      </w:tr>
      <w:tr w:rsidR="008C50BA" w:rsidRPr="00AF1257" w14:paraId="428A66F8" w14:textId="77777777" w:rsidTr="00C76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71DABFEB" w14:textId="77777777" w:rsidR="008C50BA" w:rsidRPr="00AF1257" w:rsidRDefault="008C50BA" w:rsidP="007255B0">
            <w:pPr>
              <w:rPr>
                <w:rFonts w:ascii="David" w:hAnsi="David"/>
                <w:sz w:val="26"/>
                <w:szCs w:val="26"/>
                <w:rtl/>
              </w:rPr>
            </w:pPr>
            <w:r w:rsidRPr="00AF1257">
              <w:rPr>
                <w:rFonts w:ascii="Arial" w:hAnsi="Arial"/>
                <w:b/>
                <w:bCs/>
                <w:sz w:val="26"/>
                <w:szCs w:val="26"/>
                <w:rtl/>
              </w:rPr>
              <w:t>הנאשמים</w:t>
            </w:r>
          </w:p>
        </w:tc>
        <w:tc>
          <w:tcPr>
            <w:tcW w:w="2963" w:type="dxa"/>
            <w:tcBorders>
              <w:top w:val="nil"/>
              <w:left w:val="nil"/>
              <w:bottom w:val="nil"/>
              <w:right w:val="nil"/>
            </w:tcBorders>
            <w:shd w:val="clear" w:color="auto" w:fill="auto"/>
          </w:tcPr>
          <w:p w14:paraId="70019C98" w14:textId="77777777" w:rsidR="008C50BA" w:rsidRPr="00AF1257" w:rsidRDefault="008C50BA" w:rsidP="007255B0">
            <w:pPr>
              <w:rPr>
                <w:rFonts w:ascii="Arial" w:hAnsi="Arial"/>
                <w:b/>
                <w:bCs/>
                <w:sz w:val="26"/>
                <w:szCs w:val="26"/>
                <w:rtl/>
              </w:rPr>
            </w:pPr>
            <w:r w:rsidRPr="00AF1257">
              <w:rPr>
                <w:rFonts w:ascii="Arial" w:hAnsi="Arial"/>
                <w:b/>
                <w:bCs/>
                <w:sz w:val="26"/>
                <w:szCs w:val="26"/>
                <w:rtl/>
              </w:rPr>
              <w:t>ליאור גולן</w:t>
            </w:r>
            <w:r w:rsidRPr="00AF1257">
              <w:rPr>
                <w:rFonts w:ascii="Arial" w:hAnsi="Arial" w:hint="cs"/>
                <w:b/>
                <w:bCs/>
                <w:sz w:val="26"/>
                <w:szCs w:val="26"/>
                <w:rtl/>
              </w:rPr>
              <w:t xml:space="preserve"> </w:t>
            </w:r>
          </w:p>
          <w:p w14:paraId="08E167BC" w14:textId="77777777" w:rsidR="008C50BA" w:rsidRPr="00AF1257" w:rsidRDefault="008C50BA" w:rsidP="007255B0">
            <w:pPr>
              <w:rPr>
                <w:rFonts w:ascii="Arial" w:hAnsi="Arial"/>
                <w:b/>
                <w:bCs/>
                <w:sz w:val="26"/>
                <w:szCs w:val="26"/>
                <w:rtl/>
              </w:rPr>
            </w:pPr>
            <w:r w:rsidRPr="00AF1257">
              <w:rPr>
                <w:rFonts w:ascii="Arial" w:hAnsi="Arial"/>
                <w:b/>
                <w:bCs/>
                <w:sz w:val="26"/>
                <w:szCs w:val="26"/>
                <w:rtl/>
              </w:rPr>
              <w:t>ע"י ב"כ עוה"ד</w:t>
            </w:r>
            <w:r w:rsidRPr="00AF1257">
              <w:rPr>
                <w:rFonts w:ascii="Arial" w:hAnsi="Arial" w:hint="cs"/>
                <w:b/>
                <w:bCs/>
                <w:sz w:val="26"/>
                <w:szCs w:val="26"/>
                <w:rtl/>
              </w:rPr>
              <w:t xml:space="preserve"> שחר מנדלמן </w:t>
            </w:r>
          </w:p>
        </w:tc>
        <w:tc>
          <w:tcPr>
            <w:tcW w:w="4401" w:type="dxa"/>
            <w:gridSpan w:val="3"/>
            <w:tcBorders>
              <w:top w:val="nil"/>
              <w:left w:val="nil"/>
              <w:bottom w:val="nil"/>
              <w:right w:val="nil"/>
            </w:tcBorders>
            <w:shd w:val="clear" w:color="auto" w:fill="auto"/>
            <w:vAlign w:val="center"/>
          </w:tcPr>
          <w:p w14:paraId="4A555C28" w14:textId="77777777" w:rsidR="008C50BA" w:rsidRPr="00AF1257" w:rsidRDefault="008C50BA" w:rsidP="008C50BA">
            <w:pPr>
              <w:suppressLineNumbers/>
            </w:pPr>
          </w:p>
          <w:p w14:paraId="47BD4199" w14:textId="77777777" w:rsidR="008C50BA" w:rsidRPr="00AF1257" w:rsidRDefault="008C50BA" w:rsidP="007255B0">
            <w:pPr>
              <w:rPr>
                <w:rFonts w:ascii="David" w:hAnsi="David"/>
                <w:sz w:val="26"/>
                <w:szCs w:val="26"/>
              </w:rPr>
            </w:pPr>
          </w:p>
        </w:tc>
      </w:tr>
      <w:tr w:rsidR="008C50BA" w:rsidRPr="00AF1257" w14:paraId="66945990" w14:textId="77777777" w:rsidTr="00C76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529D1082" w14:textId="77777777" w:rsidR="008C50BA" w:rsidRPr="00AF1257" w:rsidRDefault="008C50BA" w:rsidP="008C50BA">
            <w:pPr>
              <w:jc w:val="both"/>
              <w:rPr>
                <w:rFonts w:ascii="David" w:hAnsi="David"/>
                <w:sz w:val="26"/>
                <w:szCs w:val="26"/>
                <w:rtl/>
              </w:rPr>
            </w:pPr>
          </w:p>
        </w:tc>
        <w:tc>
          <w:tcPr>
            <w:tcW w:w="2963" w:type="dxa"/>
            <w:tcBorders>
              <w:top w:val="nil"/>
              <w:left w:val="nil"/>
              <w:bottom w:val="nil"/>
              <w:right w:val="nil"/>
            </w:tcBorders>
            <w:shd w:val="clear" w:color="auto" w:fill="auto"/>
          </w:tcPr>
          <w:p w14:paraId="6E8F31F3" w14:textId="77777777" w:rsidR="008C50BA" w:rsidRPr="00AF1257" w:rsidRDefault="008C50BA" w:rsidP="008C50BA">
            <w:pPr>
              <w:jc w:val="both"/>
              <w:rPr>
                <w:rFonts w:ascii="David" w:hAnsi="David"/>
                <w:sz w:val="26"/>
                <w:szCs w:val="26"/>
                <w:rtl/>
              </w:rPr>
            </w:pPr>
          </w:p>
        </w:tc>
        <w:tc>
          <w:tcPr>
            <w:tcW w:w="4401" w:type="dxa"/>
            <w:gridSpan w:val="3"/>
            <w:tcBorders>
              <w:top w:val="nil"/>
              <w:left w:val="nil"/>
              <w:bottom w:val="nil"/>
              <w:right w:val="nil"/>
            </w:tcBorders>
            <w:shd w:val="clear" w:color="auto" w:fill="auto"/>
          </w:tcPr>
          <w:p w14:paraId="067C389C" w14:textId="77777777" w:rsidR="008C50BA" w:rsidRPr="00AF1257" w:rsidRDefault="008C50BA" w:rsidP="008C50BA">
            <w:pPr>
              <w:jc w:val="right"/>
              <w:rPr>
                <w:rFonts w:ascii="David" w:hAnsi="David"/>
                <w:sz w:val="26"/>
                <w:szCs w:val="26"/>
              </w:rPr>
            </w:pPr>
          </w:p>
        </w:tc>
      </w:tr>
    </w:tbl>
    <w:p w14:paraId="643CDF8C" w14:textId="77777777" w:rsidR="00AF1257" w:rsidRPr="00AF1257" w:rsidRDefault="00AF1257" w:rsidP="00AF1257">
      <w:pPr>
        <w:rPr>
          <w:rtl/>
        </w:rPr>
      </w:pPr>
    </w:p>
    <w:p w14:paraId="0E58EFD4" w14:textId="77777777" w:rsidR="00C76BE2" w:rsidRPr="00C76BE2" w:rsidRDefault="00C76BE2" w:rsidP="00C76BE2">
      <w:pPr>
        <w:spacing w:before="120" w:after="120" w:line="240" w:lineRule="exact"/>
        <w:ind w:left="283" w:hanging="283"/>
        <w:jc w:val="both"/>
        <w:rPr>
          <w:rFonts w:ascii="FrankRuehl" w:hAnsi="FrankRuehl" w:cs="FrankRuehl"/>
          <w:rtl/>
        </w:rPr>
      </w:pPr>
      <w:bookmarkStart w:id="3" w:name="LawTable"/>
      <w:bookmarkEnd w:id="3"/>
    </w:p>
    <w:p w14:paraId="04F5560F" w14:textId="77777777" w:rsidR="00C76BE2" w:rsidRPr="00C76BE2" w:rsidRDefault="00C76BE2" w:rsidP="00C76BE2">
      <w:pPr>
        <w:spacing w:before="120" w:after="120" w:line="240" w:lineRule="exact"/>
        <w:ind w:left="283" w:hanging="283"/>
        <w:jc w:val="both"/>
        <w:rPr>
          <w:rFonts w:ascii="FrankRuehl" w:hAnsi="FrankRuehl" w:cs="FrankRuehl"/>
          <w:rtl/>
        </w:rPr>
      </w:pPr>
      <w:r w:rsidRPr="00C76BE2">
        <w:rPr>
          <w:rFonts w:ascii="FrankRuehl" w:hAnsi="FrankRuehl" w:cs="FrankRuehl"/>
          <w:rtl/>
        </w:rPr>
        <w:t xml:space="preserve">חקיקה שאוזכרה: </w:t>
      </w:r>
    </w:p>
    <w:p w14:paraId="52F34036" w14:textId="77777777" w:rsidR="00C76BE2" w:rsidRPr="00C76BE2" w:rsidRDefault="00C76BE2" w:rsidP="00C76BE2">
      <w:pPr>
        <w:spacing w:before="120" w:after="120" w:line="240" w:lineRule="exact"/>
        <w:ind w:left="283" w:hanging="283"/>
        <w:jc w:val="both"/>
        <w:rPr>
          <w:rFonts w:ascii="FrankRuehl" w:hAnsi="FrankRuehl" w:cs="FrankRuehl"/>
          <w:color w:val="0000FF"/>
          <w:rtl/>
        </w:rPr>
      </w:pPr>
      <w:hyperlink r:id="rId7" w:history="1">
        <w:r w:rsidRPr="00C76BE2">
          <w:rPr>
            <w:rStyle w:val="Hyperlink"/>
            <w:rFonts w:ascii="FrankRuehl" w:hAnsi="FrankRuehl" w:cs="FrankRuehl"/>
            <w:u w:val="none"/>
            <w:rtl/>
          </w:rPr>
          <w:t>פקודת הסמים המסוכנים [נוסח חדש], תשל"ג-1973</w:t>
        </w:r>
      </w:hyperlink>
      <w:r w:rsidRPr="00C76BE2">
        <w:rPr>
          <w:rFonts w:ascii="FrankRuehl" w:hAnsi="FrankRuehl" w:cs="FrankRuehl"/>
          <w:color w:val="0000FF"/>
          <w:rtl/>
        </w:rPr>
        <w:t xml:space="preserve">: סע'  </w:t>
      </w:r>
      <w:hyperlink r:id="rId8" w:history="1">
        <w:r w:rsidRPr="00C76BE2">
          <w:rPr>
            <w:rStyle w:val="Hyperlink"/>
            <w:rFonts w:ascii="FrankRuehl" w:hAnsi="FrankRuehl" w:cs="FrankRuehl"/>
            <w:u w:val="none"/>
          </w:rPr>
          <w:t>6</w:t>
        </w:r>
      </w:hyperlink>
    </w:p>
    <w:p w14:paraId="58F32B63" w14:textId="77777777" w:rsidR="00C76BE2" w:rsidRPr="00C76BE2" w:rsidRDefault="00C76BE2" w:rsidP="00C76BE2">
      <w:pPr>
        <w:spacing w:before="120" w:after="120" w:line="240" w:lineRule="exact"/>
        <w:ind w:left="283" w:hanging="283"/>
        <w:jc w:val="both"/>
        <w:rPr>
          <w:rFonts w:ascii="FrankRuehl" w:hAnsi="FrankRuehl" w:cs="FrankRuehl"/>
          <w:color w:val="0000FF"/>
          <w:rtl/>
        </w:rPr>
      </w:pPr>
      <w:hyperlink r:id="rId9" w:history="1">
        <w:r w:rsidRPr="00C76BE2">
          <w:rPr>
            <w:rStyle w:val="Hyperlink"/>
            <w:rFonts w:ascii="FrankRuehl" w:hAnsi="FrankRuehl" w:cs="FrankRuehl"/>
            <w:u w:val="none"/>
            <w:rtl/>
          </w:rPr>
          <w:t>חוק העונשין, תשל"ז-1977</w:t>
        </w:r>
      </w:hyperlink>
      <w:r w:rsidRPr="00C76BE2">
        <w:rPr>
          <w:rFonts w:ascii="FrankRuehl" w:hAnsi="FrankRuehl" w:cs="FrankRuehl"/>
          <w:color w:val="0000FF"/>
          <w:rtl/>
        </w:rPr>
        <w:t xml:space="preserve">: סע'  </w:t>
      </w:r>
      <w:hyperlink r:id="rId10" w:history="1">
        <w:r w:rsidRPr="00C76BE2">
          <w:rPr>
            <w:rStyle w:val="Hyperlink"/>
            <w:rFonts w:ascii="FrankRuehl" w:hAnsi="FrankRuehl" w:cs="FrankRuehl"/>
            <w:u w:val="none"/>
          </w:rPr>
          <w:t>287</w:t>
        </w:r>
      </w:hyperlink>
      <w:r w:rsidRPr="00C76BE2">
        <w:rPr>
          <w:rFonts w:ascii="FrankRuehl" w:hAnsi="FrankRuehl" w:cs="FrankRuehl"/>
          <w:color w:val="0000FF"/>
          <w:rtl/>
        </w:rPr>
        <w:t>(א)</w:t>
      </w:r>
    </w:p>
    <w:p w14:paraId="03D451A8" w14:textId="77777777" w:rsidR="00AF1257" w:rsidRPr="00C76BE2" w:rsidRDefault="00AF1257" w:rsidP="00C76BE2">
      <w:bookmarkStart w:id="4" w:name="LawTable_End"/>
      <w:bookmarkEnd w:id="4"/>
    </w:p>
    <w:tbl>
      <w:tblPr>
        <w:bidiVisual/>
        <w:tblW w:w="8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1"/>
      </w:tblGrid>
      <w:tr w:rsidR="008C50BA" w:rsidRPr="00494560" w14:paraId="60019D54" w14:textId="77777777" w:rsidTr="008C50BA">
        <w:trPr>
          <w:trHeight w:val="355"/>
          <w:jc w:val="center"/>
        </w:trPr>
        <w:tc>
          <w:tcPr>
            <w:tcW w:w="8361" w:type="dxa"/>
            <w:tcBorders>
              <w:top w:val="nil"/>
              <w:left w:val="nil"/>
              <w:bottom w:val="nil"/>
              <w:right w:val="nil"/>
            </w:tcBorders>
            <w:shd w:val="clear" w:color="auto" w:fill="auto"/>
          </w:tcPr>
          <w:p w14:paraId="034D4199" w14:textId="77777777" w:rsidR="00AF1257" w:rsidRPr="00AF1257" w:rsidRDefault="00AF1257" w:rsidP="00AF1257">
            <w:pPr>
              <w:jc w:val="center"/>
              <w:rPr>
                <w:rFonts w:ascii="David" w:hAnsi="David"/>
                <w:b/>
                <w:bCs/>
                <w:sz w:val="32"/>
                <w:szCs w:val="32"/>
                <w:rtl/>
              </w:rPr>
            </w:pPr>
            <w:bookmarkStart w:id="5" w:name="PsakDin" w:colFirst="0" w:colLast="0"/>
            <w:bookmarkEnd w:id="0"/>
            <w:r w:rsidRPr="00AF1257">
              <w:rPr>
                <w:rFonts w:ascii="David" w:hAnsi="David"/>
                <w:b/>
                <w:bCs/>
                <w:sz w:val="32"/>
                <w:szCs w:val="32"/>
                <w:rtl/>
              </w:rPr>
              <w:t>גזר דין</w:t>
            </w:r>
          </w:p>
          <w:p w14:paraId="45DA3A76" w14:textId="77777777" w:rsidR="008C50BA" w:rsidRPr="00AF1257" w:rsidRDefault="008C50BA" w:rsidP="00AF1257">
            <w:pPr>
              <w:jc w:val="center"/>
              <w:rPr>
                <w:rFonts w:ascii="David" w:hAnsi="David"/>
                <w:bCs/>
                <w:sz w:val="32"/>
                <w:szCs w:val="32"/>
                <w:rtl/>
              </w:rPr>
            </w:pPr>
          </w:p>
        </w:tc>
      </w:tr>
    </w:tbl>
    <w:p w14:paraId="38FD95E7"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bookmarkStart w:id="6" w:name="ABSTRACT_START"/>
      <w:bookmarkEnd w:id="5"/>
      <w:bookmarkEnd w:id="6"/>
      <w:r>
        <w:rPr>
          <w:rFonts w:cs="FrankRuehl"/>
          <w:sz w:val="28"/>
          <w:szCs w:val="28"/>
          <w:rtl/>
        </w:rPr>
        <w:t xml:space="preserve">הנאשם הורשע על פי הודאתו </w:t>
      </w:r>
      <w:r>
        <w:rPr>
          <w:rFonts w:ascii="FrankRuehl" w:hAnsi="FrankRuehl" w:cs="FrankRuehl"/>
          <w:noProof/>
          <w:sz w:val="28"/>
          <w:szCs w:val="28"/>
          <w:rtl/>
        </w:rPr>
        <w:t xml:space="preserve">בביצוע עבירות כדלקמן: </w:t>
      </w:r>
      <w:r>
        <w:rPr>
          <w:rFonts w:ascii="Miriam" w:hAnsi="Miriam" w:cs="Miriam"/>
          <w:rtl/>
        </w:rPr>
        <w:t>גידול יצור והכנת סמים מסוכנים</w:t>
      </w:r>
      <w:r>
        <w:rPr>
          <w:rFonts w:cs="FrankRuehl"/>
          <w:sz w:val="28"/>
          <w:szCs w:val="28"/>
          <w:rtl/>
        </w:rPr>
        <w:t xml:space="preserve">, לפי </w:t>
      </w:r>
      <w:hyperlink r:id="rId11" w:history="1">
        <w:r w:rsidR="00C76BE2" w:rsidRPr="00C76BE2">
          <w:rPr>
            <w:rStyle w:val="Hyperlink"/>
            <w:rFonts w:cs="FrankRuehl"/>
            <w:color w:val="0000FF"/>
            <w:sz w:val="28"/>
            <w:szCs w:val="28"/>
            <w:rtl/>
          </w:rPr>
          <w:t>סעיף 6</w:t>
        </w:r>
      </w:hyperlink>
      <w:r>
        <w:rPr>
          <w:rFonts w:cs="FrankRuehl"/>
          <w:sz w:val="28"/>
          <w:szCs w:val="28"/>
          <w:rtl/>
        </w:rPr>
        <w:t xml:space="preserve"> ל</w:t>
      </w:r>
      <w:hyperlink r:id="rId12" w:history="1">
        <w:r w:rsidR="00AF1257" w:rsidRPr="00AF1257">
          <w:rPr>
            <w:rFonts w:cs="FrankRuehl" w:hint="cs"/>
            <w:color w:val="0000FF"/>
            <w:sz w:val="28"/>
            <w:szCs w:val="28"/>
            <w:u w:val="single"/>
            <w:rtl/>
          </w:rPr>
          <w:t>פקודת</w:t>
        </w:r>
        <w:r w:rsidR="00AF1257" w:rsidRPr="00AF1257">
          <w:rPr>
            <w:rFonts w:cs="FrankRuehl"/>
            <w:color w:val="0000FF"/>
            <w:sz w:val="28"/>
            <w:szCs w:val="28"/>
            <w:u w:val="single"/>
            <w:rtl/>
          </w:rPr>
          <w:t xml:space="preserve"> </w:t>
        </w:r>
        <w:r w:rsidR="00AF1257" w:rsidRPr="00AF1257">
          <w:rPr>
            <w:rFonts w:cs="FrankRuehl" w:hint="cs"/>
            <w:color w:val="0000FF"/>
            <w:sz w:val="28"/>
            <w:szCs w:val="28"/>
            <w:u w:val="single"/>
            <w:rtl/>
          </w:rPr>
          <w:t>הסמים</w:t>
        </w:r>
        <w:r w:rsidR="00AF1257" w:rsidRPr="00AF1257">
          <w:rPr>
            <w:rFonts w:cs="FrankRuehl"/>
            <w:color w:val="0000FF"/>
            <w:sz w:val="28"/>
            <w:szCs w:val="28"/>
            <w:u w:val="single"/>
            <w:rtl/>
          </w:rPr>
          <w:t xml:space="preserve"> </w:t>
        </w:r>
        <w:r w:rsidR="00AF1257" w:rsidRPr="00AF1257">
          <w:rPr>
            <w:rFonts w:cs="FrankRuehl" w:hint="cs"/>
            <w:color w:val="0000FF"/>
            <w:sz w:val="28"/>
            <w:szCs w:val="28"/>
            <w:u w:val="single"/>
            <w:rtl/>
          </w:rPr>
          <w:t>המסוכנים</w:t>
        </w:r>
      </w:hyperlink>
      <w:r>
        <w:rPr>
          <w:rFonts w:cs="FrankRuehl" w:hint="cs"/>
          <w:sz w:val="28"/>
          <w:szCs w:val="28"/>
          <w:rtl/>
        </w:rPr>
        <w:t xml:space="preserve"> </w:t>
      </w:r>
      <w:r>
        <w:rPr>
          <w:rFonts w:cs="FrankRuehl"/>
          <w:sz w:val="28"/>
          <w:szCs w:val="28"/>
          <w:rtl/>
        </w:rPr>
        <w:t>[נוסח חדש], התשל"ג–1973</w:t>
      </w:r>
      <w:r>
        <w:rPr>
          <w:rFonts w:ascii="Miriam" w:hAnsi="Miriam" w:cs="Miriam"/>
          <w:rtl/>
        </w:rPr>
        <w:t xml:space="preserve"> (</w:t>
      </w:r>
      <w:r>
        <w:rPr>
          <w:rFonts w:cs="FrankRuehl"/>
          <w:sz w:val="28"/>
          <w:szCs w:val="28"/>
          <w:rtl/>
        </w:rPr>
        <w:t xml:space="preserve">להלן: </w:t>
      </w:r>
      <w:r>
        <w:rPr>
          <w:rFonts w:ascii="Miriam" w:hAnsi="Miriam" w:cs="Miriam"/>
          <w:rtl/>
        </w:rPr>
        <w:t>פקודת הסמים המסוכנים</w:t>
      </w:r>
      <w:r>
        <w:rPr>
          <w:rFonts w:cs="FrankRuehl"/>
          <w:sz w:val="28"/>
          <w:szCs w:val="28"/>
          <w:rtl/>
        </w:rPr>
        <w:t xml:space="preserve">), </w:t>
      </w:r>
      <w:r>
        <w:rPr>
          <w:rFonts w:ascii="Miriam" w:hAnsi="Miriam" w:cs="Miriam"/>
          <w:rtl/>
        </w:rPr>
        <w:t>הפרת הוראה חוקית</w:t>
      </w:r>
      <w:r>
        <w:rPr>
          <w:rFonts w:cs="FrankRuehl"/>
          <w:sz w:val="28"/>
          <w:szCs w:val="28"/>
          <w:rtl/>
        </w:rPr>
        <w:t xml:space="preserve">, עבירה לפי </w:t>
      </w:r>
      <w:hyperlink r:id="rId13" w:history="1">
        <w:r w:rsidR="00C76BE2" w:rsidRPr="00C76BE2">
          <w:rPr>
            <w:rStyle w:val="Hyperlink"/>
            <w:rFonts w:cs="FrankRuehl"/>
            <w:color w:val="0000FF"/>
            <w:sz w:val="28"/>
            <w:szCs w:val="28"/>
            <w:rtl/>
          </w:rPr>
          <w:t>סעיף 287(א)</w:t>
        </w:r>
      </w:hyperlink>
      <w:r>
        <w:rPr>
          <w:rFonts w:cs="FrankRuehl"/>
          <w:sz w:val="28"/>
          <w:szCs w:val="28"/>
          <w:rtl/>
        </w:rPr>
        <w:t xml:space="preserve"> ל</w:t>
      </w:r>
      <w:hyperlink r:id="rId14" w:history="1">
        <w:r w:rsidR="00AF1257" w:rsidRPr="00AF1257">
          <w:rPr>
            <w:rFonts w:cs="FrankRuehl" w:hint="cs"/>
            <w:color w:val="0000FF"/>
            <w:sz w:val="28"/>
            <w:szCs w:val="28"/>
            <w:u w:val="single"/>
            <w:rtl/>
          </w:rPr>
          <w:t>חוק</w:t>
        </w:r>
        <w:r w:rsidR="00AF1257" w:rsidRPr="00AF1257">
          <w:rPr>
            <w:rFonts w:cs="FrankRuehl"/>
            <w:color w:val="0000FF"/>
            <w:sz w:val="28"/>
            <w:szCs w:val="28"/>
            <w:u w:val="single"/>
            <w:rtl/>
          </w:rPr>
          <w:t xml:space="preserve"> </w:t>
        </w:r>
        <w:r w:rsidR="00AF1257" w:rsidRPr="00AF1257">
          <w:rPr>
            <w:rFonts w:cs="FrankRuehl" w:hint="cs"/>
            <w:color w:val="0000FF"/>
            <w:sz w:val="28"/>
            <w:szCs w:val="28"/>
            <w:u w:val="single"/>
            <w:rtl/>
          </w:rPr>
          <w:t>העונשין</w:t>
        </w:r>
      </w:hyperlink>
      <w:r>
        <w:rPr>
          <w:rFonts w:cs="FrankRuehl"/>
          <w:sz w:val="28"/>
          <w:szCs w:val="28"/>
          <w:rtl/>
        </w:rPr>
        <w:t xml:space="preserve">, התשל"ז–1977 (להלן: </w:t>
      </w:r>
      <w:r>
        <w:rPr>
          <w:rFonts w:ascii="Miriam" w:hAnsi="Miriam" w:cs="Miriam"/>
          <w:rtl/>
        </w:rPr>
        <w:t>החוק</w:t>
      </w:r>
      <w:r>
        <w:rPr>
          <w:rFonts w:cs="FrankRuehl"/>
          <w:sz w:val="28"/>
          <w:szCs w:val="28"/>
          <w:rtl/>
        </w:rPr>
        <w:t>) וזאת במסגרת שני כתבי אישום שצורפו זה לזה.</w:t>
      </w:r>
    </w:p>
    <w:p w14:paraId="736C9874" w14:textId="77777777" w:rsidR="008C50BA" w:rsidRPr="0072683A" w:rsidRDefault="008C50BA" w:rsidP="008C50BA">
      <w:pPr>
        <w:pStyle w:val="aa"/>
        <w:tabs>
          <w:tab w:val="left" w:pos="-58"/>
        </w:tabs>
        <w:spacing w:before="100" w:beforeAutospacing="1" w:after="120"/>
        <w:ind w:left="-58"/>
        <w:jc w:val="both"/>
        <w:rPr>
          <w:rFonts w:ascii="FrankRuehl" w:hAnsi="FrankRuehl" w:cs="FrankRuehl"/>
          <w:noProof/>
          <w:sz w:val="28"/>
          <w:szCs w:val="28"/>
        </w:rPr>
      </w:pPr>
      <w:bookmarkStart w:id="7" w:name="ABSTRACT_END"/>
      <w:bookmarkEnd w:id="7"/>
    </w:p>
    <w:p w14:paraId="28219CAB"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כחלק מהסדר הטיעון התבקש שירות המבחן לבחון את נסיבותיו האישיות של הנאשם, כמו גם נסיבות ביצוע העבירות ולהעביר המלצותיו לבית המשפט. לבקשת ההגנה התבקש שירות המבחן להתייחס לסוגיית ההרשעה. </w:t>
      </w:r>
    </w:p>
    <w:p w14:paraId="2C840FC8" w14:textId="77777777" w:rsidR="008C50BA" w:rsidRDefault="008C50BA" w:rsidP="008C50BA">
      <w:pPr>
        <w:pStyle w:val="aa"/>
        <w:rPr>
          <w:rFonts w:ascii="FrankRuehl" w:hAnsi="FrankRuehl" w:cs="FrankRuehl"/>
          <w:noProof/>
          <w:sz w:val="28"/>
          <w:szCs w:val="28"/>
        </w:rPr>
      </w:pPr>
    </w:p>
    <w:p w14:paraId="615E4651"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noProof/>
          <w:sz w:val="28"/>
          <w:szCs w:val="28"/>
        </w:rPr>
      </w:pPr>
      <w:r>
        <w:rPr>
          <w:rFonts w:ascii="FrankRuehl" w:hAnsi="FrankRuehl" w:cs="FrankRuehl"/>
          <w:noProof/>
          <w:sz w:val="28"/>
          <w:szCs w:val="28"/>
          <w:rtl/>
        </w:rPr>
        <w:t xml:space="preserve">על אף שתסקירי המבחן נושאים אופי חיובי, לא הגיעו הצדדים להסכמה לעניין העונש שראוי שיוטל על הנאשם וכל צד טען בעניין זה כראות עיניו וכמיטב שיקול דעתו המקצועי. המחלוקת נעוצה בשאלת ההרשעה ובכך נתמקד.  </w:t>
      </w:r>
    </w:p>
    <w:p w14:paraId="78BC8962" w14:textId="77777777" w:rsidR="008C50BA" w:rsidRPr="0072683A" w:rsidRDefault="008C50BA" w:rsidP="008C50BA">
      <w:pPr>
        <w:pStyle w:val="aa"/>
        <w:rPr>
          <w:rFonts w:ascii="FrankRuehl" w:hAnsi="FrankRuehl" w:cs="FrankRuehl"/>
          <w:noProof/>
          <w:sz w:val="28"/>
          <w:szCs w:val="28"/>
          <w:rtl/>
        </w:rPr>
      </w:pPr>
    </w:p>
    <w:p w14:paraId="73EF6D62" w14:textId="77777777" w:rsidR="008C50BA" w:rsidRDefault="008C50BA" w:rsidP="008C50BA">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עובדות כתבי האישום המתוקנים </w:t>
      </w:r>
    </w:p>
    <w:p w14:paraId="43444150" w14:textId="77777777" w:rsidR="008C50BA" w:rsidRDefault="008C50BA" w:rsidP="008C50BA">
      <w:pPr>
        <w:pStyle w:val="aa"/>
        <w:tabs>
          <w:tab w:val="left" w:pos="-58"/>
        </w:tabs>
        <w:spacing w:before="100" w:beforeAutospacing="1" w:after="120"/>
        <w:ind w:left="-58"/>
        <w:jc w:val="both"/>
        <w:rPr>
          <w:rFonts w:ascii="Miriam" w:hAnsi="Miriam" w:cs="Miriam"/>
          <w:rtl/>
        </w:rPr>
      </w:pPr>
    </w:p>
    <w:p w14:paraId="2C8A6584" w14:textId="77777777" w:rsidR="008C50BA" w:rsidRDefault="00AF1257" w:rsidP="008C50BA">
      <w:pPr>
        <w:pStyle w:val="aa"/>
        <w:tabs>
          <w:tab w:val="left" w:pos="-58"/>
        </w:tabs>
        <w:spacing w:before="100" w:beforeAutospacing="1" w:after="120" w:line="360" w:lineRule="auto"/>
        <w:ind w:left="-58"/>
        <w:jc w:val="both"/>
        <w:rPr>
          <w:rFonts w:ascii="Miriam" w:hAnsi="Miriam" w:cs="Miriam"/>
          <w:rtl/>
        </w:rPr>
      </w:pPr>
      <w:hyperlink r:id="rId15" w:history="1">
        <w:r w:rsidRPr="00AF1257">
          <w:rPr>
            <w:rFonts w:ascii="Miriam" w:hAnsi="Miriam" w:cs="Miriam"/>
            <w:color w:val="0000FF"/>
            <w:u w:val="single"/>
            <w:rtl/>
          </w:rPr>
          <w:t>ת"פ 59618-07-22</w:t>
        </w:r>
      </w:hyperlink>
      <w:r w:rsidR="008C50BA">
        <w:rPr>
          <w:rFonts w:ascii="Miriam" w:hAnsi="Miriam" w:cs="Miriam"/>
          <w:rtl/>
        </w:rPr>
        <w:t xml:space="preserve"> (להלן: התיק העיקרי)  </w:t>
      </w:r>
    </w:p>
    <w:p w14:paraId="54654F6B" w14:textId="77777777" w:rsidR="008C50BA" w:rsidRDefault="008C50BA" w:rsidP="008C50BA">
      <w:pPr>
        <w:pStyle w:val="aa"/>
        <w:tabs>
          <w:tab w:val="left" w:pos="-58"/>
        </w:tabs>
        <w:spacing w:before="100" w:beforeAutospacing="1" w:after="120"/>
        <w:ind w:left="-58"/>
        <w:jc w:val="both"/>
        <w:rPr>
          <w:rFonts w:ascii="Miriam" w:hAnsi="Miriam" w:cs="Miriam"/>
          <w:rtl/>
        </w:rPr>
      </w:pPr>
    </w:p>
    <w:p w14:paraId="4DA4AD3D"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FrankRuehl" w:hAnsi="FrankRuehl" w:cs="FrankRuehl"/>
          <w:noProof/>
          <w:sz w:val="28"/>
          <w:szCs w:val="28"/>
          <w:rtl/>
        </w:rPr>
        <w:lastRenderedPageBreak/>
        <w:t>עובר לתאריך 5.7.2020, גידל הנאשם בחדר בביתו שבמושב, 5 שתילים של סם מסוכן מסוג קנבוס במשקל 576.65 גרם נטו וכן החזיק ב-3 מנורות, מפוח, מתקן לחות וחומרי דישון אשר שימשו לטובת הגידול. ביום 5.7.2020 החזיק הנאשם במקום סם מסוכן מסוג קנבוס במשקל 595.21 גרם נטו וכן ב-2 משקלים.</w:t>
      </w:r>
    </w:p>
    <w:p w14:paraId="4196D02E" w14:textId="77777777" w:rsidR="008C50BA" w:rsidRDefault="008C50BA" w:rsidP="008C50BA">
      <w:pPr>
        <w:pStyle w:val="aa"/>
        <w:tabs>
          <w:tab w:val="left" w:pos="-58"/>
        </w:tabs>
        <w:spacing w:before="100" w:beforeAutospacing="1" w:after="120"/>
        <w:ind w:left="-58"/>
        <w:jc w:val="both"/>
        <w:rPr>
          <w:rFonts w:ascii="Miriam" w:hAnsi="Miriam" w:cs="Miriam"/>
          <w:rtl/>
        </w:rPr>
      </w:pPr>
    </w:p>
    <w:p w14:paraId="51BD5871" w14:textId="77777777" w:rsidR="008C50BA" w:rsidRDefault="008C50BA" w:rsidP="008C50BA">
      <w:pPr>
        <w:pStyle w:val="aa"/>
        <w:tabs>
          <w:tab w:val="left" w:pos="-58"/>
        </w:tabs>
        <w:spacing w:before="100" w:beforeAutospacing="1" w:after="120" w:line="360" w:lineRule="auto"/>
        <w:ind w:left="-58"/>
        <w:jc w:val="both"/>
        <w:rPr>
          <w:rFonts w:ascii="Miriam" w:hAnsi="Miriam" w:cs="Miriam"/>
          <w:rtl/>
        </w:rPr>
      </w:pPr>
    </w:p>
    <w:p w14:paraId="67F6B7D2" w14:textId="77777777" w:rsidR="008C50BA" w:rsidRDefault="008C50BA" w:rsidP="008C50BA">
      <w:pPr>
        <w:pStyle w:val="aa"/>
        <w:tabs>
          <w:tab w:val="left" w:pos="-58"/>
        </w:tabs>
        <w:spacing w:before="100" w:beforeAutospacing="1" w:after="120" w:line="360" w:lineRule="auto"/>
        <w:ind w:left="-58"/>
        <w:jc w:val="both"/>
        <w:rPr>
          <w:rFonts w:ascii="Miriam" w:hAnsi="Miriam" w:cs="Miriam"/>
          <w:rtl/>
        </w:rPr>
      </w:pPr>
    </w:p>
    <w:p w14:paraId="7EF6EC25" w14:textId="77777777" w:rsidR="008C50BA" w:rsidRDefault="00AF1257" w:rsidP="008C50BA">
      <w:pPr>
        <w:pStyle w:val="aa"/>
        <w:tabs>
          <w:tab w:val="left" w:pos="-58"/>
        </w:tabs>
        <w:spacing w:before="100" w:beforeAutospacing="1" w:after="120" w:line="360" w:lineRule="auto"/>
        <w:ind w:left="-58"/>
        <w:jc w:val="both"/>
        <w:rPr>
          <w:rFonts w:ascii="Miriam" w:hAnsi="Miriam" w:cs="Miriam"/>
          <w:rtl/>
        </w:rPr>
      </w:pPr>
      <w:hyperlink r:id="rId16" w:history="1">
        <w:r w:rsidRPr="00AF1257">
          <w:rPr>
            <w:rFonts w:ascii="Miriam" w:hAnsi="Miriam" w:cs="Miriam"/>
            <w:color w:val="0000FF"/>
            <w:u w:val="single"/>
            <w:rtl/>
          </w:rPr>
          <w:t>ת.פ 62743-01-23</w:t>
        </w:r>
      </w:hyperlink>
      <w:r w:rsidR="008C50BA">
        <w:rPr>
          <w:rFonts w:ascii="Miriam" w:hAnsi="Miriam" w:cs="Miriam"/>
          <w:rtl/>
        </w:rPr>
        <w:t xml:space="preserve"> (להלן: תיק הצירוף) </w:t>
      </w:r>
    </w:p>
    <w:p w14:paraId="61CE471E" w14:textId="77777777" w:rsidR="008C50BA" w:rsidRPr="0072683A" w:rsidRDefault="008C50BA" w:rsidP="008C50BA">
      <w:pPr>
        <w:pStyle w:val="aa"/>
        <w:tabs>
          <w:tab w:val="left" w:pos="-58"/>
        </w:tabs>
        <w:spacing w:before="100" w:beforeAutospacing="1" w:after="120"/>
        <w:ind w:left="-58"/>
        <w:jc w:val="both"/>
        <w:rPr>
          <w:rFonts w:ascii="Miriam" w:hAnsi="Miriam" w:cs="Miriam"/>
        </w:rPr>
      </w:pPr>
    </w:p>
    <w:p w14:paraId="418B3785"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tl/>
        </w:rPr>
      </w:pPr>
      <w:r>
        <w:rPr>
          <w:rFonts w:ascii="FrankRuehl" w:hAnsi="FrankRuehl" w:cs="FrankRuehl"/>
          <w:noProof/>
          <w:sz w:val="28"/>
          <w:szCs w:val="28"/>
          <w:rtl/>
        </w:rPr>
        <w:t xml:space="preserve">ביום 14.7.2022 במסגרת הליך ה"ט 28879-07-22 בבית המשפט השלום בנתניה, </w:t>
      </w:r>
      <w:r>
        <w:rPr>
          <w:rFonts w:ascii="FrankRuehl" w:hAnsi="FrankRuehl" w:cs="FrankRuehl" w:hint="cs"/>
          <w:noProof/>
          <w:sz w:val="28"/>
          <w:szCs w:val="28"/>
          <w:rtl/>
        </w:rPr>
        <w:t xml:space="preserve">קבע בית המשפט כי </w:t>
      </w:r>
      <w:r>
        <w:rPr>
          <w:rFonts w:ascii="FrankRuehl" w:hAnsi="FrankRuehl" w:cs="FrankRuehl"/>
          <w:noProof/>
          <w:sz w:val="28"/>
          <w:szCs w:val="28"/>
          <w:rtl/>
        </w:rPr>
        <w:t xml:space="preserve">נאסר על הנאשם להטריד את בת דודתו (להלן: </w:t>
      </w:r>
      <w:r>
        <w:rPr>
          <w:rFonts w:ascii="Miriam" w:hAnsi="Miriam" w:cs="Miriam"/>
          <w:rtl/>
        </w:rPr>
        <w:t>המתלוננת</w:t>
      </w:r>
      <w:r>
        <w:rPr>
          <w:rFonts w:ascii="FrankRuehl" w:hAnsi="FrankRuehl" w:cs="FrankRuehl"/>
          <w:noProof/>
          <w:sz w:val="28"/>
          <w:szCs w:val="28"/>
          <w:rtl/>
        </w:rPr>
        <w:t>) בכל דרך, ליצור עמה קשר, לאיים עליה או לנקוט כלפיה באלימות מילולית או פיזית</w:t>
      </w:r>
      <w:r>
        <w:rPr>
          <w:rFonts w:ascii="FrankRuehl" w:hAnsi="FrankRuehl" w:cs="FrankRuehl" w:hint="cs"/>
          <w:noProof/>
          <w:sz w:val="28"/>
          <w:szCs w:val="28"/>
          <w:rtl/>
        </w:rPr>
        <w:t xml:space="preserve"> (להלן: </w:t>
      </w:r>
      <w:r w:rsidRPr="00265104">
        <w:rPr>
          <w:rFonts w:ascii="Miriam" w:hAnsi="Miriam" w:cs="Miriam" w:hint="cs"/>
          <w:rtl/>
        </w:rPr>
        <w:t>הצו</w:t>
      </w:r>
      <w:r>
        <w:rPr>
          <w:rFonts w:ascii="FrankRuehl" w:hAnsi="FrankRuehl" w:cs="FrankRuehl" w:hint="cs"/>
          <w:noProof/>
          <w:sz w:val="28"/>
          <w:szCs w:val="28"/>
          <w:rtl/>
        </w:rPr>
        <w:t>)</w:t>
      </w:r>
      <w:r>
        <w:rPr>
          <w:rFonts w:ascii="FrankRuehl" w:hAnsi="FrankRuehl" w:cs="FrankRuehl"/>
          <w:noProof/>
          <w:sz w:val="28"/>
          <w:szCs w:val="28"/>
          <w:rtl/>
        </w:rPr>
        <w:t>.</w:t>
      </w:r>
    </w:p>
    <w:p w14:paraId="14DDB931" w14:textId="77777777" w:rsidR="008C50BA" w:rsidRDefault="008C50BA" w:rsidP="008C50BA">
      <w:pPr>
        <w:pStyle w:val="aa"/>
        <w:tabs>
          <w:tab w:val="left" w:pos="-58"/>
        </w:tabs>
        <w:spacing w:before="100" w:beforeAutospacing="1" w:after="120"/>
        <w:ind w:left="-58"/>
        <w:jc w:val="both"/>
        <w:rPr>
          <w:rFonts w:ascii="Miriam" w:hAnsi="Miriam" w:cs="Miriam"/>
        </w:rPr>
      </w:pPr>
    </w:p>
    <w:p w14:paraId="19165868"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FrankRuehl" w:hAnsi="FrankRuehl" w:cs="FrankRuehl"/>
          <w:noProof/>
          <w:sz w:val="28"/>
          <w:szCs w:val="28"/>
          <w:rtl/>
        </w:rPr>
        <w:t>ביום 15.7.2022 בשעה 17:23 הפר הנאשם את הצו בכך ששלח למתלוננת הודעת טקסט באמצעות יישומון ה"וואטסאפ": "את מבינה שאת יושבת על רכוש גזול שבעבורו אביך שילם מחיר יקר. האם תרצי לשלם כמוהו עבור קובית אבנים. יש לך זכות להחכים ולהשכיל. מה שיהיה יהיה".</w:t>
      </w:r>
    </w:p>
    <w:p w14:paraId="094A4BD3" w14:textId="77777777" w:rsidR="008C50BA" w:rsidRDefault="008C50BA" w:rsidP="008C50BA">
      <w:pPr>
        <w:pStyle w:val="aa"/>
        <w:tabs>
          <w:tab w:val="left" w:pos="-58"/>
        </w:tabs>
        <w:spacing w:before="100" w:beforeAutospacing="1" w:after="120"/>
        <w:ind w:left="-58"/>
        <w:jc w:val="both"/>
        <w:rPr>
          <w:rFonts w:ascii="Miriam" w:hAnsi="Miriam" w:cs="Miriam"/>
          <w:rtl/>
        </w:rPr>
      </w:pPr>
    </w:p>
    <w:p w14:paraId="024BA06B" w14:textId="77777777" w:rsidR="008C50BA" w:rsidRDefault="008C50BA" w:rsidP="008C50BA">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תסקירי מבחן </w:t>
      </w:r>
    </w:p>
    <w:p w14:paraId="2A55D647" w14:textId="77777777" w:rsidR="008C50BA" w:rsidRDefault="008C50BA" w:rsidP="008C50BA">
      <w:pPr>
        <w:pStyle w:val="aa"/>
        <w:tabs>
          <w:tab w:val="left" w:pos="-58"/>
        </w:tabs>
        <w:spacing w:before="100" w:beforeAutospacing="1" w:after="120"/>
        <w:ind w:left="-58"/>
        <w:jc w:val="both"/>
        <w:rPr>
          <w:rFonts w:ascii="Miriam" w:hAnsi="Miriam" w:cs="Miriam"/>
        </w:rPr>
      </w:pPr>
    </w:p>
    <w:p w14:paraId="3A0A3E7B"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tl/>
        </w:rPr>
      </w:pPr>
      <w:r>
        <w:rPr>
          <w:rFonts w:ascii="FrankRuehl" w:hAnsi="FrankRuehl" w:cs="FrankRuehl"/>
          <w:sz w:val="28"/>
          <w:szCs w:val="28"/>
          <w:rtl/>
        </w:rPr>
        <w:t xml:space="preserve">בפני בית המשפט מונחים שני תסקירים המגוללים את הרקע האישי והמשפחתי של הנאשם, היסטוריה עבריינית והתייחסותו לעבירות, הערכת הסיכון כמו גם הסיכוי לשיקום. בסופו של תהליך אבחון וטיפול המליץ שירות המבחן להימנע מהרשעת הנאשם והעמדתו בצו מבחן  למשך שנה וצו של"צ בהיקף 100 שעות. </w:t>
      </w:r>
    </w:p>
    <w:p w14:paraId="360BD99D" w14:textId="77777777" w:rsidR="008C50BA" w:rsidRDefault="008C50BA" w:rsidP="008C50BA">
      <w:pPr>
        <w:tabs>
          <w:tab w:val="left" w:pos="-58"/>
        </w:tabs>
        <w:spacing w:before="100" w:beforeAutospacing="1" w:after="120" w:line="360" w:lineRule="auto"/>
        <w:ind w:left="-58"/>
        <w:jc w:val="both"/>
        <w:rPr>
          <w:rFonts w:ascii="FrankRuehl" w:hAnsi="FrankRuehl" w:cs="FrankRuehl"/>
          <w:sz w:val="28"/>
          <w:szCs w:val="28"/>
        </w:rPr>
      </w:pPr>
      <w:r>
        <w:rPr>
          <w:rFonts w:ascii="Miriam" w:hAnsi="Miriam" w:cs="Miriam"/>
          <w:rtl/>
        </w:rPr>
        <w:t xml:space="preserve">תסקירי מבחן </w:t>
      </w:r>
    </w:p>
    <w:p w14:paraId="7FA82935"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יליד 1985, רווק, מתגורר מזה כשנה (נכון למועד כתיבת התסקיר) בדירה שכורה בת"א. הנאשם הוא בן בכור במשפחת מוצאו המונה שבע נפשות. הוריו בשנות השישים לחייהם, האב מועסק בתחום התחזוקה והאם כעוזרת גננת. בשנות ילדותו המוקדמות התגורר עם משפחתו בישוב תל מונד, בהמשך ועל רקע משבר כלכלי של אביו עברה המשפחה להתגורר במשק במושב פורת. את הקשר עם אביו תיאר הנאשם כקשה וכזה שהתאפיין באלימות פיזית ומילולית. </w:t>
      </w:r>
    </w:p>
    <w:p w14:paraId="7141D9E6"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0651524E"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להתרשמות שירות המבחן, בצעירותו תפקד הנאשם כילד הורי ונדרש לעמוד במשימות רגשיות שלא הלמו את גילו ויכולותיו. חרף זאת, נשללה בעיתיות בשנותיו כילד וכנער, והנאשם </w:t>
      </w:r>
      <w:r>
        <w:rPr>
          <w:rFonts w:ascii="FrankRuehl" w:hAnsi="FrankRuehl" w:cs="FrankRuehl"/>
          <w:sz w:val="28"/>
          <w:szCs w:val="28"/>
          <w:rtl/>
        </w:rPr>
        <w:lastRenderedPageBreak/>
        <w:t xml:space="preserve">השלים 12 שנות לימוד ובגרות מלאה. בהמשך, התגייס לצה"ל ושירת בחטיבת כפיר באיו"ש כלוחם וכמפקד במהלך תקופת האינתיפאדה השנייה וזאת עד לשחרורו בשנת 2006 ושנתיים אח"כ עוד נמנה על כוחות המילואים. </w:t>
      </w:r>
    </w:p>
    <w:p w14:paraId="78CF36A6"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407086F9"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מסר לשירות המבחן כי החל לראשונה בשימוש בקנביס בגיל 20, בעקבות חשיפתו לתכנים קשים במהלך שירותו הצבאי ופגיעה נפשית שלא אובחנה משך שנים רבות. עוד מסר בהקשר זה כי תחת השפעתו המרגיעה של הסם, המשיך בשירות הקרבי ובשנים שחלפו העמיק השימוש בסם. לאחר שחרורו עסק באופן עצמאי בהתקנת שלטים וטפטים וכן יצר מוזיקה. בשנים האחרונות הוא אינו עובד. </w:t>
      </w:r>
    </w:p>
    <w:p w14:paraId="37F6E449"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15A09898"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מגיליון רישום פלילי עדכני ליום 14.4.2024 עלה כי לנאשם רישום קודם שהסתיים ללא הרשעה, עניינו בעבירת שבל"ר ונטישה באותו מקום משנת 2020. </w:t>
      </w:r>
    </w:p>
    <w:p w14:paraId="4D0AAB0D"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2D50F587"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בהתייחסותו לביצוע העבירות המיוחסות לו, מסר הנאשם כי כמות הסם שצרך הייתה כרוכה בהוצאה כספית קבועה וכבדה ועל רקע זאת</w:t>
      </w:r>
      <w:r>
        <w:rPr>
          <w:rFonts w:ascii="FrankRuehl" w:hAnsi="FrankRuehl" w:cs="FrankRuehl" w:hint="cs"/>
          <w:sz w:val="28"/>
          <w:szCs w:val="28"/>
          <w:rtl/>
        </w:rPr>
        <w:t>,</w:t>
      </w:r>
      <w:r>
        <w:rPr>
          <w:rFonts w:ascii="FrankRuehl" w:hAnsi="FrankRuehl" w:cs="FrankRuehl"/>
          <w:sz w:val="28"/>
          <w:szCs w:val="28"/>
          <w:rtl/>
        </w:rPr>
        <w:t xml:space="preserve"> הסביר ניסיונו לגדל הסם בכוחות עצמו ולשימושו העצמי בלבד. עוד לדבריו, בהיותו תחת השפעת אלכוהול וכדורי הרגעה ועל רקע קונפליקט כלכלי משפחתי, פעל באופן לא מווסת בתיק הצירוף וכי העניין ממשיך כיום להתברר בבית המשפט לענייני משפחה בפתח תקווה. לדברי הנאשם מזה כשנתיים אינו צורך סמים למעט קנבוס רפואי שנוטל ברישיון, ולתחושתו לא רואה צורך בטיפול תרופתי. </w:t>
      </w:r>
    </w:p>
    <w:p w14:paraId="15E813C9"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034BD466"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מסיכום שלל המסמכים שהוצגו בפני שירות המבחן מטעמם של גורמי אבחון וטיפול, בעבר וכיום, מתקבל אישוש לדבריו של הנאשם על חשיפתו כחייל ומפקד לאירועי לחימה חריגים במהלך שירותו הצבאי באיו"ש, בשנים סוערות מבחינה ביטחונית, בהם מותו של מפקדו מהתפוצצות מחבל מתאבד ואיסוף חלקי גופו. לדבריו, זמן מה אח"כ התחיל לסבול מחוסר שקט, לחץ והפרעות שינה טורדניות, מחשבות חודרניות והחל משתמש בסמים ממגוון סוגים שהקלו על מצבו הנפשי. לצד זאת, השלים שירות צבאי במלואו ושירת במילואים עד 2008, אז התחזקה המצוקה הנפשית שבאה לידי ביטוי גם מחשבות דיכאוניות, עצבות, הסתדרות, שימוש מעמיק בסמים כתרופות הרגעה, קושי שינה, התפרצויות זעם, התנהלות כלכלית לא יציבה, עבודה לא סדירה וקושי לתחזק מערכות יחסים זוגיות וחברתיות. רק בחודש ינואר 2021 פנה מיוזמתו לפסיכיאטר פרטי שאבחן את הנאשם כסובל מ </w:t>
      </w:r>
      <w:r>
        <w:rPr>
          <w:rFonts w:ascii="FrankRuehl" w:hAnsi="FrankRuehl" w:cs="FrankRuehl"/>
          <w:sz w:val="28"/>
          <w:szCs w:val="28"/>
        </w:rPr>
        <w:t>PTSD</w:t>
      </w:r>
      <w:r>
        <w:rPr>
          <w:rFonts w:ascii="FrankRuehl" w:hAnsi="FrankRuehl" w:cs="FrankRuehl"/>
          <w:sz w:val="28"/>
          <w:szCs w:val="28"/>
          <w:rtl/>
        </w:rPr>
        <w:t xml:space="preserve"> על רקע שירותו הצבאי. הוא הופנה ליחידה לתגובות קרב והחל בטיפול תרופתי ותמיכתי. במסגרת הטיפול ולאחר שאובחן כפוסט טראומטי הומלץ על טיפול גמילה מסמים, אותו עבר בהמשך, למעט שימוש בקנבוס רפואי. </w:t>
      </w:r>
    </w:p>
    <w:p w14:paraId="0F200062"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59BB7356"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ביולי 2022 הוכר הנאשם על ידי משרד הביטחון כסובל מפוסט טראומה ובעל נכות בשיעור 50%, אז החל לקבל גמלה חודשית ולווה על ידי גורמי טיפול שונים (עו"ד, פסיכולוג ופסיכיאטר). </w:t>
      </w:r>
      <w:r>
        <w:rPr>
          <w:rFonts w:ascii="FrankRuehl" w:hAnsi="FrankRuehl" w:cs="FrankRuehl" w:hint="cs"/>
          <w:sz w:val="28"/>
          <w:szCs w:val="28"/>
          <w:rtl/>
        </w:rPr>
        <w:t>ב</w:t>
      </w:r>
      <w:r>
        <w:rPr>
          <w:rFonts w:ascii="FrankRuehl" w:hAnsi="FrankRuehl" w:cs="FrankRuehl"/>
          <w:sz w:val="28"/>
          <w:szCs w:val="28"/>
          <w:rtl/>
        </w:rPr>
        <w:t>דיווח מהעו"ס המלווה את הנאשם נמסר כי הוא משתף פעולה באופן מלא, מותיר רושם של אדם חיובי וערכי, שהיה חסר החוסן הנדרש להתמודדות אדפטיבית עם האירועים הקשים להם נחשף בשירות הצבאי וכיום גם בזכות ההכרה והתוקף שניתן לסבלו, מנסה להסליל את חייו באופן שונה מ</w:t>
      </w:r>
      <w:r>
        <w:rPr>
          <w:rFonts w:ascii="FrankRuehl" w:hAnsi="FrankRuehl" w:cs="FrankRuehl" w:hint="cs"/>
          <w:sz w:val="28"/>
          <w:szCs w:val="28"/>
          <w:rtl/>
        </w:rPr>
        <w:t>ה</w:t>
      </w:r>
      <w:r>
        <w:rPr>
          <w:rFonts w:ascii="FrankRuehl" w:hAnsi="FrankRuehl" w:cs="FrankRuehl"/>
          <w:sz w:val="28"/>
          <w:szCs w:val="28"/>
          <w:rtl/>
        </w:rPr>
        <w:t xml:space="preserve">עבר ולגבש עוגנים פנימיים, וכלים להתמודדות עם אילוצי חייו, בתקווה להשיג איכות חיים אישית, מקצועית וחברתית טובה יותר. </w:t>
      </w:r>
    </w:p>
    <w:p w14:paraId="0744A2E1"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התרשם מנאשם נבון, וורבלי וגלוי לב, שהתפתח באופן תקין גם תחת מורכבות משפחתית, הצליח להפנים עולם ערכים נורמטיבי במסגרתו התגייס לשירות קרבי ובמהלכו נחשף לחוויות קשות שהותירו אותו פגוע בנפשו. עוד התרשם שירות המבחן כי בשנים המשמעותיות בעיצוב חייו של הנאשם, חל עיכוב קריטי באבחון מצבו והוא לא הצליח להגיע למימוש ולהתייצבות בתחומי חייו. בהתאמה, מצא עצמו מתקשה להשתלב, מתבודד, פגוע בדימויו העצמי וצובר רגשות שליליים ובמקביל העמיק השימוש בסמים ששימשו עבורו מקור להקלה בסימפטומים הנפשיים מהם סבל. </w:t>
      </w:r>
    </w:p>
    <w:p w14:paraId="6F295625"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1FDAC36D"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העריך כי הנאשם לא מתאפיין בקווים אנטי סוציאליים מושרשים, אלא שעצם הסתבכותו עם החוק הייתה על רקע מציאות חיים מאוד מורכבת ומתמשכת וכי מאז אובחן והוכר כנכה צה"ל – משתף פעולה עם גורמי הטיפול ומקבל מעטפת הדוקה של מענים למגוון צרכיו. כן התרשם שירות המבחן כי הנאשם הורתע מההליך הפלילי. לנוכח כל אלו, העריך שירות המבחן את הסיכון להישנות העבירות בהן הורשע הנאשם כנמוך מאוד. </w:t>
      </w:r>
    </w:p>
    <w:p w14:paraId="2687FB59"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49C25B80"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מעריך כי הרשעת הנאשם עלולה להוות לו אבן נגף משמעותית בדרכו העתידית ולכן המליץ לבטל ההרשעה בדין. עוד המליץ שירות המבחן להעמיד את הנאשם לצו מבחן משנה שנה ולהטיל עליו צו של"צ בהיקף של 100 שעות. </w:t>
      </w:r>
    </w:p>
    <w:p w14:paraId="403D12FE" w14:textId="77777777" w:rsidR="008C50BA" w:rsidRDefault="008C50BA" w:rsidP="008C50BA">
      <w:pPr>
        <w:tabs>
          <w:tab w:val="left" w:pos="-58"/>
        </w:tabs>
        <w:spacing w:before="100" w:beforeAutospacing="1" w:after="120" w:line="360" w:lineRule="auto"/>
        <w:ind w:left="-58"/>
        <w:jc w:val="both"/>
        <w:rPr>
          <w:rFonts w:ascii="Miriam" w:hAnsi="Miriam" w:cs="Miriam"/>
          <w:rtl/>
        </w:rPr>
      </w:pPr>
      <w:r>
        <w:rPr>
          <w:rFonts w:ascii="Miriam" w:hAnsi="Miriam" w:cs="Miriam"/>
          <w:rtl/>
        </w:rPr>
        <w:t>טיעוני הצדדים לעונש</w:t>
      </w:r>
    </w:p>
    <w:p w14:paraId="020E7DC8"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ascii="Miriam" w:hAnsi="Miriam" w:cs="Miriam"/>
          <w:rtl/>
        </w:rPr>
        <w:t>המאשימה</w:t>
      </w:r>
      <w:r>
        <w:rPr>
          <w:rFonts w:cs="FrankRuehl"/>
          <w:sz w:val="28"/>
          <w:szCs w:val="28"/>
          <w:rtl/>
        </w:rPr>
        <w:t xml:space="preserve"> עמדה בטיעוניה על הערכים החברתיים המוגנים שנפגעו כתוצאה מביצוע העבירות בהן הורשע הנאשם ובהם הגנה על בריאות הציבור מפני נזקים ישירים ועקיפים הנגרמים עקב השימוש בסמים, כמו גם הפגיעה בסדרי המשפט וההכרח לקיים החלטות שיפוטיות. בסקירת נסיבות ביצוע העבירות הפנתה המאשימה לכך שהנאשם גידל את הסמים בביתו, והכמות שנתפסה מלמדת על כך שהסמים בהכרח אינם לצריכה עצמית. כן הפנתה המאשימה לכך שהצו השיפוטי הופר על רקע סכסוך ירושה. לפיכך, עתרה המאשימה לקבוע מתחם ענישה ביחס לכל כתב אישום בנפרד, ולטעמה הגבול התחתון בתיק העיקרי צריך לעמוד על מספר חודשי עבודות שירות בעוד שבתיק המצורף במאסר על תנאי. עמדתה זו תמכה בפסיקה.   </w:t>
      </w:r>
    </w:p>
    <w:p w14:paraId="00FC1D87" w14:textId="77777777" w:rsidR="008C50BA" w:rsidRDefault="008C50BA" w:rsidP="008C50BA">
      <w:pPr>
        <w:pStyle w:val="aa"/>
        <w:tabs>
          <w:tab w:val="left" w:pos="-58"/>
        </w:tabs>
        <w:spacing w:before="100" w:beforeAutospacing="1" w:after="120"/>
        <w:ind w:left="-58"/>
        <w:jc w:val="both"/>
        <w:rPr>
          <w:rFonts w:cs="FrankRuehl"/>
          <w:sz w:val="28"/>
          <w:szCs w:val="28"/>
        </w:rPr>
      </w:pPr>
    </w:p>
    <w:p w14:paraId="63057C8A"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באשר לקביעת העונש המתאים לנאשם, המאשימה לא התעלמה מאופיו החיובי של התסקיר ומהערכת הסיכון הנמוכה להישנות עבירות, וסברה כי יש מקום להתחשב בנסיבותיו האישיות כמו גם בהודאה ובחיסכון בזמן שיפוטי, אך באופן מתון. לגישתה המלצת שירות המבחן מרחיקת לכ</w:t>
      </w:r>
      <w:r>
        <w:rPr>
          <w:rFonts w:cs="FrankRuehl" w:hint="cs"/>
          <w:sz w:val="28"/>
          <w:szCs w:val="28"/>
          <w:rtl/>
        </w:rPr>
        <w:t>ת</w:t>
      </w:r>
      <w:r>
        <w:rPr>
          <w:rFonts w:cs="FrankRuehl"/>
          <w:sz w:val="28"/>
          <w:szCs w:val="28"/>
          <w:rtl/>
        </w:rPr>
        <w:t>, הן משום שלא עלה בידי הנאשם להצביע על פגיעה קונקרטית בעתידו באם יורשע והן משום שכבר ניתנה לנאשם הזדמנות אחת בעבר, כאשר נמנעו מהרשעתו (</w:t>
      </w:r>
      <w:r>
        <w:rPr>
          <w:rFonts w:ascii="Miriam" w:hAnsi="Miriam" w:cs="Miriam"/>
          <w:rtl/>
        </w:rPr>
        <w:t>טעת/1</w:t>
      </w:r>
      <w:r>
        <w:rPr>
          <w:rFonts w:cs="FrankRuehl"/>
          <w:sz w:val="28"/>
          <w:szCs w:val="28"/>
          <w:rtl/>
        </w:rPr>
        <w:t xml:space="preserve">). לפיכך, העונש הראוי לנאשם הוא מאסר על תנאי, פסילה בפועל ועל תנאי.  </w:t>
      </w:r>
    </w:p>
    <w:p w14:paraId="6487A952" w14:textId="77777777" w:rsidR="008C50BA" w:rsidRPr="00553481" w:rsidRDefault="008C50BA" w:rsidP="008C50BA">
      <w:pPr>
        <w:pStyle w:val="aa"/>
        <w:tabs>
          <w:tab w:val="left" w:pos="-58"/>
        </w:tabs>
        <w:spacing w:before="100" w:beforeAutospacing="1" w:after="120"/>
        <w:ind w:left="-58"/>
        <w:jc w:val="both"/>
        <w:rPr>
          <w:rFonts w:ascii="David" w:hAnsi="David"/>
        </w:rPr>
      </w:pPr>
    </w:p>
    <w:p w14:paraId="43778ACD"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David" w:hAnsi="David"/>
        </w:rPr>
      </w:pPr>
      <w:r>
        <w:rPr>
          <w:rFonts w:cs="FrankRuehl"/>
          <w:sz w:val="28"/>
          <w:szCs w:val="28"/>
          <w:rtl/>
        </w:rPr>
        <w:t xml:space="preserve">מנגד לא חסך </w:t>
      </w:r>
      <w:r>
        <w:rPr>
          <w:rFonts w:ascii="Miriam" w:hAnsi="Miriam" w:cs="Miriam"/>
          <w:rtl/>
        </w:rPr>
        <w:t>ב"כ הנאשם</w:t>
      </w:r>
      <w:r>
        <w:rPr>
          <w:rFonts w:cs="FrankRuehl"/>
          <w:sz w:val="28"/>
          <w:szCs w:val="28"/>
          <w:rtl/>
        </w:rPr>
        <w:t xml:space="preserve"> מאמץ לשכנע כי עסקינן במקרה חריג ומיוחד המצדיק חריגה מהכלל והימנעות מהרשעה, חרף קיומו של רישום פלילי קודם וחרף הקושי להצביע על פגיעה קונקרטית. בתוך כך הסביר ב"כ הנאשם את ביצוע העבירות על רקע פוסט טראומה עמה מתמודד הנאשם בעקבות אירועים להם היה עד בצבא, והדגיש כי הטענה שהסמים גודלו לצריכה עצמית, הועלתה עוד במשטרה. בהקשר זה, אף נטען כי אין חזקה בחוק הקובעת כי גידול סמים נעשה שלא לצריכה עצמית. ביחס להפרת ההוראה החוקית נטען כי זו מנומסת ולא מהחמורות שנראו.</w:t>
      </w:r>
    </w:p>
    <w:p w14:paraId="5C14B669" w14:textId="77777777" w:rsidR="008C50BA" w:rsidRPr="00553481" w:rsidRDefault="008C50BA" w:rsidP="008C50BA">
      <w:pPr>
        <w:pStyle w:val="aa"/>
        <w:tabs>
          <w:tab w:val="left" w:pos="-58"/>
        </w:tabs>
        <w:spacing w:before="100" w:beforeAutospacing="1" w:after="120"/>
        <w:ind w:left="-58"/>
        <w:jc w:val="both"/>
        <w:rPr>
          <w:rFonts w:ascii="David" w:hAnsi="David"/>
        </w:rPr>
      </w:pPr>
    </w:p>
    <w:p w14:paraId="21A6AF1E"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David" w:hAnsi="David"/>
        </w:rPr>
      </w:pPr>
      <w:r>
        <w:rPr>
          <w:rFonts w:cs="FrankRuehl"/>
          <w:sz w:val="28"/>
          <w:szCs w:val="28"/>
          <w:rtl/>
        </w:rPr>
        <w:t xml:space="preserve">מכאן התמקד הטיעון בנסיבות המצדיקות התחשבות </w:t>
      </w:r>
      <w:r>
        <w:rPr>
          <w:rFonts w:cs="FrankRuehl" w:hint="cs"/>
          <w:sz w:val="28"/>
          <w:szCs w:val="28"/>
          <w:rtl/>
        </w:rPr>
        <w:t xml:space="preserve">ובהן, </w:t>
      </w:r>
      <w:r>
        <w:rPr>
          <w:rFonts w:cs="FrankRuehl"/>
          <w:sz w:val="28"/>
          <w:szCs w:val="28"/>
          <w:rtl/>
        </w:rPr>
        <w:t xml:space="preserve">גילו של הנאשם ונסיבותיו האישיות, כישלון רשויות הצבא והמדינה באבחון הנאשם בזמן אמת, </w:t>
      </w:r>
      <w:r>
        <w:rPr>
          <w:rFonts w:cs="FrankRuehl" w:hint="cs"/>
          <w:sz w:val="28"/>
          <w:szCs w:val="28"/>
          <w:rtl/>
        </w:rPr>
        <w:t xml:space="preserve">ולטענתו </w:t>
      </w:r>
      <w:r>
        <w:rPr>
          <w:rFonts w:cs="FrankRuehl"/>
          <w:sz w:val="28"/>
          <w:szCs w:val="28"/>
          <w:rtl/>
        </w:rPr>
        <w:t xml:space="preserve">אחרי הזנחה פושעת מצד </w:t>
      </w:r>
      <w:r>
        <w:rPr>
          <w:rFonts w:cs="FrankRuehl" w:hint="cs"/>
          <w:sz w:val="28"/>
          <w:szCs w:val="28"/>
          <w:rtl/>
        </w:rPr>
        <w:t>ה</w:t>
      </w:r>
      <w:r>
        <w:rPr>
          <w:rFonts w:cs="FrankRuehl"/>
          <w:sz w:val="28"/>
          <w:szCs w:val="28"/>
          <w:rtl/>
        </w:rPr>
        <w:t>מערכ</w:t>
      </w:r>
      <w:r>
        <w:rPr>
          <w:rFonts w:cs="FrankRuehl" w:hint="cs"/>
          <w:sz w:val="28"/>
          <w:szCs w:val="28"/>
          <w:rtl/>
        </w:rPr>
        <w:t xml:space="preserve">ת </w:t>
      </w:r>
      <w:r>
        <w:rPr>
          <w:rFonts w:cs="FrankRuehl"/>
          <w:sz w:val="28"/>
          <w:szCs w:val="28"/>
          <w:rtl/>
        </w:rPr>
        <w:t>ובשנת 2021, קיבל הנאשם אישור להשתמש בקנאביס רפואי (</w:t>
      </w:r>
      <w:r>
        <w:rPr>
          <w:rFonts w:ascii="Miriam" w:hAnsi="Miriam" w:cs="Miriam"/>
          <w:rtl/>
        </w:rPr>
        <w:t>טענ/1</w:t>
      </w:r>
      <w:r>
        <w:rPr>
          <w:rFonts w:cs="FrankRuehl"/>
          <w:sz w:val="28"/>
          <w:szCs w:val="28"/>
          <w:rtl/>
        </w:rPr>
        <w:t xml:space="preserve">) ובחודש יולי 2022 הוכר כנכה צה"ל. כן נטען כי אחותו של הנאשם נפגעה באסון השבעה באוקטובר וכיום מאושפזת בבית חולים פסיכיאטרי (לא הוצגו מסמכים). </w:t>
      </w:r>
    </w:p>
    <w:p w14:paraId="1298C4A1" w14:textId="77777777" w:rsidR="008C50BA" w:rsidRDefault="008C50BA" w:rsidP="008C50BA">
      <w:pPr>
        <w:pStyle w:val="aa"/>
        <w:tabs>
          <w:tab w:val="left" w:pos="-58"/>
        </w:tabs>
        <w:spacing w:before="100" w:beforeAutospacing="1" w:after="120"/>
        <w:ind w:left="-58"/>
        <w:jc w:val="both"/>
        <w:rPr>
          <w:rFonts w:cs="FrankRuehl"/>
          <w:sz w:val="28"/>
          <w:szCs w:val="28"/>
        </w:rPr>
      </w:pPr>
    </w:p>
    <w:p w14:paraId="09BC06D8"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הנאשם פנה לבית המשפט מספר פעמים במהלך הטיעונים לעונש, ואביא הדברים מפי אומרם: "פניתי לקב"ן והוא שלח אותי ל-21. היה ניצול תמורת שכר זעום. .... בינואר 2021 פניתי לאבחון. זה דבר מורכב, אין תמיכה בבית אתה נדון לשאול. עברתי תקופה ארוכה של ייסורים. אבא שלי הוא אדם חולה נפש סובל מדיכאון, העבירה הזו באשמתו, לא יכולתי להגן על שמי, הייתי על קלונקס, זה כתב אישום שנולד בחטא, הוא לא היה אמור לבוא לעולם".... "יש פה האשמת קורבן, כל לוחם צריך להיות מאובחן, במיוחד שאתה עובר תקופה של 700 ₪ בחודש, אתה בא מבית עני ללא תמיכה בבית, על מה אני עומד פה על גידול תמיכה. אני נלחמתי לסבל הזה, יש לי חברים שלא חזרו מזה, ואני אעשה את זה עוד פעם. לא פגעתי באף אחד אולי הכיס של אהוד ברק שמייבא קנביס, צריך להתחשב בי. אני מבקש".... "אף אחד לא ביקש ממני להתנדב בקרבי ולהיות מפקד, התנדבתי לקרבי ואני שמח שעשיתי את צעירה, לצערי אנו חיים במדינה צעירה, שלה תחלואים רבים, יש הרבה מה ללמוד ולהתפתח. ההתנהלות עד המקרה של איציק סעדיאן כלפי לוחמי צה"ל היתה ירודה עד אפסית. היתה לא טובה". </w:t>
      </w:r>
    </w:p>
    <w:p w14:paraId="0D5F4258" w14:textId="77777777" w:rsidR="008C50BA" w:rsidRDefault="008C50BA" w:rsidP="008C50BA">
      <w:pPr>
        <w:pStyle w:val="aa"/>
        <w:tabs>
          <w:tab w:val="left" w:pos="-58"/>
        </w:tabs>
        <w:spacing w:before="100" w:beforeAutospacing="1" w:after="120"/>
        <w:ind w:left="-58"/>
        <w:jc w:val="both"/>
        <w:rPr>
          <w:rFonts w:cs="FrankRuehl"/>
          <w:sz w:val="28"/>
          <w:szCs w:val="28"/>
        </w:rPr>
      </w:pPr>
    </w:p>
    <w:p w14:paraId="1A80F473"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בדברו האחרון אמר הנאשם את הדברים הבאים: "כל לוחם צריך להיות מאובחן מאחר והוא עובר אירועים טראומטיים במשך 3 שנים נקודת השחרור צריך המון עזרה להסתגל לחיים החדשים. אנשים שמגיעים על רקע סוציואקונומי נמוך כמו שקרה לי, יש להם סיכון גבוה לפתח פוסט</w:t>
      </w:r>
      <w:r>
        <w:rPr>
          <w:rFonts w:cs="FrankRuehl" w:hint="cs"/>
          <w:sz w:val="28"/>
          <w:szCs w:val="28"/>
          <w:rtl/>
        </w:rPr>
        <w:t xml:space="preserve"> ט</w:t>
      </w:r>
      <w:r>
        <w:rPr>
          <w:rFonts w:cs="FrankRuehl"/>
          <w:sz w:val="28"/>
          <w:szCs w:val="28"/>
          <w:rtl/>
        </w:rPr>
        <w:t>ראומה כי אין תמיכה בבית, הלחץ מהצבא והבית בילתי ניתן להתמדדות, הרבה אנשים מתאבדים, אני עברתי 13,14 שנים קשות עד שהבנתי שאני סובל מפוסטראומה, לקחתי את הרגליים שלי לפסיכיאטר שיאבחן אותי"; התיק של הגידול היה סוג של התעוררות. באותה תקופה עזבתי את תל אביב, כוחותיי לא עמדו לי יותר</w:t>
      </w:r>
      <w:r>
        <w:rPr>
          <w:rFonts w:cs="FrankRuehl" w:hint="cs"/>
          <w:sz w:val="28"/>
          <w:szCs w:val="28"/>
        </w:rPr>
        <w:t xml:space="preserve"> </w:t>
      </w:r>
      <w:r>
        <w:rPr>
          <w:rFonts w:cs="FrankRuehl"/>
          <w:sz w:val="28"/>
          <w:szCs w:val="28"/>
          <w:rtl/>
        </w:rPr>
        <w:t xml:space="preserve">..."; "כשהייתי במשטרה הייתי מאוד מושפע מכדורים היום יש לי החזרים ממשרד הביטחון, עלה לי 4000 ₪ לחודש קנביס, וזה עלה לי המון משאבים. המערכת היא הפושעת. הייתי נלחם על הסמל הזה, הוא לא יכול להאשים אותי על מחלה שהוא יצא. אני יודע מה קורה בארצות הברית גרמניה ואוסטרליה. אין לי מי שייקח אותי ביד, ילד בן 22 לא יכול לטפל בעצמו אי אפשר לשים על הכתפיים שלי הכל, אין לי תמיכה ואין מי שייקח אותי לפסיכיאטר, סמים היו לי לעזור לי. את שחר הכרתי כי הוא לקוח, אני עוד שנה בן 40 רווק. מישהו צריך להתעורר ולראות מה קורה פה, למדתי יש לי בגרות מלאה, היה לי עתיד מבטיח, אני צריך להילחם על השם שלי, זה לא הגיוני"; "אני רוצה לעבוד עם נוער בסיכון, אני רוצה להיות שוטר. אני בשיקום, טוב לי. אני בגמילה בגלל התיק של סמים. כבר שנה וחצי אני בשיקום. אני בגמילה עצמית בקהילה, אין לי זמן לבזבז, אני עושה גמילה ויש לי המון עבודה, בגלל התנהלות קלוקלת. אני אצל פסיכולוג פעם בשבוע. פעם ב-3 חודשים פסיכיאטר. אני בגמילה, לא נוגע בסמים כבר 10 חודשים, אני לא נוגע בקוקאין, </w:t>
      </w:r>
      <w:r>
        <w:rPr>
          <w:rFonts w:cs="FrankRuehl"/>
          <w:sz w:val="28"/>
          <w:szCs w:val="28"/>
        </w:rPr>
        <w:t>LSD</w:t>
      </w:r>
      <w:r>
        <w:rPr>
          <w:rFonts w:cs="FrankRuehl"/>
          <w:sz w:val="28"/>
          <w:szCs w:val="28"/>
          <w:rtl/>
        </w:rPr>
        <w:t xml:space="preserve"> פטריות. אני שוקל אולי ללמוד עריכת דין" [טעויות במקור]. </w:t>
      </w:r>
    </w:p>
    <w:p w14:paraId="602EA862" w14:textId="77777777" w:rsidR="008C50BA" w:rsidRDefault="008C50BA" w:rsidP="008C50BA">
      <w:pPr>
        <w:pStyle w:val="aa"/>
        <w:tabs>
          <w:tab w:val="left" w:pos="-58"/>
        </w:tabs>
        <w:spacing w:before="100" w:beforeAutospacing="1" w:after="120"/>
        <w:ind w:left="-58"/>
        <w:jc w:val="both"/>
        <w:rPr>
          <w:rFonts w:cs="FrankRuehl"/>
          <w:sz w:val="28"/>
          <w:szCs w:val="28"/>
        </w:rPr>
      </w:pPr>
    </w:p>
    <w:p w14:paraId="78FE91D0"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 xml:space="preserve">עוד יש לציין כי לאחר הדיון פנה הנאשם לבית המשפט במכתב וביקש בכל לשון של בקשה להתחשב בנסיבותיו האישיות בגזירת הדין. </w:t>
      </w:r>
    </w:p>
    <w:p w14:paraId="592CCD13" w14:textId="77777777" w:rsidR="008C50BA" w:rsidRDefault="008C50BA" w:rsidP="008C50BA">
      <w:pPr>
        <w:pStyle w:val="aa"/>
        <w:tabs>
          <w:tab w:val="left" w:pos="-58"/>
        </w:tabs>
        <w:spacing w:before="100" w:beforeAutospacing="1" w:after="120"/>
        <w:ind w:left="-58"/>
        <w:jc w:val="both"/>
        <w:rPr>
          <w:rFonts w:ascii="Miriam" w:hAnsi="Miriam" w:cs="Miriam"/>
          <w:rtl/>
        </w:rPr>
      </w:pPr>
    </w:p>
    <w:p w14:paraId="26C43D20" w14:textId="77777777" w:rsidR="008C50BA" w:rsidRDefault="008C50BA" w:rsidP="008C50BA">
      <w:pPr>
        <w:pStyle w:val="aa"/>
        <w:tabs>
          <w:tab w:val="left" w:pos="-58"/>
        </w:tabs>
        <w:spacing w:before="100" w:beforeAutospacing="1" w:after="120" w:line="360" w:lineRule="auto"/>
        <w:ind w:left="-58"/>
        <w:jc w:val="both"/>
        <w:rPr>
          <w:rFonts w:ascii="Miriam" w:hAnsi="Miriam" w:cs="Miriam"/>
        </w:rPr>
      </w:pPr>
      <w:r>
        <w:rPr>
          <w:rFonts w:ascii="Miriam" w:hAnsi="Miriam" w:cs="Miriam"/>
          <w:rtl/>
        </w:rPr>
        <w:t xml:space="preserve">דיון והכרעה </w:t>
      </w:r>
    </w:p>
    <w:p w14:paraId="5169CBB1" w14:textId="77777777" w:rsidR="008C50BA" w:rsidRDefault="008C50BA" w:rsidP="008C50BA">
      <w:pPr>
        <w:pStyle w:val="aa"/>
        <w:tabs>
          <w:tab w:val="left" w:pos="-58"/>
        </w:tabs>
        <w:spacing w:before="100" w:beforeAutospacing="1" w:after="120"/>
        <w:ind w:left="-58"/>
        <w:jc w:val="both"/>
        <w:rPr>
          <w:rFonts w:cs="FrankRuehl"/>
          <w:sz w:val="28"/>
          <w:szCs w:val="28"/>
        </w:rPr>
      </w:pPr>
    </w:p>
    <w:p w14:paraId="62B821B0"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הצדדים אינם חלוקים על כך שבמקרה ה</w:t>
      </w:r>
      <w:r>
        <w:rPr>
          <w:rFonts w:cs="FrankRuehl" w:hint="cs"/>
          <w:sz w:val="28"/>
          <w:szCs w:val="28"/>
          <w:rtl/>
        </w:rPr>
        <w:t xml:space="preserve">נוכחי </w:t>
      </w:r>
      <w:r>
        <w:rPr>
          <w:rFonts w:cs="FrankRuehl"/>
          <w:sz w:val="28"/>
          <w:szCs w:val="28"/>
          <w:rtl/>
        </w:rPr>
        <w:t>יש להתחשב בנסיבות האישיות</w:t>
      </w:r>
      <w:r>
        <w:rPr>
          <w:rFonts w:cs="FrankRuehl" w:hint="cs"/>
          <w:sz w:val="28"/>
          <w:szCs w:val="28"/>
          <w:rtl/>
        </w:rPr>
        <w:t xml:space="preserve"> ועל כך שהעונש צריך להיות מתון, </w:t>
      </w:r>
      <w:r>
        <w:rPr>
          <w:rFonts w:cs="FrankRuehl"/>
          <w:sz w:val="28"/>
          <w:szCs w:val="28"/>
          <w:rtl/>
        </w:rPr>
        <w:t xml:space="preserve">המחלוקת כאמור נוגעת לסוגיית ההרשעה. לטעם המאשימה, הימנעות מהרשעה אינה עומדת </w:t>
      </w:r>
      <w:r>
        <w:rPr>
          <w:rFonts w:cs="FrankRuehl" w:hint="cs"/>
          <w:sz w:val="28"/>
          <w:szCs w:val="28"/>
          <w:rtl/>
        </w:rPr>
        <w:t>ב</w:t>
      </w:r>
      <w:r>
        <w:rPr>
          <w:rFonts w:cs="FrankRuehl"/>
          <w:sz w:val="28"/>
          <w:szCs w:val="28"/>
          <w:rtl/>
        </w:rPr>
        <w:t xml:space="preserve">עקרונות שהותוו בפסיקה, בפרט שכבר </w:t>
      </w:r>
      <w:r>
        <w:rPr>
          <w:rFonts w:cs="FrankRuehl" w:hint="cs"/>
          <w:sz w:val="28"/>
          <w:szCs w:val="28"/>
          <w:rtl/>
        </w:rPr>
        <w:t xml:space="preserve">הסתיים עניינו של הנאשם בעבר ללא הרשעה </w:t>
      </w:r>
      <w:r>
        <w:rPr>
          <w:rFonts w:cs="FrankRuehl"/>
          <w:sz w:val="28"/>
          <w:szCs w:val="28"/>
          <w:rtl/>
        </w:rPr>
        <w:t>ובמיוחד שלא הצביע על נזק קונקרטי שייגרם מהרשעה. מנגד, סבורה ההגנה כי יש מקום לבטל את הרשעת ה</w:t>
      </w:r>
      <w:r>
        <w:rPr>
          <w:rFonts w:cs="FrankRuehl" w:hint="cs"/>
          <w:sz w:val="28"/>
          <w:szCs w:val="28"/>
          <w:rtl/>
        </w:rPr>
        <w:t>נאשם מ</w:t>
      </w:r>
      <w:r>
        <w:rPr>
          <w:rFonts w:cs="FrankRuehl"/>
          <w:sz w:val="28"/>
          <w:szCs w:val="28"/>
          <w:rtl/>
        </w:rPr>
        <w:t xml:space="preserve">כיוון שזו עשויה לשמש אבן נגף לעתיד. </w:t>
      </w:r>
    </w:p>
    <w:p w14:paraId="4CF1355A" w14:textId="77777777" w:rsidR="008C50BA" w:rsidRPr="00553481" w:rsidRDefault="008C50BA" w:rsidP="008C50BA">
      <w:pPr>
        <w:pStyle w:val="aa"/>
        <w:tabs>
          <w:tab w:val="left" w:pos="-58"/>
        </w:tabs>
        <w:spacing w:before="100" w:beforeAutospacing="1" w:after="120"/>
        <w:ind w:left="-58"/>
        <w:jc w:val="both"/>
        <w:rPr>
          <w:rFonts w:ascii="Miriam" w:hAnsi="Miriam" w:cs="Miriam"/>
        </w:rPr>
      </w:pPr>
    </w:p>
    <w:p w14:paraId="5C98A46C"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cs="FrankRuehl"/>
          <w:sz w:val="28"/>
          <w:szCs w:val="28"/>
          <w:rtl/>
        </w:rPr>
        <w:t xml:space="preserve">דא עקא, עם כל ההערכה הרבה לתרומתו של הנאשם למדינה, וההבנה לטראומות הקשות שחווה, לא אוכל לקבל את עתירת ההגנה והמלצת שירות המבחן, וכפי שנראה להלן, עמדת המאשימה בדין יסודה.    </w:t>
      </w:r>
    </w:p>
    <w:p w14:paraId="66E89E32" w14:textId="77777777" w:rsidR="008C50BA" w:rsidRPr="00553481" w:rsidRDefault="008C50BA" w:rsidP="008C50BA">
      <w:pPr>
        <w:pStyle w:val="aa"/>
        <w:rPr>
          <w:rFonts w:ascii="Miriam" w:hAnsi="Miriam" w:cs="Miriam"/>
          <w:rtl/>
        </w:rPr>
      </w:pPr>
    </w:p>
    <w:p w14:paraId="0509D1A3"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Corbel" w:hAnsi="Corbel" w:cs="FrankRuehl"/>
          <w:sz w:val="28"/>
          <w:szCs w:val="28"/>
          <w:rtl/>
        </w:rPr>
        <w:t>ככלל, נאשם שאשמתו הוכחה יורשע בדין וזאת למעט מקרים חריגים ביותר בהם ישנו יחס לא סביר בין חומרת העבירה ובין הנזק הצפוי לנאשם מהרשעתו. מאחורי כלל זה עומד הצורך בהעברת מסר של הרתעה, שיקוף הפסול שבמעשה העבירה בעיני הציבור והצורך לאפשר הטלת ענישה ראויה. ההלכה בעניין זה נקבעה ב</w:t>
      </w:r>
      <w:hyperlink r:id="rId17" w:history="1">
        <w:r w:rsidR="00AF1257" w:rsidRPr="00AF1257">
          <w:rPr>
            <w:rFonts w:ascii="Corbel" w:hAnsi="Corbel" w:cs="FrankRuehl" w:hint="cs"/>
            <w:color w:val="0000FF"/>
            <w:sz w:val="28"/>
            <w:szCs w:val="28"/>
            <w:u w:val="single"/>
            <w:rtl/>
          </w:rPr>
          <w:t>ע</w:t>
        </w:r>
        <w:r w:rsidR="00AF1257" w:rsidRPr="00AF1257">
          <w:rPr>
            <w:rFonts w:ascii="Corbel" w:hAnsi="Corbel" w:cs="FrankRuehl"/>
            <w:color w:val="0000FF"/>
            <w:sz w:val="28"/>
            <w:szCs w:val="28"/>
            <w:u w:val="single"/>
            <w:rtl/>
          </w:rPr>
          <w:t>"</w:t>
        </w:r>
        <w:r w:rsidR="00AF1257" w:rsidRPr="00AF1257">
          <w:rPr>
            <w:rFonts w:ascii="Corbel" w:hAnsi="Corbel" w:cs="FrankRuehl" w:hint="cs"/>
            <w:color w:val="0000FF"/>
            <w:sz w:val="28"/>
            <w:szCs w:val="28"/>
            <w:u w:val="single"/>
            <w:rtl/>
          </w:rPr>
          <w:t>פ</w:t>
        </w:r>
        <w:r w:rsidR="00AF1257" w:rsidRPr="00AF1257">
          <w:rPr>
            <w:rFonts w:ascii="Corbel" w:hAnsi="Corbel" w:cs="FrankRuehl"/>
            <w:color w:val="0000FF"/>
            <w:sz w:val="28"/>
            <w:szCs w:val="28"/>
            <w:u w:val="single"/>
            <w:rtl/>
          </w:rPr>
          <w:t xml:space="preserve"> 2083/96</w:t>
        </w:r>
      </w:hyperlink>
      <w:r>
        <w:rPr>
          <w:rFonts w:ascii="Corbel" w:hAnsi="Corbel" w:cs="FrankRuehl"/>
          <w:sz w:val="28"/>
          <w:szCs w:val="28"/>
          <w:rtl/>
        </w:rPr>
        <w:t xml:space="preserve"> </w:t>
      </w:r>
      <w:r>
        <w:rPr>
          <w:rFonts w:ascii="Miriam" w:hAnsi="Miriam" w:cs="Miriam"/>
          <w:rtl/>
        </w:rPr>
        <w:t>כתב נ' מדינת ישראל</w:t>
      </w:r>
      <w:r>
        <w:rPr>
          <w:rFonts w:ascii="Corbel" w:hAnsi="Corbel" w:cs="FrankRuehl"/>
          <w:sz w:val="28"/>
          <w:szCs w:val="28"/>
          <w:rtl/>
        </w:rPr>
        <w:t xml:space="preserve">, פ"ד נב(3) 337 (להלן: </w:t>
      </w:r>
      <w:r>
        <w:rPr>
          <w:rFonts w:ascii="Miriam" w:hAnsi="Miriam" w:cs="Miriam"/>
          <w:rtl/>
        </w:rPr>
        <w:t>הלכת כתב</w:t>
      </w:r>
      <w:r>
        <w:rPr>
          <w:rFonts w:ascii="Corbel" w:hAnsi="Corbel" w:cs="FrankRuehl"/>
          <w:sz w:val="28"/>
          <w:szCs w:val="28"/>
          <w:rtl/>
        </w:rPr>
        <w:t xml:space="preserve">). שם נקבע כי סיום ההליך ללא הרשעה מותנה בהתקיימותם של שני תנאים מצטברים. התנאי הראשון הוא כי סוג העבירה בנסיבותיה, מאפשר ביטול ההרשעה מבלי לפגוע באופן </w:t>
      </w:r>
      <w:r>
        <w:rPr>
          <w:rFonts w:ascii="Miriam" w:hAnsi="Miriam" w:cs="Miriam"/>
          <w:rtl/>
        </w:rPr>
        <w:t>מהותי</w:t>
      </w:r>
      <w:r>
        <w:rPr>
          <w:rFonts w:ascii="Corbel" w:hAnsi="Corbel" w:cs="FrankRuehl"/>
          <w:sz w:val="28"/>
          <w:szCs w:val="28"/>
          <w:rtl/>
        </w:rPr>
        <w:t xml:space="preserve"> בשיקולי ענישה נוספים. התנאי השני הוא כי ההרשעה תפגע פגיעה חמורה בשיקום הנאשם. </w:t>
      </w:r>
    </w:p>
    <w:p w14:paraId="64BC1C26" w14:textId="77777777" w:rsidR="008C50BA" w:rsidRPr="00553481" w:rsidRDefault="008C50BA" w:rsidP="008C50BA">
      <w:pPr>
        <w:pStyle w:val="aa"/>
        <w:tabs>
          <w:tab w:val="left" w:pos="-58"/>
        </w:tabs>
        <w:spacing w:before="100" w:beforeAutospacing="1" w:after="120"/>
        <w:ind w:left="-58"/>
        <w:jc w:val="both"/>
        <w:rPr>
          <w:rFonts w:ascii="Miriam" w:hAnsi="Miriam" w:cs="Miriam"/>
        </w:rPr>
      </w:pPr>
    </w:p>
    <w:p w14:paraId="1F90D804"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Corbel" w:hAnsi="Corbel" w:cs="FrankRuehl"/>
          <w:sz w:val="28"/>
          <w:szCs w:val="28"/>
          <w:rtl/>
        </w:rPr>
        <w:t xml:space="preserve">כן נקבע, כי על המבקש להימנע מהרשעה, הנטל להצביע על פגיעה קשה וקונקרטית בסיכויי שיקומו ולבסס פגיעה זו בראיות ולא די באפשרויות תיאורטיות ועתידיות (ראו: </w:t>
      </w:r>
      <w:hyperlink r:id="rId18" w:history="1">
        <w:r w:rsidR="00AF1257" w:rsidRPr="00AF1257">
          <w:rPr>
            <w:rFonts w:ascii="Corbel" w:hAnsi="Corbel" w:cs="FrankRuehl" w:hint="cs"/>
            <w:color w:val="0000FF"/>
            <w:sz w:val="28"/>
            <w:szCs w:val="28"/>
            <w:u w:val="single"/>
            <w:rtl/>
          </w:rPr>
          <w:t>רע</w:t>
        </w:r>
        <w:r w:rsidR="00AF1257" w:rsidRPr="00AF1257">
          <w:rPr>
            <w:rFonts w:ascii="Corbel" w:hAnsi="Corbel" w:cs="FrankRuehl"/>
            <w:color w:val="0000FF"/>
            <w:sz w:val="28"/>
            <w:szCs w:val="28"/>
            <w:u w:val="single"/>
            <w:rtl/>
          </w:rPr>
          <w:t>"</w:t>
        </w:r>
        <w:r w:rsidR="00AF1257" w:rsidRPr="00AF1257">
          <w:rPr>
            <w:rFonts w:ascii="Corbel" w:hAnsi="Corbel" w:cs="FrankRuehl" w:hint="cs"/>
            <w:color w:val="0000FF"/>
            <w:sz w:val="28"/>
            <w:szCs w:val="28"/>
            <w:u w:val="single"/>
            <w:rtl/>
          </w:rPr>
          <w:t>פ</w:t>
        </w:r>
        <w:r w:rsidR="00AF1257" w:rsidRPr="00AF1257">
          <w:rPr>
            <w:rFonts w:ascii="Corbel" w:hAnsi="Corbel" w:cs="FrankRuehl"/>
            <w:color w:val="0000FF"/>
            <w:sz w:val="28"/>
            <w:szCs w:val="28"/>
            <w:u w:val="single"/>
            <w:rtl/>
          </w:rPr>
          <w:t xml:space="preserve"> 5018/18</w:t>
        </w:r>
      </w:hyperlink>
      <w:r>
        <w:rPr>
          <w:rFonts w:cs="FrankRuehl"/>
          <w:sz w:val="28"/>
          <w:szCs w:val="28"/>
          <w:rtl/>
        </w:rPr>
        <w:t xml:space="preserve"> </w:t>
      </w:r>
      <w:r>
        <w:rPr>
          <w:rFonts w:cs="Miriam"/>
          <w:b/>
          <w:rtl/>
        </w:rPr>
        <w:t>בוזגלו נ' מדינת ישראל</w:t>
      </w:r>
      <w:r>
        <w:rPr>
          <w:rFonts w:cs="FrankRuehl"/>
          <w:sz w:val="28"/>
          <w:szCs w:val="28"/>
          <w:rtl/>
        </w:rPr>
        <w:t xml:space="preserve"> (21.10.2018); </w:t>
      </w:r>
      <w:hyperlink r:id="rId19" w:history="1">
        <w:r w:rsidR="00AF1257" w:rsidRPr="00AF1257">
          <w:rPr>
            <w:rFonts w:cs="FrankRuehl" w:hint="cs"/>
            <w:color w:val="0000FF"/>
            <w:sz w:val="28"/>
            <w:szCs w:val="28"/>
            <w:u w:val="single"/>
            <w:rtl/>
          </w:rPr>
          <w:t>רע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1535/20</w:t>
        </w:r>
      </w:hyperlink>
      <w:r>
        <w:rPr>
          <w:rFonts w:cs="FrankRuehl"/>
          <w:sz w:val="28"/>
          <w:szCs w:val="28"/>
          <w:rtl/>
        </w:rPr>
        <w:t xml:space="preserve"> </w:t>
      </w:r>
      <w:r>
        <w:rPr>
          <w:rFonts w:cs="Miriam"/>
          <w:b/>
          <w:rtl/>
        </w:rPr>
        <w:t>דוקורקר נ' מדינת ישראל</w:t>
      </w:r>
      <w:r>
        <w:rPr>
          <w:rFonts w:cs="FrankRuehl"/>
          <w:sz w:val="28"/>
          <w:szCs w:val="28"/>
          <w:rtl/>
        </w:rPr>
        <w:t xml:space="preserve"> (15.03.2020); </w:t>
      </w:r>
      <w:hyperlink r:id="rId20" w:history="1">
        <w:r w:rsidR="00AF1257" w:rsidRPr="00AF1257">
          <w:rPr>
            <w:rFonts w:cs="FrankRuehl" w:hint="cs"/>
            <w:color w:val="0000FF"/>
            <w:sz w:val="28"/>
            <w:szCs w:val="28"/>
            <w:u w:val="single"/>
            <w:rtl/>
          </w:rPr>
          <w:t>רע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3589/14</w:t>
        </w:r>
      </w:hyperlink>
      <w:r>
        <w:rPr>
          <w:rFonts w:cs="FrankRuehl"/>
          <w:sz w:val="28"/>
          <w:szCs w:val="28"/>
          <w:rtl/>
        </w:rPr>
        <w:t xml:space="preserve"> </w:t>
      </w:r>
      <w:r>
        <w:rPr>
          <w:rFonts w:cs="Miriam"/>
          <w:b/>
          <w:rtl/>
        </w:rPr>
        <w:t>לוזון נ' מדינת ישראל</w:t>
      </w:r>
      <w:r>
        <w:rPr>
          <w:rFonts w:cs="FrankRuehl"/>
          <w:sz w:val="28"/>
          <w:szCs w:val="28"/>
          <w:rtl/>
        </w:rPr>
        <w:t xml:space="preserve"> (10.6.2014);</w:t>
      </w:r>
      <w:r>
        <w:rPr>
          <w:rFonts w:cs="FrankRuehl"/>
          <w:sz w:val="28"/>
          <w:szCs w:val="28"/>
        </w:rPr>
        <w:t xml:space="preserve"> </w:t>
      </w:r>
      <w:hyperlink r:id="rId21" w:history="1">
        <w:r w:rsidR="00AF1257" w:rsidRPr="00AF1257">
          <w:rPr>
            <w:rFonts w:cs="FrankRuehl" w:hint="cs"/>
            <w:color w:val="0000FF"/>
            <w:sz w:val="28"/>
            <w:szCs w:val="28"/>
            <w:u w:val="single"/>
            <w:rtl/>
          </w:rPr>
          <w:t>רע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1097/18</w:t>
        </w:r>
      </w:hyperlink>
      <w:r>
        <w:rPr>
          <w:rFonts w:cs="FrankRuehl"/>
          <w:sz w:val="28"/>
          <w:szCs w:val="28"/>
          <w:rtl/>
        </w:rPr>
        <w:t xml:space="preserve"> </w:t>
      </w:r>
      <w:r>
        <w:rPr>
          <w:rFonts w:cs="Miriam"/>
          <w:b/>
          <w:rtl/>
        </w:rPr>
        <w:t>בצלאל נ' מדינת ישראל</w:t>
      </w:r>
      <w:r>
        <w:rPr>
          <w:rFonts w:cs="Miriam"/>
          <w:b/>
          <w:sz w:val="28"/>
          <w:rtl/>
        </w:rPr>
        <w:t xml:space="preserve"> </w:t>
      </w:r>
      <w:r>
        <w:rPr>
          <w:rFonts w:cs="FrankRuehl"/>
          <w:sz w:val="28"/>
          <w:szCs w:val="28"/>
          <w:rtl/>
        </w:rPr>
        <w:t xml:space="preserve">(18.4.2018) ולעניין ביסוס הנזק בראיות ראו: רע"פ 7224/04 </w:t>
      </w:r>
      <w:r>
        <w:rPr>
          <w:rFonts w:ascii="Miriam" w:hAnsi="Miriam" w:cs="Miriam"/>
          <w:rtl/>
        </w:rPr>
        <w:t>פרנסקי נ' מדינת ישראל</w:t>
      </w:r>
      <w:r>
        <w:rPr>
          <w:rFonts w:cs="FrankRuehl"/>
          <w:sz w:val="28"/>
          <w:szCs w:val="28"/>
          <w:rtl/>
        </w:rPr>
        <w:t xml:space="preserve"> (10.11.2014). ב</w:t>
      </w:r>
      <w:hyperlink r:id="rId22" w:history="1">
        <w:r w:rsidR="00AF1257" w:rsidRPr="00AF1257">
          <w:rPr>
            <w:rFonts w:cs="FrankRuehl" w:hint="cs"/>
            <w:color w:val="0000FF"/>
            <w:sz w:val="28"/>
            <w:szCs w:val="28"/>
            <w:u w:val="single"/>
            <w:rtl/>
          </w:rPr>
          <w:t>רע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9118/12</w:t>
        </w:r>
      </w:hyperlink>
      <w:r>
        <w:rPr>
          <w:rFonts w:cs="FrankRuehl"/>
          <w:sz w:val="28"/>
          <w:szCs w:val="28"/>
          <w:rtl/>
        </w:rPr>
        <w:t xml:space="preserve"> </w:t>
      </w:r>
      <w:r>
        <w:rPr>
          <w:rFonts w:ascii="Miriam" w:hAnsi="Miriam" w:cs="Miriam"/>
          <w:rtl/>
        </w:rPr>
        <w:t>פריגין נ' מדינת ישראל</w:t>
      </w:r>
      <w:r>
        <w:rPr>
          <w:rFonts w:cs="FrankRuehl"/>
          <w:rtl/>
        </w:rPr>
        <w:t xml:space="preserve"> </w:t>
      </w:r>
      <w:r>
        <w:rPr>
          <w:rFonts w:cs="FrankRuehl"/>
          <w:sz w:val="28"/>
          <w:szCs w:val="28"/>
          <w:rtl/>
        </w:rPr>
        <w:t xml:space="preserve">(1.1.2013)). </w:t>
      </w:r>
    </w:p>
    <w:p w14:paraId="12BBCEBF" w14:textId="77777777" w:rsidR="008C50BA" w:rsidRPr="00553481" w:rsidRDefault="008C50BA" w:rsidP="008C50BA">
      <w:pPr>
        <w:pStyle w:val="aa"/>
        <w:tabs>
          <w:tab w:val="left" w:pos="-58"/>
        </w:tabs>
        <w:spacing w:before="100" w:beforeAutospacing="1" w:after="120"/>
        <w:ind w:left="-58"/>
        <w:jc w:val="both"/>
        <w:rPr>
          <w:rFonts w:ascii="Miriam" w:hAnsi="Miriam" w:cs="Miriam"/>
        </w:rPr>
      </w:pPr>
    </w:p>
    <w:p w14:paraId="49F73F31"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ascii="FrankRuehl" w:hAnsi="FrankRuehl" w:cs="FrankRuehl"/>
          <w:sz w:val="28"/>
          <w:szCs w:val="28"/>
          <w:rtl/>
        </w:rPr>
        <w:t xml:space="preserve">לצד זאת אפשר להצביע על מקרים בהם בוטלה הרשעה אף בהיעדר אינדיקציה מוחשית ממשית לפגיעה, חרף הכלל בדבר החובה להוכיח פגיעה קונקרטית. ראו </w:t>
      </w:r>
      <w:hyperlink r:id="rId23" w:history="1">
        <w:r w:rsidR="00AF1257" w:rsidRPr="00AF1257">
          <w:rPr>
            <w:rFonts w:ascii="FrankRuehl" w:hAnsi="FrankRuehl" w:cs="FrankRuehl"/>
            <w:color w:val="0000FF"/>
            <w:sz w:val="28"/>
            <w:szCs w:val="28"/>
            <w:u w:val="single"/>
            <w:rtl/>
          </w:rPr>
          <w:t>רע"פ 8215/16</w:t>
        </w:r>
      </w:hyperlink>
      <w:r>
        <w:rPr>
          <w:rFonts w:ascii="FrankRuehl" w:hAnsi="FrankRuehl" w:cs="FrankRuehl"/>
          <w:sz w:val="28"/>
          <w:szCs w:val="28"/>
          <w:rtl/>
        </w:rPr>
        <w:t xml:space="preserve"> </w:t>
      </w:r>
      <w:r>
        <w:rPr>
          <w:rFonts w:ascii="Miriam" w:hAnsi="Miriam" w:cs="Miriam"/>
          <w:rtl/>
        </w:rPr>
        <w:t xml:space="preserve">יצחק נ' מדינת ישראל </w:t>
      </w:r>
      <w:r>
        <w:rPr>
          <w:rFonts w:ascii="FrankRuehl" w:hAnsi="FrankRuehl" w:cs="FrankRuehl"/>
          <w:sz w:val="28"/>
          <w:szCs w:val="28"/>
          <w:rtl/>
        </w:rPr>
        <w:t>(29.3.2017);</w:t>
      </w:r>
      <w:r>
        <w:rPr>
          <w:rFonts w:ascii="FrankRuehl" w:hAnsi="FrankRuehl" w:cs="FrankRuehl" w:hint="cs"/>
          <w:sz w:val="28"/>
          <w:szCs w:val="28"/>
          <w:rtl/>
        </w:rPr>
        <w:t xml:space="preserve"> </w:t>
      </w:r>
      <w:hyperlink r:id="rId24" w:history="1">
        <w:r w:rsidR="00AF1257" w:rsidRPr="00AF1257">
          <w:rPr>
            <w:rFonts w:ascii="FrankRuehl" w:hAnsi="FrankRuehl" w:cs="FrankRuehl"/>
            <w:color w:val="0000FF"/>
            <w:sz w:val="28"/>
            <w:szCs w:val="28"/>
            <w:u w:val="single"/>
            <w:rtl/>
          </w:rPr>
          <w:t>ע"פ 4466/13</w:t>
        </w:r>
      </w:hyperlink>
      <w:r>
        <w:rPr>
          <w:rFonts w:ascii="FrankRuehl" w:hAnsi="FrankRuehl" w:cs="FrankRuehl" w:hint="cs"/>
          <w:sz w:val="28"/>
          <w:szCs w:val="28"/>
          <w:rtl/>
        </w:rPr>
        <w:t xml:space="preserve"> </w:t>
      </w:r>
      <w:r>
        <w:rPr>
          <w:rFonts w:cs="Miriam"/>
          <w:b/>
          <w:rtl/>
        </w:rPr>
        <w:t>פורטל נ' מדינת ישראל</w:t>
      </w:r>
      <w:r>
        <w:rPr>
          <w:rFonts w:cs="FrankRuehl"/>
          <w:sz w:val="32"/>
          <w:szCs w:val="32"/>
          <w:rtl/>
        </w:rPr>
        <w:t xml:space="preserve"> </w:t>
      </w:r>
      <w:r>
        <w:rPr>
          <w:rFonts w:cs="FrankRuehl"/>
          <w:sz w:val="28"/>
          <w:szCs w:val="28"/>
          <w:rtl/>
        </w:rPr>
        <w:t>(22.5.2014);</w:t>
      </w:r>
      <w:r>
        <w:rPr>
          <w:rFonts w:cs="FrankRuehl" w:hint="cs"/>
          <w:sz w:val="28"/>
          <w:szCs w:val="28"/>
          <w:rtl/>
        </w:rPr>
        <w:t xml:space="preserve"> </w:t>
      </w:r>
      <w:hyperlink r:id="rId25" w:history="1">
        <w:r w:rsidR="00AF1257" w:rsidRPr="00AF1257">
          <w:rPr>
            <w:rFonts w:cs="FrankRuehl" w:hint="cs"/>
            <w:color w:val="0000FF"/>
            <w:sz w:val="28"/>
            <w:szCs w:val="28"/>
            <w:u w:val="single"/>
            <w:rtl/>
          </w:rPr>
          <w:t>רע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1721/12</w:t>
        </w:r>
      </w:hyperlink>
      <w:r>
        <w:rPr>
          <w:rFonts w:cs="FrankRuehl" w:hint="cs"/>
          <w:sz w:val="28"/>
          <w:szCs w:val="28"/>
          <w:rtl/>
        </w:rPr>
        <w:t xml:space="preserve"> </w:t>
      </w:r>
      <w:r>
        <w:rPr>
          <w:rFonts w:cs="Miriam"/>
          <w:b/>
          <w:rtl/>
        </w:rPr>
        <w:t>איראשי נ' מדינת ישראל</w:t>
      </w:r>
      <w:r>
        <w:rPr>
          <w:rFonts w:cs="FrankRuehl"/>
          <w:sz w:val="28"/>
          <w:szCs w:val="28"/>
          <w:rtl/>
        </w:rPr>
        <w:t xml:space="preserve"> (30.3.2014); </w:t>
      </w:r>
      <w:hyperlink r:id="rId26" w:history="1">
        <w:r w:rsidR="00AF1257" w:rsidRPr="00AF1257">
          <w:rPr>
            <w:rFonts w:cs="FrankRuehl" w:hint="cs"/>
            <w:color w:val="0000FF"/>
            <w:sz w:val="28"/>
            <w:szCs w:val="28"/>
            <w:u w:val="single"/>
            <w:rtl/>
          </w:rPr>
          <w:t>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111/14</w:t>
        </w:r>
      </w:hyperlink>
      <w:r>
        <w:rPr>
          <w:rFonts w:cs="FrankRuehl"/>
          <w:sz w:val="28"/>
          <w:szCs w:val="28"/>
          <w:rtl/>
        </w:rPr>
        <w:t xml:space="preserve"> </w:t>
      </w:r>
      <w:r>
        <w:rPr>
          <w:rFonts w:ascii="Miriam" w:hAnsi="Miriam" w:cs="Miriam"/>
          <w:rtl/>
        </w:rPr>
        <w:t>פלוני נ' מדינת ישראל</w:t>
      </w:r>
      <w:r>
        <w:rPr>
          <w:rFonts w:cs="FrankRuehl"/>
          <w:rtl/>
        </w:rPr>
        <w:t xml:space="preserve"> </w:t>
      </w:r>
      <w:r>
        <w:rPr>
          <w:rFonts w:cs="FrankRuehl"/>
          <w:sz w:val="28"/>
          <w:szCs w:val="28"/>
          <w:rtl/>
        </w:rPr>
        <w:t xml:space="preserve">(1.4.2014); </w:t>
      </w:r>
      <w:hyperlink r:id="rId27" w:history="1">
        <w:r w:rsidR="00AF1257" w:rsidRPr="00AF1257">
          <w:rPr>
            <w:rFonts w:ascii="FrankRuehl" w:hAnsi="FrankRuehl" w:cs="FrankRuehl"/>
            <w:color w:val="0000FF"/>
            <w:sz w:val="28"/>
            <w:szCs w:val="28"/>
            <w:u w:val="single"/>
            <w:rtl/>
          </w:rPr>
          <w:t>ע"פ 1880/13</w:t>
        </w:r>
      </w:hyperlink>
      <w:r>
        <w:rPr>
          <w:rFonts w:hint="cs"/>
          <w:rtl/>
        </w:rPr>
        <w:t xml:space="preserve"> </w:t>
      </w:r>
      <w:r>
        <w:rPr>
          <w:rFonts w:cs="Miriam"/>
          <w:b/>
          <w:rtl/>
        </w:rPr>
        <w:t>אברהם נ' מדינת ישראל</w:t>
      </w:r>
      <w:r>
        <w:rPr>
          <w:rFonts w:cs="FrankRuehl"/>
          <w:sz w:val="28"/>
          <w:szCs w:val="28"/>
          <w:rtl/>
        </w:rPr>
        <w:t xml:space="preserve"> (3.2.2014)); </w:t>
      </w:r>
      <w:hyperlink r:id="rId28" w:history="1">
        <w:r w:rsidR="00AF1257" w:rsidRPr="00AF1257">
          <w:rPr>
            <w:rFonts w:cs="FrankRuehl" w:hint="cs"/>
            <w:color w:val="0000FF"/>
            <w:sz w:val="28"/>
            <w:szCs w:val="28"/>
            <w:u w:val="single"/>
            <w:rtl/>
          </w:rPr>
          <w:t>רע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3446/10</w:t>
        </w:r>
      </w:hyperlink>
      <w:r>
        <w:rPr>
          <w:rFonts w:cs="FrankRuehl"/>
          <w:sz w:val="28"/>
          <w:szCs w:val="28"/>
          <w:rtl/>
        </w:rPr>
        <w:t xml:space="preserve"> </w:t>
      </w:r>
      <w:r>
        <w:rPr>
          <w:rFonts w:cs="Miriam"/>
          <w:b/>
          <w:rtl/>
        </w:rPr>
        <w:t>אלחלים נ' מדינת ישראל</w:t>
      </w:r>
      <w:r>
        <w:rPr>
          <w:rFonts w:cs="FrankRuehl"/>
          <w:sz w:val="32"/>
          <w:szCs w:val="32"/>
          <w:rtl/>
        </w:rPr>
        <w:t xml:space="preserve"> </w:t>
      </w:r>
      <w:r>
        <w:rPr>
          <w:rFonts w:cs="FrankRuehl"/>
          <w:sz w:val="28"/>
          <w:szCs w:val="28"/>
          <w:rtl/>
        </w:rPr>
        <w:t xml:space="preserve">(6.4.2011); </w:t>
      </w:r>
      <w:hyperlink r:id="rId29" w:history="1">
        <w:r w:rsidR="00AF1257" w:rsidRPr="00AF1257">
          <w:rPr>
            <w:rFonts w:cs="FrankRuehl" w:hint="cs"/>
            <w:color w:val="0000FF"/>
            <w:sz w:val="28"/>
            <w:szCs w:val="28"/>
            <w:u w:val="single"/>
            <w:rtl/>
          </w:rPr>
          <w:t>עפ</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ג</w:t>
        </w:r>
        <w:r w:rsidR="00AF1257" w:rsidRPr="00AF1257">
          <w:rPr>
            <w:rFonts w:cs="FrankRuehl"/>
            <w:color w:val="0000FF"/>
            <w:sz w:val="28"/>
            <w:szCs w:val="28"/>
            <w:u w:val="single"/>
            <w:rtl/>
          </w:rPr>
          <w:t xml:space="preserve"> (</w:t>
        </w:r>
        <w:r w:rsidR="00AF1257" w:rsidRPr="00AF1257">
          <w:rPr>
            <w:rFonts w:cs="FrankRuehl" w:hint="cs"/>
            <w:color w:val="0000FF"/>
            <w:sz w:val="28"/>
            <w:szCs w:val="28"/>
            <w:u w:val="single"/>
            <w:rtl/>
          </w:rPr>
          <w:t>באר</w:t>
        </w:r>
        <w:r w:rsidR="00AF1257" w:rsidRPr="00AF1257">
          <w:rPr>
            <w:rFonts w:cs="FrankRuehl"/>
            <w:color w:val="0000FF"/>
            <w:sz w:val="28"/>
            <w:szCs w:val="28"/>
            <w:u w:val="single"/>
            <w:rtl/>
          </w:rPr>
          <w:t xml:space="preserve"> </w:t>
        </w:r>
        <w:r w:rsidR="00AF1257" w:rsidRPr="00AF1257">
          <w:rPr>
            <w:rFonts w:cs="FrankRuehl" w:hint="cs"/>
            <w:color w:val="0000FF"/>
            <w:sz w:val="28"/>
            <w:szCs w:val="28"/>
            <w:u w:val="single"/>
            <w:rtl/>
          </w:rPr>
          <w:t>שבע</w:t>
        </w:r>
        <w:r w:rsidR="00AF1257" w:rsidRPr="00AF1257">
          <w:rPr>
            <w:rFonts w:cs="FrankRuehl"/>
            <w:color w:val="0000FF"/>
            <w:sz w:val="28"/>
            <w:szCs w:val="28"/>
            <w:u w:val="single"/>
            <w:rtl/>
          </w:rPr>
          <w:t>) 66903-07-20</w:t>
        </w:r>
      </w:hyperlink>
      <w:r>
        <w:rPr>
          <w:rFonts w:cs="FrankRuehl"/>
          <w:sz w:val="28"/>
          <w:szCs w:val="28"/>
          <w:rtl/>
        </w:rPr>
        <w:t xml:space="preserve"> </w:t>
      </w:r>
      <w:r>
        <w:rPr>
          <w:rFonts w:ascii="Miriam" w:hAnsi="Miriam" w:cs="Miriam"/>
          <w:rtl/>
        </w:rPr>
        <w:t>אבו מדיעם נ' מדינת ישראל</w:t>
      </w:r>
      <w:r>
        <w:rPr>
          <w:rFonts w:cs="FrankRuehl"/>
          <w:sz w:val="28"/>
          <w:szCs w:val="28"/>
          <w:rtl/>
        </w:rPr>
        <w:t xml:space="preserve"> (30.12.2020); עפ"ג (ירושלים) 20164-11-16 </w:t>
      </w:r>
      <w:r>
        <w:rPr>
          <w:rFonts w:ascii="Miriam" w:hAnsi="Miriam" w:cs="Miriam"/>
          <w:rtl/>
        </w:rPr>
        <w:t>מדינת ישראל נ' כהן</w:t>
      </w:r>
      <w:r>
        <w:rPr>
          <w:rFonts w:cs="FrankRuehl"/>
          <w:sz w:val="28"/>
          <w:szCs w:val="28"/>
          <w:rtl/>
        </w:rPr>
        <w:t xml:space="preserve"> (8.7.2020). </w:t>
      </w:r>
    </w:p>
    <w:p w14:paraId="2D40116B" w14:textId="77777777" w:rsidR="008C50BA" w:rsidRPr="00553481" w:rsidRDefault="008C50BA" w:rsidP="008C50BA">
      <w:pPr>
        <w:pStyle w:val="aa"/>
        <w:rPr>
          <w:rFonts w:ascii="Miriam" w:hAnsi="Miriam" w:cs="Miriam"/>
          <w:rtl/>
        </w:rPr>
      </w:pPr>
    </w:p>
    <w:p w14:paraId="0DE90ED0" w14:textId="77777777" w:rsidR="008C50BA" w:rsidRPr="00553481" w:rsidRDefault="008C50BA" w:rsidP="008C50BA">
      <w:pPr>
        <w:pStyle w:val="aa"/>
        <w:numPr>
          <w:ilvl w:val="0"/>
          <w:numId w:val="1"/>
        </w:numPr>
        <w:tabs>
          <w:tab w:val="left" w:pos="-58"/>
        </w:tabs>
        <w:spacing w:before="100" w:beforeAutospacing="1" w:after="120" w:line="360" w:lineRule="auto"/>
        <w:ind w:left="-58" w:firstLine="0"/>
        <w:jc w:val="both"/>
        <w:rPr>
          <w:rFonts w:ascii="Miriam" w:hAnsi="Miriam" w:cs="Miriam"/>
        </w:rPr>
      </w:pPr>
      <w:r>
        <w:rPr>
          <w:rFonts w:cs="FrankRuehl"/>
          <w:sz w:val="28"/>
          <w:szCs w:val="28"/>
          <w:rtl/>
        </w:rPr>
        <w:t>עוד נקבע בפסיקת בתי המשפט כי קיימת מקבילית כוחות בין המבחנים השונים, וככל שכוחו של האחד רב יותר, ניתן להסתפק בעוצמה חלשה יותר במבחן השני. ראו</w:t>
      </w:r>
      <w:r>
        <w:rPr>
          <w:rFonts w:cs="FrankRuehl" w:hint="cs"/>
          <w:sz w:val="28"/>
          <w:szCs w:val="28"/>
          <w:rtl/>
        </w:rPr>
        <w:t xml:space="preserve"> </w:t>
      </w:r>
      <w:hyperlink r:id="rId30" w:history="1">
        <w:r w:rsidR="00AF1257" w:rsidRPr="00AF1257">
          <w:rPr>
            <w:rFonts w:cs="FrankRuehl" w:hint="cs"/>
            <w:color w:val="0000FF"/>
            <w:sz w:val="28"/>
            <w:szCs w:val="28"/>
            <w:u w:val="single"/>
            <w:rtl/>
          </w:rPr>
          <w:t>עפ</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ג</w:t>
        </w:r>
        <w:r w:rsidR="00AF1257" w:rsidRPr="00AF1257">
          <w:rPr>
            <w:rFonts w:cs="FrankRuehl"/>
            <w:color w:val="0000FF"/>
            <w:sz w:val="28"/>
            <w:szCs w:val="28"/>
            <w:u w:val="single"/>
            <w:rtl/>
          </w:rPr>
          <w:t xml:space="preserve"> (</w:t>
        </w:r>
        <w:r w:rsidR="00AF1257" w:rsidRPr="00AF1257">
          <w:rPr>
            <w:rFonts w:cs="FrankRuehl" w:hint="cs"/>
            <w:color w:val="0000FF"/>
            <w:sz w:val="28"/>
            <w:szCs w:val="28"/>
            <w:u w:val="single"/>
            <w:rtl/>
          </w:rPr>
          <w:t>מרכז</w:t>
        </w:r>
        <w:r w:rsidR="00AF1257" w:rsidRPr="00AF1257">
          <w:rPr>
            <w:rFonts w:cs="FrankRuehl"/>
            <w:color w:val="0000FF"/>
            <w:sz w:val="28"/>
            <w:szCs w:val="28"/>
            <w:u w:val="single"/>
            <w:rtl/>
          </w:rPr>
          <w:t>) 44406-12-11</w:t>
        </w:r>
      </w:hyperlink>
      <w:r>
        <w:rPr>
          <w:rFonts w:cs="FrankRuehl" w:hint="cs"/>
          <w:sz w:val="28"/>
          <w:szCs w:val="28"/>
          <w:rtl/>
        </w:rPr>
        <w:t xml:space="preserve"> </w:t>
      </w:r>
      <w:r>
        <w:rPr>
          <w:rFonts w:cs="FrankRuehl"/>
          <w:rtl/>
        </w:rPr>
        <w:t>‏</w:t>
      </w:r>
      <w:r>
        <w:rPr>
          <w:rFonts w:ascii="Miriam" w:hAnsi="Miriam" w:cs="Miriam"/>
          <w:rtl/>
        </w:rPr>
        <w:t>שואהנה נ' מדינת ישראל</w:t>
      </w:r>
      <w:r>
        <w:rPr>
          <w:rFonts w:cs="FrankRuehl"/>
          <w:rtl/>
        </w:rPr>
        <w:t xml:space="preserve"> </w:t>
      </w:r>
      <w:r>
        <w:rPr>
          <w:rFonts w:cs="FrankRuehl"/>
          <w:sz w:val="28"/>
          <w:szCs w:val="28"/>
          <w:rtl/>
        </w:rPr>
        <w:t xml:space="preserve">(16.2.2012); </w:t>
      </w:r>
      <w:hyperlink r:id="rId31" w:history="1">
        <w:r w:rsidR="00AF1257" w:rsidRPr="00AF1257">
          <w:rPr>
            <w:rFonts w:cs="FrankRuehl" w:hint="cs"/>
            <w:color w:val="0000FF"/>
            <w:sz w:val="28"/>
            <w:szCs w:val="28"/>
            <w:u w:val="single"/>
            <w:rtl/>
          </w:rPr>
          <w:t>ע</w:t>
        </w:r>
        <w:r w:rsidR="00AF1257" w:rsidRPr="00AF1257">
          <w:rPr>
            <w:rFonts w:cs="FrankRuehl"/>
            <w:color w:val="0000FF"/>
            <w:sz w:val="28"/>
            <w:szCs w:val="28"/>
            <w:u w:val="single"/>
            <w:rtl/>
          </w:rPr>
          <w:t>"</w:t>
        </w:r>
        <w:r w:rsidR="00AF1257" w:rsidRPr="00AF1257">
          <w:rPr>
            <w:rFonts w:cs="FrankRuehl" w:hint="cs"/>
            <w:color w:val="0000FF"/>
            <w:sz w:val="28"/>
            <w:szCs w:val="28"/>
            <w:u w:val="single"/>
            <w:rtl/>
          </w:rPr>
          <w:t>פ</w:t>
        </w:r>
        <w:r w:rsidR="00AF1257" w:rsidRPr="00AF1257">
          <w:rPr>
            <w:rFonts w:cs="FrankRuehl"/>
            <w:color w:val="0000FF"/>
            <w:sz w:val="28"/>
            <w:szCs w:val="28"/>
            <w:u w:val="single"/>
            <w:rtl/>
          </w:rPr>
          <w:t xml:space="preserve"> 24457-03-15</w:t>
        </w:r>
      </w:hyperlink>
      <w:r>
        <w:rPr>
          <w:rFonts w:cs="FrankRuehl"/>
          <w:sz w:val="28"/>
          <w:szCs w:val="28"/>
          <w:rtl/>
        </w:rPr>
        <w:t xml:space="preserve"> </w:t>
      </w:r>
      <w:r>
        <w:rPr>
          <w:rFonts w:ascii="Miriam" w:hAnsi="Miriam" w:cs="Miriam"/>
          <w:rtl/>
        </w:rPr>
        <w:t>גוטרמן נ' מדינת ישראל</w:t>
      </w:r>
      <w:r>
        <w:rPr>
          <w:rFonts w:cs="FrankRuehl"/>
          <w:rtl/>
        </w:rPr>
        <w:t xml:space="preserve"> </w:t>
      </w:r>
      <w:r>
        <w:rPr>
          <w:rFonts w:cs="FrankRuehl"/>
          <w:sz w:val="28"/>
          <w:szCs w:val="28"/>
          <w:rtl/>
        </w:rPr>
        <w:t xml:space="preserve">(30.8.2015). </w:t>
      </w:r>
    </w:p>
    <w:p w14:paraId="40EA0C57" w14:textId="77777777" w:rsidR="008C50BA" w:rsidRPr="00553481" w:rsidRDefault="008C50BA" w:rsidP="008C50BA">
      <w:pPr>
        <w:pStyle w:val="aa"/>
        <w:rPr>
          <w:rFonts w:ascii="Miriam" w:hAnsi="Miriam" w:cs="Miriam"/>
          <w:rtl/>
        </w:rPr>
      </w:pPr>
    </w:p>
    <w:p w14:paraId="6DE84A15" w14:textId="77777777" w:rsidR="008C50BA" w:rsidRDefault="008C50BA" w:rsidP="008C50BA">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מן הכלל אל הפרט </w:t>
      </w:r>
    </w:p>
    <w:p w14:paraId="036EF7BA" w14:textId="77777777" w:rsidR="008C50BA" w:rsidRDefault="008C50BA" w:rsidP="008C50BA">
      <w:pPr>
        <w:pStyle w:val="aa"/>
        <w:tabs>
          <w:tab w:val="left" w:pos="-58"/>
        </w:tabs>
        <w:spacing w:before="100" w:beforeAutospacing="1" w:after="120"/>
        <w:ind w:left="-58"/>
        <w:jc w:val="both"/>
        <w:rPr>
          <w:rFonts w:ascii="Miriam" w:hAnsi="Miriam" w:cs="Miriam"/>
        </w:rPr>
      </w:pPr>
    </w:p>
    <w:p w14:paraId="532243DB"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Pr>
          <w:rFonts w:cs="FrankRuehl"/>
          <w:sz w:val="28"/>
          <w:szCs w:val="28"/>
          <w:rtl/>
        </w:rPr>
        <w:t>הנאשם, בחור שאינו צעיר, יליד 1985, הוא אינו עומד לדין בפעם הראשונה, לחובתו גמר דין מיום 21.11.2022 בגין עבירה של שימוש ברכב ללא רשות מיום 18.10.2020, אז חויב בפיצוי ובהתחייבות להימנע מעבירה (</w:t>
      </w:r>
      <w:r>
        <w:rPr>
          <w:rFonts w:ascii="Miriam" w:hAnsi="Miriam" w:cs="Miriam"/>
          <w:rtl/>
        </w:rPr>
        <w:t>טענ/1</w:t>
      </w:r>
      <w:r>
        <w:rPr>
          <w:rFonts w:cs="FrankRuehl"/>
          <w:sz w:val="28"/>
          <w:szCs w:val="28"/>
          <w:rtl/>
        </w:rPr>
        <w:t xml:space="preserve">). מכאן, שהנטל המוטל על כתפיו להצביע על פגיעה קשה וקונקרטית בעתידו הוא כבד יותר, זאת במיוחד שהנאשם נותן את הדין בגין עבירות שונות, מתחומים שונים, שבוצעו בתקופות שונות. </w:t>
      </w:r>
      <w:r>
        <w:rPr>
          <w:rFonts w:ascii="Corbel" w:hAnsi="Corbel" w:cs="FrankRuehl"/>
          <w:sz w:val="28"/>
          <w:szCs w:val="28"/>
          <w:rtl/>
        </w:rPr>
        <w:t xml:space="preserve"> </w:t>
      </w:r>
      <w:r>
        <w:rPr>
          <w:rFonts w:cs="FrankRuehl"/>
          <w:sz w:val="28"/>
          <w:szCs w:val="28"/>
          <w:rtl/>
        </w:rPr>
        <w:t xml:space="preserve"> </w:t>
      </w:r>
    </w:p>
    <w:p w14:paraId="6492059E"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Cs w:val="28"/>
        </w:rPr>
      </w:pPr>
      <w:r>
        <w:rPr>
          <w:rFonts w:ascii="FrankRuehl" w:hAnsi="FrankRuehl" w:cs="FrankRuehl"/>
          <w:sz w:val="28"/>
          <w:szCs w:val="28"/>
          <w:rtl/>
        </w:rPr>
        <w:t xml:space="preserve">באשר לתנאי הראשון, מבלי להקל ראש בדבר, אופיין של העבירות בגינן נותן הנאשם את הדין, חרף חומרתן, מאפשרות הימנעות מהרשעה וזאת מבלי לפגוע באופן מהותי בשיקולי ענישה נוספים. </w:t>
      </w:r>
    </w:p>
    <w:p w14:paraId="50EE6F2A" w14:textId="77777777" w:rsidR="008C50BA" w:rsidRDefault="008C50BA" w:rsidP="008C50BA">
      <w:pPr>
        <w:pStyle w:val="aa"/>
        <w:tabs>
          <w:tab w:val="left" w:pos="-58"/>
        </w:tabs>
        <w:spacing w:before="100" w:beforeAutospacing="1" w:after="120"/>
        <w:ind w:left="-58"/>
        <w:jc w:val="both"/>
        <w:rPr>
          <w:rFonts w:cs="FrankRuehl"/>
          <w:szCs w:val="28"/>
        </w:rPr>
      </w:pPr>
    </w:p>
    <w:p w14:paraId="662B8642"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Cs w:val="28"/>
        </w:rPr>
      </w:pPr>
      <w:r>
        <w:rPr>
          <w:rFonts w:cs="FrankRuehl"/>
          <w:szCs w:val="28"/>
          <w:rtl/>
        </w:rPr>
        <w:t xml:space="preserve">בקצרה, </w:t>
      </w:r>
      <w:r>
        <w:rPr>
          <w:rFonts w:ascii="FrankRuehl" w:hAnsi="FrankRuehl" w:cs="FrankRuehl"/>
          <w:noProof/>
          <w:sz w:val="28"/>
          <w:szCs w:val="28"/>
          <w:rtl/>
        </w:rPr>
        <w:t xml:space="preserve">הנאשם גידל בביתו 5 שתילים מסוג קנאביס במשקל כולל של 576.65 גרם, לדבריו כדי לשפר את מצבו הנפשי. </w:t>
      </w:r>
      <w:r>
        <w:rPr>
          <w:rFonts w:cs="FrankRuehl"/>
          <w:szCs w:val="28"/>
          <w:rtl/>
        </w:rPr>
        <w:t xml:space="preserve">על אף שלא מדובר בעובדה מוסכמת בין הצדדים, נכונה אני לקבל את טענת ההגנה לפיה מדובר בגידול עצמי. מחד, יש בנסיבה זו למתן את חומרת העבירה, שכן הנזק הפוטנציאלי הגלום לבריאות הציבור מופחת, וזאת מעבר לעובדה כי עסקינן בסם הקנבוס שחומרתו </w:t>
      </w:r>
      <w:r>
        <w:rPr>
          <w:rFonts w:ascii="FrankRuehl" w:hAnsi="FrankRuehl" w:cs="FrankRuehl"/>
          <w:sz w:val="28"/>
          <w:szCs w:val="28"/>
          <w:rtl/>
        </w:rPr>
        <w:t>פחותה בהשוואה לסמים אחרים כגון קוקאין או הרואין. מאידך, המעיין בהודאת הנאשם במשטרה, ימצא כי קדם למעשה הגידול, תכנון מוקדם, הושקעו משאבים לרכישת ציוד בהשקעה ראשונית לא מבוטלת</w:t>
      </w:r>
      <w:r>
        <w:rPr>
          <w:rFonts w:ascii="FrankRuehl" w:hAnsi="FrankRuehl" w:cs="FrankRuehl" w:hint="cs"/>
          <w:sz w:val="28"/>
          <w:szCs w:val="28"/>
          <w:rtl/>
        </w:rPr>
        <w:t xml:space="preserve">, </w:t>
      </w:r>
      <w:r>
        <w:rPr>
          <w:rFonts w:cs="FrankRuehl"/>
          <w:szCs w:val="28"/>
          <w:rtl/>
        </w:rPr>
        <w:t>והנאשם נטל על עצמו סיכון מחושב מתוך רצון להפחית את ההוצאות הכבדות הכרוכות בשימוש בסם (</w:t>
      </w:r>
      <w:r>
        <w:rPr>
          <w:rFonts w:ascii="Miriam" w:hAnsi="Miriam" w:cs="Miriam"/>
          <w:rtl/>
        </w:rPr>
        <w:t>טענ/2</w:t>
      </w:r>
      <w:r>
        <w:rPr>
          <w:rFonts w:cs="FrankRuehl"/>
          <w:szCs w:val="28"/>
          <w:rtl/>
        </w:rPr>
        <w:t xml:space="preserve">). </w:t>
      </w:r>
    </w:p>
    <w:p w14:paraId="2ECA7050" w14:textId="77777777" w:rsidR="008C50BA" w:rsidRPr="00553481" w:rsidRDefault="008C50BA" w:rsidP="008C50BA">
      <w:pPr>
        <w:pStyle w:val="aa"/>
        <w:tabs>
          <w:tab w:val="left" w:pos="-58"/>
        </w:tabs>
        <w:spacing w:before="100" w:beforeAutospacing="1" w:after="120"/>
        <w:ind w:left="-58"/>
        <w:jc w:val="both"/>
        <w:rPr>
          <w:rFonts w:cs="FrankRuehl"/>
          <w:szCs w:val="28"/>
        </w:rPr>
      </w:pPr>
    </w:p>
    <w:p w14:paraId="27437AD7"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cs="FrankRuehl"/>
          <w:szCs w:val="28"/>
        </w:rPr>
      </w:pPr>
      <w:r>
        <w:rPr>
          <w:rFonts w:ascii="FrankRuehl" w:hAnsi="FrankRuehl" w:cs="FrankRuehl"/>
          <w:sz w:val="28"/>
          <w:szCs w:val="28"/>
          <w:rtl/>
        </w:rPr>
        <w:t>כעבור שנתיים ימים בקירוב, עבר הנאשם על החוק, הפעם הפר צו שיפוטי, פחות מ-24 שעות לאחר שניתן. הלה פעל באימפולסיביות עת שלח הודעה לבת דודתו, על רקע סכסוך ירושה. על אף הפגיעה בערכים החברתיים ש</w:t>
      </w:r>
      <w:r>
        <w:rPr>
          <w:rFonts w:cs="FrankRuehl"/>
          <w:szCs w:val="28"/>
          <w:rtl/>
        </w:rPr>
        <w:t xml:space="preserve">עניינם שמירה על הסדר הציבורי והצורך להגן על צווים שיפוטיים, ומבלי להקל ראש באי הנוחות שלבטח חוותה המתלוננת, לא מדובר בנסיבות חמורות מאוד, ולרוב עבירות מעין אלו מצדיקות קביעת מתחם מקל שתחתיתו, ענישה צופה פני עתיד. גם בכך יש ללמד על האפשרות להימנע, בנסיבות המתאימות, מהרשעה.  </w:t>
      </w:r>
    </w:p>
    <w:p w14:paraId="62CC5269" w14:textId="77777777" w:rsidR="008C50BA" w:rsidRPr="00553481" w:rsidRDefault="008C50BA" w:rsidP="008C50BA">
      <w:pPr>
        <w:pStyle w:val="aa"/>
        <w:tabs>
          <w:tab w:val="left" w:pos="-58"/>
        </w:tabs>
        <w:spacing w:before="100" w:beforeAutospacing="1" w:after="120"/>
        <w:ind w:left="-58"/>
        <w:jc w:val="both"/>
        <w:rPr>
          <w:rFonts w:ascii="FrankRuehl" w:hAnsi="FrankRuehl" w:cs="FrankRuehl"/>
          <w:sz w:val="28"/>
          <w:szCs w:val="28"/>
        </w:rPr>
      </w:pPr>
    </w:p>
    <w:p w14:paraId="53826AD9"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cs="Miriam"/>
          <w:b/>
          <w:sz w:val="28"/>
          <w:rtl/>
        </w:rPr>
        <w:t>באשר לתנאי השנ</w:t>
      </w:r>
      <w:r>
        <w:rPr>
          <w:rFonts w:cs="Miriam"/>
          <w:b/>
          <w:rtl/>
        </w:rPr>
        <w:t>י,</w:t>
      </w:r>
      <w:r>
        <w:rPr>
          <w:rFonts w:cs="Miriam"/>
          <w:rtl/>
        </w:rPr>
        <w:t xml:space="preserve"> שאלת קיומו של "נזק קונקרטי"</w:t>
      </w:r>
      <w:r>
        <w:rPr>
          <w:rFonts w:ascii="FrankRuehl" w:hAnsi="FrankRuehl" w:cs="FrankRuehl"/>
          <w:sz w:val="28"/>
          <w:szCs w:val="28"/>
          <w:rtl/>
        </w:rPr>
        <w:t xml:space="preserve"> – מתסקיר שירות המבחן כמו גם משלל המסמכים שהציגה ההגנה (</w:t>
      </w:r>
      <w:r>
        <w:rPr>
          <w:rFonts w:cs="Miriam"/>
          <w:rtl/>
        </w:rPr>
        <w:t>טענ/1</w:t>
      </w:r>
      <w:r>
        <w:rPr>
          <w:rFonts w:ascii="FrankRuehl" w:hAnsi="FrankRuehl" w:cs="FrankRuehl"/>
          <w:sz w:val="28"/>
          <w:szCs w:val="28"/>
          <w:rtl/>
        </w:rPr>
        <w:t>), מצטיירת תמונה עגומה וכואבת. עומד בפני אדם לא צעיר, שעבר חוויות טראומטיות במהלך השירות בצבא</w:t>
      </w:r>
      <w:r>
        <w:rPr>
          <w:rFonts w:ascii="FrankRuehl" w:hAnsi="FrankRuehl" w:cs="FrankRuehl" w:hint="cs"/>
          <w:sz w:val="28"/>
          <w:szCs w:val="28"/>
          <w:rtl/>
        </w:rPr>
        <w:t xml:space="preserve"> בעטיין </w:t>
      </w:r>
      <w:r>
        <w:rPr>
          <w:rFonts w:ascii="FrankRuehl" w:hAnsi="FrankRuehl" w:cs="FrankRuehl"/>
          <w:sz w:val="28"/>
          <w:szCs w:val="28"/>
          <w:rtl/>
        </w:rPr>
        <w:t xml:space="preserve">לא פנה בבקשה לעזרה </w:t>
      </w:r>
      <w:r>
        <w:rPr>
          <w:rFonts w:ascii="FrankRuehl" w:hAnsi="FrankRuehl" w:cs="FrankRuehl" w:hint="cs"/>
          <w:sz w:val="28"/>
          <w:szCs w:val="28"/>
          <w:rtl/>
        </w:rPr>
        <w:t>ו</w:t>
      </w:r>
      <w:r>
        <w:rPr>
          <w:rFonts w:ascii="FrankRuehl" w:hAnsi="FrankRuehl" w:cs="FrankRuehl"/>
          <w:sz w:val="28"/>
          <w:szCs w:val="28"/>
          <w:rtl/>
        </w:rPr>
        <w:t>ממילא לא שולב בטיפול</w:t>
      </w:r>
      <w:r>
        <w:rPr>
          <w:rFonts w:ascii="FrankRuehl" w:hAnsi="FrankRuehl" w:cs="FrankRuehl" w:hint="cs"/>
          <w:sz w:val="28"/>
          <w:szCs w:val="28"/>
          <w:rtl/>
        </w:rPr>
        <w:t>,</w:t>
      </w:r>
      <w:r>
        <w:rPr>
          <w:rFonts w:ascii="FrankRuehl" w:hAnsi="FrankRuehl" w:cs="FrankRuehl"/>
          <w:sz w:val="28"/>
          <w:szCs w:val="28"/>
          <w:rtl/>
        </w:rPr>
        <w:t xml:space="preserve"> לא בתקופת הצבא וגם לא לאחריה, על אף שהמשיך לשרת תקופה נוספת במילואים. חוויות טראומטיות אלו, עיצבו את זהותו של הנאשם והוא התקשה לנהל אורח חיים נורמטיבי. משום ש</w:t>
      </w:r>
      <w:r>
        <w:rPr>
          <w:rFonts w:ascii="FrankRuehl" w:hAnsi="FrankRuehl" w:cs="FrankRuehl" w:hint="cs"/>
          <w:sz w:val="28"/>
          <w:szCs w:val="28"/>
          <w:rtl/>
        </w:rPr>
        <w:t>הקושי שהתקשה הנאשם למצוא את ייעודו</w:t>
      </w:r>
      <w:r>
        <w:rPr>
          <w:rFonts w:ascii="FrankRuehl" w:hAnsi="FrankRuehl" w:cs="FrankRuehl"/>
          <w:sz w:val="28"/>
          <w:szCs w:val="28"/>
          <w:rtl/>
        </w:rPr>
        <w:t xml:space="preserve">, מבחינה אישית, חברתית ותעסוקתית, הוא נהג באופן בלתי אחראי, מבלי </w:t>
      </w:r>
      <w:r>
        <w:rPr>
          <w:rFonts w:ascii="FrankRuehl" w:hAnsi="FrankRuehl" w:cs="FrankRuehl" w:hint="cs"/>
          <w:sz w:val="28"/>
          <w:szCs w:val="28"/>
          <w:rtl/>
        </w:rPr>
        <w:t xml:space="preserve">שהיה </w:t>
      </w:r>
      <w:r>
        <w:rPr>
          <w:rFonts w:ascii="FrankRuehl" w:hAnsi="FrankRuehl" w:cs="FrankRuehl"/>
          <w:sz w:val="28"/>
          <w:szCs w:val="28"/>
          <w:rtl/>
        </w:rPr>
        <w:t xml:space="preserve">לבחון את השלכות מעשיו, הסתבך בפלילים. </w:t>
      </w:r>
    </w:p>
    <w:p w14:paraId="4D49E577" w14:textId="77777777" w:rsidR="008C50BA" w:rsidRPr="00F75632" w:rsidRDefault="008C50BA" w:rsidP="008C50BA">
      <w:pPr>
        <w:pStyle w:val="aa"/>
        <w:rPr>
          <w:rFonts w:ascii="FrankRuehl" w:hAnsi="FrankRuehl" w:cs="FrankRuehl"/>
          <w:sz w:val="28"/>
          <w:szCs w:val="28"/>
          <w:rtl/>
        </w:rPr>
      </w:pPr>
    </w:p>
    <w:p w14:paraId="26F4EFE2"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sidRPr="00F75632">
        <w:rPr>
          <w:rFonts w:ascii="FrankRuehl" w:hAnsi="FrankRuehl" w:cs="FrankRuehl" w:hint="cs"/>
          <w:sz w:val="28"/>
          <w:szCs w:val="28"/>
          <w:rtl/>
        </w:rPr>
        <w:t>רק בשנת 2021, כ</w:t>
      </w:r>
      <w:r>
        <w:rPr>
          <w:rFonts w:ascii="FrankRuehl" w:hAnsi="FrankRuehl" w:cs="FrankRuehl" w:hint="cs"/>
          <w:sz w:val="28"/>
          <w:szCs w:val="28"/>
          <w:rtl/>
        </w:rPr>
        <w:t xml:space="preserve">ך </w:t>
      </w:r>
      <w:r w:rsidRPr="00F75632">
        <w:rPr>
          <w:rFonts w:ascii="FrankRuehl" w:hAnsi="FrankRuehl" w:cs="FrankRuehl" w:hint="cs"/>
          <w:sz w:val="28"/>
          <w:szCs w:val="28"/>
          <w:rtl/>
        </w:rPr>
        <w:t>עולה מהמ</w:t>
      </w:r>
      <w:r>
        <w:rPr>
          <w:rFonts w:ascii="FrankRuehl" w:hAnsi="FrankRuehl" w:cs="FrankRuehl" w:hint="cs"/>
          <w:sz w:val="28"/>
          <w:szCs w:val="28"/>
          <w:rtl/>
        </w:rPr>
        <w:t xml:space="preserve">סמכים שהציג הנאשם, הוא </w:t>
      </w:r>
      <w:r w:rsidRPr="00F75632">
        <w:rPr>
          <w:rFonts w:ascii="FrankRuehl" w:hAnsi="FrankRuehl" w:cs="FrankRuehl"/>
          <w:sz w:val="28"/>
          <w:szCs w:val="28"/>
          <w:rtl/>
        </w:rPr>
        <w:t>פנה לפסיכיאטר פרטי ואובחן כסובל מ</w:t>
      </w:r>
      <w:r w:rsidRPr="00F75632">
        <w:rPr>
          <w:rFonts w:ascii="FrankRuehl" w:hAnsi="FrankRuehl" w:cs="FrankRuehl"/>
          <w:sz w:val="28"/>
          <w:szCs w:val="28"/>
        </w:rPr>
        <w:t>PSTD-</w:t>
      </w:r>
      <w:r w:rsidRPr="00F75632">
        <w:rPr>
          <w:rFonts w:ascii="FrankRuehl" w:hAnsi="FrankRuehl" w:cs="FrankRuehl"/>
          <w:sz w:val="28"/>
          <w:szCs w:val="28"/>
          <w:rtl/>
        </w:rPr>
        <w:t xml:space="preserve">, אז הומלץ </w:t>
      </w:r>
      <w:r>
        <w:rPr>
          <w:rFonts w:ascii="FrankRuehl" w:hAnsi="FrankRuehl" w:cs="FrankRuehl" w:hint="cs"/>
          <w:sz w:val="28"/>
          <w:szCs w:val="28"/>
          <w:rtl/>
        </w:rPr>
        <w:t xml:space="preserve">לו </w:t>
      </w:r>
      <w:r w:rsidRPr="00F75632">
        <w:rPr>
          <w:rFonts w:ascii="FrankRuehl" w:hAnsi="FrankRuehl" w:cs="FrankRuehl"/>
          <w:sz w:val="28"/>
          <w:szCs w:val="28"/>
          <w:rtl/>
        </w:rPr>
        <w:t xml:space="preserve">על טיפול תרופתי. לצד זאת </w:t>
      </w:r>
      <w:r>
        <w:rPr>
          <w:rFonts w:ascii="FrankRuehl" w:hAnsi="FrankRuehl" w:cs="FrankRuehl" w:hint="cs"/>
          <w:sz w:val="28"/>
          <w:szCs w:val="28"/>
          <w:rtl/>
        </w:rPr>
        <w:t>י</w:t>
      </w:r>
      <w:r w:rsidRPr="00F75632">
        <w:rPr>
          <w:rFonts w:ascii="FrankRuehl" w:hAnsi="FrankRuehl" w:cs="FrankRuehl"/>
          <w:sz w:val="28"/>
          <w:szCs w:val="28"/>
          <w:rtl/>
        </w:rPr>
        <w:t xml:space="preserve">שנה התמכרות לסמים. לדברי הנאשם, </w:t>
      </w:r>
      <w:r>
        <w:rPr>
          <w:rFonts w:ascii="FrankRuehl" w:hAnsi="FrankRuehl" w:cs="FrankRuehl" w:hint="cs"/>
          <w:sz w:val="28"/>
          <w:szCs w:val="28"/>
          <w:rtl/>
        </w:rPr>
        <w:t>עשה שימוש ב</w:t>
      </w:r>
      <w:r w:rsidRPr="00F75632">
        <w:rPr>
          <w:rFonts w:ascii="FrankRuehl" w:hAnsi="FrankRuehl" w:cs="FrankRuehl"/>
          <w:sz w:val="28"/>
          <w:szCs w:val="28"/>
          <w:rtl/>
        </w:rPr>
        <w:t xml:space="preserve">סמים קשים כגון קוקאין, פטריות, </w:t>
      </w:r>
      <w:r w:rsidRPr="00F75632">
        <w:rPr>
          <w:rFonts w:ascii="FrankRuehl" w:hAnsi="FrankRuehl" w:cs="FrankRuehl"/>
          <w:sz w:val="28"/>
          <w:szCs w:val="28"/>
        </w:rPr>
        <w:t>LSD</w:t>
      </w:r>
      <w:r w:rsidRPr="00F75632">
        <w:rPr>
          <w:rFonts w:ascii="FrankRuehl" w:hAnsi="FrankRuehl" w:cs="FrankRuehl"/>
          <w:sz w:val="28"/>
          <w:szCs w:val="28"/>
          <w:rtl/>
        </w:rPr>
        <w:t xml:space="preserve"> ועוד. במכתב לבית המשפט ציין כי </w:t>
      </w:r>
      <w:r>
        <w:rPr>
          <w:rFonts w:ascii="FrankRuehl" w:hAnsi="FrankRuehl" w:cs="FrankRuehl" w:hint="cs"/>
          <w:sz w:val="28"/>
          <w:szCs w:val="28"/>
          <w:rtl/>
        </w:rPr>
        <w:t xml:space="preserve">אף </w:t>
      </w:r>
      <w:r w:rsidRPr="00F75632">
        <w:rPr>
          <w:rFonts w:ascii="FrankRuehl" w:hAnsi="FrankRuehl" w:cs="FrankRuehl"/>
          <w:sz w:val="28"/>
          <w:szCs w:val="28"/>
          <w:rtl/>
        </w:rPr>
        <w:t>עשה שימוש לרעה באלכוהול וכן בכדורי קלונקס</w:t>
      </w:r>
      <w:r>
        <w:rPr>
          <w:rFonts w:ascii="FrankRuehl" w:hAnsi="FrankRuehl" w:cs="FrankRuehl" w:hint="cs"/>
          <w:sz w:val="28"/>
          <w:szCs w:val="28"/>
          <w:rtl/>
        </w:rPr>
        <w:t xml:space="preserve">. </w:t>
      </w:r>
    </w:p>
    <w:p w14:paraId="1DA368ED" w14:textId="77777777" w:rsidR="008C50BA" w:rsidRPr="00F75632" w:rsidRDefault="008C50BA" w:rsidP="008C50BA">
      <w:pPr>
        <w:pStyle w:val="aa"/>
        <w:rPr>
          <w:rFonts w:ascii="FrankRuehl" w:hAnsi="FrankRuehl" w:cs="FrankRuehl"/>
          <w:sz w:val="28"/>
          <w:szCs w:val="28"/>
          <w:rtl/>
        </w:rPr>
      </w:pPr>
    </w:p>
    <w:p w14:paraId="20FD0BF0"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חרף המלצת גורמי הטיפול וההכרח </w:t>
      </w:r>
      <w:r>
        <w:rPr>
          <w:rFonts w:ascii="FrankRuehl" w:hAnsi="FrankRuehl" w:cs="FrankRuehl" w:hint="cs"/>
          <w:sz w:val="28"/>
          <w:szCs w:val="28"/>
          <w:rtl/>
        </w:rPr>
        <w:t xml:space="preserve">לטפל </w:t>
      </w:r>
      <w:r>
        <w:rPr>
          <w:rFonts w:ascii="FrankRuehl" w:hAnsi="FrankRuehl" w:cs="FrankRuehl"/>
          <w:sz w:val="28"/>
          <w:szCs w:val="28"/>
          <w:rtl/>
        </w:rPr>
        <w:t xml:space="preserve">בבעיית ההתמכרות, לא השתלב הנאשם בהליך גמילה מסודר, ולדבריו נגמל משימוש בסמים קשים בכוחות עצמו. אולם, הדיווחים לגורמים השונים בעניין זה אינם אחידים ועקביים. בדוח הסוציאלי 10.11.2022 נכתב כי "לדבריו, עבר גמילה עצמית </w:t>
      </w:r>
      <w:r>
        <w:rPr>
          <w:rFonts w:ascii="FrankRuehl" w:hAnsi="FrankRuehl" w:cs="FrankRuehl"/>
          <w:b/>
          <w:bCs/>
          <w:sz w:val="28"/>
          <w:szCs w:val="28"/>
          <w:rtl/>
        </w:rPr>
        <w:t>ונקי מזה כשנה</w:t>
      </w:r>
      <w:r>
        <w:rPr>
          <w:rFonts w:ascii="FrankRuehl" w:hAnsi="FrankRuehl" w:cs="FrankRuehl"/>
          <w:sz w:val="28"/>
          <w:szCs w:val="28"/>
          <w:rtl/>
        </w:rPr>
        <w:t xml:space="preserve">, שותה מידי פעם אלכוהול"; לשירות המבחן מסר הנאשם כי מזה </w:t>
      </w:r>
      <w:r>
        <w:rPr>
          <w:rFonts w:ascii="FrankRuehl" w:hAnsi="FrankRuehl" w:cs="FrankRuehl"/>
          <w:b/>
          <w:bCs/>
          <w:sz w:val="28"/>
          <w:szCs w:val="28"/>
          <w:rtl/>
        </w:rPr>
        <w:t>כשנתיים אינו צורך סמים</w:t>
      </w:r>
      <w:r>
        <w:rPr>
          <w:rFonts w:ascii="FrankRuehl" w:hAnsi="FrankRuehl" w:cs="FrankRuehl"/>
          <w:sz w:val="28"/>
          <w:szCs w:val="28"/>
          <w:rtl/>
        </w:rPr>
        <w:t>, למעט קנאביס רפואי שנוטל ברישיון</w:t>
      </w:r>
      <w:r>
        <w:rPr>
          <w:rFonts w:ascii="FrankRuehl" w:hAnsi="FrankRuehl" w:cs="FrankRuehl" w:hint="cs"/>
          <w:sz w:val="28"/>
          <w:szCs w:val="28"/>
          <w:rtl/>
        </w:rPr>
        <w:t xml:space="preserve">, אולם לבית המשפט מסר כי </w:t>
      </w:r>
      <w:r>
        <w:rPr>
          <w:rFonts w:ascii="FrankRuehl" w:hAnsi="FrankRuehl" w:cs="FrankRuehl"/>
          <w:sz w:val="28"/>
          <w:szCs w:val="28"/>
          <w:rtl/>
        </w:rPr>
        <w:t>"</w:t>
      </w:r>
      <w:r>
        <w:rPr>
          <w:rFonts w:cs="FrankRuehl"/>
          <w:sz w:val="28"/>
          <w:szCs w:val="28"/>
          <w:rtl/>
        </w:rPr>
        <w:t xml:space="preserve">אני בגמילה, לא נוגע </w:t>
      </w:r>
      <w:r>
        <w:rPr>
          <w:rFonts w:cs="FrankRuehl"/>
          <w:b/>
          <w:bCs/>
          <w:sz w:val="28"/>
          <w:szCs w:val="28"/>
          <w:rtl/>
        </w:rPr>
        <w:t>בסמים כבר 10 חודשים</w:t>
      </w:r>
      <w:r>
        <w:rPr>
          <w:rFonts w:cs="FrankRuehl"/>
          <w:sz w:val="28"/>
          <w:szCs w:val="28"/>
          <w:rtl/>
        </w:rPr>
        <w:t xml:space="preserve">, אני לא נוגע בקוקאין, </w:t>
      </w:r>
      <w:r>
        <w:rPr>
          <w:rFonts w:cs="FrankRuehl"/>
          <w:sz w:val="28"/>
          <w:szCs w:val="28"/>
        </w:rPr>
        <w:t>LSD</w:t>
      </w:r>
      <w:r>
        <w:rPr>
          <w:rFonts w:cs="FrankRuehl"/>
          <w:sz w:val="28"/>
          <w:szCs w:val="28"/>
          <w:rtl/>
        </w:rPr>
        <w:t xml:space="preserve"> פטריות", במכתב </w:t>
      </w:r>
      <w:r>
        <w:rPr>
          <w:rFonts w:cs="FrankRuehl" w:hint="cs"/>
          <w:sz w:val="28"/>
          <w:szCs w:val="28"/>
          <w:rtl/>
        </w:rPr>
        <w:t xml:space="preserve">לבית המשפט ציין </w:t>
      </w:r>
      <w:r>
        <w:rPr>
          <w:rFonts w:cs="FrankRuehl"/>
          <w:sz w:val="28"/>
          <w:szCs w:val="28"/>
          <w:rtl/>
        </w:rPr>
        <w:t>כי נהג לעשות שימוש לרעה באלכוהול ולא "מידי פעם"</w:t>
      </w:r>
      <w:r>
        <w:rPr>
          <w:rFonts w:cs="FrankRuehl" w:hint="cs"/>
          <w:sz w:val="28"/>
          <w:szCs w:val="28"/>
          <w:rtl/>
        </w:rPr>
        <w:t xml:space="preserve"> כפי שטען בפני שירות המבחן</w:t>
      </w:r>
      <w:r>
        <w:rPr>
          <w:rFonts w:cs="FrankRuehl"/>
          <w:sz w:val="28"/>
          <w:szCs w:val="28"/>
          <w:rtl/>
        </w:rPr>
        <w:t xml:space="preserve">. </w:t>
      </w:r>
    </w:p>
    <w:p w14:paraId="26BFC6BD" w14:textId="77777777" w:rsidR="008C50BA" w:rsidRPr="00F75632" w:rsidRDefault="008C50BA" w:rsidP="008C50BA">
      <w:pPr>
        <w:pStyle w:val="aa"/>
        <w:tabs>
          <w:tab w:val="left" w:pos="-58"/>
        </w:tabs>
        <w:spacing w:before="100" w:beforeAutospacing="1" w:after="120"/>
        <w:ind w:left="-58"/>
        <w:jc w:val="both"/>
        <w:rPr>
          <w:rFonts w:ascii="FrankRuehl" w:hAnsi="FrankRuehl" w:cs="FrankRuehl"/>
          <w:sz w:val="28"/>
          <w:szCs w:val="28"/>
        </w:rPr>
      </w:pPr>
    </w:p>
    <w:p w14:paraId="2637FE41"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מעבר לחוסר העקביות, למעט המידע שמסר הנאשם בעצמו ביחס לניקיונו מסמים, ובניגוד מוחלט למקרים אחרים, אין כל אינדיקציה, כגון בדיקת שתן, המעידה על כך שהגמילה העצמית אכן נשאה פרי, והנאשם </w:t>
      </w:r>
      <w:r>
        <w:rPr>
          <w:rFonts w:ascii="FrankRuehl" w:hAnsi="FrankRuehl" w:cs="FrankRuehl" w:hint="cs"/>
          <w:sz w:val="28"/>
          <w:szCs w:val="28"/>
          <w:rtl/>
        </w:rPr>
        <w:t xml:space="preserve">אכן </w:t>
      </w:r>
      <w:r>
        <w:rPr>
          <w:rFonts w:ascii="FrankRuehl" w:hAnsi="FrankRuehl" w:cs="FrankRuehl"/>
          <w:sz w:val="28"/>
          <w:szCs w:val="28"/>
          <w:rtl/>
        </w:rPr>
        <w:t xml:space="preserve">הפסיק </w:t>
      </w:r>
      <w:r>
        <w:rPr>
          <w:rFonts w:ascii="FrankRuehl" w:hAnsi="FrankRuehl" w:cs="FrankRuehl" w:hint="cs"/>
          <w:sz w:val="28"/>
          <w:szCs w:val="28"/>
          <w:rtl/>
        </w:rPr>
        <w:t>את ה</w:t>
      </w:r>
      <w:r>
        <w:rPr>
          <w:rFonts w:ascii="FrankRuehl" w:hAnsi="FrankRuehl" w:cs="FrankRuehl"/>
          <w:sz w:val="28"/>
          <w:szCs w:val="28"/>
          <w:rtl/>
        </w:rPr>
        <w:t xml:space="preserve">שימוש בסמים למעט קנאבוס רפואי. ובהקשר זה חשוב לציין כי לא הוצג ולו מסמך עדכני אחד מגורמי הטיפול. </w:t>
      </w:r>
    </w:p>
    <w:p w14:paraId="4D21C2ED"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233FEA99"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לכך אוסיף כי על אף פרק הזמן שחלף מאז ביצוע העבירות ועל אף פרק הזמן הנכבד שחלף מאז </w:t>
      </w:r>
      <w:r>
        <w:rPr>
          <w:rFonts w:ascii="FrankRuehl" w:hAnsi="FrankRuehl" w:cs="FrankRuehl" w:hint="cs"/>
          <w:sz w:val="28"/>
          <w:szCs w:val="28"/>
          <w:rtl/>
        </w:rPr>
        <w:t>ההכרה במשרד הביטחון</w:t>
      </w:r>
      <w:r>
        <w:rPr>
          <w:rFonts w:ascii="FrankRuehl" w:hAnsi="FrankRuehl" w:cs="FrankRuehl"/>
          <w:sz w:val="28"/>
          <w:szCs w:val="28"/>
          <w:rtl/>
        </w:rPr>
        <w:t xml:space="preserve"> ועל אף ש</w:t>
      </w:r>
      <w:r>
        <w:rPr>
          <w:rFonts w:ascii="FrankRuehl" w:hAnsi="FrankRuehl" w:cs="FrankRuehl" w:hint="cs"/>
          <w:sz w:val="28"/>
          <w:szCs w:val="28"/>
          <w:rtl/>
        </w:rPr>
        <w:t xml:space="preserve">הנאשם </w:t>
      </w:r>
      <w:r>
        <w:rPr>
          <w:rFonts w:ascii="FrankRuehl" w:hAnsi="FrankRuehl" w:cs="FrankRuehl"/>
          <w:sz w:val="28"/>
          <w:szCs w:val="28"/>
          <w:rtl/>
        </w:rPr>
        <w:t>הודה ונטל אחריות על מעשיו, ניכר כי נטילת האחריות היא בעיקרה פורמלית. הנאשם מתבצר בעמדה קורבנית, ומייחס את האחריות למצבו לאוזלת היד של המדינה</w:t>
      </w:r>
      <w:r>
        <w:rPr>
          <w:rFonts w:ascii="FrankRuehl" w:hAnsi="FrankRuehl" w:cs="FrankRuehl" w:hint="cs"/>
          <w:sz w:val="28"/>
          <w:szCs w:val="28"/>
          <w:rtl/>
        </w:rPr>
        <w:t xml:space="preserve"> ולה בלבד,</w:t>
      </w:r>
      <w:r>
        <w:rPr>
          <w:rFonts w:ascii="FrankRuehl" w:hAnsi="FrankRuehl" w:cs="FrankRuehl"/>
          <w:sz w:val="28"/>
          <w:szCs w:val="28"/>
          <w:rtl/>
        </w:rPr>
        <w:t xml:space="preserve"> מבלי שיש ביכולתו לבחון את מאפייני אישיותו שהובילו למעבר על החוק, לרבות שימוש בסמים</w:t>
      </w:r>
      <w:r>
        <w:rPr>
          <w:rFonts w:ascii="FrankRuehl" w:hAnsi="FrankRuehl" w:cs="FrankRuehl" w:hint="cs"/>
          <w:sz w:val="28"/>
          <w:szCs w:val="28"/>
          <w:rtl/>
        </w:rPr>
        <w:t xml:space="preserve"> קשים</w:t>
      </w:r>
      <w:r>
        <w:rPr>
          <w:rFonts w:ascii="FrankRuehl" w:hAnsi="FrankRuehl" w:cs="FrankRuehl"/>
          <w:sz w:val="28"/>
          <w:szCs w:val="28"/>
          <w:rtl/>
        </w:rPr>
        <w:t>, תחת פנייה לעזרה מקצועית. הדברים עלו בבירור מדברו האחרון וביתר שאת מהמכתב ש</w:t>
      </w:r>
      <w:r>
        <w:rPr>
          <w:rFonts w:ascii="FrankRuehl" w:hAnsi="FrankRuehl" w:cs="FrankRuehl" w:hint="cs"/>
          <w:sz w:val="28"/>
          <w:szCs w:val="28"/>
          <w:rtl/>
        </w:rPr>
        <w:t>מצא להגיש לבית המשפט לאחר ה</w:t>
      </w:r>
      <w:r>
        <w:rPr>
          <w:rFonts w:ascii="FrankRuehl" w:hAnsi="FrankRuehl" w:cs="FrankRuehl"/>
          <w:sz w:val="28"/>
          <w:szCs w:val="28"/>
          <w:rtl/>
        </w:rPr>
        <w:t xml:space="preserve">טיעונים לעונש. </w:t>
      </w:r>
    </w:p>
    <w:p w14:paraId="6617A3A8"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33EE4716"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hint="cs"/>
          <w:sz w:val="28"/>
          <w:szCs w:val="28"/>
          <w:rtl/>
        </w:rPr>
        <w:t xml:space="preserve">הפער במסירת מידע עקבי מתחדד, לנוכח הודעת הנאשם במשטרה מיום </w:t>
      </w:r>
      <w:r>
        <w:rPr>
          <w:rFonts w:ascii="FrankRuehl" w:hAnsi="FrankRuehl" w:cs="FrankRuehl"/>
          <w:sz w:val="28"/>
          <w:szCs w:val="28"/>
          <w:rtl/>
        </w:rPr>
        <w:t>5.7.2020. שם מסר הנאשם כי מצוי בטיפול פסיכולוגי אחת לחודש וכן "הייתי אצל פסיכולוגיים והוצאתי פטור מצבא וזהו, ופשוט לא רוצה כלום מהמדינה, והיא יכולה רק לקחת", וכן הסביר כי בחר במודע שלא לנהוג כחוק ולא פעל להוציא היתר לשימוש קנבוס רפואי מכיוון שחשש מפגיעה ברישיון הנהיגה</w:t>
      </w:r>
      <w:r>
        <w:rPr>
          <w:rFonts w:ascii="FrankRuehl" w:hAnsi="FrankRuehl" w:cs="FrankRuehl" w:hint="cs"/>
          <w:sz w:val="28"/>
          <w:szCs w:val="28"/>
          <w:rtl/>
        </w:rPr>
        <w:t>, פשוט כך.</w:t>
      </w:r>
      <w:r>
        <w:rPr>
          <w:rFonts w:ascii="FrankRuehl" w:hAnsi="FrankRuehl" w:cs="FrankRuehl"/>
          <w:sz w:val="28"/>
          <w:szCs w:val="28"/>
          <w:rtl/>
        </w:rPr>
        <w:t xml:space="preserve"> (</w:t>
      </w:r>
      <w:r>
        <w:rPr>
          <w:rFonts w:ascii="Miriam" w:hAnsi="Miriam" w:cs="Miriam"/>
          <w:rtl/>
        </w:rPr>
        <w:t>טענ/2 שורות 9-5; שורות 82-80</w:t>
      </w:r>
      <w:r>
        <w:rPr>
          <w:rFonts w:ascii="FrankRuehl" w:hAnsi="FrankRuehl" w:cs="FrankRuehl"/>
          <w:sz w:val="28"/>
          <w:szCs w:val="28"/>
          <w:rtl/>
        </w:rPr>
        <w:t>).</w:t>
      </w:r>
    </w:p>
    <w:p w14:paraId="5729F5C6" w14:textId="77777777" w:rsidR="008C50BA" w:rsidRPr="00553481" w:rsidRDefault="008C50BA" w:rsidP="008C50BA">
      <w:pPr>
        <w:pStyle w:val="aa"/>
        <w:rPr>
          <w:rFonts w:ascii="FrankRuehl" w:hAnsi="FrankRuehl" w:cs="FrankRuehl"/>
          <w:sz w:val="28"/>
          <w:szCs w:val="28"/>
          <w:rtl/>
        </w:rPr>
      </w:pPr>
    </w:p>
    <w:p w14:paraId="7FC6A483"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sidRPr="00514C67">
        <w:rPr>
          <w:rFonts w:ascii="FrankRuehl" w:hAnsi="FrankRuehl" w:cs="FrankRuehl"/>
          <w:sz w:val="28"/>
          <w:szCs w:val="28"/>
          <w:rtl/>
        </w:rPr>
        <w:t xml:space="preserve">גם כשבוחנים את התנהגותו של הנאשם על פני ציר הזמן ניכר כי ההליכים המשפטיים לא משיגים את אפקט ההתרעה. נזכיר, כי את העבירה מושא תיק הצירוף שעניינה הפרת צו שיפוטי, ביצע הנאשם לאחר שנחקר במשטרה באזהרה הן בגין גידול סמים והן בגין שימוש ברכב ללא רשות, ולאחר שהוגשו נגדו שני כתבי אישום, ולאחר שכבר הוכר על ידי משרד הביטחון כפוסט טראומטי. </w:t>
      </w:r>
      <w:r w:rsidRPr="00514C67">
        <w:rPr>
          <w:rFonts w:ascii="FrankRuehl" w:hAnsi="FrankRuehl" w:cs="FrankRuehl" w:hint="cs"/>
          <w:sz w:val="28"/>
          <w:szCs w:val="28"/>
          <w:rtl/>
        </w:rPr>
        <w:t>וממילא היום הנאשם מכחיש את מעורבותו בביצוע עבירת השבל"ר (</w:t>
      </w:r>
      <w:r w:rsidRPr="00514C67">
        <w:rPr>
          <w:rFonts w:ascii="Miriam" w:hAnsi="Miriam" w:cs="Miriam"/>
          <w:rtl/>
        </w:rPr>
        <w:t>טעת/1</w:t>
      </w:r>
      <w:r w:rsidRPr="00514C67">
        <w:rPr>
          <w:rFonts w:ascii="FrankRuehl" w:hAnsi="FrankRuehl" w:cs="FrankRuehl" w:hint="cs"/>
          <w:sz w:val="28"/>
          <w:szCs w:val="28"/>
          <w:rtl/>
        </w:rPr>
        <w:t>) בה הודה</w:t>
      </w:r>
      <w:r>
        <w:rPr>
          <w:rFonts w:ascii="FrankRuehl" w:hAnsi="FrankRuehl" w:cs="FrankRuehl" w:hint="cs"/>
          <w:sz w:val="28"/>
          <w:szCs w:val="28"/>
          <w:rtl/>
        </w:rPr>
        <w:t xml:space="preserve">, אז </w:t>
      </w:r>
      <w:r w:rsidRPr="00514C67">
        <w:rPr>
          <w:rFonts w:ascii="FrankRuehl" w:hAnsi="FrankRuehl" w:cs="FrankRuehl" w:hint="cs"/>
          <w:sz w:val="28"/>
          <w:szCs w:val="28"/>
          <w:rtl/>
        </w:rPr>
        <w:t xml:space="preserve">המאשימה ובית המשפט נהגו בו במידת הרחמים שעה שנמנעו מהרשעתו. </w:t>
      </w:r>
      <w:r>
        <w:rPr>
          <w:rFonts w:ascii="FrankRuehl" w:hAnsi="FrankRuehl" w:cs="FrankRuehl" w:hint="cs"/>
          <w:sz w:val="28"/>
          <w:szCs w:val="28"/>
          <w:rtl/>
        </w:rPr>
        <w:t xml:space="preserve">גם ביחס להליך זה ועל אף שלא מוצא עמו הדין, מלא הנאשם טענות כרימון. </w:t>
      </w:r>
    </w:p>
    <w:p w14:paraId="02A231E6" w14:textId="77777777" w:rsidR="008C50BA" w:rsidRPr="00514C67" w:rsidRDefault="008C50BA" w:rsidP="008C50BA">
      <w:pPr>
        <w:pStyle w:val="aa"/>
        <w:rPr>
          <w:rFonts w:ascii="FrankRuehl" w:hAnsi="FrankRuehl" w:cs="FrankRuehl"/>
          <w:sz w:val="28"/>
          <w:szCs w:val="28"/>
          <w:rtl/>
        </w:rPr>
      </w:pPr>
    </w:p>
    <w:p w14:paraId="23610538"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לא זו אף זו, הנאשם סיפר כי ישנם חילוקי דעות עם בת הדודה באשר לסוגיות ירושה, לאחר מרמה של בני משפחתו, וסוגיה זו עודנה מתבררת בהליכים משפטיים. </w:t>
      </w:r>
      <w:r>
        <w:rPr>
          <w:rFonts w:ascii="FrankRuehl" w:hAnsi="FrankRuehl" w:cs="FrankRuehl" w:hint="cs"/>
          <w:sz w:val="28"/>
          <w:szCs w:val="28"/>
          <w:rtl/>
        </w:rPr>
        <w:t>א</w:t>
      </w:r>
      <w:r>
        <w:rPr>
          <w:rFonts w:ascii="FrankRuehl" w:hAnsi="FrankRuehl" w:cs="FrankRuehl"/>
          <w:sz w:val="28"/>
          <w:szCs w:val="28"/>
          <w:rtl/>
        </w:rPr>
        <w:t xml:space="preserve">ין כל ביסוס לטענה כי הסכסוך אכן שקט וגם המידע בהקשר זה מבוסס אך ורק על </w:t>
      </w:r>
      <w:r>
        <w:rPr>
          <w:rFonts w:ascii="FrankRuehl" w:hAnsi="FrankRuehl" w:cs="FrankRuehl" w:hint="cs"/>
          <w:sz w:val="28"/>
          <w:szCs w:val="28"/>
          <w:rtl/>
        </w:rPr>
        <w:t>דברי הנאשם</w:t>
      </w:r>
      <w:r>
        <w:rPr>
          <w:rFonts w:ascii="FrankRuehl" w:hAnsi="FrankRuehl" w:cs="FrankRuehl"/>
          <w:sz w:val="28"/>
          <w:szCs w:val="28"/>
          <w:rtl/>
        </w:rPr>
        <w:t xml:space="preserve">. </w:t>
      </w:r>
      <w:r>
        <w:rPr>
          <w:rFonts w:ascii="FrankRuehl" w:hAnsi="FrankRuehl" w:cs="FrankRuehl" w:hint="cs"/>
          <w:sz w:val="28"/>
          <w:szCs w:val="28"/>
          <w:rtl/>
        </w:rPr>
        <w:t xml:space="preserve">אף </w:t>
      </w:r>
      <w:r>
        <w:rPr>
          <w:rFonts w:ascii="FrankRuehl" w:hAnsi="FrankRuehl" w:cs="FrankRuehl"/>
          <w:sz w:val="28"/>
          <w:szCs w:val="28"/>
          <w:rtl/>
        </w:rPr>
        <w:t xml:space="preserve">הצהרתו של הנאשם לפיו חל שיפור בקשר עם אביו מאז ההכרה במצבו מצד משרד הביטחון, אינה נשענת על אינפורמציה חיצונית לנאשם. </w:t>
      </w:r>
    </w:p>
    <w:p w14:paraId="5C1205D1"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3A7616EA"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לכך אוסיף כי המוטיבציה שהביע הנאשם בפני גורמי הטיפול בשנים האחרונות להשתקם, ללמוד ולהתקדם מבחינה תעסוקתית ראויה להערכה. אולם, על אף ההכרה של משרד הביטחון והמעטפת הטיפולית שקיבל</w:t>
      </w:r>
      <w:r>
        <w:rPr>
          <w:rFonts w:ascii="FrankRuehl" w:hAnsi="FrankRuehl" w:cs="FrankRuehl" w:hint="cs"/>
          <w:sz w:val="28"/>
          <w:szCs w:val="28"/>
          <w:rtl/>
        </w:rPr>
        <w:t xml:space="preserve">, </w:t>
      </w:r>
      <w:r>
        <w:rPr>
          <w:rFonts w:ascii="FrankRuehl" w:hAnsi="FrankRuehl" w:cs="FrankRuehl"/>
          <w:sz w:val="28"/>
          <w:szCs w:val="28"/>
          <w:rtl/>
        </w:rPr>
        <w:t>אין שינוי ממשי</w:t>
      </w:r>
      <w:r>
        <w:rPr>
          <w:rFonts w:ascii="FrankRuehl" w:hAnsi="FrankRuehl" w:cs="FrankRuehl" w:hint="cs"/>
          <w:sz w:val="28"/>
          <w:szCs w:val="28"/>
          <w:rtl/>
        </w:rPr>
        <w:t xml:space="preserve"> בהתנהלותו של הנאשם</w:t>
      </w:r>
      <w:r>
        <w:rPr>
          <w:rFonts w:ascii="FrankRuehl" w:hAnsi="FrankRuehl" w:cs="FrankRuehl"/>
          <w:sz w:val="28"/>
          <w:szCs w:val="28"/>
          <w:rtl/>
        </w:rPr>
        <w:t>, גם כיום הוא חסר תעסוקה ולא השתלב במסגרת לימודית</w:t>
      </w:r>
      <w:r>
        <w:rPr>
          <w:rFonts w:ascii="FrankRuehl" w:hAnsi="FrankRuehl" w:cs="FrankRuehl" w:hint="cs"/>
          <w:sz w:val="28"/>
          <w:szCs w:val="28"/>
          <w:rtl/>
        </w:rPr>
        <w:t>, וההטבה על שיפור במצבו מבוססת אך ורק על מידע שנמסר מפיו</w:t>
      </w:r>
      <w:r>
        <w:rPr>
          <w:rFonts w:ascii="FrankRuehl" w:hAnsi="FrankRuehl" w:cs="FrankRuehl"/>
          <w:sz w:val="28"/>
          <w:szCs w:val="28"/>
          <w:rtl/>
        </w:rPr>
        <w:t>. מכאן, שלא ברור כלל ועיקר, כיצד הרשעה בדין, להבדיל מקביעה כי ביצע את העבירות המיוחסות לו, תפגע בעתידו או בשיקומו</w:t>
      </w:r>
      <w:r>
        <w:rPr>
          <w:rFonts w:ascii="FrankRuehl" w:hAnsi="FrankRuehl" w:cs="FrankRuehl" w:hint="cs"/>
          <w:sz w:val="28"/>
          <w:szCs w:val="28"/>
          <w:rtl/>
        </w:rPr>
        <w:t xml:space="preserve">. ובהקשר זה אינני סבורה כי </w:t>
      </w:r>
      <w:r>
        <w:rPr>
          <w:rFonts w:ascii="FrankRuehl" w:hAnsi="FrankRuehl" w:cs="FrankRuehl"/>
          <w:sz w:val="28"/>
          <w:szCs w:val="28"/>
          <w:rtl/>
        </w:rPr>
        <w:t>די באמירה כללית לפיה "הרשעה תהווה אבן נגף</w:t>
      </w:r>
      <w:r>
        <w:rPr>
          <w:rFonts w:ascii="FrankRuehl" w:hAnsi="FrankRuehl" w:cs="FrankRuehl" w:hint="cs"/>
          <w:sz w:val="28"/>
          <w:szCs w:val="28"/>
          <w:rtl/>
        </w:rPr>
        <w:t>"</w:t>
      </w:r>
      <w:r>
        <w:rPr>
          <w:rFonts w:ascii="FrankRuehl" w:hAnsi="FrankRuehl" w:cs="FrankRuehl"/>
          <w:sz w:val="28"/>
          <w:szCs w:val="28"/>
          <w:rtl/>
        </w:rPr>
        <w:t xml:space="preserve">. </w:t>
      </w:r>
    </w:p>
    <w:p w14:paraId="5F59EFBD" w14:textId="77777777" w:rsidR="008C50BA" w:rsidRPr="00584CA6" w:rsidRDefault="008C50BA" w:rsidP="008C50BA">
      <w:pPr>
        <w:pStyle w:val="aa"/>
        <w:rPr>
          <w:rFonts w:ascii="FrankRuehl" w:hAnsi="FrankRuehl" w:cs="FrankRuehl"/>
          <w:sz w:val="28"/>
          <w:szCs w:val="28"/>
          <w:rtl/>
        </w:rPr>
      </w:pPr>
    </w:p>
    <w:p w14:paraId="184F129C"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לאור כל אלו, ועל אף שאני שותפה לכאב העצום עמו מתמודד הנאשם, </w:t>
      </w:r>
      <w:r>
        <w:rPr>
          <w:rFonts w:ascii="FrankRuehl" w:hAnsi="FrankRuehl" w:cs="FrankRuehl" w:hint="cs"/>
          <w:sz w:val="28"/>
          <w:szCs w:val="28"/>
          <w:rtl/>
        </w:rPr>
        <w:t xml:space="preserve">אינני שותפה להערכת </w:t>
      </w:r>
      <w:r>
        <w:rPr>
          <w:rFonts w:ascii="FrankRuehl" w:hAnsi="FrankRuehl" w:cs="FrankRuehl"/>
          <w:sz w:val="28"/>
          <w:szCs w:val="28"/>
          <w:rtl/>
        </w:rPr>
        <w:t>שירות המבחן לפיה הסיכון להישנות עבירות נמוך</w:t>
      </w:r>
      <w:r>
        <w:rPr>
          <w:rFonts w:ascii="FrankRuehl" w:hAnsi="FrankRuehl" w:cs="FrankRuehl" w:hint="cs"/>
          <w:sz w:val="28"/>
          <w:szCs w:val="28"/>
          <w:rtl/>
        </w:rPr>
        <w:t>, ו</w:t>
      </w:r>
      <w:r>
        <w:rPr>
          <w:rFonts w:ascii="FrankRuehl" w:hAnsi="FrankRuehl" w:cs="FrankRuehl"/>
          <w:sz w:val="28"/>
          <w:szCs w:val="28"/>
          <w:rtl/>
        </w:rPr>
        <w:t xml:space="preserve">ניכר כי רב הגלוי על הנסתר בהקשר למצבו העדכני של הנאשם, בדגש על בעיית ההתמכרות, ולא ניתן לעצום עין מההתנהגות המתמשכת של הנאשם אשר מצביעה על זלזול בחוק ובהחלטות בית המשפט. </w:t>
      </w:r>
    </w:p>
    <w:p w14:paraId="2C89A232" w14:textId="77777777" w:rsidR="008C50BA" w:rsidRPr="00B2060D" w:rsidRDefault="008C50BA" w:rsidP="008C50BA">
      <w:pPr>
        <w:pStyle w:val="aa"/>
        <w:tabs>
          <w:tab w:val="left" w:pos="-58"/>
        </w:tabs>
        <w:spacing w:before="100" w:beforeAutospacing="1" w:after="120"/>
        <w:ind w:left="-58"/>
        <w:jc w:val="both"/>
        <w:rPr>
          <w:rFonts w:ascii="FrankRuehl" w:hAnsi="FrankRuehl" w:cs="FrankRuehl"/>
          <w:sz w:val="28"/>
          <w:szCs w:val="28"/>
        </w:rPr>
      </w:pPr>
    </w:p>
    <w:p w14:paraId="3720227E"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המלצת שירות המבחן היא המלצה חשובה, אך </w:t>
      </w:r>
      <w:r>
        <w:rPr>
          <w:rFonts w:ascii="David" w:hAnsi="David" w:cs="FrankRuehl"/>
          <w:sz w:val="28"/>
          <w:szCs w:val="28"/>
          <w:rtl/>
        </w:rPr>
        <w:t>השיקולים לאורם פועל שירות המבחן במלאכת גיבוש המלצותיו, אינם בהכרח חופפים באופן מלא למגוון השיקולים שבית המשפט נדרש לאזן ביניהם בגזירת העונש</w:t>
      </w:r>
      <w:r>
        <w:rPr>
          <w:rFonts w:ascii="Corbel" w:hAnsi="Corbel" w:cs="FrankRuehl"/>
          <w:sz w:val="28"/>
          <w:szCs w:val="28"/>
          <w:rtl/>
        </w:rPr>
        <w:t>. המלצת שירות המבחן כשמה כן היא – המלצה ואין באמור בה לכבול את ידי בית המשפט (</w:t>
      </w:r>
      <w:r>
        <w:rPr>
          <w:rFonts w:ascii="David" w:hAnsi="David" w:cs="FrankRuehl"/>
          <w:sz w:val="28"/>
          <w:szCs w:val="28"/>
          <w:rtl/>
        </w:rPr>
        <w:t xml:space="preserve">ראו: </w:t>
      </w:r>
      <w:hyperlink r:id="rId32" w:history="1">
        <w:r w:rsidR="00AF1257" w:rsidRPr="00AF1257">
          <w:rPr>
            <w:rFonts w:ascii="David" w:hAnsi="David" w:cs="FrankRuehl"/>
            <w:color w:val="0000FF"/>
            <w:sz w:val="28"/>
            <w:szCs w:val="28"/>
            <w:u w:val="single"/>
            <w:rtl/>
          </w:rPr>
          <w:t>רע"פ 1756/16</w:t>
        </w:r>
      </w:hyperlink>
      <w:r>
        <w:rPr>
          <w:rFonts w:ascii="David" w:hAnsi="David" w:cs="FrankRuehl"/>
          <w:sz w:val="28"/>
          <w:szCs w:val="28"/>
          <w:rtl/>
        </w:rPr>
        <w:t xml:space="preserve"> </w:t>
      </w:r>
      <w:r>
        <w:rPr>
          <w:rFonts w:ascii="David" w:hAnsi="David" w:cs="Miriam"/>
          <w:rtl/>
        </w:rPr>
        <w:t>ימיני נ' מדינת ישראל</w:t>
      </w:r>
      <w:r>
        <w:rPr>
          <w:rFonts w:ascii="David" w:hAnsi="David" w:cs="FrankRuehl"/>
          <w:sz w:val="28"/>
          <w:szCs w:val="28"/>
          <w:rtl/>
        </w:rPr>
        <w:t xml:space="preserve"> פסקה 11 (16.3.2016); </w:t>
      </w:r>
      <w:hyperlink r:id="rId33" w:history="1">
        <w:r w:rsidR="00AF1257" w:rsidRPr="00AF1257">
          <w:rPr>
            <w:rFonts w:ascii="David" w:hAnsi="David" w:cs="FrankRuehl"/>
            <w:color w:val="0000FF"/>
            <w:sz w:val="28"/>
            <w:szCs w:val="28"/>
            <w:u w:val="single"/>
            <w:rtl/>
          </w:rPr>
          <w:t>רע"פ 10904/04</w:t>
        </w:r>
      </w:hyperlink>
      <w:r>
        <w:rPr>
          <w:rFonts w:ascii="David" w:hAnsi="David" w:cs="FrankRuehl"/>
          <w:sz w:val="28"/>
          <w:szCs w:val="28"/>
          <w:rtl/>
        </w:rPr>
        <w:t xml:space="preserve"> </w:t>
      </w:r>
      <w:r>
        <w:rPr>
          <w:rFonts w:ascii="David" w:hAnsi="David" w:cs="Miriam"/>
          <w:rtl/>
        </w:rPr>
        <w:t>מיארה נ' מדינת ישראל</w:t>
      </w:r>
      <w:r>
        <w:rPr>
          <w:rFonts w:ascii="David" w:hAnsi="David" w:cs="FrankRuehl"/>
          <w:sz w:val="28"/>
          <w:szCs w:val="28"/>
          <w:rtl/>
        </w:rPr>
        <w:t xml:space="preserve"> פסקה 6 (9.12.2004); </w:t>
      </w:r>
      <w:hyperlink r:id="rId34" w:history="1">
        <w:r w:rsidR="00AF1257" w:rsidRPr="00AF1257">
          <w:rPr>
            <w:rFonts w:ascii="David" w:hAnsi="David" w:cs="FrankRuehl"/>
            <w:color w:val="0000FF"/>
            <w:sz w:val="28"/>
            <w:szCs w:val="28"/>
            <w:u w:val="single"/>
            <w:rtl/>
          </w:rPr>
          <w:t>רע"פ 6908/04</w:t>
        </w:r>
      </w:hyperlink>
      <w:r>
        <w:rPr>
          <w:rFonts w:ascii="David" w:hAnsi="David" w:cs="FrankRuehl"/>
          <w:sz w:val="28"/>
          <w:szCs w:val="28"/>
          <w:rtl/>
        </w:rPr>
        <w:t xml:space="preserve"> </w:t>
      </w:r>
      <w:r>
        <w:rPr>
          <w:rFonts w:ascii="David" w:hAnsi="David" w:cs="Miriam"/>
          <w:rtl/>
        </w:rPr>
        <w:t>איבגי נ' מדינת ישראל</w:t>
      </w:r>
      <w:r>
        <w:rPr>
          <w:rFonts w:ascii="David" w:hAnsi="David" w:cs="FrankRuehl"/>
          <w:sz w:val="28"/>
          <w:szCs w:val="28"/>
          <w:rtl/>
        </w:rPr>
        <w:t xml:space="preserve"> (27.7.2004); </w:t>
      </w:r>
      <w:hyperlink r:id="rId35" w:history="1">
        <w:r w:rsidR="00AF1257" w:rsidRPr="00AF1257">
          <w:rPr>
            <w:rFonts w:ascii="David" w:hAnsi="David" w:cs="FrankRuehl"/>
            <w:color w:val="0000FF"/>
            <w:sz w:val="28"/>
            <w:szCs w:val="28"/>
            <w:u w:val="single"/>
            <w:rtl/>
          </w:rPr>
          <w:t>ע"פ 2048/18</w:t>
        </w:r>
      </w:hyperlink>
      <w:r>
        <w:rPr>
          <w:rFonts w:ascii="David" w:hAnsi="David" w:cs="FrankRuehl"/>
          <w:sz w:val="28"/>
          <w:szCs w:val="28"/>
          <w:rtl/>
        </w:rPr>
        <w:t xml:space="preserve"> </w:t>
      </w:r>
      <w:r>
        <w:rPr>
          <w:rFonts w:ascii="David" w:hAnsi="David" w:cs="Miriam"/>
          <w:rtl/>
        </w:rPr>
        <w:t>פלוני נ' מדינת ישראל</w:t>
      </w:r>
      <w:r>
        <w:rPr>
          <w:rFonts w:ascii="David" w:hAnsi="David" w:cs="FrankRuehl"/>
          <w:sz w:val="28"/>
          <w:szCs w:val="28"/>
          <w:rtl/>
        </w:rPr>
        <w:t xml:space="preserve"> פסקה 13 (14.11.2018); </w:t>
      </w:r>
      <w:hyperlink r:id="rId36" w:history="1">
        <w:r w:rsidR="00AF1257" w:rsidRPr="00AF1257">
          <w:rPr>
            <w:rFonts w:ascii="David" w:hAnsi="David" w:cs="FrankRuehl"/>
            <w:color w:val="0000FF"/>
            <w:sz w:val="28"/>
            <w:szCs w:val="28"/>
            <w:u w:val="single"/>
            <w:rtl/>
          </w:rPr>
          <w:t>ע"פ 4472/16</w:t>
        </w:r>
      </w:hyperlink>
      <w:r>
        <w:rPr>
          <w:rFonts w:ascii="David" w:hAnsi="David" w:cs="FrankRuehl"/>
          <w:sz w:val="28"/>
          <w:szCs w:val="28"/>
          <w:rtl/>
        </w:rPr>
        <w:t xml:space="preserve"> </w:t>
      </w:r>
      <w:r>
        <w:rPr>
          <w:rFonts w:ascii="David" w:hAnsi="David" w:cs="Miriam"/>
          <w:rtl/>
        </w:rPr>
        <w:t>עווד נ' מדינת ישראל</w:t>
      </w:r>
      <w:r>
        <w:rPr>
          <w:rFonts w:ascii="David" w:hAnsi="David" w:cs="FrankRuehl"/>
          <w:sz w:val="28"/>
          <w:szCs w:val="28"/>
          <w:rtl/>
        </w:rPr>
        <w:t xml:space="preserve"> פסקה 7 (15.06.2016); </w:t>
      </w:r>
      <w:hyperlink r:id="rId37" w:history="1">
        <w:r w:rsidR="00AF1257" w:rsidRPr="00AF1257">
          <w:rPr>
            <w:rFonts w:ascii="David" w:hAnsi="David" w:cs="FrankRuehl"/>
            <w:color w:val="0000FF"/>
            <w:sz w:val="28"/>
            <w:szCs w:val="28"/>
            <w:u w:val="single"/>
            <w:rtl/>
          </w:rPr>
          <w:t>ע"פ 2015/13</w:t>
        </w:r>
      </w:hyperlink>
      <w:r>
        <w:rPr>
          <w:rFonts w:ascii="David" w:hAnsi="David" w:cs="FrankRuehl"/>
          <w:sz w:val="28"/>
          <w:szCs w:val="28"/>
          <w:rtl/>
        </w:rPr>
        <w:t xml:space="preserve"> </w:t>
      </w:r>
      <w:r>
        <w:rPr>
          <w:rFonts w:ascii="David" w:hAnsi="David" w:cs="Miriam"/>
          <w:rtl/>
        </w:rPr>
        <w:t>פלוני נ' מדינת ישראל</w:t>
      </w:r>
      <w:r>
        <w:rPr>
          <w:rFonts w:ascii="David" w:hAnsi="David" w:cs="FrankRuehl"/>
          <w:sz w:val="28"/>
          <w:szCs w:val="28"/>
          <w:rtl/>
        </w:rPr>
        <w:t xml:space="preserve"> פסקה 10 (5.8.2013)).</w:t>
      </w:r>
    </w:p>
    <w:p w14:paraId="66D81CCE"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0BD5ED4C" w14:textId="77777777" w:rsidR="008C50BA" w:rsidRPr="00B2060D" w:rsidRDefault="008C50BA" w:rsidP="008C50BA">
      <w:pPr>
        <w:pStyle w:val="aa"/>
        <w:numPr>
          <w:ilvl w:val="0"/>
          <w:numId w:val="1"/>
        </w:numPr>
        <w:tabs>
          <w:tab w:val="left" w:pos="-58"/>
        </w:tabs>
        <w:spacing w:before="100" w:beforeAutospacing="1" w:after="120" w:line="360" w:lineRule="auto"/>
        <w:ind w:left="-58" w:firstLine="0"/>
        <w:jc w:val="both"/>
        <w:rPr>
          <w:rFonts w:cs="FrankRuehl"/>
          <w:sz w:val="28"/>
          <w:szCs w:val="28"/>
        </w:rPr>
      </w:pPr>
      <w:r w:rsidRPr="00B2060D">
        <w:rPr>
          <w:rFonts w:ascii="FrankRuehl" w:hAnsi="FrankRuehl" w:cs="FrankRuehl"/>
          <w:sz w:val="28"/>
          <w:szCs w:val="28"/>
          <w:rtl/>
        </w:rPr>
        <w:t>להשלמת התמונה אומר כי עיינתי בפסיקה הרבה שהציגה ההגנה</w:t>
      </w:r>
      <w:r w:rsidRPr="00B2060D">
        <w:rPr>
          <w:rFonts w:ascii="FrankRuehl" w:hAnsi="FrankRuehl" w:cs="FrankRuehl" w:hint="cs"/>
          <w:sz w:val="28"/>
          <w:szCs w:val="28"/>
          <w:rtl/>
        </w:rPr>
        <w:t>, חלקה הוגשה לאחר הטיעון לעונש</w:t>
      </w:r>
      <w:r w:rsidRPr="00B2060D">
        <w:rPr>
          <w:rFonts w:ascii="FrankRuehl" w:hAnsi="FrankRuehl" w:cs="FrankRuehl"/>
          <w:sz w:val="28"/>
          <w:szCs w:val="28"/>
          <w:rtl/>
        </w:rPr>
        <w:t>, לא מצאתי כי ניתן לגזור ממנה גזירה שווה לעניינינו</w:t>
      </w:r>
      <w:r w:rsidRPr="00B2060D">
        <w:rPr>
          <w:rFonts w:cs="FrankRuehl" w:hint="cs"/>
          <w:sz w:val="28"/>
          <w:szCs w:val="28"/>
          <w:rtl/>
        </w:rPr>
        <w:t xml:space="preserve">, אלא שיש בפסקי הדין ללמד כי </w:t>
      </w:r>
      <w:r w:rsidRPr="00B2060D">
        <w:rPr>
          <w:rFonts w:cs="FrankRuehl"/>
          <w:sz w:val="28"/>
          <w:szCs w:val="28"/>
          <w:rtl/>
        </w:rPr>
        <w:t xml:space="preserve">הענישה היא לעולם אינדיבידואלית וכל מקרה נבחן לגופו תוך עריכת איזונים מתאימים. </w:t>
      </w:r>
      <w:r w:rsidRPr="00B2060D">
        <w:rPr>
          <w:rFonts w:cs="FrankRuehl" w:hint="cs"/>
          <w:sz w:val="28"/>
          <w:szCs w:val="28"/>
          <w:rtl/>
        </w:rPr>
        <w:t xml:space="preserve">וכאמור, בענייננו לא שוכנעתי כי מתקיימים </w:t>
      </w:r>
      <w:r w:rsidRPr="00B2060D">
        <w:rPr>
          <w:rFonts w:cs="FrankRuehl"/>
          <w:sz w:val="28"/>
          <w:szCs w:val="28"/>
          <w:rtl/>
        </w:rPr>
        <w:t>הקריטריונים שנקבעו בפסיקה שיובילו להימנעות מהרשעה</w:t>
      </w:r>
      <w:r>
        <w:rPr>
          <w:rFonts w:cs="FrankRuehl" w:hint="cs"/>
          <w:sz w:val="28"/>
          <w:szCs w:val="28"/>
          <w:rtl/>
        </w:rPr>
        <w:t xml:space="preserve">, </w:t>
      </w:r>
      <w:r w:rsidRPr="00B2060D">
        <w:rPr>
          <w:rFonts w:cs="FrankRuehl"/>
          <w:sz w:val="28"/>
          <w:szCs w:val="28"/>
          <w:rtl/>
        </w:rPr>
        <w:t xml:space="preserve">וכל </w:t>
      </w:r>
      <w:r>
        <w:rPr>
          <w:rFonts w:cs="FrankRuehl" w:hint="cs"/>
          <w:sz w:val="28"/>
          <w:szCs w:val="28"/>
          <w:rtl/>
        </w:rPr>
        <w:t>ה</w:t>
      </w:r>
      <w:r w:rsidRPr="00B2060D">
        <w:rPr>
          <w:rFonts w:cs="FrankRuehl"/>
          <w:sz w:val="28"/>
          <w:szCs w:val="28"/>
          <w:rtl/>
        </w:rPr>
        <w:t>טענות ביחס לפגיעה תיאורטית</w:t>
      </w:r>
      <w:r>
        <w:rPr>
          <w:rFonts w:cs="FrankRuehl" w:hint="cs"/>
          <w:sz w:val="28"/>
          <w:szCs w:val="28"/>
          <w:rtl/>
        </w:rPr>
        <w:t>,</w:t>
      </w:r>
      <w:r w:rsidRPr="00B2060D">
        <w:rPr>
          <w:rFonts w:cs="FrankRuehl"/>
          <w:sz w:val="28"/>
          <w:szCs w:val="28"/>
          <w:rtl/>
        </w:rPr>
        <w:t xml:space="preserve"> לנזק עתידי או לפגיעה בדימוי העצמי אינן באות בגדרי הפסיקה הרווחת. יתר על כן, קבלת </w:t>
      </w:r>
      <w:r w:rsidRPr="00B2060D">
        <w:rPr>
          <w:rFonts w:cs="FrankRuehl" w:hint="cs"/>
          <w:sz w:val="28"/>
          <w:szCs w:val="28"/>
          <w:rtl/>
        </w:rPr>
        <w:t xml:space="preserve">עמדת </w:t>
      </w:r>
      <w:r w:rsidRPr="00B2060D">
        <w:rPr>
          <w:rFonts w:cs="FrankRuehl"/>
          <w:sz w:val="28"/>
          <w:szCs w:val="28"/>
          <w:rtl/>
        </w:rPr>
        <w:t xml:space="preserve">ההגנה והמלצת שירות המבחן, משמעה </w:t>
      </w:r>
      <w:r w:rsidRPr="00B2060D">
        <w:rPr>
          <w:rFonts w:cs="FrankRuehl" w:hint="cs"/>
          <w:sz w:val="28"/>
          <w:szCs w:val="28"/>
          <w:rtl/>
        </w:rPr>
        <w:t>לא אחרת מ</w:t>
      </w:r>
      <w:r w:rsidRPr="00B2060D">
        <w:rPr>
          <w:rFonts w:cs="FrankRuehl"/>
          <w:sz w:val="28"/>
          <w:szCs w:val="28"/>
          <w:rtl/>
        </w:rPr>
        <w:t xml:space="preserve">ביטול הלכת כתב, תוך וויתור על הדרישה להוכחת קיומו של נזק קונקרטי. </w:t>
      </w:r>
      <w:r>
        <w:rPr>
          <w:rFonts w:cs="FrankRuehl" w:hint="cs"/>
          <w:sz w:val="28"/>
          <w:szCs w:val="28"/>
          <w:rtl/>
        </w:rPr>
        <w:t xml:space="preserve">לעניות דעתי, </w:t>
      </w:r>
      <w:r w:rsidRPr="00B2060D">
        <w:rPr>
          <w:rFonts w:cs="FrankRuehl"/>
          <w:sz w:val="28"/>
          <w:szCs w:val="28"/>
          <w:rtl/>
        </w:rPr>
        <w:t xml:space="preserve">סיום </w:t>
      </w:r>
      <w:r w:rsidRPr="00B2060D">
        <w:rPr>
          <w:rFonts w:cs="FrankRuehl" w:hint="cs"/>
          <w:sz w:val="28"/>
          <w:szCs w:val="28"/>
          <w:rtl/>
        </w:rPr>
        <w:t>ה</w:t>
      </w:r>
      <w:r w:rsidRPr="00B2060D">
        <w:rPr>
          <w:rFonts w:cs="FrankRuehl"/>
          <w:sz w:val="28"/>
          <w:szCs w:val="28"/>
          <w:rtl/>
        </w:rPr>
        <w:t xml:space="preserve">הליך </w:t>
      </w:r>
      <w:r>
        <w:rPr>
          <w:rFonts w:cs="FrankRuehl" w:hint="cs"/>
          <w:sz w:val="28"/>
          <w:szCs w:val="28"/>
          <w:rtl/>
        </w:rPr>
        <w:t xml:space="preserve">דנן </w:t>
      </w:r>
      <w:r w:rsidRPr="00B2060D">
        <w:rPr>
          <w:rFonts w:cs="FrankRuehl"/>
          <w:sz w:val="28"/>
          <w:szCs w:val="28"/>
          <w:rtl/>
        </w:rPr>
        <w:t xml:space="preserve">ללא הרשעה, יש בו להחטיא את מטרות הענישה ולהביא לזילות בסוגיית אי ההרשעה, דבר שהפסיקה והשכל הישר מחייבים למנוע.  </w:t>
      </w:r>
    </w:p>
    <w:p w14:paraId="28FD23A6" w14:textId="77777777" w:rsidR="008C50BA" w:rsidRPr="00584CA6" w:rsidRDefault="008C50BA" w:rsidP="008C50BA">
      <w:pPr>
        <w:pStyle w:val="aa"/>
        <w:rPr>
          <w:rFonts w:cs="FrankRuehl"/>
          <w:sz w:val="28"/>
          <w:szCs w:val="28"/>
          <w:rtl/>
        </w:rPr>
      </w:pPr>
    </w:p>
    <w:p w14:paraId="124D6323" w14:textId="77777777" w:rsidR="008C50BA" w:rsidRDefault="008C50BA" w:rsidP="008C50BA">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תוצאה </w:t>
      </w:r>
    </w:p>
    <w:p w14:paraId="3DE0E24C" w14:textId="77777777" w:rsidR="008C50BA" w:rsidRDefault="008C50BA" w:rsidP="008C50BA">
      <w:pPr>
        <w:pStyle w:val="aa"/>
        <w:tabs>
          <w:tab w:val="left" w:pos="-58"/>
        </w:tabs>
        <w:spacing w:before="100" w:beforeAutospacing="1" w:after="120"/>
        <w:ind w:left="-58"/>
        <w:jc w:val="both"/>
        <w:rPr>
          <w:rFonts w:ascii="FrankRuehl" w:hAnsi="FrankRuehl" w:cs="FrankRuehl"/>
          <w:sz w:val="28"/>
          <w:szCs w:val="28"/>
        </w:rPr>
      </w:pPr>
    </w:p>
    <w:p w14:paraId="77565A5E" w14:textId="77777777" w:rsidR="008C50BA" w:rsidRDefault="008C50BA" w:rsidP="008C50BA">
      <w:pPr>
        <w:pStyle w:val="aa"/>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לנוכח האמור ובאיזון בין הנסיבות לזכותו של הנאשם לבין הנסיבות העומדות לחובתו, אני גוזרת על הנאשם את העונשים הבאים: </w:t>
      </w:r>
    </w:p>
    <w:p w14:paraId="46D5C368" w14:textId="77777777" w:rsidR="008C50BA" w:rsidRDefault="008C50BA" w:rsidP="008C50BA">
      <w:pPr>
        <w:pStyle w:val="aa"/>
        <w:numPr>
          <w:ilvl w:val="0"/>
          <w:numId w:val="2"/>
        </w:numPr>
        <w:spacing w:line="360" w:lineRule="auto"/>
        <w:jc w:val="both"/>
        <w:rPr>
          <w:rFonts w:ascii="FrankRuehl" w:hAnsi="FrankRuehl" w:cs="FrankRuehl"/>
          <w:sz w:val="28"/>
          <w:szCs w:val="28"/>
        </w:rPr>
      </w:pPr>
      <w:r>
        <w:rPr>
          <w:rFonts w:ascii="FrankRuehl" w:hAnsi="FrankRuehl" w:cs="FrankRuehl"/>
          <w:sz w:val="28"/>
          <w:szCs w:val="28"/>
          <w:rtl/>
        </w:rPr>
        <w:t xml:space="preserve">4 חודשי מאסר אותם לא ירצה הנאשם אלא אם יעבור בתוך שלוש שנים עבירת סמים מסוג פשע, והפרת צווים שיפוטיים.  </w:t>
      </w:r>
    </w:p>
    <w:p w14:paraId="11B63EFB" w14:textId="77777777" w:rsidR="008C50BA" w:rsidRDefault="008C50BA" w:rsidP="008C50BA">
      <w:pPr>
        <w:pStyle w:val="aa"/>
        <w:numPr>
          <w:ilvl w:val="0"/>
          <w:numId w:val="2"/>
        </w:numPr>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הנאשם י</w:t>
      </w:r>
      <w:r>
        <w:rPr>
          <w:rFonts w:ascii="FrankRuehl" w:hAnsi="FrankRuehl" w:cs="FrankRuehl" w:hint="cs"/>
          <w:sz w:val="28"/>
          <w:szCs w:val="28"/>
          <w:rtl/>
        </w:rPr>
        <w:t>י</w:t>
      </w:r>
      <w:r>
        <w:rPr>
          <w:rFonts w:ascii="FrankRuehl" w:hAnsi="FrankRuehl" w:cs="FrankRuehl"/>
          <w:sz w:val="28"/>
          <w:szCs w:val="28"/>
          <w:rtl/>
        </w:rPr>
        <w:t xml:space="preserve">תן התחייבות בסך 3,000 ₪ וזאת למשך 3 שנים שלא </w:t>
      </w:r>
      <w:r>
        <w:rPr>
          <w:rFonts w:ascii="FrankRuehl" w:hAnsi="FrankRuehl" w:cs="FrankRuehl" w:hint="cs"/>
          <w:sz w:val="28"/>
          <w:szCs w:val="28"/>
          <w:rtl/>
        </w:rPr>
        <w:t>י</w:t>
      </w:r>
      <w:r>
        <w:rPr>
          <w:rFonts w:ascii="FrankRuehl" w:hAnsi="FrankRuehl" w:cs="FrankRuehl"/>
          <w:sz w:val="28"/>
          <w:szCs w:val="28"/>
          <w:rtl/>
        </w:rPr>
        <w:t xml:space="preserve">עבור עבירות סמים מסוג פשע, והפרות צווים שיפוטיים. הנאשם יצהיר על התחייבותו עוד היום אם לא כן יאסר למשך 5 ימים. </w:t>
      </w:r>
    </w:p>
    <w:p w14:paraId="179AE0A1" w14:textId="77777777" w:rsidR="008C50BA" w:rsidRDefault="008C50BA" w:rsidP="008C50BA">
      <w:pPr>
        <w:pStyle w:val="aa"/>
        <w:numPr>
          <w:ilvl w:val="0"/>
          <w:numId w:val="2"/>
        </w:numPr>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אני פוסלת את הנאשם מלקבל או להחזיק רישיון נהיגה, </w:t>
      </w:r>
      <w:r>
        <w:rPr>
          <w:rFonts w:ascii="FrankRuehl" w:hAnsi="FrankRuehl" w:cs="FrankRuehl" w:hint="cs"/>
          <w:sz w:val="28"/>
          <w:szCs w:val="28"/>
          <w:rtl/>
        </w:rPr>
        <w:t xml:space="preserve">למשך 6 חודשים, </w:t>
      </w:r>
      <w:r>
        <w:rPr>
          <w:rFonts w:ascii="FrankRuehl" w:hAnsi="FrankRuehl" w:cs="FrankRuehl"/>
          <w:sz w:val="28"/>
          <w:szCs w:val="28"/>
          <w:rtl/>
        </w:rPr>
        <w:t>אולם הנאשם לא י</w:t>
      </w:r>
      <w:r>
        <w:rPr>
          <w:rFonts w:ascii="FrankRuehl" w:hAnsi="FrankRuehl" w:cs="FrankRuehl" w:hint="cs"/>
          <w:sz w:val="28"/>
          <w:szCs w:val="28"/>
          <w:rtl/>
        </w:rPr>
        <w:t>י</w:t>
      </w:r>
      <w:r>
        <w:rPr>
          <w:rFonts w:ascii="FrankRuehl" w:hAnsi="FrankRuehl" w:cs="FrankRuehl"/>
          <w:sz w:val="28"/>
          <w:szCs w:val="28"/>
          <w:rtl/>
        </w:rPr>
        <w:t xml:space="preserve">שא בעונש זה, אלא אם יעבור בתוך 3 שנים עבירות סמים מסוג פשע. </w:t>
      </w:r>
    </w:p>
    <w:p w14:paraId="2BA831DE" w14:textId="77777777" w:rsidR="008C50BA" w:rsidRDefault="008C50BA" w:rsidP="008C50BA">
      <w:pPr>
        <w:spacing w:before="100" w:beforeAutospacing="1" w:after="120"/>
        <w:ind w:left="-58"/>
        <w:jc w:val="both"/>
        <w:rPr>
          <w:rFonts w:ascii="Corbel" w:hAnsi="Corbel" w:cs="FrankRuehl"/>
          <w:sz w:val="28"/>
          <w:szCs w:val="28"/>
          <w:rtl/>
        </w:rPr>
      </w:pPr>
      <w:r>
        <w:rPr>
          <w:rFonts w:ascii="Corbel" w:hAnsi="Corbel" w:cs="FrankRuehl"/>
          <w:sz w:val="28"/>
          <w:szCs w:val="28"/>
          <w:rtl/>
        </w:rPr>
        <w:t>זכות ערעור כחוק.</w:t>
      </w:r>
    </w:p>
    <w:p w14:paraId="6E8DE005" w14:textId="77777777" w:rsidR="008C50BA" w:rsidRDefault="00AF1257" w:rsidP="008C50BA">
      <w:pPr>
        <w:spacing w:before="100" w:beforeAutospacing="1" w:after="120"/>
        <w:ind w:left="-58"/>
        <w:jc w:val="both"/>
        <w:rPr>
          <w:rFonts w:ascii="Corbel" w:hAnsi="Corbel" w:cs="FrankRuehl"/>
          <w:sz w:val="28"/>
          <w:szCs w:val="28"/>
          <w:rtl/>
        </w:rPr>
      </w:pPr>
      <w:r w:rsidRPr="00AF1257">
        <w:rPr>
          <w:rFonts w:ascii="Corbel" w:hAnsi="Corbel" w:cs="FrankRuehl"/>
          <w:color w:val="FFFFFF"/>
          <w:sz w:val="2"/>
          <w:szCs w:val="2"/>
          <w:rtl/>
        </w:rPr>
        <w:t>5129371</w:t>
      </w:r>
      <w:r w:rsidR="008C50BA">
        <w:rPr>
          <w:rFonts w:ascii="Corbel" w:hAnsi="Corbel" w:cs="FrankRuehl"/>
          <w:sz w:val="28"/>
          <w:szCs w:val="28"/>
          <w:rtl/>
        </w:rPr>
        <w:t>צו כללי למוצגים.</w:t>
      </w:r>
    </w:p>
    <w:p w14:paraId="53D81FDE" w14:textId="77777777" w:rsidR="008C50BA" w:rsidRPr="00584CA6" w:rsidRDefault="00AF1257" w:rsidP="008C50BA">
      <w:pPr>
        <w:spacing w:before="100" w:beforeAutospacing="1" w:after="120"/>
        <w:ind w:left="-58"/>
        <w:jc w:val="both"/>
        <w:rPr>
          <w:rFonts w:ascii="Corbel" w:hAnsi="Corbel" w:cs="FrankRuehl"/>
          <w:sz w:val="28"/>
          <w:szCs w:val="28"/>
          <w:rtl/>
        </w:rPr>
      </w:pPr>
      <w:r w:rsidRPr="00AF1257">
        <w:rPr>
          <w:rFonts w:ascii="Corbel" w:hAnsi="Corbel" w:cs="FrankRuehl"/>
          <w:color w:val="FFFFFF"/>
          <w:sz w:val="2"/>
          <w:szCs w:val="2"/>
          <w:rtl/>
        </w:rPr>
        <w:t>54678313</w:t>
      </w:r>
      <w:r w:rsidR="008C50BA">
        <w:rPr>
          <w:rFonts w:ascii="Corbel" w:hAnsi="Corbel" w:cs="FrankRuehl" w:hint="cs"/>
          <w:sz w:val="28"/>
          <w:szCs w:val="28"/>
          <w:rtl/>
        </w:rPr>
        <w:t>העתק יועבר לשירות המבחן</w:t>
      </w:r>
    </w:p>
    <w:p w14:paraId="254B71D3" w14:textId="77777777" w:rsidR="008C50BA" w:rsidRPr="000F2247" w:rsidRDefault="008C50BA" w:rsidP="008C50BA">
      <w:pPr>
        <w:rPr>
          <w:rFonts w:ascii="Arial" w:hAnsi="Arial"/>
          <w:b/>
          <w:bCs/>
          <w:sz w:val="26"/>
          <w:szCs w:val="26"/>
          <w:rtl/>
        </w:rPr>
      </w:pPr>
    </w:p>
    <w:p w14:paraId="5A5A6DE3" w14:textId="77777777" w:rsidR="008C50BA" w:rsidRPr="000F2247" w:rsidRDefault="00AF1257" w:rsidP="008C50B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סיוון תשפ"ד, 17 יוני 2024, במעמד הצדדים. </w:t>
      </w:r>
      <w:bookmarkEnd w:id="8"/>
      <w:r w:rsidR="008C50BA">
        <w:rPr>
          <w:rFonts w:ascii="Arial" w:hAnsi="Arial"/>
          <w:b/>
          <w:bCs/>
          <w:sz w:val="26"/>
          <w:szCs w:val="26"/>
          <w:rtl/>
        </w:rPr>
        <w:tab/>
      </w:r>
      <w:r w:rsidR="008C50BA">
        <w:rPr>
          <w:rFonts w:ascii="Arial" w:hAnsi="Arial"/>
          <w:b/>
          <w:bCs/>
          <w:sz w:val="26"/>
          <w:szCs w:val="26"/>
          <w:rtl/>
        </w:rPr>
        <w:tab/>
      </w:r>
      <w:r w:rsidR="008C50BA">
        <w:rPr>
          <w:rFonts w:ascii="Arial" w:hAnsi="Arial"/>
          <w:b/>
          <w:bCs/>
          <w:sz w:val="26"/>
          <w:szCs w:val="26"/>
          <w:rtl/>
        </w:rPr>
        <w:tab/>
      </w:r>
      <w:r w:rsidR="008C50BA">
        <w:rPr>
          <w:rFonts w:ascii="Arial" w:hAnsi="Arial"/>
          <w:b/>
          <w:bCs/>
          <w:sz w:val="26"/>
          <w:szCs w:val="26"/>
          <w:rtl/>
        </w:rPr>
        <w:tab/>
      </w:r>
      <w:r w:rsidR="008C50BA">
        <w:rPr>
          <w:rFonts w:ascii="Arial" w:hAnsi="Arial"/>
          <w:b/>
          <w:bCs/>
          <w:sz w:val="26"/>
          <w:szCs w:val="26"/>
          <w:rtl/>
        </w:rPr>
        <w:tab/>
      </w:r>
      <w:r w:rsidR="008C50BA">
        <w:rPr>
          <w:rFonts w:ascii="Arial" w:hAnsi="Arial"/>
          <w:b/>
          <w:bCs/>
          <w:sz w:val="26"/>
          <w:szCs w:val="26"/>
          <w:rtl/>
        </w:rPr>
        <w:tab/>
      </w:r>
      <w:r w:rsidR="008C50BA">
        <w:rPr>
          <w:rFonts w:ascii="Arial" w:hAnsi="Arial"/>
          <w:b/>
          <w:bCs/>
          <w:sz w:val="26"/>
          <w:szCs w:val="26"/>
          <w:rtl/>
        </w:rPr>
        <w:tab/>
      </w:r>
      <w:r w:rsidR="008C50BA">
        <w:rPr>
          <w:rFonts w:ascii="Arial" w:hAnsi="Arial" w:hint="cs"/>
          <w:b/>
          <w:bCs/>
          <w:sz w:val="26"/>
          <w:szCs w:val="26"/>
          <w:rtl/>
        </w:rPr>
        <w:t xml:space="preserve">         </w:t>
      </w:r>
    </w:p>
    <w:p w14:paraId="5A368D2F" w14:textId="77777777" w:rsidR="00AF1257" w:rsidRDefault="00AF1257" w:rsidP="00AF1257">
      <w:pPr>
        <w:rPr>
          <w:rtl/>
        </w:rPr>
      </w:pPr>
    </w:p>
    <w:p w14:paraId="79D3173E" w14:textId="77777777" w:rsidR="00AF1257" w:rsidRDefault="00AF1257" w:rsidP="00AF125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22F9731" w14:textId="77777777" w:rsidR="00C76BE2" w:rsidRPr="00C76BE2" w:rsidRDefault="00C76BE2" w:rsidP="00C76BE2">
      <w:pPr>
        <w:keepNext/>
        <w:rPr>
          <w:rFonts w:ascii="David" w:hAnsi="David"/>
          <w:color w:val="000000"/>
          <w:sz w:val="22"/>
          <w:szCs w:val="22"/>
          <w:rtl/>
        </w:rPr>
      </w:pPr>
    </w:p>
    <w:p w14:paraId="66C7FB67" w14:textId="77777777" w:rsidR="00C76BE2" w:rsidRPr="00C76BE2" w:rsidRDefault="00C76BE2" w:rsidP="00C76BE2">
      <w:pPr>
        <w:keepNext/>
        <w:rPr>
          <w:rFonts w:ascii="David" w:hAnsi="David"/>
          <w:color w:val="000000"/>
          <w:sz w:val="22"/>
          <w:szCs w:val="22"/>
          <w:rtl/>
        </w:rPr>
      </w:pPr>
      <w:r w:rsidRPr="00C76BE2">
        <w:rPr>
          <w:rFonts w:ascii="David" w:hAnsi="David"/>
          <w:color w:val="000000"/>
          <w:sz w:val="22"/>
          <w:szCs w:val="22"/>
          <w:rtl/>
        </w:rPr>
        <w:t>זהר דיבון סגל 54678313-/</w:t>
      </w:r>
    </w:p>
    <w:p w14:paraId="21049EFF" w14:textId="77777777" w:rsidR="00AF1257" w:rsidRPr="00AF1257" w:rsidRDefault="00C76BE2" w:rsidP="00C76BE2">
      <w:pPr>
        <w:rPr>
          <w:color w:val="0000FF"/>
          <w:u w:val="single"/>
        </w:rPr>
      </w:pPr>
      <w:r w:rsidRPr="00C76BE2">
        <w:rPr>
          <w:color w:val="000000"/>
          <w:u w:val="single"/>
          <w:rtl/>
        </w:rPr>
        <w:t>נוסח מסמך זה כפוף לשינויי ניסוח ועריכה</w:t>
      </w:r>
    </w:p>
    <w:sectPr w:rsidR="00AF1257" w:rsidRPr="00AF1257" w:rsidSect="00C76BE2">
      <w:headerReference w:type="even" r:id="rId39"/>
      <w:headerReference w:type="default" r:id="rId40"/>
      <w:footerReference w:type="even" r:id="rId41"/>
      <w:footerReference w:type="default" r:id="rId4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A768C" w14:textId="77777777" w:rsidR="00C7659D" w:rsidRDefault="00C7659D" w:rsidP="00067BD3">
      <w:r>
        <w:separator/>
      </w:r>
    </w:p>
  </w:endnote>
  <w:endnote w:type="continuationSeparator" w:id="0">
    <w:p w14:paraId="77E5EB26" w14:textId="77777777" w:rsidR="00C7659D" w:rsidRDefault="00C7659D" w:rsidP="0006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64F86" w14:textId="77777777" w:rsidR="00C76BE2" w:rsidRDefault="00C76BE2" w:rsidP="00C76B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65B61F" w14:textId="77777777" w:rsidR="007255B0" w:rsidRPr="00C76BE2" w:rsidRDefault="00C76BE2" w:rsidP="00C76BE2">
    <w:pPr>
      <w:pStyle w:val="a5"/>
      <w:pBdr>
        <w:top w:val="single" w:sz="4" w:space="1" w:color="auto"/>
        <w:between w:val="single" w:sz="4" w:space="0" w:color="auto"/>
      </w:pBdr>
      <w:spacing w:after="60"/>
      <w:jc w:val="center"/>
      <w:rPr>
        <w:rFonts w:ascii="FrankRuehl" w:hAnsi="FrankRuehl" w:cs="FrankRuehl"/>
        <w:color w:val="000000"/>
      </w:rPr>
    </w:pPr>
    <w:r w:rsidRPr="00C76B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40EFA" w14:textId="77777777" w:rsidR="00C76BE2" w:rsidRDefault="00C76BE2" w:rsidP="00C76B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1061">
      <w:rPr>
        <w:rFonts w:ascii="FrankRuehl" w:hAnsi="FrankRuehl" w:cs="FrankRuehl"/>
        <w:noProof/>
        <w:rtl/>
      </w:rPr>
      <w:t>1</w:t>
    </w:r>
    <w:r>
      <w:rPr>
        <w:rFonts w:ascii="FrankRuehl" w:hAnsi="FrankRuehl" w:cs="FrankRuehl"/>
        <w:rtl/>
      </w:rPr>
      <w:fldChar w:fldCharType="end"/>
    </w:r>
  </w:p>
  <w:p w14:paraId="627F46BD" w14:textId="77777777" w:rsidR="007255B0" w:rsidRPr="00C76BE2" w:rsidRDefault="00C76BE2" w:rsidP="00C76BE2">
    <w:pPr>
      <w:pStyle w:val="a5"/>
      <w:pBdr>
        <w:top w:val="single" w:sz="4" w:space="1" w:color="auto"/>
        <w:between w:val="single" w:sz="4" w:space="0" w:color="auto"/>
      </w:pBdr>
      <w:spacing w:after="60"/>
      <w:jc w:val="center"/>
      <w:rPr>
        <w:rFonts w:ascii="FrankRuehl" w:hAnsi="FrankRuehl" w:cs="FrankRuehl"/>
        <w:color w:val="000000"/>
      </w:rPr>
    </w:pPr>
    <w:r w:rsidRPr="00C76BE2">
      <w:rPr>
        <w:rFonts w:ascii="FrankRuehl" w:hAnsi="FrankRuehl" w:cs="FrankRuehl"/>
        <w:color w:val="000000"/>
      </w:rPr>
      <w:pict w14:anchorId="572BC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18C2B" w14:textId="77777777" w:rsidR="00C7659D" w:rsidRDefault="00C7659D" w:rsidP="00067BD3">
      <w:r>
        <w:separator/>
      </w:r>
    </w:p>
  </w:footnote>
  <w:footnote w:type="continuationSeparator" w:id="0">
    <w:p w14:paraId="1D6FFC5B" w14:textId="77777777" w:rsidR="00C7659D" w:rsidRDefault="00C7659D" w:rsidP="00067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AA48F" w14:textId="77777777" w:rsidR="00AF1257" w:rsidRPr="00C76BE2" w:rsidRDefault="00C76BE2" w:rsidP="00C76B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59618-07-22</w:t>
    </w:r>
    <w:r>
      <w:rPr>
        <w:rFonts w:ascii="David" w:hAnsi="David"/>
        <w:color w:val="000000"/>
        <w:sz w:val="22"/>
        <w:szCs w:val="22"/>
        <w:rtl/>
      </w:rPr>
      <w:tab/>
      <w:t xml:space="preserve"> מדינת ישראל נ' ליאור גולן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5C331" w14:textId="77777777" w:rsidR="00AF1257" w:rsidRPr="00C76BE2" w:rsidRDefault="00C76BE2" w:rsidP="00C76B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59618-07-22</w:t>
    </w:r>
    <w:r>
      <w:rPr>
        <w:rFonts w:ascii="David" w:hAnsi="David"/>
        <w:color w:val="000000"/>
        <w:sz w:val="22"/>
        <w:szCs w:val="22"/>
        <w:rtl/>
      </w:rPr>
      <w:tab/>
      <w:t xml:space="preserve"> מדינת ישראל נ' ליאור גולן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C1FE7"/>
    <w:multiLevelType w:val="hybridMultilevel"/>
    <w:tmpl w:val="DF7651D0"/>
    <w:lvl w:ilvl="0" w:tplc="F008E216">
      <w:start w:val="1"/>
      <w:numFmt w:val="decimal"/>
      <w:lvlText w:val="%1."/>
      <w:lvlJc w:val="left"/>
      <w:pPr>
        <w:ind w:left="720" w:hanging="360"/>
      </w:pPr>
      <w:rPr>
        <w:rFonts w:ascii="FrankRuehl" w:hAnsi="FrankRuehl" w:cs="FrankRuehl"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D27761"/>
    <w:multiLevelType w:val="hybridMultilevel"/>
    <w:tmpl w:val="78945CE4"/>
    <w:lvl w:ilvl="0" w:tplc="52BEDE16">
      <w:start w:val="1"/>
      <w:numFmt w:val="hebrew1"/>
      <w:lvlText w:val="%1."/>
      <w:lvlJc w:val="left"/>
      <w:pPr>
        <w:ind w:left="1575" w:hanging="85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87165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7625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50BA"/>
    <w:rsid w:val="00021061"/>
    <w:rsid w:val="00067BD3"/>
    <w:rsid w:val="001B5A3B"/>
    <w:rsid w:val="004E4FD4"/>
    <w:rsid w:val="007255B0"/>
    <w:rsid w:val="008C50BA"/>
    <w:rsid w:val="00AF1257"/>
    <w:rsid w:val="00C7659D"/>
    <w:rsid w:val="00C76BE2"/>
    <w:rsid w:val="00E31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64C551"/>
  <w15:chartTrackingRefBased/>
  <w15:docId w15:val="{942A44D1-8095-4930-8469-92106AAE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50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50BA"/>
    <w:pPr>
      <w:tabs>
        <w:tab w:val="center" w:pos="4153"/>
        <w:tab w:val="right" w:pos="8306"/>
      </w:tabs>
    </w:pPr>
  </w:style>
  <w:style w:type="character" w:customStyle="1" w:styleId="a4">
    <w:name w:val="כותרת עליונה תו"/>
    <w:link w:val="a3"/>
    <w:rsid w:val="008C50BA"/>
    <w:rPr>
      <w:rFonts w:ascii="Times New Roman" w:eastAsia="Times New Roman" w:hAnsi="Times New Roman" w:cs="David"/>
      <w:sz w:val="24"/>
      <w:szCs w:val="24"/>
    </w:rPr>
  </w:style>
  <w:style w:type="paragraph" w:styleId="a5">
    <w:name w:val="footer"/>
    <w:basedOn w:val="a"/>
    <w:link w:val="a6"/>
    <w:rsid w:val="008C50BA"/>
    <w:pPr>
      <w:tabs>
        <w:tab w:val="center" w:pos="4153"/>
        <w:tab w:val="right" w:pos="8306"/>
      </w:tabs>
    </w:pPr>
  </w:style>
  <w:style w:type="character" w:customStyle="1" w:styleId="a6">
    <w:name w:val="כותרת תחתונה תו"/>
    <w:link w:val="a5"/>
    <w:rsid w:val="008C50BA"/>
    <w:rPr>
      <w:rFonts w:ascii="Times New Roman" w:eastAsia="Times New Roman" w:hAnsi="Times New Roman" w:cs="David"/>
      <w:sz w:val="24"/>
      <w:szCs w:val="24"/>
    </w:rPr>
  </w:style>
  <w:style w:type="table" w:styleId="a7">
    <w:name w:val="Table Grid"/>
    <w:basedOn w:val="a1"/>
    <w:rsid w:val="008C50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50BA"/>
  </w:style>
  <w:style w:type="character" w:customStyle="1" w:styleId="a9">
    <w:name w:val="פיסקת רשימה תו"/>
    <w:link w:val="aa"/>
    <w:locked/>
    <w:rsid w:val="008C50BA"/>
    <w:rPr>
      <w:rFonts w:cs="David"/>
      <w:sz w:val="24"/>
      <w:szCs w:val="24"/>
    </w:rPr>
  </w:style>
  <w:style w:type="paragraph" w:styleId="aa">
    <w:name w:val="List Paragraph"/>
    <w:basedOn w:val="a"/>
    <w:link w:val="a9"/>
    <w:qFormat/>
    <w:rsid w:val="008C50BA"/>
    <w:pPr>
      <w:ind w:left="720"/>
      <w:contextualSpacing/>
    </w:pPr>
    <w:rPr>
      <w:rFonts w:ascii="Calibri" w:eastAsia="Calibri" w:hAnsi="Calibri"/>
    </w:rPr>
  </w:style>
  <w:style w:type="character" w:styleId="Hyperlink">
    <w:name w:val="Hyperlink"/>
    <w:rsid w:val="00AF12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case/24345651" TargetMode="External"/><Relationship Id="rId26" Type="http://schemas.openxmlformats.org/officeDocument/2006/relationships/hyperlink" Target="http://www.nevo.co.il/case/11269559" TargetMode="External"/><Relationship Id="rId39" Type="http://schemas.openxmlformats.org/officeDocument/2006/relationships/header" Target="header1.xml"/><Relationship Id="rId21" Type="http://schemas.openxmlformats.org/officeDocument/2006/relationships/hyperlink" Target="http://www.nevo.co.il/case/23746048" TargetMode="External"/><Relationship Id="rId34" Type="http://schemas.openxmlformats.org/officeDocument/2006/relationships/hyperlink" Target="http://www.nevo.co.il/case/6089504"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9341540" TargetMode="External"/><Relationship Id="rId20" Type="http://schemas.openxmlformats.org/officeDocument/2006/relationships/hyperlink" Target="http://www.nevo.co.il/case/16941543" TargetMode="External"/><Relationship Id="rId29" Type="http://schemas.openxmlformats.org/officeDocument/2006/relationships/hyperlink" Target="http://www.nevo.co.il/case/2688461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7688113" TargetMode="External"/><Relationship Id="rId32" Type="http://schemas.openxmlformats.org/officeDocument/2006/relationships/hyperlink" Target="http://www.nevo.co.il/case/21037797" TargetMode="External"/><Relationship Id="rId37" Type="http://schemas.openxmlformats.org/officeDocument/2006/relationships/hyperlink" Target="http://www.nevo.co.il/case/1044245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8811299" TargetMode="External"/><Relationship Id="rId23" Type="http://schemas.openxmlformats.org/officeDocument/2006/relationships/hyperlink" Target="http://www.nevo.co.il/case/21511777" TargetMode="External"/><Relationship Id="rId28" Type="http://schemas.openxmlformats.org/officeDocument/2006/relationships/hyperlink" Target="http://www.nevo.co.il/case/5896402" TargetMode="External"/><Relationship Id="rId36" Type="http://schemas.openxmlformats.org/officeDocument/2006/relationships/hyperlink" Target="http://www.nevo.co.il/case/21475024" TargetMode="External"/><Relationship Id="rId10" Type="http://schemas.openxmlformats.org/officeDocument/2006/relationships/hyperlink" Target="http://www.nevo.co.il/law/70301/287.a" TargetMode="External"/><Relationship Id="rId19" Type="http://schemas.openxmlformats.org/officeDocument/2006/relationships/hyperlink" Target="http://www.nevo.co.il/case/26496234" TargetMode="External"/><Relationship Id="rId31" Type="http://schemas.openxmlformats.org/officeDocument/2006/relationships/hyperlink" Target="http://www.nevo.co.il/case/2011412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611948" TargetMode="External"/><Relationship Id="rId27" Type="http://schemas.openxmlformats.org/officeDocument/2006/relationships/hyperlink" Target="http://www.nevo.co.il/case/6780652" TargetMode="External"/><Relationship Id="rId30" Type="http://schemas.openxmlformats.org/officeDocument/2006/relationships/hyperlink" Target="http://www.nevo.co.il/case/4175255" TargetMode="External"/><Relationship Id="rId35" Type="http://schemas.openxmlformats.org/officeDocument/2006/relationships/hyperlink" Target="http://www.nevo.co.il/case/23775111"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5576772" TargetMode="External"/><Relationship Id="rId33" Type="http://schemas.openxmlformats.org/officeDocument/2006/relationships/hyperlink" Target="http://www.nevo.co.il/case/593709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3831</Words>
  <Characters>19157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22943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3276916</vt:i4>
      </vt:variant>
      <vt:variant>
        <vt:i4>90</vt:i4>
      </vt:variant>
      <vt:variant>
        <vt:i4>0</vt:i4>
      </vt:variant>
      <vt:variant>
        <vt:i4>5</vt:i4>
      </vt:variant>
      <vt:variant>
        <vt:lpwstr>http://www.nevo.co.il/case/10442453</vt:lpwstr>
      </vt:variant>
      <vt:variant>
        <vt:lpwstr/>
      </vt:variant>
      <vt:variant>
        <vt:i4>3211378</vt:i4>
      </vt:variant>
      <vt:variant>
        <vt:i4>87</vt:i4>
      </vt:variant>
      <vt:variant>
        <vt:i4>0</vt:i4>
      </vt:variant>
      <vt:variant>
        <vt:i4>5</vt:i4>
      </vt:variant>
      <vt:variant>
        <vt:lpwstr>http://www.nevo.co.il/case/21475024</vt:lpwstr>
      </vt:variant>
      <vt:variant>
        <vt:lpwstr/>
      </vt:variant>
      <vt:variant>
        <vt:i4>3211377</vt:i4>
      </vt:variant>
      <vt:variant>
        <vt:i4>84</vt:i4>
      </vt:variant>
      <vt:variant>
        <vt:i4>0</vt:i4>
      </vt:variant>
      <vt:variant>
        <vt:i4>5</vt:i4>
      </vt:variant>
      <vt:variant>
        <vt:lpwstr>http://www.nevo.co.il/case/23775111</vt:lpwstr>
      </vt:variant>
      <vt:variant>
        <vt:lpwstr/>
      </vt:variant>
      <vt:variant>
        <vt:i4>4128893</vt:i4>
      </vt:variant>
      <vt:variant>
        <vt:i4>81</vt:i4>
      </vt:variant>
      <vt:variant>
        <vt:i4>0</vt:i4>
      </vt:variant>
      <vt:variant>
        <vt:i4>5</vt:i4>
      </vt:variant>
      <vt:variant>
        <vt:lpwstr>http://www.nevo.co.il/case/6089504</vt:lpwstr>
      </vt:variant>
      <vt:variant>
        <vt:lpwstr/>
      </vt:variant>
      <vt:variant>
        <vt:i4>3276915</vt:i4>
      </vt:variant>
      <vt:variant>
        <vt:i4>78</vt:i4>
      </vt:variant>
      <vt:variant>
        <vt:i4>0</vt:i4>
      </vt:variant>
      <vt:variant>
        <vt:i4>5</vt:i4>
      </vt:variant>
      <vt:variant>
        <vt:lpwstr>http://www.nevo.co.il/case/5937094</vt:lpwstr>
      </vt:variant>
      <vt:variant>
        <vt:lpwstr/>
      </vt:variant>
      <vt:variant>
        <vt:i4>3932273</vt:i4>
      </vt:variant>
      <vt:variant>
        <vt:i4>75</vt:i4>
      </vt:variant>
      <vt:variant>
        <vt:i4>0</vt:i4>
      </vt:variant>
      <vt:variant>
        <vt:i4>5</vt:i4>
      </vt:variant>
      <vt:variant>
        <vt:lpwstr>http://www.nevo.co.il/case/21037797</vt:lpwstr>
      </vt:variant>
      <vt:variant>
        <vt:lpwstr/>
      </vt:variant>
      <vt:variant>
        <vt:i4>3473524</vt:i4>
      </vt:variant>
      <vt:variant>
        <vt:i4>72</vt:i4>
      </vt:variant>
      <vt:variant>
        <vt:i4>0</vt:i4>
      </vt:variant>
      <vt:variant>
        <vt:i4>5</vt:i4>
      </vt:variant>
      <vt:variant>
        <vt:lpwstr>http://www.nevo.co.il/case/20114120</vt:lpwstr>
      </vt:variant>
      <vt:variant>
        <vt:lpwstr/>
      </vt:variant>
      <vt:variant>
        <vt:i4>3407989</vt:i4>
      </vt:variant>
      <vt:variant>
        <vt:i4>69</vt:i4>
      </vt:variant>
      <vt:variant>
        <vt:i4>0</vt:i4>
      </vt:variant>
      <vt:variant>
        <vt:i4>5</vt:i4>
      </vt:variant>
      <vt:variant>
        <vt:lpwstr>http://www.nevo.co.il/case/4175255</vt:lpwstr>
      </vt:variant>
      <vt:variant>
        <vt:lpwstr/>
      </vt:variant>
      <vt:variant>
        <vt:i4>4128892</vt:i4>
      </vt:variant>
      <vt:variant>
        <vt:i4>66</vt:i4>
      </vt:variant>
      <vt:variant>
        <vt:i4>0</vt:i4>
      </vt:variant>
      <vt:variant>
        <vt:i4>5</vt:i4>
      </vt:variant>
      <vt:variant>
        <vt:lpwstr>http://www.nevo.co.il/case/26884611</vt:lpwstr>
      </vt:variant>
      <vt:variant>
        <vt:lpwstr/>
      </vt:variant>
      <vt:variant>
        <vt:i4>3801210</vt:i4>
      </vt:variant>
      <vt:variant>
        <vt:i4>63</vt:i4>
      </vt:variant>
      <vt:variant>
        <vt:i4>0</vt:i4>
      </vt:variant>
      <vt:variant>
        <vt:i4>5</vt:i4>
      </vt:variant>
      <vt:variant>
        <vt:lpwstr>http://www.nevo.co.il/case/5896402</vt:lpwstr>
      </vt:variant>
      <vt:variant>
        <vt:lpwstr/>
      </vt:variant>
      <vt:variant>
        <vt:i4>3801206</vt:i4>
      </vt:variant>
      <vt:variant>
        <vt:i4>60</vt:i4>
      </vt:variant>
      <vt:variant>
        <vt:i4>0</vt:i4>
      </vt:variant>
      <vt:variant>
        <vt:i4>5</vt:i4>
      </vt:variant>
      <vt:variant>
        <vt:lpwstr>http://www.nevo.co.il/case/6780652</vt:lpwstr>
      </vt:variant>
      <vt:variant>
        <vt:lpwstr/>
      </vt:variant>
      <vt:variant>
        <vt:i4>4128886</vt:i4>
      </vt:variant>
      <vt:variant>
        <vt:i4>57</vt:i4>
      </vt:variant>
      <vt:variant>
        <vt:i4>0</vt:i4>
      </vt:variant>
      <vt:variant>
        <vt:i4>5</vt:i4>
      </vt:variant>
      <vt:variant>
        <vt:lpwstr>http://www.nevo.co.il/case/11269559</vt:lpwstr>
      </vt:variant>
      <vt:variant>
        <vt:lpwstr/>
      </vt:variant>
      <vt:variant>
        <vt:i4>3604592</vt:i4>
      </vt:variant>
      <vt:variant>
        <vt:i4>54</vt:i4>
      </vt:variant>
      <vt:variant>
        <vt:i4>0</vt:i4>
      </vt:variant>
      <vt:variant>
        <vt:i4>5</vt:i4>
      </vt:variant>
      <vt:variant>
        <vt:lpwstr>http://www.nevo.co.il/case/5576772</vt:lpwstr>
      </vt:variant>
      <vt:variant>
        <vt:lpwstr/>
      </vt:variant>
      <vt:variant>
        <vt:i4>3997819</vt:i4>
      </vt:variant>
      <vt:variant>
        <vt:i4>51</vt:i4>
      </vt:variant>
      <vt:variant>
        <vt:i4>0</vt:i4>
      </vt:variant>
      <vt:variant>
        <vt:i4>5</vt:i4>
      </vt:variant>
      <vt:variant>
        <vt:lpwstr>http://www.nevo.co.il/case/7688113</vt:lpwstr>
      </vt:variant>
      <vt:variant>
        <vt:lpwstr/>
      </vt:variant>
      <vt:variant>
        <vt:i4>3211379</vt:i4>
      </vt:variant>
      <vt:variant>
        <vt:i4>48</vt:i4>
      </vt:variant>
      <vt:variant>
        <vt:i4>0</vt:i4>
      </vt:variant>
      <vt:variant>
        <vt:i4>5</vt:i4>
      </vt:variant>
      <vt:variant>
        <vt:lpwstr>http://www.nevo.co.il/case/21511777</vt:lpwstr>
      </vt:variant>
      <vt:variant>
        <vt:lpwstr/>
      </vt:variant>
      <vt:variant>
        <vt:i4>3473527</vt:i4>
      </vt:variant>
      <vt:variant>
        <vt:i4>45</vt:i4>
      </vt:variant>
      <vt:variant>
        <vt:i4>0</vt:i4>
      </vt:variant>
      <vt:variant>
        <vt:i4>5</vt:i4>
      </vt:variant>
      <vt:variant>
        <vt:lpwstr>http://www.nevo.co.il/case/5611948</vt:lpwstr>
      </vt:variant>
      <vt:variant>
        <vt:lpwstr/>
      </vt:variant>
      <vt:variant>
        <vt:i4>3604595</vt:i4>
      </vt:variant>
      <vt:variant>
        <vt:i4>42</vt:i4>
      </vt:variant>
      <vt:variant>
        <vt:i4>0</vt:i4>
      </vt:variant>
      <vt:variant>
        <vt:i4>5</vt:i4>
      </vt:variant>
      <vt:variant>
        <vt:lpwstr>http://www.nevo.co.il/case/23746048</vt:lpwstr>
      </vt:variant>
      <vt:variant>
        <vt:lpwstr/>
      </vt:variant>
      <vt:variant>
        <vt:i4>3997811</vt:i4>
      </vt:variant>
      <vt:variant>
        <vt:i4>39</vt:i4>
      </vt:variant>
      <vt:variant>
        <vt:i4>0</vt:i4>
      </vt:variant>
      <vt:variant>
        <vt:i4>5</vt:i4>
      </vt:variant>
      <vt:variant>
        <vt:lpwstr>http://www.nevo.co.il/case/16941543</vt:lpwstr>
      </vt:variant>
      <vt:variant>
        <vt:lpwstr/>
      </vt:variant>
      <vt:variant>
        <vt:i4>3342457</vt:i4>
      </vt:variant>
      <vt:variant>
        <vt:i4>36</vt:i4>
      </vt:variant>
      <vt:variant>
        <vt:i4>0</vt:i4>
      </vt:variant>
      <vt:variant>
        <vt:i4>5</vt:i4>
      </vt:variant>
      <vt:variant>
        <vt:lpwstr>http://www.nevo.co.il/case/26496234</vt:lpwstr>
      </vt:variant>
      <vt:variant>
        <vt:lpwstr/>
      </vt:variant>
      <vt:variant>
        <vt:i4>3211378</vt:i4>
      </vt:variant>
      <vt:variant>
        <vt:i4>33</vt:i4>
      </vt:variant>
      <vt:variant>
        <vt:i4>0</vt:i4>
      </vt:variant>
      <vt:variant>
        <vt:i4>5</vt:i4>
      </vt:variant>
      <vt:variant>
        <vt:lpwstr>http://www.nevo.co.il/case/24345651</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3407996</vt:i4>
      </vt:variant>
      <vt:variant>
        <vt:i4>27</vt:i4>
      </vt:variant>
      <vt:variant>
        <vt:i4>0</vt:i4>
      </vt:variant>
      <vt:variant>
        <vt:i4>5</vt:i4>
      </vt:variant>
      <vt:variant>
        <vt:lpwstr>http://www.nevo.co.il/case/29341540</vt:lpwstr>
      </vt:variant>
      <vt:variant>
        <vt:lpwstr/>
      </vt:variant>
      <vt:variant>
        <vt:i4>3276927</vt:i4>
      </vt:variant>
      <vt:variant>
        <vt:i4>24</vt:i4>
      </vt:variant>
      <vt:variant>
        <vt:i4>0</vt:i4>
      </vt:variant>
      <vt:variant>
        <vt:i4>5</vt:i4>
      </vt:variant>
      <vt:variant>
        <vt:lpwstr>http://www.nevo.co.il/case/28811299</vt:lpwstr>
      </vt:variant>
      <vt:variant>
        <vt:lpwstr/>
      </vt:variant>
      <vt:variant>
        <vt:i4>7995492</vt:i4>
      </vt:variant>
      <vt:variant>
        <vt:i4>21</vt:i4>
      </vt:variant>
      <vt:variant>
        <vt:i4>0</vt:i4>
      </vt:variant>
      <vt:variant>
        <vt:i4>5</vt:i4>
      </vt:variant>
      <vt:variant>
        <vt:lpwstr>http://www.nevo.co.il/law/70301</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59618;62743</vt:lpwstr>
  </property>
  <property fmtid="{D5CDD505-2E9C-101B-9397-08002B2CF9AE}" pid="6" name="NEWPARTB">
    <vt:lpwstr>07;01</vt:lpwstr>
  </property>
  <property fmtid="{D5CDD505-2E9C-101B-9397-08002B2CF9AE}" pid="7" name="NEWPARTC">
    <vt:lpwstr>22;23</vt:lpwstr>
  </property>
  <property fmtid="{D5CDD505-2E9C-101B-9397-08002B2CF9AE}" pid="8" name="APPELLANT">
    <vt:lpwstr>מדינת ישראל</vt:lpwstr>
  </property>
  <property fmtid="{D5CDD505-2E9C-101B-9397-08002B2CF9AE}" pid="9" name="APPELLEE">
    <vt:lpwstr>ליאור גולן</vt:lpwstr>
  </property>
  <property fmtid="{D5CDD505-2E9C-101B-9397-08002B2CF9AE}" pid="10" name="LAWYER">
    <vt:lpwstr>יורי קורנברג;שחר מנדלמן</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DATE">
    <vt:lpwstr>20240617</vt:lpwstr>
  </property>
  <property fmtid="{D5CDD505-2E9C-101B-9397-08002B2CF9AE}" pid="14" name="TYPE_N_DATE">
    <vt:lpwstr>38020240617</vt:lpwstr>
  </property>
  <property fmtid="{D5CDD505-2E9C-101B-9397-08002B2CF9AE}" pid="15" name="CASESLISTTMP1">
    <vt:lpwstr>28811299;29341540;5810781;24345651;26496234;16941543;23746048;5611948;21511777;7688113;5576772;11269559;6780652;5896402;26884611;4175255;20114120;21037797;5937094;6089504;23775111;21475024;10442453</vt:lpwstr>
  </property>
  <property fmtid="{D5CDD505-2E9C-101B-9397-08002B2CF9AE}" pid="16" name="CASENOTES1">
    <vt:lpwstr>ProcID=174;133;209&amp;PartA=7224&amp;PartC=04</vt:lpwstr>
  </property>
  <property fmtid="{D5CDD505-2E9C-101B-9397-08002B2CF9AE}" pid="17" name="CASENOTES2">
    <vt:lpwstr>ProcID=135&amp;PartA=20164&amp;PartB=11&amp;PartC=16</vt:lpwstr>
  </property>
  <property fmtid="{D5CDD505-2E9C-101B-9397-08002B2CF9AE}" pid="18" name="CASENOTES3">
    <vt:lpwstr>ProcID=45&amp;PartA=28879&amp;PartB=07&amp;PartC=22</vt:lpwstr>
  </property>
  <property fmtid="{D5CDD505-2E9C-101B-9397-08002B2CF9AE}" pid="19" name="CASENOTES4">
    <vt:lpwstr>ProcID=213&amp;PartA=82&amp;PartC=80</vt:lpwstr>
  </property>
  <property fmtid="{D5CDD505-2E9C-101B-9397-08002B2CF9AE}" pid="20" name="WORDNUMPAGES">
    <vt:lpwstr>12</vt:lpwstr>
  </property>
  <property fmtid="{D5CDD505-2E9C-101B-9397-08002B2CF9AE}" pid="21" name="TYPE_ABS_DATE">
    <vt:lpwstr>380020240617</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4216/006</vt:lpwstr>
  </property>
  <property fmtid="{D5CDD505-2E9C-101B-9397-08002B2CF9AE}" pid="41" name="LAWLISTTMP2">
    <vt:lpwstr>70301/287.a</vt:lpwstr>
  </property>
</Properties>
</file>