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327EDA" w:rsidRPr="00BE4481" w14:paraId="1D0406F6" w14:textId="77777777" w:rsidTr="007255D6">
        <w:trPr>
          <w:gridAfter w:val="1"/>
          <w:wAfter w:w="99" w:type="dxa"/>
          <w:trHeight w:hRule="exact" w:val="418"/>
          <w:jc w:val="center"/>
        </w:trPr>
        <w:tc>
          <w:tcPr>
            <w:tcW w:w="8721" w:type="dxa"/>
            <w:gridSpan w:val="4"/>
          </w:tcPr>
          <w:p w14:paraId="1667891E" w14:textId="77777777" w:rsidR="00327EDA" w:rsidRPr="00BE4481" w:rsidRDefault="00327EDA" w:rsidP="00B3768F">
            <w:pPr>
              <w:pStyle w:val="a4"/>
              <w:jc w:val="center"/>
              <w:rPr>
                <w:rFonts w:ascii="Tahoma" w:hAnsi="Tahoma" w:cs="Tahoma"/>
                <w:color w:val="000080"/>
                <w:rtl/>
              </w:rPr>
            </w:pPr>
            <w:bookmarkStart w:id="0" w:name="LastJudge"/>
            <w:r w:rsidRPr="00BE4481">
              <w:rPr>
                <w:rFonts w:ascii="Tahoma" w:hAnsi="Tahoma" w:cs="Tahoma"/>
                <w:b/>
                <w:bCs/>
                <w:color w:val="000080"/>
                <w:rtl/>
              </w:rPr>
              <w:t>בית משפט השלום בבאר שבע</w:t>
            </w:r>
          </w:p>
        </w:tc>
      </w:tr>
      <w:tr w:rsidR="00327EDA" w:rsidRPr="00BE4481" w14:paraId="67C7E0D2" w14:textId="77777777" w:rsidTr="007255D6">
        <w:trPr>
          <w:gridAfter w:val="1"/>
          <w:wAfter w:w="99" w:type="dxa"/>
          <w:trHeight w:val="337"/>
          <w:jc w:val="center"/>
        </w:trPr>
        <w:tc>
          <w:tcPr>
            <w:tcW w:w="5054" w:type="dxa"/>
            <w:gridSpan w:val="3"/>
          </w:tcPr>
          <w:p w14:paraId="3E8BD4A6" w14:textId="77777777" w:rsidR="00327EDA" w:rsidRPr="00BE4481" w:rsidRDefault="00327EDA" w:rsidP="00B3768F">
            <w:pPr>
              <w:rPr>
                <w:rFonts w:cs="FrankRuehl"/>
                <w:sz w:val="28"/>
                <w:szCs w:val="28"/>
                <w:rtl/>
              </w:rPr>
            </w:pPr>
            <w:r w:rsidRPr="00BE4481">
              <w:rPr>
                <w:rFonts w:cs="FrankRuehl"/>
                <w:sz w:val="28"/>
                <w:szCs w:val="28"/>
                <w:rtl/>
              </w:rPr>
              <w:t>ת"פ</w:t>
            </w:r>
            <w:r w:rsidRPr="00BE4481">
              <w:rPr>
                <w:rFonts w:cs="FrankRuehl" w:hint="cs"/>
                <w:sz w:val="28"/>
                <w:szCs w:val="28"/>
                <w:rtl/>
              </w:rPr>
              <w:t xml:space="preserve"> </w:t>
            </w:r>
            <w:r w:rsidRPr="00BE4481">
              <w:rPr>
                <w:rFonts w:cs="FrankRuehl"/>
                <w:sz w:val="28"/>
                <w:szCs w:val="28"/>
                <w:rtl/>
              </w:rPr>
              <w:t>63073-07-22</w:t>
            </w:r>
            <w:r w:rsidRPr="00BE4481">
              <w:rPr>
                <w:rFonts w:cs="FrankRuehl" w:hint="cs"/>
                <w:sz w:val="28"/>
                <w:szCs w:val="28"/>
                <w:rtl/>
              </w:rPr>
              <w:t xml:space="preserve"> </w:t>
            </w:r>
            <w:r w:rsidRPr="00BE4481">
              <w:rPr>
                <w:rFonts w:cs="FrankRuehl"/>
                <w:sz w:val="28"/>
                <w:szCs w:val="28"/>
                <w:rtl/>
              </w:rPr>
              <w:t>מדינת ישראל נ' ישראלי</w:t>
            </w:r>
          </w:p>
          <w:p w14:paraId="1569B082" w14:textId="77777777" w:rsidR="00327EDA" w:rsidRPr="00BE4481" w:rsidRDefault="00327EDA" w:rsidP="00B3768F">
            <w:pPr>
              <w:pStyle w:val="a4"/>
              <w:rPr>
                <w:rFonts w:cs="FrankRuehl"/>
                <w:sz w:val="28"/>
                <w:szCs w:val="28"/>
                <w:rtl/>
              </w:rPr>
            </w:pPr>
          </w:p>
        </w:tc>
        <w:tc>
          <w:tcPr>
            <w:tcW w:w="3667" w:type="dxa"/>
          </w:tcPr>
          <w:p w14:paraId="12A53AA7" w14:textId="77777777" w:rsidR="00327EDA" w:rsidRPr="00BE4481" w:rsidRDefault="00327EDA" w:rsidP="00B3768F">
            <w:pPr>
              <w:pStyle w:val="a4"/>
              <w:jc w:val="right"/>
              <w:rPr>
                <w:rFonts w:cs="FrankRuehl"/>
                <w:sz w:val="28"/>
                <w:szCs w:val="28"/>
                <w:rtl/>
              </w:rPr>
            </w:pPr>
          </w:p>
        </w:tc>
      </w:tr>
      <w:tr w:rsidR="00327EDA" w:rsidRPr="00BE4481" w14:paraId="4DEBAB54" w14:textId="77777777" w:rsidTr="00725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A08D56B" w14:textId="77777777" w:rsidR="00327EDA" w:rsidRPr="00BE4481" w:rsidRDefault="00327EDA" w:rsidP="00327EDA">
            <w:pPr>
              <w:jc w:val="both"/>
              <w:rPr>
                <w:rFonts w:ascii="David" w:hAnsi="David"/>
                <w:sz w:val="26"/>
                <w:szCs w:val="26"/>
              </w:rPr>
            </w:pPr>
            <w:r w:rsidRPr="00BE4481">
              <w:rPr>
                <w:rFonts w:hint="cs"/>
                <w:rtl/>
              </w:rPr>
              <w:t xml:space="preserve"> </w:t>
            </w:r>
            <w:r w:rsidRPr="00BE4481">
              <w:rPr>
                <w:rFonts w:ascii="David" w:hAnsi="David" w:hint="cs"/>
                <w:sz w:val="26"/>
                <w:szCs w:val="26"/>
                <w:rtl/>
              </w:rPr>
              <w:t>ל</w:t>
            </w:r>
            <w:r w:rsidRPr="00BE448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FF050BF" w14:textId="77777777" w:rsidR="00327EDA" w:rsidRPr="00BE4481" w:rsidRDefault="00327EDA" w:rsidP="00B3768F">
            <w:pPr>
              <w:rPr>
                <w:rFonts w:ascii="David" w:hAnsi="David"/>
                <w:b/>
                <w:bCs/>
                <w:sz w:val="26"/>
                <w:szCs w:val="26"/>
                <w:rtl/>
              </w:rPr>
            </w:pPr>
            <w:r w:rsidRPr="00BE4481">
              <w:rPr>
                <w:rFonts w:ascii="David" w:hAnsi="David"/>
                <w:b/>
                <w:bCs/>
                <w:sz w:val="26"/>
                <w:szCs w:val="26"/>
                <w:rtl/>
              </w:rPr>
              <w:t>כבוד השופטת  אורית קרץ</w:t>
            </w:r>
          </w:p>
          <w:p w14:paraId="0156985E" w14:textId="77777777" w:rsidR="00327EDA" w:rsidRPr="00BE4481" w:rsidRDefault="00327EDA" w:rsidP="00B3768F">
            <w:pPr>
              <w:rPr>
                <w:rFonts w:ascii="David" w:hAnsi="David"/>
                <w:sz w:val="26"/>
                <w:szCs w:val="26"/>
                <w:rtl/>
              </w:rPr>
            </w:pPr>
          </w:p>
          <w:p w14:paraId="721FED9E" w14:textId="77777777" w:rsidR="00327EDA" w:rsidRPr="00BE4481" w:rsidRDefault="00327EDA" w:rsidP="00327EDA">
            <w:pPr>
              <w:jc w:val="both"/>
              <w:rPr>
                <w:rFonts w:ascii="David" w:hAnsi="David"/>
                <w:sz w:val="26"/>
                <w:szCs w:val="26"/>
              </w:rPr>
            </w:pPr>
          </w:p>
        </w:tc>
      </w:tr>
      <w:tr w:rsidR="00327EDA" w:rsidRPr="00BE4481" w14:paraId="4623C62C" w14:textId="77777777" w:rsidTr="00725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188E4E" w14:textId="77777777" w:rsidR="00327EDA" w:rsidRPr="00BE4481" w:rsidRDefault="00327EDA" w:rsidP="00327EDA">
            <w:pPr>
              <w:jc w:val="both"/>
              <w:rPr>
                <w:rFonts w:ascii="David" w:hAnsi="David"/>
                <w:sz w:val="26"/>
                <w:szCs w:val="26"/>
              </w:rPr>
            </w:pPr>
            <w:bookmarkStart w:id="1" w:name="FirstAppellant"/>
            <w:r w:rsidRPr="00BE4481">
              <w:rPr>
                <w:rFonts w:ascii="David" w:hAnsi="David"/>
                <w:sz w:val="26"/>
                <w:szCs w:val="26"/>
                <w:rtl/>
              </w:rPr>
              <w:t>בעניין:</w:t>
            </w:r>
          </w:p>
        </w:tc>
        <w:tc>
          <w:tcPr>
            <w:tcW w:w="3219" w:type="dxa"/>
            <w:tcBorders>
              <w:top w:val="nil"/>
              <w:left w:val="nil"/>
              <w:bottom w:val="nil"/>
              <w:right w:val="nil"/>
            </w:tcBorders>
            <w:shd w:val="clear" w:color="auto" w:fill="auto"/>
          </w:tcPr>
          <w:p w14:paraId="7A18298A" w14:textId="77777777" w:rsidR="00327EDA" w:rsidRPr="00BE4481" w:rsidRDefault="00327EDA" w:rsidP="00327EDA">
            <w:pPr>
              <w:suppressLineNumbers/>
            </w:pPr>
            <w:r w:rsidRPr="00BE4481">
              <w:rPr>
                <w:rFonts w:ascii="Arial" w:hAnsi="Arial" w:hint="cs"/>
                <w:b/>
                <w:bCs/>
                <w:sz w:val="26"/>
                <w:szCs w:val="26"/>
                <w:rtl/>
              </w:rPr>
              <w:t>ה</w:t>
            </w:r>
            <w:r w:rsidRPr="00BE4481">
              <w:rPr>
                <w:rFonts w:ascii="Arial" w:hAnsi="Arial"/>
                <w:b/>
                <w:bCs/>
                <w:sz w:val="26"/>
                <w:szCs w:val="26"/>
                <w:rtl/>
              </w:rPr>
              <w:t>מאשימה</w:t>
            </w:r>
          </w:p>
          <w:p w14:paraId="0BFE7FDB" w14:textId="77777777" w:rsidR="00327EDA" w:rsidRPr="00BE4481" w:rsidRDefault="00327EDA" w:rsidP="00B3768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D7BBD9D" w14:textId="77777777" w:rsidR="00327EDA" w:rsidRPr="00BE4481" w:rsidRDefault="00327EDA" w:rsidP="00327EDA">
            <w:pPr>
              <w:suppressLineNumbers/>
              <w:rPr>
                <w:rFonts w:ascii="Arial" w:hAnsi="Arial"/>
                <w:b/>
                <w:bCs/>
                <w:sz w:val="26"/>
                <w:szCs w:val="26"/>
                <w:rtl/>
              </w:rPr>
            </w:pPr>
            <w:r w:rsidRPr="00BE4481">
              <w:rPr>
                <w:rFonts w:ascii="Arial" w:hAnsi="Arial"/>
                <w:b/>
                <w:bCs/>
                <w:sz w:val="26"/>
                <w:szCs w:val="26"/>
                <w:rtl/>
              </w:rPr>
              <w:t>מדינת ישראל</w:t>
            </w:r>
            <w:r w:rsidRPr="00BE4481">
              <w:rPr>
                <w:rFonts w:ascii="Arial" w:hAnsi="Arial" w:hint="cs"/>
                <w:b/>
                <w:bCs/>
                <w:sz w:val="26"/>
                <w:szCs w:val="26"/>
                <w:rtl/>
              </w:rPr>
              <w:t xml:space="preserve"> </w:t>
            </w:r>
          </w:p>
          <w:p w14:paraId="4F260DB2" w14:textId="77777777" w:rsidR="00327EDA" w:rsidRPr="00BE4481" w:rsidRDefault="00327EDA" w:rsidP="00327EDA">
            <w:pPr>
              <w:suppressLineNumbers/>
            </w:pPr>
            <w:r w:rsidRPr="00BE4481">
              <w:rPr>
                <w:rFonts w:ascii="Arial" w:hAnsi="Arial"/>
                <w:b/>
                <w:bCs/>
                <w:sz w:val="26"/>
                <w:szCs w:val="26"/>
                <w:rtl/>
              </w:rPr>
              <w:t xml:space="preserve">ע"י </w:t>
            </w:r>
            <w:r w:rsidRPr="00BE4481">
              <w:rPr>
                <w:rFonts w:ascii="Arial" w:hAnsi="Arial" w:hint="cs"/>
                <w:b/>
                <w:bCs/>
                <w:sz w:val="26"/>
                <w:szCs w:val="26"/>
                <w:rtl/>
              </w:rPr>
              <w:t xml:space="preserve">משטרת ישראל </w:t>
            </w:r>
            <w:r w:rsidRPr="00BE4481">
              <w:rPr>
                <w:rFonts w:ascii="Arial" w:hAnsi="Arial"/>
                <w:b/>
                <w:bCs/>
                <w:sz w:val="26"/>
                <w:szCs w:val="26"/>
                <w:rtl/>
              </w:rPr>
              <w:t>–</w:t>
            </w:r>
            <w:r w:rsidRPr="00BE4481">
              <w:rPr>
                <w:rFonts w:ascii="Arial" w:hAnsi="Arial" w:hint="cs"/>
                <w:b/>
                <w:bCs/>
                <w:sz w:val="26"/>
                <w:szCs w:val="26"/>
                <w:rtl/>
              </w:rPr>
              <w:t xml:space="preserve"> תביעות נגב</w:t>
            </w:r>
          </w:p>
          <w:p w14:paraId="01E84175" w14:textId="77777777" w:rsidR="00327EDA" w:rsidRPr="00BE4481" w:rsidRDefault="00327EDA" w:rsidP="00B3768F">
            <w:pPr>
              <w:rPr>
                <w:rFonts w:ascii="David" w:hAnsi="David"/>
                <w:sz w:val="26"/>
                <w:szCs w:val="26"/>
              </w:rPr>
            </w:pPr>
          </w:p>
        </w:tc>
      </w:tr>
      <w:bookmarkEnd w:id="1"/>
      <w:tr w:rsidR="00327EDA" w:rsidRPr="00BE4481" w14:paraId="4DBEBE1C" w14:textId="77777777" w:rsidTr="00725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766751" w14:textId="77777777" w:rsidR="00327EDA" w:rsidRPr="00BE4481" w:rsidRDefault="00327EDA" w:rsidP="00327ED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A667D66" w14:textId="77777777" w:rsidR="00327EDA" w:rsidRPr="00BE4481" w:rsidRDefault="00327EDA" w:rsidP="00327EDA">
            <w:pPr>
              <w:jc w:val="center"/>
              <w:rPr>
                <w:rFonts w:ascii="David" w:hAnsi="David"/>
                <w:b/>
                <w:bCs/>
                <w:sz w:val="26"/>
                <w:szCs w:val="26"/>
                <w:rtl/>
              </w:rPr>
            </w:pPr>
          </w:p>
          <w:p w14:paraId="18E565E8" w14:textId="77777777" w:rsidR="00327EDA" w:rsidRPr="00BE4481" w:rsidRDefault="00327EDA" w:rsidP="00327EDA">
            <w:pPr>
              <w:jc w:val="center"/>
              <w:rPr>
                <w:rFonts w:ascii="David" w:hAnsi="David"/>
                <w:b/>
                <w:bCs/>
                <w:sz w:val="26"/>
                <w:szCs w:val="26"/>
                <w:rtl/>
              </w:rPr>
            </w:pPr>
            <w:r w:rsidRPr="00BE4481">
              <w:rPr>
                <w:rFonts w:ascii="David" w:hAnsi="David"/>
                <w:b/>
                <w:bCs/>
                <w:sz w:val="26"/>
                <w:szCs w:val="26"/>
                <w:rtl/>
              </w:rPr>
              <w:t>נגד</w:t>
            </w:r>
          </w:p>
          <w:p w14:paraId="3383436F" w14:textId="77777777" w:rsidR="00327EDA" w:rsidRPr="00BE4481" w:rsidRDefault="00327EDA" w:rsidP="00327EDA">
            <w:pPr>
              <w:jc w:val="both"/>
              <w:rPr>
                <w:rFonts w:ascii="David" w:hAnsi="David"/>
                <w:sz w:val="26"/>
                <w:szCs w:val="26"/>
              </w:rPr>
            </w:pPr>
          </w:p>
        </w:tc>
      </w:tr>
      <w:tr w:rsidR="00327EDA" w:rsidRPr="00BE4481" w14:paraId="6212DBF1" w14:textId="77777777" w:rsidTr="00725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900846" w14:textId="77777777" w:rsidR="00327EDA" w:rsidRPr="00BE4481" w:rsidRDefault="00327EDA" w:rsidP="00B3768F">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59A1F94" w14:textId="77777777" w:rsidR="00327EDA" w:rsidRPr="00BE4481" w:rsidRDefault="00327EDA" w:rsidP="00B3768F">
            <w:pPr>
              <w:rPr>
                <w:rFonts w:ascii="Arial" w:hAnsi="Arial"/>
                <w:b/>
                <w:bCs/>
                <w:sz w:val="26"/>
                <w:szCs w:val="26"/>
                <w:rtl/>
              </w:rPr>
            </w:pPr>
            <w:r w:rsidRPr="00BE448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4BA2271" w14:textId="77777777" w:rsidR="00327EDA" w:rsidRPr="00BE4481" w:rsidRDefault="00327EDA" w:rsidP="00327EDA">
            <w:pPr>
              <w:suppressLineNumbers/>
              <w:rPr>
                <w:rFonts w:ascii="Arial" w:hAnsi="Arial"/>
                <w:b/>
                <w:bCs/>
                <w:sz w:val="26"/>
                <w:szCs w:val="26"/>
                <w:rtl/>
              </w:rPr>
            </w:pPr>
            <w:r w:rsidRPr="00BE4481">
              <w:rPr>
                <w:rFonts w:ascii="Arial" w:hAnsi="Arial"/>
                <w:b/>
                <w:bCs/>
                <w:sz w:val="26"/>
                <w:szCs w:val="26"/>
                <w:rtl/>
              </w:rPr>
              <w:t>רוני ישראלי</w:t>
            </w:r>
            <w:r w:rsidRPr="00BE4481">
              <w:rPr>
                <w:rFonts w:ascii="Arial" w:hAnsi="Arial" w:hint="cs"/>
                <w:b/>
                <w:bCs/>
                <w:sz w:val="26"/>
                <w:szCs w:val="26"/>
                <w:rtl/>
              </w:rPr>
              <w:t xml:space="preserve"> </w:t>
            </w:r>
          </w:p>
          <w:p w14:paraId="03C8334E" w14:textId="77777777" w:rsidR="00327EDA" w:rsidRPr="00BE4481" w:rsidRDefault="00327EDA" w:rsidP="00327EDA">
            <w:pPr>
              <w:suppressLineNumbers/>
            </w:pPr>
            <w:r w:rsidRPr="00BE4481">
              <w:rPr>
                <w:rFonts w:ascii="Arial" w:hAnsi="Arial"/>
                <w:b/>
                <w:bCs/>
                <w:sz w:val="26"/>
                <w:szCs w:val="26"/>
                <w:rtl/>
              </w:rPr>
              <w:t>ע"י ב"כ עוה"</w:t>
            </w:r>
            <w:r w:rsidRPr="00BE4481">
              <w:rPr>
                <w:rFonts w:ascii="Arial" w:hAnsi="Arial" w:hint="cs"/>
                <w:b/>
                <w:bCs/>
                <w:sz w:val="26"/>
                <w:szCs w:val="26"/>
                <w:rtl/>
              </w:rPr>
              <w:t>ד רעות אביטל</w:t>
            </w:r>
          </w:p>
          <w:p w14:paraId="3264DA2E" w14:textId="77777777" w:rsidR="00327EDA" w:rsidRPr="00BE4481" w:rsidRDefault="00327EDA" w:rsidP="00B3768F">
            <w:pPr>
              <w:rPr>
                <w:rFonts w:ascii="David" w:hAnsi="David"/>
                <w:sz w:val="26"/>
                <w:szCs w:val="26"/>
              </w:rPr>
            </w:pPr>
          </w:p>
        </w:tc>
      </w:tr>
      <w:bookmarkEnd w:id="2"/>
    </w:tbl>
    <w:p w14:paraId="088CA676" w14:textId="77777777" w:rsidR="00BE4481" w:rsidRPr="00BE4481" w:rsidRDefault="00BE4481" w:rsidP="00BE4481">
      <w:pPr>
        <w:spacing w:before="120" w:after="120" w:line="240" w:lineRule="exact"/>
        <w:ind w:left="283" w:hanging="283"/>
        <w:jc w:val="both"/>
        <w:rPr>
          <w:rFonts w:ascii="FrankRuehl" w:hAnsi="FrankRuehl" w:cs="FrankRuehl"/>
          <w:rtl/>
        </w:rPr>
      </w:pPr>
    </w:p>
    <w:p w14:paraId="16DAC4A7" w14:textId="77777777" w:rsidR="00BE4481" w:rsidRPr="00BE4481" w:rsidRDefault="00BE4481" w:rsidP="00BE4481">
      <w:pPr>
        <w:rPr>
          <w:sz w:val="26"/>
          <w:szCs w:val="26"/>
          <w:rtl/>
        </w:rPr>
      </w:pPr>
    </w:p>
    <w:p w14:paraId="61B6EE97" w14:textId="77777777" w:rsidR="007255D6" w:rsidRPr="007255D6" w:rsidRDefault="007255D6" w:rsidP="007255D6">
      <w:pPr>
        <w:spacing w:before="120" w:after="120" w:line="240" w:lineRule="exact"/>
        <w:ind w:left="283" w:hanging="283"/>
        <w:jc w:val="both"/>
        <w:rPr>
          <w:rFonts w:ascii="FrankRuehl" w:hAnsi="FrankRuehl" w:cs="FrankRuehl"/>
          <w:rtl/>
        </w:rPr>
      </w:pPr>
    </w:p>
    <w:p w14:paraId="41EC1256" w14:textId="77777777" w:rsidR="00661231" w:rsidRPr="00661231" w:rsidRDefault="00661231" w:rsidP="00661231">
      <w:pPr>
        <w:spacing w:before="120" w:after="120" w:line="240" w:lineRule="exact"/>
        <w:ind w:left="283" w:hanging="283"/>
        <w:jc w:val="both"/>
        <w:rPr>
          <w:rFonts w:ascii="FrankRuehl" w:hAnsi="FrankRuehl" w:cs="FrankRuehl"/>
          <w:rtl/>
        </w:rPr>
      </w:pPr>
    </w:p>
    <w:p w14:paraId="18885445" w14:textId="77777777" w:rsidR="004F09B0" w:rsidRDefault="004F09B0" w:rsidP="004F09B0">
      <w:pPr>
        <w:rPr>
          <w:sz w:val="26"/>
          <w:szCs w:val="26"/>
          <w:rtl/>
        </w:rPr>
      </w:pPr>
      <w:bookmarkStart w:id="3" w:name="LawTable"/>
      <w:bookmarkEnd w:id="3"/>
    </w:p>
    <w:p w14:paraId="4115AB8A" w14:textId="77777777" w:rsidR="004F09B0" w:rsidRPr="004F09B0" w:rsidRDefault="004F09B0" w:rsidP="004F09B0">
      <w:pPr>
        <w:spacing w:before="120" w:after="120" w:line="240" w:lineRule="exact"/>
        <w:ind w:left="283" w:hanging="283"/>
        <w:jc w:val="both"/>
        <w:rPr>
          <w:rFonts w:ascii="FrankRuehl" w:hAnsi="FrankRuehl" w:cs="FrankRuehl"/>
          <w:rtl/>
        </w:rPr>
      </w:pPr>
    </w:p>
    <w:p w14:paraId="7762AA1E" w14:textId="77777777" w:rsidR="004F09B0" w:rsidRPr="004F09B0" w:rsidRDefault="004F09B0" w:rsidP="004F09B0">
      <w:pPr>
        <w:spacing w:before="120" w:after="120" w:line="240" w:lineRule="exact"/>
        <w:ind w:left="283" w:hanging="283"/>
        <w:jc w:val="both"/>
        <w:rPr>
          <w:rFonts w:ascii="FrankRuehl" w:hAnsi="FrankRuehl" w:cs="FrankRuehl"/>
          <w:rtl/>
        </w:rPr>
      </w:pPr>
    </w:p>
    <w:p w14:paraId="1F252AB3" w14:textId="77777777" w:rsidR="004F09B0" w:rsidRPr="004F09B0" w:rsidRDefault="004F09B0" w:rsidP="004F09B0">
      <w:pPr>
        <w:spacing w:before="120" w:after="120" w:line="240" w:lineRule="exact"/>
        <w:ind w:left="283" w:hanging="283"/>
        <w:jc w:val="both"/>
        <w:rPr>
          <w:rFonts w:ascii="FrankRuehl" w:hAnsi="FrankRuehl" w:cs="FrankRuehl"/>
          <w:rtl/>
        </w:rPr>
      </w:pPr>
      <w:r w:rsidRPr="004F09B0">
        <w:rPr>
          <w:rFonts w:ascii="FrankRuehl" w:hAnsi="FrankRuehl" w:cs="FrankRuehl"/>
          <w:rtl/>
        </w:rPr>
        <w:t xml:space="preserve">חקיקה שאוזכרה: </w:t>
      </w:r>
    </w:p>
    <w:p w14:paraId="6FE3DAC8" w14:textId="77777777" w:rsidR="004F09B0" w:rsidRPr="004F09B0" w:rsidRDefault="004F09B0" w:rsidP="004F09B0">
      <w:pPr>
        <w:spacing w:before="120" w:after="120" w:line="240" w:lineRule="exact"/>
        <w:ind w:left="283" w:hanging="283"/>
        <w:jc w:val="both"/>
        <w:rPr>
          <w:rFonts w:ascii="FrankRuehl" w:hAnsi="FrankRuehl" w:cs="FrankRuehl"/>
          <w:rtl/>
        </w:rPr>
      </w:pPr>
      <w:hyperlink r:id="rId7" w:history="1">
        <w:r w:rsidRPr="004F09B0">
          <w:rPr>
            <w:rFonts w:ascii="FrankRuehl" w:hAnsi="FrankRuehl" w:cs="FrankRuehl"/>
            <w:color w:val="0000FF"/>
            <w:rtl/>
          </w:rPr>
          <w:t>חוק הכניסה לישראל, תשי"ב-1952</w:t>
        </w:r>
      </w:hyperlink>
      <w:r w:rsidRPr="004F09B0">
        <w:rPr>
          <w:rFonts w:ascii="FrankRuehl" w:hAnsi="FrankRuehl" w:cs="FrankRuehl"/>
          <w:rtl/>
        </w:rPr>
        <w:t xml:space="preserve">: סע'  </w:t>
      </w:r>
      <w:hyperlink r:id="rId8" w:history="1">
        <w:r w:rsidRPr="004F09B0">
          <w:rPr>
            <w:rFonts w:ascii="FrankRuehl" w:hAnsi="FrankRuehl" w:cs="FrankRuehl"/>
            <w:color w:val="0000FF"/>
            <w:rtl/>
          </w:rPr>
          <w:t>12א(ג)(1)</w:t>
        </w:r>
      </w:hyperlink>
    </w:p>
    <w:p w14:paraId="134D2EFC" w14:textId="77777777" w:rsidR="004F09B0" w:rsidRPr="004F09B0" w:rsidRDefault="004F09B0" w:rsidP="004F09B0">
      <w:pPr>
        <w:spacing w:before="120" w:after="120" w:line="240" w:lineRule="exact"/>
        <w:ind w:left="283" w:hanging="283"/>
        <w:jc w:val="both"/>
        <w:rPr>
          <w:rFonts w:ascii="FrankRuehl" w:hAnsi="FrankRuehl" w:cs="FrankRuehl"/>
          <w:rtl/>
        </w:rPr>
      </w:pPr>
      <w:hyperlink r:id="rId9" w:history="1">
        <w:r w:rsidRPr="004F09B0">
          <w:rPr>
            <w:rFonts w:ascii="FrankRuehl" w:hAnsi="FrankRuehl" w:cs="FrankRuehl"/>
            <w:color w:val="0000FF"/>
            <w:rtl/>
          </w:rPr>
          <w:t>פקודת הסמים המסוכנים [נוסח חדש], תשל"ג-1973</w:t>
        </w:r>
      </w:hyperlink>
      <w:r w:rsidRPr="004F09B0">
        <w:rPr>
          <w:rFonts w:ascii="FrankRuehl" w:hAnsi="FrankRuehl" w:cs="FrankRuehl"/>
          <w:rtl/>
        </w:rPr>
        <w:t xml:space="preserve">: סע'  </w:t>
      </w:r>
      <w:hyperlink r:id="rId10" w:history="1">
        <w:r w:rsidRPr="004F09B0">
          <w:rPr>
            <w:rFonts w:ascii="FrankRuehl" w:hAnsi="FrankRuehl" w:cs="FrankRuehl"/>
            <w:color w:val="0000FF"/>
            <w:rtl/>
          </w:rPr>
          <w:t>7.א.</w:t>
        </w:r>
      </w:hyperlink>
      <w:r w:rsidRPr="004F09B0">
        <w:rPr>
          <w:rFonts w:ascii="FrankRuehl" w:hAnsi="FrankRuehl" w:cs="FrankRuehl"/>
          <w:rtl/>
        </w:rPr>
        <w:t xml:space="preserve">, </w:t>
      </w:r>
      <w:hyperlink r:id="rId11" w:history="1">
        <w:r w:rsidRPr="004F09B0">
          <w:rPr>
            <w:rFonts w:ascii="FrankRuehl" w:hAnsi="FrankRuehl" w:cs="FrankRuehl"/>
            <w:color w:val="0000FF"/>
            <w:rtl/>
          </w:rPr>
          <w:t>7.ג</w:t>
        </w:r>
      </w:hyperlink>
    </w:p>
    <w:p w14:paraId="131024A2" w14:textId="77777777" w:rsidR="004F09B0" w:rsidRPr="004F09B0" w:rsidRDefault="004F09B0" w:rsidP="004F09B0">
      <w:pPr>
        <w:spacing w:before="120" w:after="120" w:line="240" w:lineRule="exact"/>
        <w:ind w:left="283" w:hanging="283"/>
        <w:jc w:val="both"/>
        <w:rPr>
          <w:rFonts w:ascii="FrankRuehl" w:hAnsi="FrankRuehl" w:cs="FrankRuehl"/>
          <w:rtl/>
        </w:rPr>
      </w:pPr>
      <w:hyperlink r:id="rId12" w:history="1">
        <w:r w:rsidRPr="004F09B0">
          <w:rPr>
            <w:rFonts w:ascii="FrankRuehl" w:hAnsi="FrankRuehl" w:cs="FrankRuehl"/>
            <w:color w:val="0000FF"/>
            <w:rtl/>
          </w:rPr>
          <w:t>חוק העונשין, תשל"ז-1977</w:t>
        </w:r>
      </w:hyperlink>
      <w:r w:rsidRPr="004F09B0">
        <w:rPr>
          <w:rFonts w:ascii="FrankRuehl" w:hAnsi="FrankRuehl" w:cs="FrankRuehl"/>
          <w:rtl/>
        </w:rPr>
        <w:t xml:space="preserve">: סע'  </w:t>
      </w:r>
      <w:hyperlink r:id="rId13" w:history="1">
        <w:r w:rsidRPr="004F09B0">
          <w:rPr>
            <w:rFonts w:ascii="FrankRuehl" w:hAnsi="FrankRuehl" w:cs="FrankRuehl"/>
            <w:color w:val="0000FF"/>
            <w:rtl/>
          </w:rPr>
          <w:t>40ב</w:t>
        </w:r>
      </w:hyperlink>
      <w:r w:rsidRPr="004F09B0">
        <w:rPr>
          <w:rFonts w:ascii="FrankRuehl" w:hAnsi="FrankRuehl" w:cs="FrankRuehl"/>
          <w:rtl/>
        </w:rPr>
        <w:t xml:space="preserve">, </w:t>
      </w:r>
      <w:hyperlink r:id="rId14" w:history="1">
        <w:r w:rsidRPr="004F09B0">
          <w:rPr>
            <w:rFonts w:ascii="FrankRuehl" w:hAnsi="FrankRuehl" w:cs="FrankRuehl"/>
            <w:color w:val="0000FF"/>
            <w:rtl/>
          </w:rPr>
          <w:t>40ג</w:t>
        </w:r>
      </w:hyperlink>
      <w:r w:rsidRPr="004F09B0">
        <w:rPr>
          <w:rFonts w:ascii="FrankRuehl" w:hAnsi="FrankRuehl" w:cs="FrankRuehl"/>
          <w:rtl/>
        </w:rPr>
        <w:t xml:space="preserve">, </w:t>
      </w:r>
      <w:hyperlink r:id="rId15" w:history="1">
        <w:r w:rsidRPr="004F09B0">
          <w:rPr>
            <w:rFonts w:ascii="FrankRuehl" w:hAnsi="FrankRuehl" w:cs="FrankRuehl"/>
            <w:color w:val="0000FF"/>
            <w:rtl/>
          </w:rPr>
          <w:t>40ג(ב)</w:t>
        </w:r>
      </w:hyperlink>
      <w:r w:rsidRPr="004F09B0">
        <w:rPr>
          <w:rFonts w:ascii="FrankRuehl" w:hAnsi="FrankRuehl" w:cs="FrankRuehl"/>
          <w:rtl/>
        </w:rPr>
        <w:t xml:space="preserve">, </w:t>
      </w:r>
      <w:hyperlink r:id="rId16" w:history="1">
        <w:r w:rsidRPr="004F09B0">
          <w:rPr>
            <w:rFonts w:ascii="FrankRuehl" w:hAnsi="FrankRuehl" w:cs="FrankRuehl"/>
            <w:color w:val="0000FF"/>
            <w:rtl/>
          </w:rPr>
          <w:t>40 ד(א)</w:t>
        </w:r>
      </w:hyperlink>
      <w:r w:rsidRPr="004F09B0">
        <w:rPr>
          <w:rFonts w:ascii="FrankRuehl" w:hAnsi="FrankRuehl" w:cs="FrankRuehl"/>
          <w:rtl/>
        </w:rPr>
        <w:t xml:space="preserve">, </w:t>
      </w:r>
      <w:hyperlink r:id="rId17" w:history="1">
        <w:r w:rsidRPr="004F09B0">
          <w:rPr>
            <w:rFonts w:ascii="FrankRuehl" w:hAnsi="FrankRuehl" w:cs="FrankRuehl"/>
            <w:color w:val="0000FF"/>
            <w:rtl/>
          </w:rPr>
          <w:t>40ח</w:t>
        </w:r>
      </w:hyperlink>
    </w:p>
    <w:p w14:paraId="6D5A1F55" w14:textId="77777777" w:rsidR="004F09B0" w:rsidRPr="004F09B0" w:rsidRDefault="004F09B0" w:rsidP="004F09B0">
      <w:pPr>
        <w:rPr>
          <w:sz w:val="26"/>
          <w:szCs w:val="26"/>
          <w:rtl/>
        </w:rPr>
      </w:pPr>
      <w:bookmarkStart w:id="4" w:name="LawTable_End"/>
      <w:bookmarkEnd w:id="4"/>
    </w:p>
    <w:p w14:paraId="357100D5" w14:textId="77777777" w:rsidR="007255D6" w:rsidRPr="00661231" w:rsidRDefault="007255D6" w:rsidP="0066123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7EDA" w14:paraId="46032FEE" w14:textId="77777777" w:rsidTr="00327EDA">
        <w:trPr>
          <w:trHeight w:val="355"/>
          <w:jc w:val="center"/>
        </w:trPr>
        <w:tc>
          <w:tcPr>
            <w:tcW w:w="8820" w:type="dxa"/>
            <w:tcBorders>
              <w:top w:val="nil"/>
              <w:left w:val="nil"/>
              <w:bottom w:val="nil"/>
              <w:right w:val="nil"/>
            </w:tcBorders>
            <w:shd w:val="clear" w:color="auto" w:fill="auto"/>
          </w:tcPr>
          <w:p w14:paraId="4B39B615" w14:textId="77777777" w:rsidR="00BE4481" w:rsidRPr="00BE4481" w:rsidRDefault="00BE4481" w:rsidP="00BE4481">
            <w:pPr>
              <w:jc w:val="center"/>
              <w:rPr>
                <w:rFonts w:ascii="David" w:hAnsi="David"/>
                <w:b/>
                <w:bCs/>
                <w:sz w:val="32"/>
                <w:szCs w:val="32"/>
                <w:u w:val="single"/>
                <w:rtl/>
              </w:rPr>
            </w:pPr>
            <w:bookmarkStart w:id="5" w:name="PsakDin" w:colFirst="0" w:colLast="0"/>
            <w:bookmarkEnd w:id="0"/>
            <w:r w:rsidRPr="00BE4481">
              <w:rPr>
                <w:rFonts w:ascii="David" w:hAnsi="David"/>
                <w:b/>
                <w:bCs/>
                <w:sz w:val="32"/>
                <w:szCs w:val="32"/>
                <w:u w:val="single"/>
                <w:rtl/>
              </w:rPr>
              <w:t>גזר דין</w:t>
            </w:r>
          </w:p>
          <w:p w14:paraId="000B2125" w14:textId="77777777" w:rsidR="00327EDA" w:rsidRPr="00BE4481" w:rsidRDefault="00327EDA" w:rsidP="00BE4481">
            <w:pPr>
              <w:jc w:val="center"/>
              <w:rPr>
                <w:rFonts w:ascii="David" w:hAnsi="David"/>
                <w:bCs/>
                <w:sz w:val="32"/>
                <w:szCs w:val="32"/>
                <w:u w:val="single"/>
                <w:rtl/>
              </w:rPr>
            </w:pPr>
          </w:p>
        </w:tc>
      </w:tr>
    </w:tbl>
    <w:p w14:paraId="03528CBE"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bookmarkStart w:id="6" w:name="ABSTRACT_START"/>
      <w:bookmarkEnd w:id="5"/>
      <w:bookmarkEnd w:id="6"/>
      <w:r>
        <w:rPr>
          <w:rFonts w:ascii="David" w:hAnsi="David" w:cs="David"/>
          <w:sz w:val="24"/>
          <w:szCs w:val="24"/>
          <w:rtl/>
        </w:rPr>
        <w:t xml:space="preserve">הנאשם הורשע, על פי הודאתו בכתב אישום מתוקן, בעבירות של הסעת תושב זר השוהה בישראל שלא כדין לפי </w:t>
      </w:r>
      <w:hyperlink r:id="rId18" w:history="1">
        <w:r w:rsidR="007255D6" w:rsidRPr="007255D6">
          <w:rPr>
            <w:rStyle w:val="Hyperlink"/>
            <w:rFonts w:ascii="David" w:hAnsi="David" w:cs="David"/>
            <w:sz w:val="24"/>
            <w:szCs w:val="24"/>
            <w:rtl/>
          </w:rPr>
          <w:t>סעיף 12א(ג)(1)</w:t>
        </w:r>
      </w:hyperlink>
      <w:r>
        <w:rPr>
          <w:rFonts w:ascii="David" w:hAnsi="David" w:cs="David"/>
          <w:sz w:val="24"/>
          <w:szCs w:val="24"/>
          <w:rtl/>
        </w:rPr>
        <w:t xml:space="preserve"> ל</w:t>
      </w:r>
      <w:hyperlink r:id="rId19" w:history="1">
        <w:r w:rsidR="00BE4481" w:rsidRPr="00BE4481">
          <w:rPr>
            <w:rFonts w:ascii="David" w:hAnsi="David" w:cs="David"/>
            <w:b/>
            <w:bCs/>
            <w:color w:val="0000FF"/>
            <w:sz w:val="24"/>
            <w:szCs w:val="24"/>
            <w:u w:val="single"/>
            <w:rtl/>
          </w:rPr>
          <w:t>חוק הכניסה לישראל</w:t>
        </w:r>
      </w:hyperlink>
      <w:r>
        <w:rPr>
          <w:rFonts w:ascii="David" w:hAnsi="David" w:cs="David"/>
          <w:sz w:val="24"/>
          <w:szCs w:val="24"/>
          <w:rtl/>
        </w:rPr>
        <w:t xml:space="preserve">, תשי"ב – 1952 והחזקת סמים שלא לצריכה עצמית לפי </w:t>
      </w:r>
      <w:hyperlink r:id="rId20" w:history="1">
        <w:r w:rsidR="007255D6" w:rsidRPr="007255D6">
          <w:rPr>
            <w:rStyle w:val="Hyperlink"/>
            <w:rFonts w:ascii="David" w:hAnsi="David" w:cs="David"/>
            <w:sz w:val="24"/>
            <w:szCs w:val="24"/>
            <w:rtl/>
          </w:rPr>
          <w:t>סעיף 7(א)+7(ג)</w:t>
        </w:r>
      </w:hyperlink>
      <w:r>
        <w:rPr>
          <w:rFonts w:ascii="David" w:hAnsi="David" w:cs="David"/>
          <w:sz w:val="24"/>
          <w:szCs w:val="24"/>
          <w:rtl/>
        </w:rPr>
        <w:t xml:space="preserve"> ל</w:t>
      </w:r>
      <w:hyperlink r:id="rId21" w:history="1">
        <w:r w:rsidR="00BE4481" w:rsidRPr="00BE4481">
          <w:rPr>
            <w:rFonts w:ascii="David" w:hAnsi="David" w:cs="David"/>
            <w:b/>
            <w:bCs/>
            <w:color w:val="0000FF"/>
            <w:sz w:val="24"/>
            <w:szCs w:val="24"/>
            <w:u w:val="single"/>
            <w:rtl/>
          </w:rPr>
          <w:t>פקודת הסמים המסוכנים</w:t>
        </w:r>
      </w:hyperlink>
      <w:r>
        <w:rPr>
          <w:rFonts w:ascii="David" w:hAnsi="David" w:cs="David"/>
          <w:b/>
          <w:bCs/>
          <w:sz w:val="24"/>
          <w:szCs w:val="24"/>
          <w:rtl/>
        </w:rPr>
        <w:t xml:space="preserve"> </w:t>
      </w:r>
      <w:r>
        <w:rPr>
          <w:rFonts w:ascii="David" w:hAnsi="David" w:cs="David"/>
          <w:sz w:val="24"/>
          <w:szCs w:val="24"/>
          <w:rtl/>
        </w:rPr>
        <w:t>(נוסח חדש), התשל"ג-1973.</w:t>
      </w:r>
    </w:p>
    <w:p w14:paraId="10EDF685"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bookmarkStart w:id="7" w:name="ABSTRACT_END"/>
      <w:bookmarkEnd w:id="7"/>
      <w:r>
        <w:rPr>
          <w:rFonts w:ascii="David" w:hAnsi="David" w:cs="David"/>
          <w:sz w:val="24"/>
          <w:szCs w:val="24"/>
          <w:rtl/>
        </w:rPr>
        <w:t xml:space="preserve">על פי עובדות כתב האישום המתוקן, בתאריך 08.09.21 בשעה 19:09 או בסמוך לכך, בכניסה לעיר ערד, הנאשם הסיע ברכבו שני תושבים זרים, ששהו בתחומי מדינת ישראל מבלי שהחזיקו בידם אישור כניסה או שהייה בישראל כדין (להלן: </w:t>
      </w:r>
      <w:r>
        <w:rPr>
          <w:rFonts w:ascii="David" w:hAnsi="David" w:cs="David"/>
          <w:b/>
          <w:bCs/>
          <w:sz w:val="24"/>
          <w:szCs w:val="24"/>
          <w:rtl/>
        </w:rPr>
        <w:t>שוהה בלתי חוקי או שב"ח)</w:t>
      </w:r>
      <w:r>
        <w:rPr>
          <w:rFonts w:ascii="David" w:hAnsi="David" w:cs="David"/>
          <w:sz w:val="24"/>
          <w:szCs w:val="24"/>
          <w:rtl/>
        </w:rPr>
        <w:t>.</w:t>
      </w:r>
    </w:p>
    <w:p w14:paraId="14170737"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lastRenderedPageBreak/>
        <w:t>באותו מעמד הנאשם החזיק ברכבו בין מושב הנהג לבין משענת היד סם מסוכן מסוג חשיש במשקל כולל של 82.39 גרם וכן החזיק מתחת למושב הקדמי הימני ברכב סם מסוכן מסוג קנבוס במשקל כולל של 20.87 גרם ובמשקל. הסמים הוחזקו על ידי הנאשם שלא לצריכתו העצמית וללא היתר בפקודה או בתקנות או רישיון מאת המנהל.</w:t>
      </w:r>
    </w:p>
    <w:p w14:paraId="527C8A9E"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 ביום 04.12.22 הצדדים הודיעו כי הגיעו להסדר טיעון לפיו הנאשם יודה ויורשע, יופנה לקבלת תסקיר שירות המבחן ולאחר קבלת התסקיר הצדדים יטענו לעונש באופן חופשי. </w:t>
      </w:r>
    </w:p>
    <w:p w14:paraId="0EDEADBD" w14:textId="77777777" w:rsidR="00327EDA" w:rsidRDefault="00327EDA" w:rsidP="00327EDA">
      <w:pPr>
        <w:spacing w:before="120" w:after="120" w:line="360" w:lineRule="auto"/>
        <w:ind w:firstLine="368"/>
        <w:rPr>
          <w:rFonts w:ascii="David" w:hAnsi="David"/>
          <w:b/>
          <w:bCs/>
          <w:u w:val="single"/>
        </w:rPr>
      </w:pPr>
      <w:r>
        <w:rPr>
          <w:rFonts w:ascii="David" w:hAnsi="David"/>
          <w:b/>
          <w:bCs/>
          <w:u w:val="single"/>
          <w:rtl/>
        </w:rPr>
        <w:t>תסקיר שירות המבחן</w:t>
      </w:r>
    </w:p>
    <w:p w14:paraId="0FBBD313"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b/>
          <w:bCs/>
          <w:sz w:val="24"/>
          <w:szCs w:val="24"/>
          <w:rtl/>
        </w:rPr>
      </w:pPr>
      <w:r>
        <w:rPr>
          <w:rFonts w:ascii="David" w:hAnsi="David" w:cs="David"/>
          <w:b/>
          <w:bCs/>
          <w:sz w:val="24"/>
          <w:szCs w:val="24"/>
          <w:rtl/>
        </w:rPr>
        <w:t xml:space="preserve">בעניינו של הנאשם הוגשו שני תסקירים של שירות המבחן. בתסקיר הראשון מיום 26.05.23 התבקשה תקופת ניסיון של שלושה חודשים לצורך שילוב הנאשם בהליך טיפולי. ביום 22.10.23 הוגש תסקיר משלים אשר המליץ להשית על הנאשם מאסר שירוצה בעבודות שירות לצד מאסר מותנה. </w:t>
      </w:r>
    </w:p>
    <w:p w14:paraId="339D4836"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מהתסקיר שהוגש ביום 26.05.23 עולה כי הנאשם בן 59, גרוש ואב ל-3 ילדים, מתגורר בקיבוץ חן ועובד כאיש תחזוקה במלון בים המלח. שירות המבחן סקר את נסיבות חייו של הנאשם, המסגרת המשפחתית בה גדל, התבגרותו, שירותו הצבאי, קשיים שהתמודד עימם במהלך חייו והשתלבותו במסגרת תעסוקתית.</w:t>
      </w:r>
    </w:p>
    <w:p w14:paraId="33E7FDF5"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ביחס למצבו הרפואי של הנאשם צוין שהנאשם מוכר כנכה במוסד לביטוח לאומי עם דרגת אי כושר עבודה בשיעור של 75%. </w:t>
      </w:r>
    </w:p>
    <w:p w14:paraId="66067EA3"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ביחס למצבו הכלכלי שירות המבחן ציין כי בין השנים 2017-2023 הנאשם הפסיק לעבוד עקב פציעה ברגלו. בתקופה זו ועד אשר הוכר כנכה מטעם המוסד לביטוח לאומי צבר חובות גבוהים לגופים ממסדיים שונים בגינם התנהל כנגדו הליך בהוצאה לפועל, הגיע להסדר וכיום עומד בתשלום ההסדר החודשי.</w:t>
      </w:r>
    </w:p>
    <w:p w14:paraId="22351CDE"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בסקירת ההיסטוריה העבריינית של הנאשם צוין כי לנאשם הרשעה קודמת משנת 2015 בגין עבירת תקיפה הגורמת חבלה של ממש משנת 2011, שבגינה הוא נדון לצו של"צ בהיקף 100 שעות, מע"ת, קנס ופיצוי.  </w:t>
      </w:r>
    </w:p>
    <w:p w14:paraId="6AA12878"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בהתייחס לנסיבות ביצוע העבירות – הנאשם הודה בביצוע העבירות ומסר שהסיע שני חברים מקלקיליה בעלי אשרת שהייה בישראל לצורך ביצוע עבודה בערד. לדבריו, החברים הביאו עמם שני פועלים נוספים והוא לא בדק אם יש ברשותם אשרת שהייה בישראל. ביחס לעבירת החזקת הסמים הנאשם שלל כוונת סחר וטען כי בתקופה שקדמה לתקופת ביצוע העבירות צרך סמים מסוג קנאביס באופן אינטנסיבי כאמצעי להרגעה עצמית, הקלה על כאביו הפיזיים והתמודדות עם קשייו הרגשיים ונהג לרכוש כמויות גדולות במטרה להוזיל את המחיר. שירות המבחן התרשם כי הרקע לביצוע העבירות הוא שימוש אינטנסיבי בסמים שגרם להגמשת גבולותיו הפנימיים ועמדותיו כלפי החוק. לדברי הנאשם, ממועד ביצוע העבירות הפסיק את השימוש </w:t>
      </w:r>
      <w:r>
        <w:rPr>
          <w:rFonts w:ascii="David" w:hAnsi="David" w:cs="David"/>
          <w:sz w:val="24"/>
          <w:szCs w:val="24"/>
          <w:rtl/>
        </w:rPr>
        <w:lastRenderedPageBreak/>
        <w:t>בסמים והחליף טיפול תרופתי להתמודדות עם כאביו הפיזיים. 2 בדיקות שתן לאיתור שרידי סם נמצאו נקיות.</w:t>
      </w:r>
    </w:p>
    <w:p w14:paraId="439A69CC"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שירות המבחן התרשם כי לנאשם יכולות וכוחות, גילה יציבות במסגרות החיים השונות במהלך השנים, ביצע את העבירות בתקופה משברית בחייו ומכיר בבעייתיות העולה מהתנהלותו. מנגד, לנאשם קושי בלקיחת אחריות מלאה, מצמצם מחומרת מעשיו ומהסיכון הגלום בהם. </w:t>
      </w:r>
    </w:p>
    <w:p w14:paraId="15D987A9"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הנאשם שלל נזקקות טיפולית בתחום ההתמכרות לסמים והעריך כי ביכולתו להימנע מסמים באופן עצמאי. לטענתו נמנע משימוש בסמים מזה כשנתיים. שירות המבחן התרשם כי הנאשם מתקשה להכיר בדפוסיו ההתמכרותיים, משתמש במנגנון הגנה מסוג הכחשה ביחס לתלות אותה פיתח בסמים ומבטא מוטיבציה חיצונית להשתלבות בטיפול פרטני כאמצעי להקלה בעונשו בהליך. </w:t>
      </w:r>
    </w:p>
    <w:p w14:paraId="55361BFC"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מהתסקיר המשלים שהוגש ביום 22.10.23 עולה כי בתאריך 29.06.23 הנאשם השתלב בהליך טיפולי פרטני הכולל שיחה פרטנית חד שבועית. הנאשם גילה קשיים בהגעה יציבה לשיחות הטיפוליות עקב עבודתו בים המלח ולכן התקיימו 4 פגישות טיפוליות בלבד במסגרתן ביטא תסכול וחוסר הבנה באשר להליך הטיפולי. הנאשם ביטא קושי בלקיחת אחריות למעשיו, חיפש צידוקים להתנהגותו, צמצם חומרת מעשיו והתקשה בעריכת התבוננות ביקורתית אודות דפוסיו. </w:t>
      </w:r>
    </w:p>
    <w:p w14:paraId="17DC783A"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שירות המבחן ציין כי לאורך כל הפגישות הנאשם ביטא תפיסתו כי הפיק את הלקח הנדרש ממעשיו, הדגיש תפקודו היציב במסגרת המשפחתית והתעסוקתית, את העובדה שהפסיק את השימוש בסמים בכוחות עצמו בסמוך למעצרו בגין העבירות ואת העובדה שכיום עובד כשכיר ולא זקוק לפועלים. שירות המבחן התרשם מהיעדר אפקטיביות של ההליך הטיפולי והוחלט על הפסקת הטיפול.</w:t>
      </w:r>
    </w:p>
    <w:p w14:paraId="7FFD0F33" w14:textId="77777777" w:rsidR="00327EDA" w:rsidRDefault="00327EDA" w:rsidP="00327EDA">
      <w:pPr>
        <w:pStyle w:val="ab"/>
        <w:numPr>
          <w:ilvl w:val="0"/>
          <w:numId w:val="2"/>
        </w:numPr>
        <w:spacing w:before="120" w:after="120" w:line="360" w:lineRule="auto"/>
        <w:ind w:left="369"/>
        <w:contextualSpacing w:val="0"/>
        <w:jc w:val="both"/>
        <w:rPr>
          <w:rFonts w:ascii="David" w:hAnsi="David" w:cs="David"/>
          <w:sz w:val="24"/>
          <w:szCs w:val="24"/>
        </w:rPr>
      </w:pPr>
      <w:r>
        <w:rPr>
          <w:rFonts w:ascii="David" w:hAnsi="David" w:cs="David"/>
          <w:sz w:val="24"/>
          <w:szCs w:val="24"/>
          <w:rtl/>
        </w:rPr>
        <w:t>בהיעדר שיתוף פעולה מצד הנאשם בהליך הטיפולי שירות המבחן לא בא בהמלצה שיקומית בעניינו והמליץ על הטלת עונש מאסר בעבודות שירות לצד עונש מאסר מותנה.</w:t>
      </w:r>
    </w:p>
    <w:p w14:paraId="2A3D1855" w14:textId="77777777" w:rsidR="00327EDA" w:rsidRPr="00327EDA" w:rsidRDefault="00327EDA" w:rsidP="00327EDA">
      <w:pPr>
        <w:spacing w:before="120" w:after="120" w:line="360" w:lineRule="auto"/>
        <w:ind w:left="8" w:firstLine="360"/>
        <w:jc w:val="both"/>
        <w:rPr>
          <w:rFonts w:ascii="David" w:eastAsia="Calibri" w:hAnsi="David"/>
          <w:b/>
          <w:bCs/>
          <w:u w:val="single"/>
        </w:rPr>
      </w:pPr>
      <w:r>
        <w:rPr>
          <w:rFonts w:ascii="David" w:hAnsi="David"/>
          <w:b/>
          <w:bCs/>
          <w:u w:val="single"/>
          <w:rtl/>
        </w:rPr>
        <w:t>טענות הצדדים</w:t>
      </w:r>
    </w:p>
    <w:p w14:paraId="04DB31A6" w14:textId="77777777" w:rsidR="00327EDA" w:rsidRDefault="00327EDA" w:rsidP="00327EDA">
      <w:pPr>
        <w:pStyle w:val="ab"/>
        <w:numPr>
          <w:ilvl w:val="0"/>
          <w:numId w:val="2"/>
        </w:numPr>
        <w:spacing w:before="120" w:after="120" w:line="360" w:lineRule="auto"/>
        <w:ind w:left="369"/>
        <w:contextualSpacing w:val="0"/>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xml:space="preserve"> טענה למתחם ענישה אחד הנע בין 8-18 חודשי מאסר בפועל לצד מאסר מותנה ארוך ומרתיע, פסילת רישיון נהיגה בפועל ועל תנאי, קנס משמעותי והתחייבות.</w:t>
      </w:r>
    </w:p>
    <w:p w14:paraId="680C6CB1" w14:textId="77777777" w:rsidR="00327EDA" w:rsidRDefault="00327EDA" w:rsidP="00327EDA">
      <w:pPr>
        <w:pStyle w:val="ab"/>
        <w:spacing w:before="120" w:after="120" w:line="360" w:lineRule="auto"/>
        <w:ind w:left="360"/>
        <w:contextualSpacing w:val="0"/>
        <w:jc w:val="both"/>
        <w:rPr>
          <w:rFonts w:ascii="David" w:hAnsi="David" w:cs="David"/>
          <w:sz w:val="24"/>
          <w:szCs w:val="24"/>
        </w:rPr>
      </w:pPr>
      <w:r>
        <w:rPr>
          <w:rFonts w:ascii="David" w:hAnsi="David" w:cs="David"/>
          <w:sz w:val="24"/>
          <w:szCs w:val="24"/>
          <w:rtl/>
        </w:rPr>
        <w:t>לתמיכה בעמדתה העונשית ב"כ המאשימה הפנתה למספר גזרי דין, אתייחס לחלקם בהמשך.</w:t>
      </w:r>
    </w:p>
    <w:p w14:paraId="3FB2B5C4" w14:textId="77777777" w:rsidR="00327EDA" w:rsidRPr="00327EDA" w:rsidRDefault="00327EDA" w:rsidP="00327EDA">
      <w:pPr>
        <w:pStyle w:val="ab"/>
        <w:numPr>
          <w:ilvl w:val="0"/>
          <w:numId w:val="2"/>
        </w:numPr>
        <w:spacing w:before="120" w:after="120" w:line="360" w:lineRule="auto"/>
        <w:ind w:left="369"/>
        <w:contextualSpacing w:val="0"/>
        <w:jc w:val="both"/>
        <w:rPr>
          <w:rFonts w:cs="David"/>
          <w:sz w:val="24"/>
          <w:szCs w:val="24"/>
        </w:rPr>
      </w:pPr>
      <w:r>
        <w:rPr>
          <w:rFonts w:ascii="David" w:hAnsi="David" w:cs="David"/>
          <w:sz w:val="24"/>
          <w:szCs w:val="24"/>
          <w:rtl/>
        </w:rPr>
        <w:t xml:space="preserve">ב"כ המאשימה עמדה על הערכים המוגנים שנפגעו כתוצאה מביצוע העבירות, על התוצאות הקשות הנובעות מביצוע העבירות ועל הצורך בהתמודדות עם עבירות אלו בצורה אפקטיבית כדי למנוע התפשטותן. </w:t>
      </w:r>
    </w:p>
    <w:p w14:paraId="45F3F685" w14:textId="77777777" w:rsidR="00327EDA" w:rsidRDefault="00327EDA" w:rsidP="00327EDA">
      <w:pPr>
        <w:pStyle w:val="ab"/>
        <w:numPr>
          <w:ilvl w:val="0"/>
          <w:numId w:val="2"/>
        </w:numPr>
        <w:spacing w:before="120" w:after="120" w:line="360" w:lineRule="auto"/>
        <w:ind w:left="369"/>
        <w:contextualSpacing w:val="0"/>
        <w:jc w:val="both"/>
        <w:rPr>
          <w:rFonts w:cs="David"/>
          <w:sz w:val="24"/>
          <w:szCs w:val="24"/>
        </w:rPr>
      </w:pPr>
      <w:r>
        <w:rPr>
          <w:rFonts w:ascii="David" w:hAnsi="David" w:cs="David"/>
          <w:sz w:val="24"/>
          <w:szCs w:val="24"/>
          <w:rtl/>
        </w:rPr>
        <w:t>בנסיבות הקשורות לביצוע העבירה ב"כ המאשימה ביקשה</w:t>
      </w:r>
      <w:r>
        <w:rPr>
          <w:rFonts w:cs="David"/>
          <w:sz w:val="24"/>
          <w:szCs w:val="24"/>
          <w:rtl/>
        </w:rPr>
        <w:t xml:space="preserve"> להתחשב בעובדה שמדובר במי שהסיע שני שוהים בלתי חוקיים ובמקביל החזיק ברכבו סמים בכמות שלא לצריכה עצמית וכן במתקפה ב – 7.10.23, שמחייבת החמרה בענישה בעבירות של הסעת שב"ח. </w:t>
      </w:r>
    </w:p>
    <w:p w14:paraId="3B452FBF" w14:textId="77777777" w:rsidR="00327EDA" w:rsidRDefault="00327EDA" w:rsidP="00327EDA">
      <w:pPr>
        <w:pStyle w:val="ab"/>
        <w:numPr>
          <w:ilvl w:val="0"/>
          <w:numId w:val="2"/>
        </w:numPr>
        <w:spacing w:before="120" w:after="120" w:line="360" w:lineRule="auto"/>
        <w:ind w:left="369"/>
        <w:contextualSpacing w:val="0"/>
        <w:jc w:val="both"/>
        <w:rPr>
          <w:rFonts w:cs="David"/>
          <w:sz w:val="24"/>
          <w:szCs w:val="24"/>
        </w:rPr>
      </w:pPr>
      <w:r>
        <w:rPr>
          <w:rFonts w:cs="David"/>
          <w:sz w:val="24"/>
          <w:szCs w:val="24"/>
          <w:rtl/>
        </w:rPr>
        <w:t xml:space="preserve">בגזירת העונש בתוך המתחם ב"כ המאשימה עתרה להשית על הנאשם ענישה ברף הנמוך - בינוני של המתחם לאור הודאת הנאשם מחד ועברו הפלילי והתעבורתי מאידך.  </w:t>
      </w:r>
    </w:p>
    <w:p w14:paraId="68458DA6" w14:textId="77777777" w:rsidR="00327EDA" w:rsidRDefault="00327EDA" w:rsidP="00327EDA">
      <w:pPr>
        <w:pStyle w:val="ab"/>
        <w:numPr>
          <w:ilvl w:val="0"/>
          <w:numId w:val="2"/>
        </w:numPr>
        <w:spacing w:before="120" w:after="120" w:line="360" w:lineRule="auto"/>
        <w:ind w:left="369"/>
        <w:contextualSpacing w:val="0"/>
        <w:jc w:val="both"/>
        <w:rPr>
          <w:rFonts w:cs="David"/>
          <w:sz w:val="24"/>
          <w:szCs w:val="24"/>
        </w:rPr>
      </w:pPr>
      <w:r>
        <w:rPr>
          <w:rFonts w:cs="David"/>
          <w:sz w:val="24"/>
          <w:szCs w:val="24"/>
          <w:rtl/>
        </w:rPr>
        <w:t xml:space="preserve">לגבי אפשרות סטייה ממתחם הענישה ב"כ המאשימה טענה כי אין כל מקום לסטייה מהמתחם מטעמי שיקום לאור העובדה שהנאשם לא שיתף פעולה עם שירות המבחן. </w:t>
      </w:r>
    </w:p>
    <w:p w14:paraId="4F57FC49"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b/>
          <w:bCs/>
          <w:sz w:val="24"/>
          <w:szCs w:val="24"/>
          <w:rtl/>
        </w:rPr>
        <w:t xml:space="preserve">ב"כ הנאשם </w:t>
      </w:r>
      <w:r>
        <w:rPr>
          <w:rFonts w:ascii="David" w:hAnsi="David" w:cs="David"/>
          <w:sz w:val="24"/>
          <w:szCs w:val="24"/>
          <w:rtl/>
        </w:rPr>
        <w:t>ביקשה במסגרת הנסיבות הקשורות לביצוע עבירת הסעת השב"חים להתחשב בעובדה שהנאשם מסיע שני עובדים כדבר שבשגרה ושבאותו יום הצטרפו לנסיעה שני נוסעים שהתבררו כשוהים בלתי חוקיים. לטענתה, אין להחיל את החמרת הענישה המבוקשת ברוח התקופה על אירוע שקרה לפני שנתיים וחצי.</w:t>
      </w:r>
    </w:p>
    <w:p w14:paraId="7D765455"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ב"כ הנאשם ביקשה לקבוע מתחם ענישה הנע בין עונשים צופי פני עתיד לבין חצי שנת מאסר לצד קנסות לא גבוהים. לתמיכה בעמדתה היא הפנתה למספר גזרי דין ולהנחיית ראש יחידת התביעות ביחס להכוונת שיקול הדעת התביעתי בגיבוש מתחמי עונש הולם ועתירה עונשית, אתייחס אליהם בהמשך. לחילופין ב"כ הנאשם ביקשה להתחשב בעובדה שהנאשם נטל אחריות וערך שינוי בחייו ע"י כניסה למסגרת תעסוקתית, תשלום חובותיו וקבלת טיפול תרופתי וביקשה לסטות ממתחם הענישה לקולא משיקולי שיקום. עוד הוסיפה כי ממכתב ממעסיקו של הנאשם עולה כי הנאשם מוערך בעבודתו והשתת מאסר שירוצה בעבודות שירות לתקופה ממושכת עלולה לגרום לפיטוריו. </w:t>
      </w:r>
    </w:p>
    <w:p w14:paraId="3F8E3C96"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לחילופי חילופין, ככל שיושת על הנאשם מאסר שירוצה בעבודות שירות ב"כ הנאשם הפנתה לחוות דעת הממונה ממנה עולה כי הנאשם כשיר לריצוי עם מגבלות של 6.5 שעות ביום וביקשה להתחיל את תקופת ריצוי המאסר בחודש ספטמבר ולתחום את תקופת המאסר לחודש וחצי-חודשיים במסגרתם הנאשם ינצל את ימי החופשה שלו ולא יפוטר. </w:t>
      </w:r>
    </w:p>
    <w:p w14:paraId="4EB71C22"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ביחס לבקשת המאשימה לפסול את רישיון הנהיגה של הנאשם, ב"כ הנאשם ביקשה להשית פסילה על תנאי בלבד וטענה כי הנאשם נוסע בכל סוף שבוע ממקום מגוריו בעמק חפר למקום עבודתו בים המלח ופסילתו מלהחזיק רישיון נהיגה עלולה להחריף את מצבו הנפשי והכלכלי.</w:t>
      </w:r>
    </w:p>
    <w:p w14:paraId="61BF35CB"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b/>
          <w:bCs/>
          <w:sz w:val="24"/>
          <w:szCs w:val="24"/>
          <w:rtl/>
        </w:rPr>
        <w:t xml:space="preserve">הנאשם בדבריו לעונש </w:t>
      </w:r>
      <w:r>
        <w:rPr>
          <w:rFonts w:ascii="David" w:hAnsi="David" w:cs="David"/>
          <w:sz w:val="24"/>
          <w:szCs w:val="24"/>
          <w:rtl/>
        </w:rPr>
        <w:t>לקח אחריות על מעשיו, הביע חרטה וביקש את רחמיו של בית המשפט. הנאשם טען שהוא עובד במלון בים המלח במהלך השבוע ומשמש כאיש קשר של המפונים השוהים בו. לטענתו, שלילת רישיון הנהיגה שלו תפגע ביכולתו לעבוד. בנוסף טען כי הוא משמש כסבא במשרה מלאה ושומר על נכדיו.</w:t>
      </w:r>
    </w:p>
    <w:p w14:paraId="7F7F86BB" w14:textId="77777777" w:rsidR="00327EDA" w:rsidRDefault="00327EDA" w:rsidP="00327EDA">
      <w:pPr>
        <w:pStyle w:val="ab"/>
        <w:spacing w:before="120" w:after="120" w:line="360" w:lineRule="auto"/>
        <w:ind w:left="369"/>
        <w:contextualSpacing w:val="0"/>
        <w:jc w:val="both"/>
        <w:rPr>
          <w:rFonts w:ascii="David" w:hAnsi="David" w:cs="David"/>
          <w:b/>
          <w:bCs/>
          <w:sz w:val="24"/>
          <w:szCs w:val="24"/>
          <w:u w:val="single"/>
        </w:rPr>
      </w:pPr>
      <w:r>
        <w:rPr>
          <w:rFonts w:ascii="David" w:hAnsi="David" w:cs="David"/>
          <w:b/>
          <w:bCs/>
          <w:sz w:val="24"/>
          <w:szCs w:val="24"/>
          <w:u w:val="single"/>
          <w:rtl/>
        </w:rPr>
        <w:t xml:space="preserve">ראיות לעונש </w:t>
      </w:r>
    </w:p>
    <w:p w14:paraId="5A60B9E7" w14:textId="77777777" w:rsidR="00327EDA" w:rsidRDefault="00327EDA" w:rsidP="00327EDA">
      <w:pPr>
        <w:pStyle w:val="ab"/>
        <w:numPr>
          <w:ilvl w:val="0"/>
          <w:numId w:val="2"/>
        </w:numPr>
        <w:spacing w:before="120" w:after="120" w:line="360" w:lineRule="auto"/>
        <w:ind w:left="369"/>
        <w:contextualSpacing w:val="0"/>
        <w:jc w:val="both"/>
        <w:rPr>
          <w:rFonts w:ascii="David" w:hAnsi="David" w:cs="David"/>
          <w:sz w:val="24"/>
          <w:szCs w:val="24"/>
        </w:rPr>
      </w:pPr>
      <w:r>
        <w:rPr>
          <w:rFonts w:ascii="David" w:hAnsi="David" w:cs="David"/>
          <w:sz w:val="24"/>
          <w:szCs w:val="24"/>
          <w:rtl/>
        </w:rPr>
        <w:t xml:space="preserve">המאשימה הגישה גיליון רישום פלילי של הנאשם (ת/1) – לחובת הנאשם הרשעה שהתיישנה משנת 2015 בעבירת תקיפה הגורמת חבלה של ממש ורישום תעבורתי (ת/2) ממנו עולה כי לנאשם הרשעות רבות בעבירות תעבורה, רובן עבירות ברירת קנס. </w:t>
      </w:r>
    </w:p>
    <w:p w14:paraId="4BC8CA6E" w14:textId="77777777" w:rsidR="00327EDA" w:rsidRDefault="00327EDA" w:rsidP="00327EDA">
      <w:pPr>
        <w:pStyle w:val="ab"/>
        <w:numPr>
          <w:ilvl w:val="0"/>
          <w:numId w:val="2"/>
        </w:numPr>
        <w:spacing w:before="120" w:after="120" w:line="360" w:lineRule="auto"/>
        <w:ind w:left="369"/>
        <w:contextualSpacing w:val="0"/>
        <w:jc w:val="both"/>
        <w:rPr>
          <w:rFonts w:ascii="David" w:hAnsi="David" w:cs="David"/>
          <w:sz w:val="24"/>
          <w:szCs w:val="24"/>
        </w:rPr>
      </w:pPr>
      <w:r>
        <w:rPr>
          <w:rFonts w:ascii="David" w:hAnsi="David" w:cs="David"/>
          <w:sz w:val="24"/>
          <w:szCs w:val="24"/>
          <w:rtl/>
        </w:rPr>
        <w:t xml:space="preserve">מטעם הנאשם העיד בנו, מר רועי ישראלי, שמשרת בגדוד 137 של כיפת ברזל מזה 12 שנים. על פי עדות מר ישראלי, הנאשם נמצא בפיקוח צמוד של ילדיו אשר מטפלים בו, עוזרים לו ונמצאים בבקרה הדוקה ביחס להוצאותיו הכספיות. על פי עדותו, חזרתו של הנאשם למסגרת תעסוקתית מסודרת עזרה לו לנתב את מסלול חייו מחדש. מר ישראלי ביקש מבית המשפט להתחשב במצבו של הנאשם. </w:t>
      </w:r>
    </w:p>
    <w:p w14:paraId="710AACEF" w14:textId="77777777" w:rsidR="00327EDA" w:rsidRDefault="00327EDA" w:rsidP="00327EDA">
      <w:pPr>
        <w:pStyle w:val="ab"/>
        <w:spacing w:before="120" w:after="120" w:line="360" w:lineRule="auto"/>
        <w:ind w:left="369"/>
        <w:contextualSpacing w:val="0"/>
        <w:jc w:val="both"/>
        <w:rPr>
          <w:rFonts w:ascii="David" w:hAnsi="David" w:cs="David"/>
          <w:sz w:val="24"/>
          <w:szCs w:val="24"/>
          <w:rtl/>
        </w:rPr>
      </w:pPr>
      <w:r>
        <w:rPr>
          <w:rFonts w:ascii="David" w:hAnsi="David" w:cs="David"/>
          <w:sz w:val="24"/>
          <w:szCs w:val="24"/>
          <w:rtl/>
        </w:rPr>
        <w:t xml:space="preserve">בנוסף הוגשו צו לפתיחת הליכים לפי חוק חדלות פרעון, אישורים על תשלומים לתיק הפש"ר, דף ריכוז פעולות בחשבון הבנק בבנק הדואר, מסמכים רפואיים, אישור המל"ל על תשלום קצבאות נכות ומכתב מהמעסיק בו מצוין שהנאשם עובד במלון דיוויד ים המלח כנותן שירותי תחזוקה, הוא חיוני מאד ובמידה ויצא לחופשה ארוכה, יאלצו למצוא לו מחליף והוא יאבד את מקום עבודתו.   </w:t>
      </w:r>
    </w:p>
    <w:p w14:paraId="419937E6" w14:textId="77777777" w:rsidR="00327EDA" w:rsidRDefault="00327EDA" w:rsidP="00327EDA">
      <w:pPr>
        <w:pStyle w:val="ab"/>
        <w:spacing w:before="120" w:after="120" w:line="360" w:lineRule="auto"/>
        <w:ind w:left="369"/>
        <w:contextualSpacing w:val="0"/>
        <w:jc w:val="both"/>
        <w:rPr>
          <w:rFonts w:ascii="David" w:hAnsi="David" w:cs="David"/>
          <w:sz w:val="24"/>
          <w:szCs w:val="24"/>
          <w:rtl/>
        </w:rPr>
      </w:pPr>
    </w:p>
    <w:p w14:paraId="2E023BC3" w14:textId="77777777" w:rsidR="00327EDA" w:rsidRDefault="00327EDA" w:rsidP="00327EDA">
      <w:pPr>
        <w:pStyle w:val="ab"/>
        <w:spacing w:before="120" w:after="120" w:line="360" w:lineRule="auto"/>
        <w:ind w:left="369"/>
        <w:contextualSpacing w:val="0"/>
        <w:jc w:val="both"/>
        <w:rPr>
          <w:rFonts w:ascii="David" w:hAnsi="David" w:cs="David"/>
          <w:sz w:val="24"/>
          <w:szCs w:val="24"/>
        </w:rPr>
      </w:pPr>
    </w:p>
    <w:p w14:paraId="26BB6D13" w14:textId="77777777" w:rsidR="00327EDA" w:rsidRDefault="00327EDA" w:rsidP="00327EDA">
      <w:pPr>
        <w:pStyle w:val="ab"/>
        <w:spacing w:before="120" w:after="120" w:line="360" w:lineRule="auto"/>
        <w:ind w:left="369"/>
        <w:contextualSpacing w:val="0"/>
        <w:jc w:val="both"/>
        <w:rPr>
          <w:rFonts w:ascii="David" w:hAnsi="David" w:cs="David"/>
          <w:sz w:val="28"/>
          <w:szCs w:val="28"/>
        </w:rPr>
      </w:pPr>
      <w:r>
        <w:rPr>
          <w:rFonts w:ascii="David" w:hAnsi="David" w:cs="David"/>
          <w:b/>
          <w:bCs/>
          <w:sz w:val="28"/>
          <w:szCs w:val="28"/>
          <w:u w:val="single"/>
          <w:rtl/>
        </w:rPr>
        <w:t>דיון והכרעה</w:t>
      </w:r>
    </w:p>
    <w:p w14:paraId="7F544572" w14:textId="77777777" w:rsidR="00327EDA" w:rsidRDefault="00327EDA" w:rsidP="00327EDA">
      <w:pPr>
        <w:pStyle w:val="ab"/>
        <w:numPr>
          <w:ilvl w:val="0"/>
          <w:numId w:val="2"/>
        </w:numPr>
        <w:spacing w:before="120" w:after="120" w:line="360" w:lineRule="auto"/>
        <w:ind w:left="369"/>
        <w:contextualSpacing w:val="0"/>
        <w:jc w:val="both"/>
        <w:rPr>
          <w:rFonts w:ascii="David" w:hAnsi="David" w:cs="David"/>
          <w:sz w:val="24"/>
          <w:szCs w:val="24"/>
        </w:rPr>
      </w:pPr>
      <w:r>
        <w:rPr>
          <w:rFonts w:ascii="David" w:hAnsi="David" w:cs="David"/>
          <w:sz w:val="24"/>
          <w:szCs w:val="24"/>
          <w:rtl/>
        </w:rPr>
        <w:t>בהתאם לתיקון 113 ל</w:t>
      </w:r>
      <w:hyperlink r:id="rId22" w:history="1">
        <w:r w:rsidR="00BE4481" w:rsidRPr="00BE4481">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b/>
          <w:bCs/>
          <w:sz w:val="24"/>
          <w:szCs w:val="24"/>
          <w:rtl/>
        </w:rPr>
        <w:t>חוק העונשין</w:t>
      </w:r>
      <w:r>
        <w:rPr>
          <w:rFonts w:ascii="David" w:hAnsi="David" w:cs="David"/>
          <w:sz w:val="24"/>
          <w:szCs w:val="24"/>
          <w:rtl/>
        </w:rPr>
        <w:t xml:space="preserve">), גזירת דין מורכבת משלושה שלבים עיקריים: </w:t>
      </w:r>
    </w:p>
    <w:p w14:paraId="5EF9148F" w14:textId="77777777" w:rsidR="00327EDA" w:rsidRDefault="00327EDA" w:rsidP="00327EDA">
      <w:pPr>
        <w:pStyle w:val="ab"/>
        <w:numPr>
          <w:ilvl w:val="0"/>
          <w:numId w:val="3"/>
        </w:numPr>
        <w:spacing w:before="120" w:after="120" w:line="360" w:lineRule="auto"/>
        <w:ind w:hanging="357"/>
        <w:contextualSpacing w:val="0"/>
        <w:jc w:val="both"/>
        <w:rPr>
          <w:rFonts w:ascii="David" w:hAnsi="David" w:cs="David"/>
          <w:sz w:val="24"/>
          <w:szCs w:val="24"/>
        </w:rPr>
      </w:pPr>
      <w:r>
        <w:rPr>
          <w:rFonts w:ascii="David" w:hAnsi="David" w:cs="David"/>
          <w:sz w:val="24"/>
          <w:szCs w:val="24"/>
          <w:rtl/>
        </w:rPr>
        <w:t xml:space="preserve">קביעת מתחם העונש ההולם בהתאם </w:t>
      </w:r>
      <w:hyperlink r:id="rId23" w:history="1">
        <w:r w:rsidR="007255D6" w:rsidRPr="007255D6">
          <w:rPr>
            <w:rStyle w:val="Hyperlink"/>
            <w:rFonts w:ascii="David" w:hAnsi="David" w:cs="David"/>
            <w:sz w:val="24"/>
            <w:szCs w:val="24"/>
            <w:rtl/>
          </w:rPr>
          <w:t>לסעיף 40ג</w:t>
        </w:r>
      </w:hyperlink>
      <w:r>
        <w:rPr>
          <w:rFonts w:ascii="David" w:hAnsi="David" w:cs="David"/>
          <w:sz w:val="24"/>
          <w:szCs w:val="24"/>
          <w:rtl/>
        </w:rPr>
        <w:t xml:space="preserve"> ל</w:t>
      </w:r>
      <w:hyperlink r:id="rId24" w:history="1">
        <w:r w:rsidR="00BE4481" w:rsidRPr="00BE4481">
          <w:rPr>
            <w:rFonts w:ascii="David" w:hAnsi="David" w:cs="David"/>
            <w:color w:val="0000FF"/>
            <w:sz w:val="24"/>
            <w:szCs w:val="24"/>
            <w:u w:val="single"/>
            <w:rtl/>
          </w:rPr>
          <w:t>חוק העונשין</w:t>
        </w:r>
      </w:hyperlink>
      <w:r>
        <w:rPr>
          <w:rFonts w:ascii="David" w:hAnsi="David" w:cs="David"/>
          <w:sz w:val="24"/>
          <w:szCs w:val="24"/>
          <w:rtl/>
        </w:rPr>
        <w:t>.</w:t>
      </w:r>
    </w:p>
    <w:p w14:paraId="14968C64" w14:textId="77777777" w:rsidR="00327EDA" w:rsidRDefault="00327EDA" w:rsidP="00327EDA">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בחינת חריגה ממתחם העונש ההולם בין לקולא בין לחומרא.</w:t>
      </w:r>
    </w:p>
    <w:p w14:paraId="6E949504" w14:textId="77777777" w:rsidR="00327EDA" w:rsidRDefault="00327EDA" w:rsidP="00327EDA">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קביעת העונש המתאים בתוך מתחם העונש ההולם בהתאם </w:t>
      </w:r>
      <w:hyperlink r:id="rId25" w:history="1">
        <w:r w:rsidR="007255D6" w:rsidRPr="007255D6">
          <w:rPr>
            <w:rStyle w:val="Hyperlink"/>
            <w:rFonts w:ascii="David" w:hAnsi="David" w:cs="David"/>
            <w:sz w:val="24"/>
            <w:szCs w:val="24"/>
            <w:rtl/>
          </w:rPr>
          <w:t>לסעיף 40ג(ב)</w:t>
        </w:r>
      </w:hyperlink>
      <w:r>
        <w:rPr>
          <w:rFonts w:ascii="David" w:hAnsi="David" w:cs="David"/>
          <w:sz w:val="24"/>
          <w:szCs w:val="24"/>
          <w:rtl/>
        </w:rPr>
        <w:t xml:space="preserve"> ל</w:t>
      </w:r>
      <w:hyperlink r:id="rId26" w:history="1">
        <w:r w:rsidR="00BE4481" w:rsidRPr="00BE4481">
          <w:rPr>
            <w:rFonts w:ascii="David" w:hAnsi="David" w:cs="David"/>
            <w:color w:val="0000FF"/>
            <w:sz w:val="24"/>
            <w:szCs w:val="24"/>
            <w:u w:val="single"/>
            <w:rtl/>
          </w:rPr>
          <w:t>חוק העונשין</w:t>
        </w:r>
      </w:hyperlink>
      <w:r>
        <w:rPr>
          <w:rFonts w:ascii="David" w:hAnsi="David" w:cs="David"/>
          <w:sz w:val="24"/>
          <w:szCs w:val="24"/>
          <w:rtl/>
        </w:rPr>
        <w:t>.</w:t>
      </w:r>
    </w:p>
    <w:p w14:paraId="5525BF9A" w14:textId="77777777" w:rsidR="00327EDA" w:rsidRDefault="00327EDA" w:rsidP="00327EDA">
      <w:pPr>
        <w:spacing w:before="120" w:after="120" w:line="360" w:lineRule="auto"/>
        <w:ind w:left="360"/>
        <w:jc w:val="both"/>
        <w:rPr>
          <w:rFonts w:ascii="David" w:hAnsi="David"/>
          <w:rtl/>
        </w:rPr>
      </w:pPr>
      <w:r>
        <w:rPr>
          <w:rFonts w:ascii="David" w:hAnsi="David"/>
          <w:u w:val="single"/>
          <w:rtl/>
        </w:rPr>
        <w:t>קביעת מתחם העונש ההולם</w:t>
      </w:r>
      <w:r>
        <w:rPr>
          <w:rFonts w:ascii="David" w:hAnsi="David"/>
          <w:rtl/>
        </w:rPr>
        <w:t xml:space="preserve"> -</w:t>
      </w:r>
    </w:p>
    <w:p w14:paraId="2434483F"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b/>
          <w:bCs/>
          <w:sz w:val="24"/>
          <w:szCs w:val="24"/>
          <w:u w:val="single"/>
        </w:rPr>
      </w:pPr>
      <w:r>
        <w:rPr>
          <w:rFonts w:ascii="David" w:hAnsi="David" w:cs="David"/>
          <w:sz w:val="24"/>
          <w:szCs w:val="24"/>
          <w:rtl/>
        </w:rPr>
        <w:t xml:space="preserve">בהתאם להוראת </w:t>
      </w:r>
      <w:hyperlink r:id="rId27" w:history="1">
        <w:r w:rsidR="007255D6" w:rsidRPr="007255D6">
          <w:rPr>
            <w:rStyle w:val="Hyperlink"/>
            <w:rFonts w:ascii="David" w:hAnsi="David" w:cs="David"/>
            <w:sz w:val="24"/>
            <w:szCs w:val="24"/>
            <w:rtl/>
          </w:rPr>
          <w:t>סעיף 40ב</w:t>
        </w:r>
      </w:hyperlink>
      <w:r>
        <w:rPr>
          <w:rFonts w:ascii="David" w:hAnsi="David" w:cs="David"/>
          <w:sz w:val="24"/>
          <w:szCs w:val="24"/>
          <w:rtl/>
        </w:rPr>
        <w:t xml:space="preserve"> ל</w:t>
      </w:r>
      <w:hyperlink r:id="rId28" w:history="1">
        <w:r w:rsidR="00BE4481" w:rsidRPr="00BE4481">
          <w:rPr>
            <w:rFonts w:ascii="David" w:hAnsi="David" w:cs="David"/>
            <w:color w:val="0000FF"/>
            <w:sz w:val="24"/>
            <w:szCs w:val="24"/>
            <w:u w:val="single"/>
            <w:rtl/>
          </w:rPr>
          <w:t>חוק העונשין</w:t>
        </w:r>
      </w:hyperlink>
      <w:r>
        <w:rPr>
          <w:rFonts w:ascii="David" w:hAnsi="David" w:cs="David"/>
          <w:sz w:val="24"/>
          <w:szCs w:val="24"/>
          <w:rtl/>
        </w:rPr>
        <w:t>, העיקרון המנחה את בית המשפט בקביעת מתחם העונש ההולם למעשה עבירה הוא יחס הולם בין חומרת המעשה בנסיבות המקרה ומידת אשמו של הנאשם לבין סוג העונש המוטל עליו ומידתו.</w:t>
      </w:r>
    </w:p>
    <w:p w14:paraId="04C44F70"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b/>
          <w:bCs/>
          <w:sz w:val="24"/>
          <w:szCs w:val="24"/>
          <w:u w:val="single"/>
        </w:rPr>
      </w:pPr>
      <w:r>
        <w:rPr>
          <w:rFonts w:ascii="David" w:hAnsi="David" w:cs="David"/>
          <w:sz w:val="24"/>
          <w:szCs w:val="24"/>
          <w:rtl/>
        </w:rPr>
        <w:t xml:space="preserve">בהתאם להוראת </w:t>
      </w:r>
      <w:hyperlink r:id="rId29" w:history="1">
        <w:r w:rsidR="007255D6" w:rsidRPr="007255D6">
          <w:rPr>
            <w:rStyle w:val="Hyperlink"/>
            <w:rFonts w:ascii="David" w:hAnsi="David" w:cs="David"/>
            <w:sz w:val="24"/>
            <w:szCs w:val="24"/>
            <w:rtl/>
          </w:rPr>
          <w:t>סעיף 40ג(ב)</w:t>
        </w:r>
      </w:hyperlink>
      <w:r>
        <w:rPr>
          <w:rFonts w:ascii="David" w:hAnsi="David" w:cs="David"/>
          <w:sz w:val="24"/>
          <w:szCs w:val="24"/>
          <w:rtl/>
        </w:rPr>
        <w:t xml:space="preserve"> ל</w:t>
      </w:r>
      <w:hyperlink r:id="rId30" w:history="1">
        <w:r w:rsidR="00BE4481" w:rsidRPr="00BE4481">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7A283827" w14:textId="77777777" w:rsidR="00327EDA" w:rsidRP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בשלב הראשון על בית המשפט לבדוק האם העבירות בהן הנאשם הורשע מהוות אירוע אחד או שני אירועים נפרדים. </w:t>
      </w:r>
    </w:p>
    <w:p w14:paraId="73FF2068" w14:textId="77777777" w:rsidR="00327EDA" w:rsidRDefault="00327EDA" w:rsidP="00327EDA">
      <w:pPr>
        <w:pStyle w:val="ab"/>
        <w:spacing w:before="120" w:after="120" w:line="360" w:lineRule="auto"/>
        <w:ind w:left="360"/>
        <w:contextualSpacing w:val="0"/>
        <w:jc w:val="both"/>
        <w:rPr>
          <w:rFonts w:ascii="David" w:hAnsi="David" w:cs="David"/>
          <w:sz w:val="24"/>
          <w:szCs w:val="24"/>
        </w:rPr>
      </w:pPr>
      <w:r>
        <w:rPr>
          <w:rFonts w:ascii="David" w:hAnsi="David" w:cs="David"/>
          <w:sz w:val="24"/>
          <w:szCs w:val="24"/>
          <w:rtl/>
        </w:rPr>
        <w:t>בענייננו מכיוון שמדובר בעבירות שבוצעו בו זמנית, לאור המבחנים שנקבעו בפסיקה, הצדדים מסכימים כי מדובר במסכת עבריינית אחת וכי יש לקבוע מתחם עונש אחד כולל לשתי העבירות.</w:t>
      </w:r>
    </w:p>
    <w:p w14:paraId="1D8B39E2"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b/>
          <w:bCs/>
          <w:sz w:val="24"/>
          <w:szCs w:val="24"/>
          <w:u w:val="single"/>
          <w:rtl/>
        </w:rPr>
      </w:pPr>
      <w:r>
        <w:rPr>
          <w:rFonts w:ascii="David" w:hAnsi="David" w:cs="David"/>
          <w:b/>
          <w:bCs/>
          <w:sz w:val="24"/>
          <w:szCs w:val="24"/>
          <w:u w:val="single"/>
          <w:rtl/>
        </w:rPr>
        <w:t>הערכים המוגנים שנפגעו מביצוע העבירות:</w:t>
      </w:r>
      <w:r>
        <w:rPr>
          <w:rFonts w:ascii="David" w:hAnsi="David" w:cs="David"/>
          <w:b/>
          <w:bCs/>
          <w:sz w:val="24"/>
          <w:szCs w:val="24"/>
          <w:rtl/>
        </w:rPr>
        <w:t xml:space="preserve"> </w:t>
      </w:r>
      <w:r>
        <w:rPr>
          <w:rFonts w:ascii="David" w:hAnsi="David" w:cs="David"/>
          <w:sz w:val="24"/>
          <w:szCs w:val="24"/>
          <w:rtl/>
        </w:rPr>
        <w:t xml:space="preserve">עבירה של הסעת שוהה בלתי חוקי פוגעת בריבונות המדינה לדעת מי יבוא בשעריה, מגדילה את הסיכון לפשיעה מצד אלו ששוהים בה שלא כדין ויש בה כדי להגדיל את הפוטנציאל לפגיעה בביטחונו של הציבור ואזרחי המדינה.  </w:t>
      </w:r>
    </w:p>
    <w:p w14:paraId="01384F93"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הסיכונים הטבועים בתופעת השהייה הבלתי חוקית בישראל והעבירות הנלוות לה -  הסעה, הלנה והעסקה - קיבלו משנה תוקף לאחר המתקפה הרצחנית ביום 7.10.23 על תוצאותיה הקטלניות. היום ברורות ביתר שאת התוצאות הקשות שיכולות לנבוע מביצוע העבירות והצורך בהפחתת התופעה באמצעות ענישה מרתיעה.</w:t>
      </w:r>
    </w:p>
    <w:p w14:paraId="68515DEB" w14:textId="77777777" w:rsidR="00327EDA" w:rsidRP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 xml:space="preserve">עבירות על פי </w:t>
      </w:r>
      <w:hyperlink r:id="rId31" w:history="1">
        <w:r w:rsidR="00BE4481" w:rsidRPr="00BE4481">
          <w:rPr>
            <w:rFonts w:ascii="David" w:hAnsi="David" w:cs="David"/>
            <w:color w:val="0000FF"/>
            <w:sz w:val="24"/>
            <w:szCs w:val="24"/>
            <w:u w:val="single"/>
            <w:rtl/>
          </w:rPr>
          <w:t>פקודת הסמים המסוכנים</w:t>
        </w:r>
      </w:hyperlink>
      <w:r>
        <w:rPr>
          <w:rFonts w:ascii="David" w:hAnsi="David" w:cs="David"/>
          <w:sz w:val="24"/>
          <w:szCs w:val="24"/>
          <w:rtl/>
        </w:rPr>
        <w:t xml:space="preserve"> פוגעות בבריאות הציבור ויש בהן כדי לגרום נזקים גופניים ונפשיים ישירים למשתמשים, אשר יכול ויצריכו טיפול רפואי שעלותו נופלת על החברה; הן עבירות מחוללות פשיעה בהיותן מהוות תמריץ לביצוע עבירות אחרות, כגון עבירות רכוש ואלימות לשם רכישת הסמים והפצתם ויש בהן כדי לפגוע בביטחון הציבור. כמו כן הן פוגעות בשלטון החוק. </w:t>
      </w:r>
    </w:p>
    <w:p w14:paraId="148CDDF6" w14:textId="77777777" w:rsid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בתי המשפט שבו והדגישו את ההכרח להיאבק בנגע הסמים והצורך להעביר מסר מרתיע מפני ביצוע עבירות אלו  על ידי הטלת עונשים מחמירים על מי שנותן ידו להפיכת הסמים לזמינים ונגישים. ר' פסק הדין של בית המשפט העליון ב</w:t>
      </w:r>
      <w:hyperlink r:id="rId32" w:history="1">
        <w:r w:rsidR="00BE4481" w:rsidRPr="00BE4481">
          <w:rPr>
            <w:rFonts w:ascii="David" w:hAnsi="David" w:cs="David"/>
            <w:color w:val="0000FF"/>
            <w:sz w:val="24"/>
            <w:szCs w:val="24"/>
            <w:u w:val="single"/>
            <w:rtl/>
          </w:rPr>
          <w:t>ע"פ 2000/06</w:t>
        </w:r>
      </w:hyperlink>
      <w:r>
        <w:rPr>
          <w:rFonts w:ascii="David" w:hAnsi="David" w:cs="David"/>
          <w:sz w:val="24"/>
          <w:szCs w:val="24"/>
          <w:rtl/>
        </w:rPr>
        <w:t xml:space="preserve"> </w:t>
      </w:r>
      <w:r>
        <w:rPr>
          <w:rFonts w:ascii="David" w:hAnsi="David" w:cs="David"/>
          <w:b/>
          <w:bCs/>
          <w:sz w:val="24"/>
          <w:szCs w:val="24"/>
          <w:rtl/>
        </w:rPr>
        <w:t>מדינת ישראל נ' ויצמן</w:t>
      </w:r>
      <w:r>
        <w:rPr>
          <w:rFonts w:ascii="David" w:hAnsi="David" w:cs="David"/>
          <w:sz w:val="24"/>
          <w:szCs w:val="24"/>
          <w:rtl/>
        </w:rPr>
        <w:t xml:space="preserve"> (20.7.2006).</w:t>
      </w:r>
    </w:p>
    <w:p w14:paraId="7B2BE049" w14:textId="77777777" w:rsidR="00327EDA" w:rsidRPr="00327EDA" w:rsidRDefault="00327EDA" w:rsidP="00327EDA">
      <w:pPr>
        <w:pStyle w:val="ab"/>
        <w:numPr>
          <w:ilvl w:val="0"/>
          <w:numId w:val="2"/>
        </w:numPr>
        <w:spacing w:before="120" w:after="120" w:line="360" w:lineRule="auto"/>
        <w:ind w:left="368"/>
        <w:contextualSpacing w:val="0"/>
        <w:jc w:val="both"/>
        <w:rPr>
          <w:rFonts w:ascii="David" w:hAnsi="David" w:cs="David"/>
          <w:sz w:val="24"/>
          <w:szCs w:val="24"/>
        </w:rPr>
      </w:pPr>
      <w:r>
        <w:rPr>
          <w:rFonts w:ascii="David" w:hAnsi="David" w:cs="David"/>
          <w:sz w:val="24"/>
          <w:szCs w:val="24"/>
          <w:rtl/>
        </w:rPr>
        <w:t>למען הסר ספק יובהר כי בית המשפט העליון שב והדגיש בשנים האחרונות כי קנבוס נותר סם מסוכן ויש להיאבק בו באמצעות ענישה מרתיעה. ר' פסקי הדין ב</w:t>
      </w:r>
      <w:hyperlink r:id="rId33" w:history="1">
        <w:r w:rsidR="00BE4481" w:rsidRPr="00BE4481">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b/>
          <w:bCs/>
          <w:sz w:val="24"/>
          <w:szCs w:val="24"/>
          <w:u w:val="single"/>
          <w:rtl/>
        </w:rPr>
        <w:t>ישראל סעדיה סויסה נ' מדינת ישראל</w:t>
      </w:r>
      <w:r>
        <w:rPr>
          <w:rFonts w:ascii="David" w:hAnsi="David" w:cs="David"/>
          <w:sz w:val="24"/>
          <w:szCs w:val="24"/>
          <w:rtl/>
        </w:rPr>
        <w:t xml:space="preserve"> (פורסם בנבו, 25.02.21) וב</w:t>
      </w:r>
      <w:hyperlink r:id="rId34" w:history="1">
        <w:r w:rsidR="00BE4481" w:rsidRPr="00BE4481">
          <w:rPr>
            <w:rFonts w:ascii="David" w:hAnsi="David" w:cs="David"/>
            <w:color w:val="0000FF"/>
            <w:sz w:val="24"/>
            <w:szCs w:val="24"/>
            <w:u w:val="single"/>
            <w:rtl/>
          </w:rPr>
          <w:t>רע"פ 2277/21</w:t>
        </w:r>
      </w:hyperlink>
      <w:r>
        <w:rPr>
          <w:rFonts w:ascii="David" w:hAnsi="David" w:cs="David"/>
          <w:sz w:val="24"/>
          <w:szCs w:val="24"/>
          <w:rtl/>
        </w:rPr>
        <w:t xml:space="preserve"> </w:t>
      </w:r>
      <w:r>
        <w:rPr>
          <w:rFonts w:ascii="David" w:hAnsi="David" w:cs="David"/>
          <w:b/>
          <w:bCs/>
          <w:sz w:val="24"/>
          <w:szCs w:val="24"/>
          <w:u w:val="single"/>
          <w:rtl/>
        </w:rPr>
        <w:t>אברהם יוחננוב נ' מדינת ישראל</w:t>
      </w:r>
      <w:r>
        <w:rPr>
          <w:rFonts w:ascii="David" w:hAnsi="David" w:cs="David"/>
          <w:b/>
          <w:bCs/>
          <w:sz w:val="24"/>
          <w:szCs w:val="24"/>
          <w:rtl/>
        </w:rPr>
        <w:t xml:space="preserve"> </w:t>
      </w:r>
      <w:r>
        <w:rPr>
          <w:rFonts w:ascii="David" w:hAnsi="David" w:cs="David"/>
          <w:sz w:val="24"/>
          <w:szCs w:val="24"/>
          <w:rtl/>
        </w:rPr>
        <w:t>(פורסם בנבו, 8.4.21).</w:t>
      </w:r>
    </w:p>
    <w:p w14:paraId="5D483A04"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Pr>
      </w:pPr>
      <w:r>
        <w:rPr>
          <w:rFonts w:ascii="David" w:hAnsi="David" w:cs="David"/>
          <w:b/>
          <w:bCs/>
          <w:sz w:val="24"/>
          <w:szCs w:val="24"/>
          <w:u w:val="single"/>
          <w:rtl/>
        </w:rPr>
        <w:t>מידת הפגיעה בערכים המוגנים בענייננו</w:t>
      </w:r>
      <w:r>
        <w:rPr>
          <w:rFonts w:ascii="David" w:hAnsi="David" w:cs="David"/>
          <w:sz w:val="24"/>
          <w:szCs w:val="24"/>
          <w:rtl/>
        </w:rPr>
        <w:t xml:space="preserve">: </w:t>
      </w:r>
      <w:r>
        <w:rPr>
          <w:rFonts w:ascii="David" w:hAnsi="David" w:cs="David"/>
          <w:sz w:val="24"/>
          <w:szCs w:val="24"/>
          <w:u w:val="single"/>
          <w:rtl/>
        </w:rPr>
        <w:t>ביחס לעבירת הסעת שוהים הבלתי חוקיים</w:t>
      </w:r>
      <w:r>
        <w:rPr>
          <w:rFonts w:ascii="David" w:hAnsi="David" w:cs="David"/>
          <w:sz w:val="24"/>
          <w:szCs w:val="24"/>
          <w:u w:val="single"/>
        </w:rPr>
        <w:t>:</w:t>
      </w:r>
      <w:r>
        <w:rPr>
          <w:rFonts w:ascii="David" w:hAnsi="David" w:cs="David"/>
          <w:sz w:val="24"/>
          <w:szCs w:val="24"/>
          <w:rtl/>
        </w:rPr>
        <w:t xml:space="preserve"> </w:t>
      </w:r>
      <w:r>
        <w:rPr>
          <w:rFonts w:ascii="David" w:hAnsi="David" w:cs="David" w:hint="cs"/>
          <w:sz w:val="24"/>
          <w:szCs w:val="24"/>
          <w:rtl/>
        </w:rPr>
        <w:t xml:space="preserve">מדובר בעבירה של הסעת שני שוהים בלתי חוקיים, שבוצעה לפני המתקפה הרצחנית ב – 7.10.23, מבלי שהנאשם ידע לטענתו שמדובר בשוהים בלתי חוקיים ומבלי שהוא הכיר את השב"חים ואת המניעים שלהם לכניסה לישראל תוך סיכון אפשרי גדול לביטחון המדינה ושלום הציבור. </w:t>
      </w:r>
    </w:p>
    <w:p w14:paraId="36E6A211" w14:textId="77777777" w:rsidR="00327EDA" w:rsidRPr="00327EDA" w:rsidRDefault="00327EDA" w:rsidP="00327EDA">
      <w:pPr>
        <w:pStyle w:val="ab"/>
        <w:spacing w:before="120" w:after="120" w:line="360" w:lineRule="auto"/>
        <w:ind w:left="368"/>
        <w:contextualSpacing w:val="0"/>
        <w:jc w:val="both"/>
        <w:rPr>
          <w:rFonts w:ascii="David" w:hAnsi="David" w:cs="David"/>
          <w:sz w:val="24"/>
          <w:szCs w:val="24"/>
          <w:rtl/>
        </w:rPr>
      </w:pPr>
      <w:r>
        <w:rPr>
          <w:rFonts w:ascii="David" w:hAnsi="David" w:cs="David"/>
          <w:sz w:val="24"/>
          <w:szCs w:val="24"/>
          <w:rtl/>
        </w:rPr>
        <w:t xml:space="preserve">בנסיבות של הסעת שב"חים ללא היכרות מוקדמת, הסכנה היא ברף גבוה יותר. </w:t>
      </w:r>
    </w:p>
    <w:p w14:paraId="48E42E42" w14:textId="77777777" w:rsidR="00327EDA" w:rsidRDefault="00327EDA" w:rsidP="00327EDA">
      <w:pPr>
        <w:pStyle w:val="ab"/>
        <w:spacing w:before="120" w:after="120" w:line="360" w:lineRule="auto"/>
        <w:ind w:left="368"/>
        <w:contextualSpacing w:val="0"/>
        <w:jc w:val="both"/>
        <w:rPr>
          <w:rFonts w:ascii="David" w:hAnsi="David" w:cs="David"/>
          <w:sz w:val="24"/>
          <w:szCs w:val="24"/>
          <w:rtl/>
        </w:rPr>
      </w:pPr>
      <w:r>
        <w:rPr>
          <w:rFonts w:ascii="David" w:hAnsi="David" w:cs="David"/>
          <w:sz w:val="24"/>
          <w:szCs w:val="24"/>
          <w:rtl/>
        </w:rPr>
        <w:t>ב</w:t>
      </w:r>
      <w:hyperlink r:id="rId35" w:history="1">
        <w:r w:rsidR="00BE4481" w:rsidRPr="00BE4481">
          <w:rPr>
            <w:rFonts w:ascii="David" w:hAnsi="David" w:cs="David"/>
            <w:color w:val="0000FF"/>
            <w:sz w:val="24"/>
            <w:szCs w:val="24"/>
            <w:u w:val="single"/>
            <w:rtl/>
          </w:rPr>
          <w:t>רע"פ 3674/04</w:t>
        </w:r>
      </w:hyperlink>
      <w:r>
        <w:rPr>
          <w:rFonts w:ascii="David" w:hAnsi="David" w:cs="David"/>
          <w:sz w:val="24"/>
          <w:szCs w:val="24"/>
          <w:rtl/>
        </w:rPr>
        <w:t xml:space="preserve"> </w:t>
      </w:r>
      <w:r>
        <w:rPr>
          <w:rFonts w:ascii="David" w:hAnsi="David" w:cs="David"/>
          <w:b/>
          <w:bCs/>
          <w:sz w:val="24"/>
          <w:szCs w:val="24"/>
          <w:rtl/>
        </w:rPr>
        <w:t xml:space="preserve">אבו סאלם נ' מדינת ישראל </w:t>
      </w:r>
      <w:r>
        <w:rPr>
          <w:rFonts w:ascii="David" w:hAnsi="David" w:cs="David"/>
          <w:sz w:val="24"/>
          <w:szCs w:val="24"/>
          <w:rtl/>
        </w:rPr>
        <w:t>(12.2.2006) נפסק ביחס להסעת שב"ח ללא היכרות מוקדמת איתו משטחי האזור אל תוך ישראל : "</w:t>
      </w:r>
      <w:r>
        <w:rPr>
          <w:rFonts w:ascii="David" w:hAnsi="David" w:cs="David"/>
          <w:b/>
          <w:bCs/>
          <w:sz w:val="24"/>
          <w:szCs w:val="24"/>
          <w:rtl/>
        </w:rPr>
        <w:t>משקל רב יש ליתן, כמובן, לנסיבות ביצוע העבירה ולמניעיו של העבריין, ובייחוד נתחשב בסיכון שיצר הנאשם לשלום הציבור. כך, למשל, פלוני שבעצימת עיניים הסיע אדם זר משטחי האזור אל תוך ישראל, נוטל על עצמו סיכון רב שכן אין לו כל ערובה כי הנוסע אינו נושא עמו מטען חבלה. פלוני יישפט אפוא לחומרה ומדיניות הענישה תיושם עליו במלואה. שונה הוא עניינו של אלמוני, המסיע בן משפחה או חבר קרוב. אמת, אלמוני אינו פטור מעונש, ואפשר אף כי יש להטיל עליו עונש מאסר, אך מנגד לא נוכל לומר כי ראוי לאכוף עליו את מדיניות הענישה במלוא עוצמתה."</w:t>
      </w:r>
    </w:p>
    <w:p w14:paraId="74CF69C6"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tl/>
        </w:rPr>
      </w:pPr>
      <w:r>
        <w:rPr>
          <w:rFonts w:ascii="David" w:hAnsi="David" w:cs="David"/>
          <w:sz w:val="24"/>
          <w:szCs w:val="24"/>
          <w:rtl/>
        </w:rPr>
        <w:t>לנוכח הנסיבות המפורטות ולנוכח הידוע לנו היום לאחר המתקפה ב – 7.10.23 על הסיכונים הגדולים הכרוכים בתופעת השהייה הבלתי חוקית, מידת הפגיעה בערכים המוגנים היא במידה בינונית - גבוהה.</w:t>
      </w:r>
    </w:p>
    <w:p w14:paraId="5419BBED"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Pr>
      </w:pPr>
      <w:r>
        <w:rPr>
          <w:rFonts w:ascii="David" w:hAnsi="David" w:cs="David"/>
          <w:sz w:val="24"/>
          <w:szCs w:val="24"/>
          <w:u w:val="single"/>
          <w:rtl/>
        </w:rPr>
        <w:t>ביחס לעבירת החזקת סמים שלא לצריכה עצמית</w:t>
      </w:r>
      <w:r>
        <w:rPr>
          <w:rFonts w:ascii="David" w:hAnsi="David" w:cs="David"/>
          <w:sz w:val="24"/>
          <w:szCs w:val="24"/>
          <w:rtl/>
        </w:rPr>
        <w:t>: הנאשם החזיק ברכבו בשני מקומות שונים סמים מסוג חשיש וקנבוס במשקל כולל של כ-100 גרם לצד משקל. מקום הימצאות הסמים (ברכב ולא בבית) לצד משקל, יש בהם כדי להעיד על כוונת הפצה. מנגד,  מבלי להקל ראש, מדובר בכמות שהיא גדולה מהכמות המוגדרת לצריכה עצמית, אבל יחסית לא מאד גדולה ולא מחולקת לשקיות, שנועדה לדברי הנאשם לצריכה עצמית. בנסיבות אלה, מידת הפגיעה בערכים המוגנים היא במידה בינונית.</w:t>
      </w:r>
    </w:p>
    <w:p w14:paraId="7A4B5B9F" w14:textId="77777777" w:rsidR="00327EDA" w:rsidRDefault="00327EDA" w:rsidP="00327EDA">
      <w:pPr>
        <w:spacing w:before="120" w:after="120" w:line="360" w:lineRule="auto"/>
        <w:jc w:val="both"/>
        <w:rPr>
          <w:rFonts w:ascii="David" w:hAnsi="David"/>
          <w:rtl/>
        </w:rPr>
      </w:pPr>
    </w:p>
    <w:p w14:paraId="3806CB83" w14:textId="77777777" w:rsidR="00327EDA" w:rsidRPr="00CB6C95" w:rsidRDefault="00327EDA" w:rsidP="00327EDA">
      <w:pPr>
        <w:spacing w:before="120" w:after="120" w:line="360" w:lineRule="auto"/>
        <w:jc w:val="both"/>
        <w:rPr>
          <w:rFonts w:ascii="David" w:hAnsi="David"/>
        </w:rPr>
      </w:pPr>
    </w:p>
    <w:p w14:paraId="77BA3807" w14:textId="77777777" w:rsidR="00327EDA" w:rsidRDefault="00327EDA" w:rsidP="00327EDA">
      <w:pPr>
        <w:spacing w:before="120" w:after="120" w:line="360" w:lineRule="auto"/>
        <w:ind w:firstLine="368"/>
        <w:jc w:val="both"/>
        <w:rPr>
          <w:rFonts w:ascii="David" w:hAnsi="David"/>
        </w:rPr>
      </w:pPr>
      <w:r>
        <w:rPr>
          <w:rFonts w:ascii="David" w:hAnsi="David"/>
          <w:b/>
          <w:bCs/>
          <w:u w:val="single"/>
          <w:rtl/>
        </w:rPr>
        <w:t>מדיניות הענישה הנוהגת</w:t>
      </w:r>
    </w:p>
    <w:p w14:paraId="3E0463C6"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tl/>
        </w:rPr>
      </w:pPr>
      <w:r>
        <w:rPr>
          <w:rFonts w:ascii="David" w:hAnsi="David" w:cs="David"/>
          <w:sz w:val="24"/>
          <w:szCs w:val="24"/>
          <w:rtl/>
        </w:rPr>
        <w:t>בחינת מדיניות הענישה הנוהגת בעבירות הסעת שב"ח מלמדת כי בעבירות דומות הוטלו על נאשמים עונשים כדלקמן:</w:t>
      </w:r>
    </w:p>
    <w:p w14:paraId="497466E4" w14:textId="77777777" w:rsidR="00327EDA" w:rsidRPr="00327EDA" w:rsidRDefault="00327EDA" w:rsidP="00327EDA">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color w:val="000000"/>
          <w:sz w:val="24"/>
          <w:szCs w:val="24"/>
          <w:rtl/>
        </w:rPr>
        <w:t>ב</w:t>
      </w:r>
      <w:hyperlink r:id="rId36" w:history="1">
        <w:r w:rsidR="00BE4481" w:rsidRPr="00BE4481">
          <w:rPr>
            <w:rFonts w:ascii="David" w:hAnsi="David" w:cs="David"/>
            <w:color w:val="0000FF"/>
            <w:sz w:val="24"/>
            <w:szCs w:val="24"/>
            <w:u w:val="single"/>
            <w:rtl/>
          </w:rPr>
          <w:t>עפ"ג (ב"ש) 29635-01-14</w:t>
        </w:r>
      </w:hyperlink>
      <w:r w:rsidR="00BE4481">
        <w:rPr>
          <w:rFonts w:ascii="David" w:hAnsi="David" w:cs="David"/>
          <w:color w:val="000000"/>
          <w:sz w:val="24"/>
          <w:szCs w:val="24"/>
          <w:rtl/>
        </w:rPr>
        <w:t xml:space="preserve"> </w:t>
      </w:r>
      <w:r>
        <w:rPr>
          <w:rFonts w:ascii="David" w:hAnsi="David" w:cs="David"/>
          <w:b/>
          <w:bCs/>
          <w:color w:val="000000"/>
          <w:sz w:val="24"/>
          <w:szCs w:val="24"/>
          <w:u w:val="single"/>
          <w:rtl/>
        </w:rPr>
        <w:t>יצחק אבו אל קיעאן נ' מדינת ישראל</w:t>
      </w:r>
      <w:r>
        <w:rPr>
          <w:rFonts w:ascii="David" w:hAnsi="David" w:cs="David"/>
          <w:sz w:val="24"/>
          <w:szCs w:val="24"/>
          <w:rtl/>
        </w:rPr>
        <w:t xml:space="preserve"> (19.02.14) -הנאשם הורשע בהסעת 4 שוהים בלתי חוקיים מכיוון מיתר לכיוון צומת שוקת. בית המשפט קבע מתחם ענישה הנע בין 3-9 חודשי מאסר בפועל וגזר על הנאשם  לאור עברו הפלילי הכולל הרשעות בעבירות דומות 6 חודשי מאסר בפועל והפעלת מאסר מותנה בן 12 חודשים (סה"כ 12 חודשי מאסר בפועל). ערעור לבית המשפט המחוזי נדחה.</w:t>
      </w:r>
    </w:p>
    <w:p w14:paraId="119C0901" w14:textId="77777777" w:rsidR="00327EDA" w:rsidRDefault="00327EDA" w:rsidP="00327EDA">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ב</w:t>
      </w:r>
      <w:hyperlink r:id="rId37" w:history="1">
        <w:r w:rsidR="00BE4481" w:rsidRPr="00BE4481">
          <w:rPr>
            <w:rFonts w:ascii="David" w:hAnsi="David" w:cs="David"/>
            <w:color w:val="0000FF"/>
            <w:sz w:val="24"/>
            <w:szCs w:val="24"/>
            <w:u w:val="single"/>
            <w:rtl/>
          </w:rPr>
          <w:t>עפ"ג 475-01-17</w:t>
        </w:r>
      </w:hyperlink>
      <w:r>
        <w:rPr>
          <w:rFonts w:ascii="David" w:hAnsi="David" w:cs="David"/>
          <w:sz w:val="24"/>
          <w:szCs w:val="24"/>
          <w:rtl/>
        </w:rPr>
        <w:t xml:space="preserve"> </w:t>
      </w:r>
      <w:r>
        <w:rPr>
          <w:rFonts w:ascii="David" w:hAnsi="David" w:cs="David"/>
          <w:b/>
          <w:bCs/>
          <w:sz w:val="24"/>
          <w:szCs w:val="24"/>
          <w:u w:val="single"/>
          <w:rtl/>
        </w:rPr>
        <w:t>אבו סבית נ' מדינת ישראל</w:t>
      </w:r>
      <w:r>
        <w:rPr>
          <w:rFonts w:ascii="David" w:hAnsi="David" w:cs="David"/>
          <w:sz w:val="24"/>
          <w:szCs w:val="24"/>
          <w:rtl/>
        </w:rPr>
        <w:t xml:space="preserve"> (8.3.2017) בגין עבירה בודדת של הסעת 3 שוהים בלתי חוקיים, לא לשם הפקת רווח כספי, נקבע מתחם עונש הנע בין מאסר קצר בפועל לריצוי בדרך של עבודות שירות לבין מספר חודשי מאסר בפועל. לאור העדר עבר פלילי ונסיבותיו האישיות של הנאשם, בית המשפט גזר על הנאשם חודש מאסר בפועל לריצוי בדרך של עבודות שירות לצד רכיבי ענישה נלווים. בית המשפט המחוזי בבאר שבע, דחה את הערעור תוך שציין :"ה</w:t>
      </w:r>
      <w:r>
        <w:rPr>
          <w:rFonts w:ascii="David" w:hAnsi="David" w:cs="David"/>
          <w:b/>
          <w:bCs/>
          <w:sz w:val="24"/>
          <w:szCs w:val="24"/>
          <w:rtl/>
        </w:rPr>
        <w:t>גם אם המעשה בוצע שלא בשל מניע כספי, אין בכך כדי להקהות מחומרתו, נוכח הרגישות הביטחונית שאין צורך להכביר מילים בעניינה והיא ידועה לכל, ובכלל זה למערער</w:t>
      </w:r>
      <w:r>
        <w:rPr>
          <w:rFonts w:ascii="David" w:hAnsi="David" w:cs="David"/>
          <w:sz w:val="24"/>
          <w:szCs w:val="24"/>
          <w:rtl/>
        </w:rPr>
        <w:t>".</w:t>
      </w:r>
    </w:p>
    <w:p w14:paraId="2A122C7A" w14:textId="77777777" w:rsidR="00327EDA" w:rsidRDefault="00BE4481" w:rsidP="00327EDA">
      <w:pPr>
        <w:pStyle w:val="ab"/>
        <w:numPr>
          <w:ilvl w:val="0"/>
          <w:numId w:val="4"/>
        </w:numPr>
        <w:spacing w:before="120" w:after="120" w:line="360" w:lineRule="auto"/>
        <w:contextualSpacing w:val="0"/>
        <w:jc w:val="both"/>
        <w:rPr>
          <w:rFonts w:ascii="David" w:hAnsi="David" w:cs="David"/>
          <w:sz w:val="24"/>
          <w:szCs w:val="24"/>
        </w:rPr>
      </w:pPr>
      <w:hyperlink r:id="rId38" w:history="1">
        <w:r w:rsidRPr="00BE4481">
          <w:rPr>
            <w:rFonts w:ascii="David" w:hAnsi="David" w:cs="David"/>
            <w:color w:val="0000FF"/>
            <w:sz w:val="24"/>
            <w:szCs w:val="24"/>
            <w:u w:val="single"/>
            <w:rtl/>
          </w:rPr>
          <w:t>ת"פ 37841-01-14</w:t>
        </w:r>
      </w:hyperlink>
      <w:r w:rsidR="00327EDA">
        <w:rPr>
          <w:rFonts w:ascii="David" w:hAnsi="David" w:cs="David"/>
          <w:sz w:val="24"/>
          <w:szCs w:val="24"/>
          <w:rtl/>
        </w:rPr>
        <w:t xml:space="preserve"> </w:t>
      </w:r>
      <w:r w:rsidR="00327EDA">
        <w:rPr>
          <w:rFonts w:ascii="David" w:hAnsi="David" w:cs="David"/>
          <w:b/>
          <w:bCs/>
          <w:sz w:val="24"/>
          <w:szCs w:val="24"/>
          <w:u w:val="single"/>
          <w:rtl/>
        </w:rPr>
        <w:t>מדינת ישראל נ' חוסיין אבו אלקיעאן</w:t>
      </w:r>
      <w:r w:rsidR="00327EDA">
        <w:rPr>
          <w:rFonts w:ascii="David" w:hAnsi="David" w:cs="David"/>
          <w:sz w:val="24"/>
          <w:szCs w:val="24"/>
          <w:rtl/>
        </w:rPr>
        <w:t xml:space="preserve"> (16.12.15), אליו הפנתה ב"כ המאשימה: הנאשם הורשע לאחר שמיעת ראיות בעבירה של הסעת שב"ח לאחר שהסיע שוהה בלתי חוקי מתחומי מדינת ישראל אל המחסום לכיוון שטחי הרשות הפלסטינית. נקבע מתחם ענישה הנע בין חודש ל-6 חודשי מאסר ונגזר על הנאשם מאסר בן 4 חודשים והפעלת מאסר מותנה בן 6 חודשים (חציו בחופף וחציו במצטבר). סה"כ 7 חודשים. ערעור לבית המשפט המחוזי התקבל חלקית עקב נסיבותיו האישיות של הנאשם ועונש המאסר המותנה הופעל כך ש-3 חודשי מאסר ירוצו בחופף ו-4 במצטבר.</w:t>
      </w:r>
    </w:p>
    <w:p w14:paraId="1641183E" w14:textId="77777777" w:rsidR="00327EDA" w:rsidRPr="00327EDA" w:rsidRDefault="00327EDA" w:rsidP="00327EDA">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ב</w:t>
      </w:r>
      <w:hyperlink r:id="rId39" w:history="1">
        <w:r w:rsidR="00BE4481" w:rsidRPr="00BE4481">
          <w:rPr>
            <w:rFonts w:ascii="David" w:hAnsi="David" w:cs="David"/>
            <w:color w:val="0000FF"/>
            <w:sz w:val="24"/>
            <w:szCs w:val="24"/>
            <w:u w:val="single"/>
            <w:rtl/>
          </w:rPr>
          <w:t>ת"פ 18284-04-15</w:t>
        </w:r>
      </w:hyperlink>
      <w:r>
        <w:rPr>
          <w:rFonts w:ascii="David" w:hAnsi="David" w:cs="David"/>
          <w:sz w:val="24"/>
          <w:szCs w:val="24"/>
          <w:rtl/>
        </w:rPr>
        <w:t xml:space="preserve"> </w:t>
      </w:r>
      <w:r>
        <w:rPr>
          <w:rFonts w:ascii="David" w:hAnsi="David" w:cs="David"/>
          <w:b/>
          <w:bCs/>
          <w:sz w:val="24"/>
          <w:szCs w:val="24"/>
          <w:u w:val="single"/>
          <w:rtl/>
        </w:rPr>
        <w:t>מדינת ישראל נ' עמאר</w:t>
      </w:r>
      <w:r>
        <w:rPr>
          <w:rFonts w:ascii="David" w:hAnsi="David" w:cs="David"/>
          <w:sz w:val="24"/>
          <w:szCs w:val="24"/>
          <w:rtl/>
        </w:rPr>
        <w:t xml:space="preserve"> (נבו, 16.12.15) בגין הסעת 2 שוהים בלתי חוקיים נקבע מתחם עונש שנע בין 3 חודשי מאסר בפועל לבין 10 חודשי מאסר בפועל. </w:t>
      </w:r>
    </w:p>
    <w:p w14:paraId="5A4BC6C8" w14:textId="77777777" w:rsidR="00327EDA" w:rsidRDefault="00BE4481" w:rsidP="00327EDA">
      <w:pPr>
        <w:pStyle w:val="ab"/>
        <w:numPr>
          <w:ilvl w:val="0"/>
          <w:numId w:val="4"/>
        </w:numPr>
        <w:spacing w:before="120" w:after="120" w:line="360" w:lineRule="auto"/>
        <w:contextualSpacing w:val="0"/>
        <w:jc w:val="both"/>
        <w:rPr>
          <w:rFonts w:ascii="David" w:hAnsi="David" w:cs="David"/>
          <w:sz w:val="24"/>
          <w:szCs w:val="24"/>
        </w:rPr>
      </w:pPr>
      <w:r>
        <w:rPr>
          <w:color w:val="FF0000"/>
          <w:sz w:val="14"/>
          <w:szCs w:val="14"/>
        </w:rPr>
        <w:t xml:space="preserve"> </w:t>
      </w:r>
      <w:r w:rsidR="00327EDA">
        <w:rPr>
          <w:rFonts w:ascii="David" w:hAnsi="David" w:cs="David"/>
          <w:sz w:val="24"/>
          <w:szCs w:val="24"/>
          <w:rtl/>
        </w:rPr>
        <w:t>ב</w:t>
      </w:r>
      <w:hyperlink r:id="rId40" w:history="1">
        <w:r w:rsidRPr="00BE4481">
          <w:rPr>
            <w:rFonts w:ascii="David" w:hAnsi="David" w:cs="David"/>
            <w:color w:val="0000FF"/>
            <w:sz w:val="24"/>
            <w:szCs w:val="24"/>
            <w:u w:val="single"/>
            <w:rtl/>
          </w:rPr>
          <w:t>ת"פ 61854-02-20</w:t>
        </w:r>
      </w:hyperlink>
      <w:r>
        <w:rPr>
          <w:rFonts w:ascii="David" w:hAnsi="David" w:cs="David"/>
          <w:sz w:val="24"/>
          <w:szCs w:val="24"/>
        </w:rPr>
        <w:t xml:space="preserve"> </w:t>
      </w:r>
      <w:r w:rsidR="00327EDA">
        <w:rPr>
          <w:rFonts w:ascii="David" w:hAnsi="David" w:cs="David"/>
          <w:b/>
          <w:bCs/>
          <w:sz w:val="24"/>
          <w:szCs w:val="24"/>
          <w:u w:val="single"/>
          <w:rtl/>
        </w:rPr>
        <w:t>מדינת ישראל נ'</w:t>
      </w:r>
      <w:r w:rsidR="00327EDA">
        <w:rPr>
          <w:rFonts w:ascii="David" w:hAnsi="David" w:cs="David"/>
          <w:sz w:val="24"/>
          <w:szCs w:val="24"/>
          <w:u w:val="single"/>
          <w:rtl/>
        </w:rPr>
        <w:t xml:space="preserve"> </w:t>
      </w:r>
      <w:r w:rsidR="00327EDA">
        <w:rPr>
          <w:rFonts w:ascii="David" w:hAnsi="David" w:cs="David"/>
          <w:b/>
          <w:bCs/>
          <w:sz w:val="24"/>
          <w:szCs w:val="24"/>
          <w:u w:val="single"/>
          <w:rtl/>
        </w:rPr>
        <w:t>ענאבוסי</w:t>
      </w:r>
      <w:r>
        <w:rPr>
          <w:rFonts w:ascii="David" w:hAnsi="David" w:cs="David"/>
          <w:b/>
          <w:bCs/>
          <w:sz w:val="24"/>
          <w:szCs w:val="24"/>
          <w:rtl/>
        </w:rPr>
        <w:t xml:space="preserve"> </w:t>
      </w:r>
      <w:r w:rsidR="00327EDA">
        <w:rPr>
          <w:rFonts w:ascii="David" w:hAnsi="David" w:cs="David"/>
          <w:sz w:val="24"/>
          <w:szCs w:val="24"/>
          <w:rtl/>
        </w:rPr>
        <w:t>(נבו, 14.09.21) בגין הסעת 2 שוהים בלתי חוקיים ללא עבר פלילי נקבע מתחם עונש שנע בין מאסר קצר שניתן לשאת בעבודות שירות ועד 6 חודשי מאסר. על הנאשם  הושתו 45 ימי מאסר בפועל בעבודות שירות</w:t>
      </w:r>
      <w:r w:rsidR="00327EDA">
        <w:rPr>
          <w:rFonts w:ascii="David" w:hAnsi="David" w:cs="David"/>
          <w:sz w:val="24"/>
          <w:szCs w:val="24"/>
        </w:rPr>
        <w:t>.</w:t>
      </w:r>
    </w:p>
    <w:p w14:paraId="2815D2B4" w14:textId="77777777" w:rsidR="00327EDA" w:rsidRDefault="00327EDA" w:rsidP="00327EDA">
      <w:pPr>
        <w:pStyle w:val="ab"/>
        <w:numPr>
          <w:ilvl w:val="0"/>
          <w:numId w:val="4"/>
        </w:numPr>
        <w:spacing w:before="120" w:after="120" w:line="360" w:lineRule="auto"/>
        <w:ind w:left="726"/>
        <w:contextualSpacing w:val="0"/>
        <w:jc w:val="both"/>
        <w:rPr>
          <w:rFonts w:ascii="David" w:hAnsi="David" w:cs="David"/>
          <w:sz w:val="24"/>
          <w:szCs w:val="24"/>
        </w:rPr>
      </w:pPr>
      <w:r>
        <w:rPr>
          <w:rFonts w:ascii="David" w:hAnsi="David" w:cs="David"/>
          <w:sz w:val="24"/>
          <w:szCs w:val="24"/>
          <w:rtl/>
        </w:rPr>
        <w:t>ב</w:t>
      </w:r>
      <w:hyperlink r:id="rId41" w:history="1">
        <w:r w:rsidR="00BE4481" w:rsidRPr="00BE4481">
          <w:rPr>
            <w:rFonts w:ascii="David" w:hAnsi="David" w:cs="David"/>
            <w:color w:val="0000FF"/>
            <w:sz w:val="24"/>
            <w:szCs w:val="24"/>
            <w:u w:val="single"/>
            <w:rtl/>
          </w:rPr>
          <w:t>ת"פ 12240-05-21</w:t>
        </w:r>
      </w:hyperlink>
      <w:r>
        <w:rPr>
          <w:rFonts w:ascii="David" w:hAnsi="David" w:cs="David"/>
          <w:sz w:val="24"/>
          <w:szCs w:val="24"/>
          <w:rtl/>
        </w:rPr>
        <w:t xml:space="preserve"> </w:t>
      </w:r>
      <w:r>
        <w:rPr>
          <w:rFonts w:ascii="David" w:hAnsi="David" w:cs="David"/>
          <w:b/>
          <w:bCs/>
          <w:sz w:val="24"/>
          <w:szCs w:val="24"/>
          <w:u w:val="single"/>
          <w:rtl/>
        </w:rPr>
        <w:t>מדינת ישראל נ' עלא אבו כף</w:t>
      </w:r>
      <w:r>
        <w:rPr>
          <w:rFonts w:ascii="David" w:hAnsi="David" w:cs="David"/>
          <w:sz w:val="24"/>
          <w:szCs w:val="24"/>
          <w:rtl/>
        </w:rPr>
        <w:t xml:space="preserve"> (נבו, 29.01.24) בית המשפט גזר על נאשם ללא עבר פלילי שהסיע שוהה בלתי חוקי אחד ענישה הכוללת מאסר בפועל למשך 30 ימים שירוצה בעבודות שירות לצד ענישה נלווית ושלילת רישיון על תנאי. הנאשם נטל אחריות מלאה, הודה שהוא מכיר את הנוסע וידע שהוא ללא היתר כדין. השתתף בהצלחה בהליך טיפולי. בית המשפט הדגיש בגזר דינו – " </w:t>
      </w:r>
      <w:r>
        <w:rPr>
          <w:rFonts w:ascii="David" w:hAnsi="David" w:cs="David"/>
          <w:b/>
          <w:bCs/>
          <w:sz w:val="24"/>
          <w:szCs w:val="24"/>
          <w:rtl/>
        </w:rPr>
        <w:t>זוועות ונוראות פרוץ המלחמה בשבעה באוקטובר הבהירו לרשויות האכיפה ולבתי המשפט המחויבים בהגנת הציבור וביטחונו, ולכל אזרח, כי קיימת חובה להרתעה מפני ביצוע עבירות בתחום זה, קטנה כגדולה תוך שמירת האינטרס הציבורי לגבולות בטוחים.</w:t>
      </w:r>
      <w:r>
        <w:rPr>
          <w:rFonts w:ascii="David" w:hAnsi="David" w:cs="David"/>
          <w:b/>
          <w:bCs/>
          <w:sz w:val="24"/>
          <w:szCs w:val="24"/>
        </w:rPr>
        <w:t xml:space="preserve"> </w:t>
      </w:r>
      <w:r w:rsidR="00BE4481">
        <w:rPr>
          <w:b/>
          <w:bCs/>
          <w:sz w:val="14"/>
          <w:szCs w:val="14"/>
          <w:rtl/>
        </w:rPr>
        <w:t xml:space="preserve"> </w:t>
      </w:r>
      <w:r>
        <w:rPr>
          <w:rFonts w:ascii="David" w:hAnsi="David" w:cs="David"/>
          <w:b/>
          <w:bCs/>
          <w:sz w:val="24"/>
          <w:szCs w:val="24"/>
          <w:rtl/>
        </w:rPr>
        <w:t>משעתרה המאשימה- מדינת ישראל לעונש של</w:t>
      </w:r>
      <w:r w:rsidR="00BE4481">
        <w:rPr>
          <w:rFonts w:ascii="David" w:hAnsi="David" w:cs="David"/>
          <w:b/>
          <w:bCs/>
          <w:sz w:val="24"/>
          <w:szCs w:val="24"/>
          <w:rtl/>
        </w:rPr>
        <w:t xml:space="preserve"> </w:t>
      </w:r>
      <w:r>
        <w:rPr>
          <w:rFonts w:ascii="David" w:hAnsi="David" w:cs="David"/>
          <w:b/>
          <w:bCs/>
          <w:sz w:val="24"/>
          <w:szCs w:val="24"/>
          <w:rtl/>
        </w:rPr>
        <w:t>חודש בעבודות שירות</w:t>
      </w:r>
      <w:r w:rsidR="00BE4481">
        <w:rPr>
          <w:rFonts w:ascii="David" w:hAnsi="David" w:cs="David"/>
          <w:b/>
          <w:bCs/>
          <w:sz w:val="24"/>
          <w:szCs w:val="24"/>
          <w:rtl/>
        </w:rPr>
        <w:t xml:space="preserve"> </w:t>
      </w:r>
      <w:r>
        <w:rPr>
          <w:rFonts w:ascii="David" w:hAnsi="David" w:cs="David"/>
          <w:b/>
          <w:bCs/>
          <w:sz w:val="24"/>
          <w:szCs w:val="24"/>
          <w:rtl/>
        </w:rPr>
        <w:t>כאמור בפרוטוקול הדיון מ18.9.23, לא ראיתי לנכון להחמיר יותר בקביעת ריצוי המאסר בפועל, וזאת בשל הנסיבות המקלות ובכללם עברו הפלילי והודאתו בשני תיקים וקבלתו הדין בכל הנוגע לעבירות משנת 2021</w:t>
      </w:r>
      <w:r>
        <w:rPr>
          <w:rFonts w:ascii="David" w:hAnsi="David" w:cs="David"/>
          <w:sz w:val="24"/>
          <w:szCs w:val="24"/>
          <w:rtl/>
        </w:rPr>
        <w:t xml:space="preserve">". </w:t>
      </w:r>
    </w:p>
    <w:p w14:paraId="68411A61" w14:textId="77777777" w:rsidR="00327EDA" w:rsidRDefault="00327EDA" w:rsidP="00327EDA">
      <w:pPr>
        <w:pStyle w:val="ab"/>
        <w:numPr>
          <w:ilvl w:val="0"/>
          <w:numId w:val="4"/>
        </w:numPr>
        <w:spacing w:before="120" w:after="120" w:line="360" w:lineRule="auto"/>
        <w:contextualSpacing w:val="0"/>
        <w:jc w:val="both"/>
        <w:rPr>
          <w:rFonts w:ascii="David" w:hAnsi="David" w:cs="David"/>
          <w:sz w:val="24"/>
          <w:szCs w:val="24"/>
          <w:rtl/>
        </w:rPr>
      </w:pPr>
      <w:r>
        <w:rPr>
          <w:rFonts w:ascii="David" w:hAnsi="David" w:cs="David"/>
          <w:sz w:val="24"/>
          <w:szCs w:val="24"/>
          <w:rtl/>
        </w:rPr>
        <w:t>ב</w:t>
      </w:r>
      <w:hyperlink r:id="rId42" w:history="1">
        <w:r w:rsidR="00BE4481" w:rsidRPr="00BE4481">
          <w:rPr>
            <w:rFonts w:ascii="David" w:hAnsi="David" w:cs="David"/>
            <w:color w:val="0000FF"/>
            <w:sz w:val="24"/>
            <w:szCs w:val="24"/>
            <w:u w:val="single"/>
            <w:rtl/>
          </w:rPr>
          <w:t>ת"פ 14-09-21</w:t>
        </w:r>
      </w:hyperlink>
      <w:r>
        <w:rPr>
          <w:rFonts w:ascii="David" w:hAnsi="David" w:cs="David"/>
          <w:sz w:val="24"/>
          <w:szCs w:val="24"/>
          <w:rtl/>
        </w:rPr>
        <w:t xml:space="preserve"> </w:t>
      </w:r>
      <w:r>
        <w:rPr>
          <w:rFonts w:ascii="David" w:hAnsi="David" w:cs="David"/>
          <w:b/>
          <w:bCs/>
          <w:sz w:val="24"/>
          <w:szCs w:val="24"/>
          <w:u w:val="single"/>
          <w:rtl/>
        </w:rPr>
        <w:t>מדינת ישראל נ' אבו מדיעם</w:t>
      </w:r>
      <w:r>
        <w:rPr>
          <w:rFonts w:ascii="David" w:hAnsi="David" w:cs="David"/>
          <w:sz w:val="24"/>
          <w:szCs w:val="24"/>
          <w:rtl/>
        </w:rPr>
        <w:t xml:space="preserve"> (נבו, 26.02.24) בית המשפט גזר ענישה הכוללת 45 ימי מאסר בפועל שירוצו בעבודות שירות, מאסר מותנה, פסילת רישיון נהיגה מותנית, 4,000 ₪ קנס והתחייבות בגין הסעת שוהה בלתי חוקי, קרוב משפחה מחברון. </w:t>
      </w:r>
    </w:p>
    <w:p w14:paraId="249DF706" w14:textId="77777777" w:rsidR="00327EDA" w:rsidRDefault="00BE4481" w:rsidP="00327EDA">
      <w:pPr>
        <w:pStyle w:val="ab"/>
        <w:numPr>
          <w:ilvl w:val="0"/>
          <w:numId w:val="4"/>
        </w:numPr>
        <w:spacing w:before="120" w:after="120" w:line="360" w:lineRule="auto"/>
        <w:contextualSpacing w:val="0"/>
        <w:jc w:val="both"/>
        <w:rPr>
          <w:rFonts w:ascii="David" w:hAnsi="David" w:cs="David"/>
          <w:sz w:val="24"/>
          <w:szCs w:val="24"/>
        </w:rPr>
      </w:pPr>
      <w:hyperlink r:id="rId43" w:history="1">
        <w:r w:rsidRPr="00BE4481">
          <w:rPr>
            <w:rFonts w:ascii="David" w:hAnsi="David" w:cs="David"/>
            <w:color w:val="0000FF"/>
            <w:sz w:val="24"/>
            <w:szCs w:val="24"/>
            <w:u w:val="single"/>
            <w:rtl/>
          </w:rPr>
          <w:t>ת"פ 54477-12-21</w:t>
        </w:r>
      </w:hyperlink>
      <w:r w:rsidR="00327EDA">
        <w:rPr>
          <w:rFonts w:ascii="David" w:hAnsi="David" w:cs="David"/>
          <w:sz w:val="24"/>
          <w:szCs w:val="24"/>
          <w:rtl/>
        </w:rPr>
        <w:t xml:space="preserve"> </w:t>
      </w:r>
      <w:r w:rsidR="00327EDA">
        <w:rPr>
          <w:rFonts w:ascii="David" w:hAnsi="David" w:cs="David"/>
          <w:b/>
          <w:bCs/>
          <w:sz w:val="24"/>
          <w:szCs w:val="24"/>
          <w:u w:val="single"/>
          <w:rtl/>
        </w:rPr>
        <w:t>מדינת ישראל נ' אבו עמרה</w:t>
      </w:r>
      <w:r w:rsidR="00327EDA">
        <w:rPr>
          <w:rFonts w:ascii="David" w:hAnsi="David" w:cs="David"/>
          <w:sz w:val="24"/>
          <w:szCs w:val="24"/>
          <w:rtl/>
        </w:rPr>
        <w:t xml:space="preserve"> (נבו, 30.01.24): בית המשפט גזר 3 חודשי מאסר שירוצו בעבודות שירות, מאסר מותנה, פסילת רישיון נהיגה מותנה וקנס בסך 2,000 ₪ בגין הסעת תושב זר. לנאשם הרשעה נוספת.  </w:t>
      </w:r>
    </w:p>
    <w:p w14:paraId="5B1A575A" w14:textId="77777777" w:rsidR="00327EDA" w:rsidRDefault="00327EDA" w:rsidP="00327EDA">
      <w:pPr>
        <w:pStyle w:val="ab"/>
        <w:spacing w:before="120" w:after="120" w:line="360" w:lineRule="auto"/>
        <w:ind w:left="728"/>
        <w:contextualSpacing w:val="0"/>
        <w:jc w:val="both"/>
        <w:rPr>
          <w:rFonts w:ascii="David" w:hAnsi="David" w:cs="David"/>
          <w:sz w:val="24"/>
          <w:szCs w:val="24"/>
        </w:rPr>
      </w:pPr>
      <w:r>
        <w:rPr>
          <w:rFonts w:ascii="David" w:hAnsi="David" w:cs="David"/>
          <w:sz w:val="24"/>
          <w:szCs w:val="24"/>
          <w:rtl/>
        </w:rPr>
        <w:t>בערעור (</w:t>
      </w:r>
      <w:hyperlink r:id="rId44" w:history="1">
        <w:r w:rsidR="00BE4481" w:rsidRPr="00BE4481">
          <w:rPr>
            <w:rFonts w:ascii="David" w:hAnsi="David" w:cs="David"/>
            <w:color w:val="0000FF"/>
            <w:sz w:val="24"/>
            <w:szCs w:val="24"/>
            <w:u w:val="single"/>
            <w:rtl/>
          </w:rPr>
          <w:t>עפ"ג 19362-03-24</w:t>
        </w:r>
      </w:hyperlink>
      <w:r>
        <w:rPr>
          <w:rFonts w:ascii="David" w:hAnsi="David" w:cs="David"/>
          <w:sz w:val="24"/>
          <w:szCs w:val="24"/>
          <w:rtl/>
        </w:rPr>
        <w:t>) בית המשפט המחוזי קבע שמתחם העונש שקבע בית המשפט מותאם לנסיבות ואינו חורג לחומרה, כך גם עונש המאסר שהושת על הנאשם. יחד עם זאת, לאור החמרה במצבו הרפואי של הנאשם לאחר גזר הדין ומאחר שהוא נמצא כלא מתאים לריצוי מאסר בעבודות שירות בשל ההחמרה במצבו הרפואי, הוחלט לבטל את רכיב המאסר ומנגד להגדיל את סכום הקנס ל – 7,500 ₪ ולשלול את רישיון הנהיגה לצמיתות.</w:t>
      </w:r>
    </w:p>
    <w:p w14:paraId="1C95FE0D" w14:textId="77777777" w:rsidR="00327EDA" w:rsidRDefault="00327EDA" w:rsidP="00327EDA">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בעבירות שבוצעו בזמן המלחמה, הענישה הוחמרה. כך ,למשל, ב</w:t>
      </w:r>
      <w:hyperlink r:id="rId45" w:history="1">
        <w:r w:rsidR="00BE4481" w:rsidRPr="00BE4481">
          <w:rPr>
            <w:rFonts w:ascii="David" w:hAnsi="David" w:cs="David"/>
            <w:color w:val="0000FF"/>
            <w:sz w:val="24"/>
            <w:szCs w:val="24"/>
            <w:u w:val="single"/>
            <w:rtl/>
          </w:rPr>
          <w:t>ת"פ 1605-11-23</w:t>
        </w:r>
      </w:hyperlink>
      <w:r>
        <w:rPr>
          <w:rFonts w:ascii="David" w:hAnsi="David" w:cs="David"/>
          <w:sz w:val="24"/>
          <w:szCs w:val="24"/>
          <w:rtl/>
        </w:rPr>
        <w:t xml:space="preserve"> </w:t>
      </w:r>
      <w:r>
        <w:rPr>
          <w:rFonts w:ascii="David" w:hAnsi="David" w:cs="David"/>
          <w:b/>
          <w:bCs/>
          <w:sz w:val="24"/>
          <w:szCs w:val="24"/>
          <w:u w:val="single"/>
          <w:rtl/>
        </w:rPr>
        <w:t>מדינת ישראל נ' סמי אלחמידי</w:t>
      </w:r>
      <w:r>
        <w:rPr>
          <w:rFonts w:ascii="David" w:hAnsi="David" w:cs="David"/>
          <w:sz w:val="24"/>
          <w:szCs w:val="24"/>
          <w:u w:val="single"/>
          <w:rtl/>
        </w:rPr>
        <w:t xml:space="preserve"> </w:t>
      </w:r>
      <w:r>
        <w:rPr>
          <w:rFonts w:ascii="David" w:hAnsi="David" w:cs="David"/>
          <w:sz w:val="24"/>
          <w:szCs w:val="24"/>
          <w:rtl/>
        </w:rPr>
        <w:t>(07.02.24) בגין הסעת שב"ח אחד בזמן מלחמה הושת על הנאשם עונש הכולל 4 חודשי מאסר בפועל; ב</w:t>
      </w:r>
      <w:hyperlink r:id="rId46" w:history="1">
        <w:r w:rsidR="00BE4481" w:rsidRPr="00BE4481">
          <w:rPr>
            <w:rFonts w:ascii="David" w:hAnsi="David" w:cs="David"/>
            <w:color w:val="0000FF"/>
            <w:sz w:val="24"/>
            <w:szCs w:val="24"/>
            <w:u w:val="single"/>
            <w:rtl/>
          </w:rPr>
          <w:t>ת"פ 37379-03-24</w:t>
        </w:r>
      </w:hyperlink>
      <w:r>
        <w:rPr>
          <w:rFonts w:ascii="David" w:hAnsi="David" w:cs="David"/>
          <w:sz w:val="24"/>
          <w:szCs w:val="24"/>
          <w:rtl/>
        </w:rPr>
        <w:t xml:space="preserve"> </w:t>
      </w:r>
      <w:r>
        <w:rPr>
          <w:rFonts w:ascii="David" w:hAnsi="David" w:cs="David"/>
          <w:b/>
          <w:bCs/>
          <w:sz w:val="24"/>
          <w:szCs w:val="24"/>
          <w:u w:val="single"/>
          <w:rtl/>
        </w:rPr>
        <w:t>מדינת ישראל נ' מוצטפא אל גראד</w:t>
      </w:r>
      <w:r>
        <w:rPr>
          <w:rFonts w:ascii="David" w:hAnsi="David" w:cs="David"/>
          <w:sz w:val="24"/>
          <w:szCs w:val="24"/>
          <w:rtl/>
        </w:rPr>
        <w:t xml:space="preserve"> (15.05.24) – בגין הסעת 3 תושבים זרים ללא תמורה וללא היכרות מוקדמת משטח מדינת ישראל אל המחסום בזמן המלחמה. נקבע מתחם עונש שנע בין 3 חודשי מאסר ל – 15 חודשי מאסר. על הנאשם, נעדר עבר פלילי, הושתו 6 חודשי מאסר בפועל, שירוצו בעבודות שירות.</w:t>
      </w:r>
    </w:p>
    <w:p w14:paraId="413FF0D8"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Pr>
      </w:pPr>
      <w:r>
        <w:rPr>
          <w:rFonts w:ascii="David" w:hAnsi="David" w:cs="David"/>
          <w:sz w:val="24"/>
          <w:szCs w:val="24"/>
          <w:rtl/>
        </w:rPr>
        <w:t xml:space="preserve"> במספר גזרי דין אליהם הפנתה ב"כ הנאשם, שניתנו לפני 7.10.23, נקבע מתחם ענישה שתחילתו מאסר על תנאי. ר' למשל: </w:t>
      </w:r>
      <w:hyperlink r:id="rId47" w:history="1">
        <w:r w:rsidR="00BE4481" w:rsidRPr="00BE4481">
          <w:rPr>
            <w:rFonts w:ascii="David" w:hAnsi="David" w:cs="David"/>
            <w:color w:val="0000FF"/>
            <w:sz w:val="24"/>
            <w:szCs w:val="24"/>
            <w:u w:val="single"/>
            <w:rtl/>
          </w:rPr>
          <w:t>ת"פ 32796-11-18</w:t>
        </w:r>
      </w:hyperlink>
      <w:r w:rsidR="00BE4481">
        <w:rPr>
          <w:rFonts w:ascii="David" w:hAnsi="David" w:cs="David"/>
          <w:sz w:val="24"/>
          <w:szCs w:val="24"/>
          <w:rtl/>
        </w:rPr>
        <w:t xml:space="preserve"> </w:t>
      </w:r>
      <w:r>
        <w:rPr>
          <w:rFonts w:ascii="David" w:hAnsi="David" w:cs="David"/>
          <w:b/>
          <w:bCs/>
          <w:sz w:val="24"/>
          <w:szCs w:val="24"/>
          <w:u w:val="single"/>
          <w:rtl/>
        </w:rPr>
        <w:t>מדינת ישראל נ'</w:t>
      </w:r>
      <w:r w:rsidR="00BE4481">
        <w:rPr>
          <w:rFonts w:ascii="David" w:hAnsi="David" w:cs="David"/>
          <w:b/>
          <w:bCs/>
          <w:sz w:val="24"/>
          <w:szCs w:val="24"/>
          <w:u w:val="single"/>
        </w:rPr>
        <w:t xml:space="preserve"> </w:t>
      </w:r>
      <w:r>
        <w:rPr>
          <w:rFonts w:ascii="David" w:hAnsi="David" w:cs="David"/>
          <w:b/>
          <w:bCs/>
          <w:sz w:val="24"/>
          <w:szCs w:val="24"/>
          <w:u w:val="single"/>
          <w:rtl/>
        </w:rPr>
        <w:t>ראשד אלטלאקה</w:t>
      </w:r>
      <w:r>
        <w:rPr>
          <w:rFonts w:ascii="David" w:hAnsi="David" w:cs="David"/>
          <w:sz w:val="24"/>
          <w:szCs w:val="24"/>
          <w:rtl/>
        </w:rPr>
        <w:t xml:space="preserve"> (20.01.20); </w:t>
      </w:r>
      <w:hyperlink r:id="rId48" w:history="1">
        <w:r w:rsidR="00BE4481" w:rsidRPr="00BE4481">
          <w:rPr>
            <w:rFonts w:ascii="David" w:hAnsi="David" w:cs="David"/>
            <w:color w:val="0000FF"/>
            <w:sz w:val="24"/>
            <w:szCs w:val="24"/>
            <w:u w:val="single"/>
            <w:rtl/>
          </w:rPr>
          <w:t>ת"פ 972-05-14</w:t>
        </w:r>
      </w:hyperlink>
      <w:r w:rsidR="00BE4481">
        <w:rPr>
          <w:rFonts w:ascii="David" w:hAnsi="David" w:cs="David"/>
          <w:sz w:val="24"/>
          <w:szCs w:val="24"/>
          <w:rtl/>
        </w:rPr>
        <w:t xml:space="preserve"> </w:t>
      </w:r>
      <w:r>
        <w:rPr>
          <w:rFonts w:ascii="David" w:hAnsi="David" w:cs="David"/>
          <w:b/>
          <w:bCs/>
          <w:sz w:val="24"/>
          <w:szCs w:val="24"/>
          <w:u w:val="single"/>
          <w:rtl/>
        </w:rPr>
        <w:t>מדינת ישראל</w:t>
      </w:r>
      <w:r w:rsidR="00BE4481">
        <w:rPr>
          <w:rFonts w:ascii="David" w:hAnsi="David" w:cs="David"/>
          <w:b/>
          <w:bCs/>
          <w:sz w:val="24"/>
          <w:szCs w:val="24"/>
          <w:u w:val="single"/>
          <w:rtl/>
        </w:rPr>
        <w:t xml:space="preserve"> </w:t>
      </w:r>
      <w:r>
        <w:rPr>
          <w:rFonts w:ascii="David" w:hAnsi="David" w:cs="David"/>
          <w:b/>
          <w:bCs/>
          <w:sz w:val="24"/>
          <w:szCs w:val="24"/>
          <w:u w:val="single"/>
          <w:rtl/>
        </w:rPr>
        <w:t xml:space="preserve">נ' </w:t>
      </w:r>
      <w:r w:rsidR="00BE4481">
        <w:rPr>
          <w:rFonts w:ascii="David" w:hAnsi="David" w:cs="David"/>
          <w:b/>
          <w:bCs/>
          <w:sz w:val="24"/>
          <w:szCs w:val="24"/>
          <w:u w:val="single"/>
        </w:rPr>
        <w:t xml:space="preserve"> </w:t>
      </w:r>
      <w:r>
        <w:rPr>
          <w:rFonts w:ascii="David" w:hAnsi="David" w:cs="David"/>
          <w:b/>
          <w:bCs/>
          <w:sz w:val="24"/>
          <w:szCs w:val="24"/>
          <w:u w:val="single"/>
          <w:rtl/>
        </w:rPr>
        <w:t xml:space="preserve">המאם טללקה </w:t>
      </w:r>
      <w:r>
        <w:rPr>
          <w:rFonts w:ascii="David" w:hAnsi="David" w:cs="David"/>
          <w:sz w:val="24"/>
          <w:szCs w:val="24"/>
          <w:rtl/>
        </w:rPr>
        <w:t xml:space="preserve">(16.11.16); </w:t>
      </w:r>
      <w:hyperlink r:id="rId49" w:history="1">
        <w:r w:rsidR="00BE4481" w:rsidRPr="00BE4481">
          <w:rPr>
            <w:rFonts w:ascii="David" w:hAnsi="David" w:cs="David"/>
            <w:color w:val="0000FF"/>
            <w:sz w:val="24"/>
            <w:szCs w:val="24"/>
            <w:u w:val="single"/>
            <w:rtl/>
          </w:rPr>
          <w:t>ת"פ 26506-08-21</w:t>
        </w:r>
      </w:hyperlink>
      <w:r w:rsidR="00BE4481">
        <w:rPr>
          <w:rFonts w:ascii="David" w:hAnsi="David" w:cs="David"/>
          <w:sz w:val="24"/>
          <w:szCs w:val="24"/>
          <w:rtl/>
        </w:rPr>
        <w:t xml:space="preserve"> </w:t>
      </w:r>
      <w:r>
        <w:rPr>
          <w:rFonts w:ascii="David" w:hAnsi="David" w:cs="David"/>
          <w:b/>
          <w:bCs/>
          <w:sz w:val="24"/>
          <w:szCs w:val="24"/>
          <w:u w:val="single"/>
          <w:rtl/>
        </w:rPr>
        <w:t>מדינת ישראל</w:t>
      </w:r>
      <w:r w:rsidR="00BE4481">
        <w:rPr>
          <w:rFonts w:ascii="David" w:hAnsi="David" w:cs="David"/>
          <w:b/>
          <w:bCs/>
          <w:sz w:val="24"/>
          <w:szCs w:val="24"/>
          <w:u w:val="single"/>
          <w:rtl/>
        </w:rPr>
        <w:t xml:space="preserve"> </w:t>
      </w:r>
      <w:r>
        <w:rPr>
          <w:rFonts w:ascii="David" w:hAnsi="David" w:cs="David"/>
          <w:b/>
          <w:bCs/>
          <w:sz w:val="24"/>
          <w:szCs w:val="24"/>
          <w:u w:val="single"/>
          <w:rtl/>
        </w:rPr>
        <w:t>נ</w:t>
      </w:r>
      <w:r>
        <w:rPr>
          <w:rFonts w:ascii="David" w:hAnsi="David" w:cs="David"/>
          <w:b/>
          <w:bCs/>
          <w:sz w:val="24"/>
          <w:szCs w:val="24"/>
          <w:u w:val="single"/>
        </w:rPr>
        <w:t>'</w:t>
      </w:r>
      <w:r>
        <w:rPr>
          <w:rFonts w:ascii="David" w:hAnsi="David" w:cs="David"/>
          <w:b/>
          <w:bCs/>
          <w:sz w:val="24"/>
          <w:szCs w:val="24"/>
          <w:u w:val="single"/>
          <w:rtl/>
        </w:rPr>
        <w:t xml:space="preserve"> </w:t>
      </w:r>
      <w:r>
        <w:rPr>
          <w:rFonts w:ascii="David" w:hAnsi="David" w:cs="David" w:hint="cs"/>
          <w:b/>
          <w:bCs/>
          <w:sz w:val="24"/>
          <w:szCs w:val="24"/>
          <w:u w:val="single"/>
          <w:rtl/>
        </w:rPr>
        <w:t>בסאם ארשיד</w:t>
      </w:r>
      <w:r>
        <w:rPr>
          <w:rFonts w:ascii="David" w:hAnsi="David" w:cs="David"/>
          <w:sz w:val="24"/>
          <w:szCs w:val="24"/>
          <w:rtl/>
        </w:rPr>
        <w:t xml:space="preserve"> (13.04.22) וגזרי דין נוספים. </w:t>
      </w:r>
    </w:p>
    <w:p w14:paraId="4D076A2E" w14:textId="77777777" w:rsidR="00327EDA" w:rsidRPr="00327EDA" w:rsidRDefault="00327EDA" w:rsidP="00327EDA">
      <w:pPr>
        <w:pStyle w:val="ab"/>
        <w:spacing w:before="120" w:after="120" w:line="360" w:lineRule="auto"/>
        <w:ind w:left="368"/>
        <w:contextualSpacing w:val="0"/>
        <w:jc w:val="both"/>
        <w:rPr>
          <w:rFonts w:ascii="David" w:hAnsi="David" w:cs="David"/>
          <w:sz w:val="24"/>
          <w:szCs w:val="24"/>
        </w:rPr>
      </w:pPr>
      <w:r>
        <w:rPr>
          <w:rFonts w:ascii="David" w:hAnsi="David" w:cs="David"/>
          <w:sz w:val="24"/>
          <w:szCs w:val="24"/>
          <w:rtl/>
        </w:rPr>
        <w:t>כיום,  לאחר המתקפה ב – 7.10.23 והידוע לנו לגבי הסיכונים הגדולים הכרוכים בשהייה בלתי חוקית בישראל, ברור, והדבר אף בא לידי ביטוי בפסיקת בית המשפט, שיש לאמץ מדיניות ענישה נוקשה ומחמירה יותר, שתרתיע ותפחית את תופעת השהייה הבלתי חוקית, הן ביחס לעבירות שבוצעו לפני 7.10.24 ועל אחת כמה וכמה ביחס לעבירות שבוצעו לאחר 7.10.24. לעניין זה ר' גם פסק דין ב</w:t>
      </w:r>
      <w:hyperlink r:id="rId50" w:history="1">
        <w:r w:rsidR="00BE4481" w:rsidRPr="00BE4481">
          <w:rPr>
            <w:rFonts w:ascii="David" w:hAnsi="David" w:cs="David"/>
            <w:color w:val="0000FF"/>
            <w:sz w:val="24"/>
            <w:szCs w:val="24"/>
            <w:u w:val="single"/>
            <w:rtl/>
          </w:rPr>
          <w:t>עפ"ג 38304-01-24</w:t>
        </w:r>
      </w:hyperlink>
      <w:r>
        <w:rPr>
          <w:rFonts w:ascii="David" w:hAnsi="David" w:cs="David"/>
          <w:sz w:val="24"/>
          <w:szCs w:val="24"/>
          <w:rtl/>
        </w:rPr>
        <w:t xml:space="preserve"> </w:t>
      </w:r>
      <w:r>
        <w:rPr>
          <w:rFonts w:ascii="David" w:hAnsi="David" w:cs="David"/>
          <w:b/>
          <w:bCs/>
          <w:sz w:val="24"/>
          <w:szCs w:val="24"/>
          <w:rtl/>
        </w:rPr>
        <w:t>מדינת ישראל נ' יזן עתמאן</w:t>
      </w:r>
      <w:r>
        <w:rPr>
          <w:rFonts w:ascii="David" w:hAnsi="David" w:cs="David"/>
          <w:sz w:val="24"/>
          <w:szCs w:val="24"/>
          <w:rtl/>
        </w:rPr>
        <w:t xml:space="preserve"> (נבו, 25.1.24). פסק הדין מתייחס לעבירה של שהייה בלתי חוקית, אולם הדברים שנקבעו בו לגבי הצורך באימוץ מדיניות נוקשה וחמורה יותר, יפים גם לענייננו. </w:t>
      </w:r>
    </w:p>
    <w:p w14:paraId="30814D24" w14:textId="77777777" w:rsidR="00327EDA" w:rsidRDefault="00327EDA" w:rsidP="00327EDA">
      <w:pPr>
        <w:pStyle w:val="ab"/>
        <w:spacing w:before="120" w:after="120" w:line="360" w:lineRule="auto"/>
        <w:ind w:left="368"/>
        <w:contextualSpacing w:val="0"/>
        <w:jc w:val="both"/>
        <w:rPr>
          <w:rFonts w:ascii="David" w:hAnsi="David" w:cs="David"/>
          <w:sz w:val="24"/>
          <w:szCs w:val="24"/>
          <w:rtl/>
        </w:rPr>
      </w:pPr>
      <w:r>
        <w:rPr>
          <w:rFonts w:ascii="David" w:hAnsi="David" w:cs="David"/>
          <w:sz w:val="24"/>
          <w:szCs w:val="24"/>
          <w:rtl/>
        </w:rPr>
        <w:t>יתירה מכך, כפי שהראיתי, יש גזרי דין שניתנו לפני 7.10.23 ונקבע בהם מתחם ענישה שתחילתו מאסר.</w:t>
      </w:r>
    </w:p>
    <w:p w14:paraId="6B791D2A"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tl/>
        </w:rPr>
      </w:pPr>
      <w:r>
        <w:rPr>
          <w:rFonts w:ascii="David" w:hAnsi="David" w:cs="David"/>
          <w:sz w:val="24"/>
          <w:szCs w:val="24"/>
          <w:rtl/>
        </w:rPr>
        <w:t>בחינת מדיניות הענישה הנוהגת בעבירות החזקת סמים שלא לצריכה עצמית מעלה כי מנעד הענישה בעבירות של החזקת סמים שלא לצריכה עצמית הוא רחב ותלוי בסוג הסם, כמות הסם ואם יש אינדיקציות לכוונת הפצה (מקום החזקת הסם, שקיות חלוקה, משקלים אלקטרוניים וכיוב') כמפורט להלן:</w:t>
      </w:r>
    </w:p>
    <w:p w14:paraId="2060D237" w14:textId="77777777" w:rsidR="00327EDA" w:rsidRDefault="00BE4481" w:rsidP="00327EDA">
      <w:pPr>
        <w:pStyle w:val="ab"/>
        <w:numPr>
          <w:ilvl w:val="0"/>
          <w:numId w:val="4"/>
        </w:numPr>
        <w:spacing w:before="120" w:after="120" w:line="360" w:lineRule="auto"/>
        <w:ind w:left="726" w:hanging="357"/>
        <w:contextualSpacing w:val="0"/>
        <w:jc w:val="both"/>
        <w:rPr>
          <w:rFonts w:ascii="David" w:hAnsi="David" w:cs="David"/>
          <w:sz w:val="24"/>
          <w:szCs w:val="24"/>
        </w:rPr>
      </w:pPr>
      <w:hyperlink r:id="rId51" w:history="1">
        <w:r w:rsidRPr="00BE4481">
          <w:rPr>
            <w:rFonts w:ascii="David" w:hAnsi="David" w:cs="David"/>
            <w:color w:val="0000FF"/>
            <w:sz w:val="24"/>
            <w:szCs w:val="24"/>
            <w:u w:val="single"/>
            <w:rtl/>
          </w:rPr>
          <w:t>רע"פ 189/15</w:t>
        </w:r>
      </w:hyperlink>
      <w:r w:rsidR="00327EDA">
        <w:rPr>
          <w:rFonts w:ascii="David" w:hAnsi="David" w:cs="David"/>
          <w:sz w:val="24"/>
          <w:szCs w:val="24"/>
          <w:rtl/>
        </w:rPr>
        <w:t xml:space="preserve"> </w:t>
      </w:r>
      <w:r w:rsidR="00327EDA">
        <w:rPr>
          <w:rFonts w:ascii="David" w:hAnsi="David" w:cs="David"/>
          <w:b/>
          <w:bCs/>
          <w:sz w:val="24"/>
          <w:szCs w:val="24"/>
          <w:u w:val="single"/>
          <w:rtl/>
        </w:rPr>
        <w:t>עומר כהן נ' מדינת ישראל</w:t>
      </w:r>
      <w:r w:rsidR="00327EDA">
        <w:rPr>
          <w:rFonts w:ascii="David" w:hAnsi="David" w:cs="David"/>
          <w:sz w:val="24"/>
          <w:szCs w:val="24"/>
          <w:rtl/>
        </w:rPr>
        <w:t xml:space="preserve"> (21.05.15), אליו הפנתה ב"כ המאשימה: הנאשם 1 הורשע בשלוש עבירות סחר בסם מסוכן, עבירה אחת של תיווך בעסקת סם ושתי עבירות של החזקת סם מסוכן שלא לצריכה עצמית ולכל עבירה נקבע מתחם עונש נפרד. על פי האישום הרלוונטי לענייננו הנאשם הורשע בהחזקת חשיש עם אחר במשקל 92.88 גרם נטו שלא לצריכה עצמית ונקבע מתחם ענישה הנע בין 6-12 חודשי מאסר בפועל לצד ענישה נלווית. ערעור ובקשת רשות ערעור - נדחו.</w:t>
      </w:r>
    </w:p>
    <w:p w14:paraId="3D6D487F" w14:textId="77777777" w:rsidR="00327EDA" w:rsidRPr="00327EDA" w:rsidRDefault="00BE4481" w:rsidP="00327EDA">
      <w:pPr>
        <w:pStyle w:val="ab"/>
        <w:numPr>
          <w:ilvl w:val="0"/>
          <w:numId w:val="4"/>
        </w:numPr>
        <w:spacing w:before="120" w:after="120" w:line="360" w:lineRule="auto"/>
        <w:ind w:left="726" w:hanging="357"/>
        <w:contextualSpacing w:val="0"/>
        <w:jc w:val="both"/>
        <w:rPr>
          <w:rFonts w:ascii="David" w:hAnsi="David" w:cs="David"/>
          <w:color w:val="000000"/>
          <w:sz w:val="24"/>
          <w:szCs w:val="24"/>
        </w:rPr>
      </w:pPr>
      <w:r>
        <w:rPr>
          <w:rFonts w:ascii="David" w:hAnsi="David" w:cs="David"/>
          <w:color w:val="000000"/>
          <w:sz w:val="16"/>
          <w:szCs w:val="16"/>
        </w:rPr>
        <w:t xml:space="preserve"> </w:t>
      </w:r>
      <w:hyperlink r:id="rId52" w:history="1">
        <w:r w:rsidRPr="00BE4481">
          <w:rPr>
            <w:rFonts w:ascii="David" w:hAnsi="David" w:cs="David"/>
            <w:color w:val="0000FF"/>
            <w:sz w:val="24"/>
            <w:szCs w:val="24"/>
            <w:u w:val="single"/>
            <w:rtl/>
          </w:rPr>
          <w:t>רע"פ 4214-22</w:t>
        </w:r>
      </w:hyperlink>
      <w:r>
        <w:rPr>
          <w:rFonts w:ascii="David" w:hAnsi="David" w:cs="David"/>
          <w:color w:val="000000"/>
          <w:sz w:val="24"/>
          <w:szCs w:val="24"/>
        </w:rPr>
        <w:t xml:space="preserve"> </w:t>
      </w:r>
      <w:r w:rsidR="00327EDA">
        <w:rPr>
          <w:rFonts w:ascii="David" w:hAnsi="David" w:cs="David"/>
          <w:b/>
          <w:bCs/>
          <w:color w:val="000000"/>
          <w:sz w:val="24"/>
          <w:szCs w:val="24"/>
          <w:u w:val="single"/>
          <w:rtl/>
        </w:rPr>
        <w:t>יצחק נ' מדינת ישראל</w:t>
      </w:r>
      <w:r>
        <w:rPr>
          <w:rFonts w:ascii="David" w:hAnsi="David" w:cs="David"/>
          <w:color w:val="000000"/>
          <w:sz w:val="24"/>
          <w:szCs w:val="24"/>
          <w:rtl/>
        </w:rPr>
        <w:t xml:space="preserve"> </w:t>
      </w:r>
      <w:r w:rsidR="00327EDA">
        <w:rPr>
          <w:rFonts w:ascii="David" w:hAnsi="David" w:cs="David"/>
          <w:color w:val="000000"/>
          <w:sz w:val="24"/>
          <w:szCs w:val="24"/>
        </w:rPr>
        <w:t xml:space="preserve">(07.07.22) </w:t>
      </w:r>
      <w:r w:rsidR="00327EDA">
        <w:rPr>
          <w:rFonts w:ascii="David" w:hAnsi="David" w:cs="David"/>
          <w:color w:val="000000"/>
          <w:sz w:val="24"/>
          <w:szCs w:val="24"/>
          <w:rtl/>
        </w:rPr>
        <w:t>: הנאשם הורשע בעבירה של החזקת סמים שלא לצריכה עצמית לאחר שהחזיק בתא הכפפות ברכב 9 יחידות של סם מסוג קנבוס במשקל כולל של 12.12 גרם לצד משקל אלקטרוני ובתא מטען של רכב אחר שברשותו החזיק 60 יחידות של סם מסוג קנבוס במשקל כולל של 140 גרם שלא לצריכתו העצמית. נקבע מתחם הנע ממאסר מותנה עד 10 חודשי מאסר בפועל ונגזר על הנאשם 7 חודשי מאסר על תנאי, צו של"צ בהיקף 180 שעות וצו מבחן למשך שנה לצד ענישה נלווית. ערעור ובקשת רשות ערעור על ההרשעה - נדחו.</w:t>
      </w:r>
    </w:p>
    <w:p w14:paraId="2482F2AD" w14:textId="77777777" w:rsidR="00327EDA" w:rsidRDefault="00BE4481" w:rsidP="00327EDA">
      <w:pPr>
        <w:pStyle w:val="ab"/>
        <w:numPr>
          <w:ilvl w:val="0"/>
          <w:numId w:val="4"/>
        </w:numPr>
        <w:spacing w:before="120" w:after="120" w:line="360" w:lineRule="auto"/>
        <w:ind w:left="726" w:hanging="357"/>
        <w:contextualSpacing w:val="0"/>
        <w:jc w:val="both"/>
        <w:rPr>
          <w:rFonts w:ascii="David" w:hAnsi="David" w:cs="David"/>
          <w:sz w:val="24"/>
          <w:szCs w:val="24"/>
        </w:rPr>
      </w:pPr>
      <w:hyperlink r:id="rId53" w:history="1">
        <w:r w:rsidRPr="00BE4481">
          <w:rPr>
            <w:rFonts w:ascii="David" w:hAnsi="David" w:cs="David"/>
            <w:color w:val="0000FF"/>
            <w:sz w:val="24"/>
            <w:szCs w:val="24"/>
            <w:u w:val="single"/>
            <w:rtl/>
          </w:rPr>
          <w:t>עפ"ג 41634-10-14</w:t>
        </w:r>
      </w:hyperlink>
      <w:r w:rsidR="00327EDA">
        <w:rPr>
          <w:rFonts w:ascii="David" w:hAnsi="David" w:cs="David"/>
          <w:sz w:val="24"/>
          <w:szCs w:val="24"/>
          <w:rtl/>
        </w:rPr>
        <w:t xml:space="preserve"> </w:t>
      </w:r>
      <w:r w:rsidR="00327EDA">
        <w:rPr>
          <w:rFonts w:ascii="David" w:hAnsi="David" w:cs="David"/>
          <w:b/>
          <w:bCs/>
          <w:sz w:val="24"/>
          <w:szCs w:val="24"/>
          <w:u w:val="single"/>
          <w:rtl/>
        </w:rPr>
        <w:t>לסרי ומזלומיאן נ' מדינת ישראל</w:t>
      </w:r>
      <w:r w:rsidR="00327EDA">
        <w:rPr>
          <w:rFonts w:ascii="David" w:hAnsi="David" w:cs="David"/>
          <w:sz w:val="24"/>
          <w:szCs w:val="24"/>
          <w:rtl/>
        </w:rPr>
        <w:t xml:space="preserve"> (22.03.15), אליו הפנתה ב"כ המאשימה: הנאשמים הורשעו בעבירת החזקת סמים מסוכנים שלא לצריכה עצמית לאחר שכל אחד מהם החזיק בסם מסוכן מסוג קנבוס במשקל של כ-230 גרם נטו. נקבע מתחם ענישה הנע בין 5 חודשי מאסר שיכול וירוצו בעבודות שירות לבין 8 חודשי מאסר בפועל ונגזר על כל אחד מהנאשמים 5 חודשי מאסר בפועל שירוצו בעבודות שירות לצד עונשים נלווים.</w:t>
      </w:r>
    </w:p>
    <w:p w14:paraId="4EA495B6" w14:textId="77777777" w:rsidR="00327EDA" w:rsidRDefault="00BE4481" w:rsidP="00327EDA">
      <w:pPr>
        <w:pStyle w:val="ab"/>
        <w:numPr>
          <w:ilvl w:val="0"/>
          <w:numId w:val="4"/>
        </w:numPr>
        <w:spacing w:before="120" w:after="120" w:line="360" w:lineRule="auto"/>
        <w:ind w:left="726" w:hanging="357"/>
        <w:contextualSpacing w:val="0"/>
        <w:jc w:val="both"/>
        <w:rPr>
          <w:rFonts w:ascii="David" w:hAnsi="David" w:cs="David"/>
          <w:sz w:val="24"/>
          <w:szCs w:val="24"/>
          <w:rtl/>
        </w:rPr>
      </w:pPr>
      <w:hyperlink r:id="rId54" w:history="1">
        <w:r w:rsidRPr="00BE4481">
          <w:rPr>
            <w:rFonts w:ascii="David" w:hAnsi="David" w:cs="David"/>
            <w:color w:val="0000FF"/>
            <w:sz w:val="24"/>
            <w:szCs w:val="24"/>
            <w:u w:val="single"/>
            <w:rtl/>
          </w:rPr>
          <w:t>עפ"ג 69406-01-20</w:t>
        </w:r>
      </w:hyperlink>
      <w:r w:rsidR="00327EDA">
        <w:rPr>
          <w:rFonts w:ascii="David" w:hAnsi="David" w:cs="David"/>
          <w:sz w:val="24"/>
          <w:szCs w:val="24"/>
          <w:rtl/>
        </w:rPr>
        <w:t xml:space="preserve"> </w:t>
      </w:r>
      <w:r w:rsidR="00327EDA">
        <w:rPr>
          <w:rFonts w:ascii="David" w:hAnsi="David" w:cs="David"/>
          <w:b/>
          <w:bCs/>
          <w:sz w:val="24"/>
          <w:szCs w:val="24"/>
          <w:u w:val="single"/>
          <w:rtl/>
        </w:rPr>
        <w:t>פרנקו נ' מדינת ישראל</w:t>
      </w:r>
      <w:r w:rsidR="00327EDA">
        <w:rPr>
          <w:rFonts w:ascii="David" w:hAnsi="David" w:cs="David"/>
          <w:sz w:val="24"/>
          <w:szCs w:val="24"/>
          <w:rtl/>
        </w:rPr>
        <w:t xml:space="preserve"> (31.8.2020): הנאשם הורשע בעבירה של החזקת סמים שלא לצריכה עצמית לאחר שהחזיק בחדרו 5 צנצנות המכילות סם מסוכן מסוג קנבוס במשקל 80 גרם. נקבע מתחם עונש הנע בין  מאסר על תנאי ובין מאסר לתקופה של 6 חודשים, לצד ענישה נלווית ונגזר על הנאשם שלחובתו 3 הרשעות קודמות בעבירות דומות ונסיבות חיים קשות עונש מאסר בפועל ל-30 ימים  לצד עונשים נלווים. ערעור לבית המשפט המחוזי נדחה.</w:t>
      </w:r>
    </w:p>
    <w:p w14:paraId="1B10502B" w14:textId="77777777" w:rsidR="00327EDA" w:rsidRDefault="00BE4481" w:rsidP="00327EDA">
      <w:pPr>
        <w:pStyle w:val="ab"/>
        <w:numPr>
          <w:ilvl w:val="0"/>
          <w:numId w:val="4"/>
        </w:numPr>
        <w:spacing w:before="120" w:after="120" w:line="360" w:lineRule="auto"/>
        <w:contextualSpacing w:val="0"/>
        <w:jc w:val="both"/>
        <w:rPr>
          <w:rFonts w:ascii="David" w:hAnsi="David" w:cs="David"/>
          <w:sz w:val="24"/>
          <w:szCs w:val="24"/>
        </w:rPr>
      </w:pPr>
      <w:hyperlink r:id="rId55" w:history="1">
        <w:r w:rsidRPr="00BE4481">
          <w:rPr>
            <w:rFonts w:ascii="David" w:hAnsi="David" w:cs="David"/>
            <w:color w:val="0000FF"/>
            <w:sz w:val="24"/>
            <w:szCs w:val="24"/>
            <w:u w:val="single"/>
            <w:shd w:val="clear" w:color="auto" w:fill="FFFFFF"/>
            <w:rtl/>
          </w:rPr>
          <w:t>ת"פ (ב"ש) 20767-09-16</w:t>
        </w:r>
      </w:hyperlink>
      <w:r>
        <w:rPr>
          <w:rFonts w:ascii="David" w:hAnsi="David" w:cs="David"/>
          <w:sz w:val="24"/>
          <w:szCs w:val="24"/>
          <w:shd w:val="clear" w:color="auto" w:fill="FFFFFF"/>
        </w:rPr>
        <w:t xml:space="preserve"> </w:t>
      </w:r>
      <w:r w:rsidR="00327EDA">
        <w:rPr>
          <w:rFonts w:ascii="David" w:hAnsi="David" w:cs="David"/>
          <w:b/>
          <w:bCs/>
          <w:sz w:val="24"/>
          <w:szCs w:val="24"/>
          <w:u w:val="single"/>
          <w:shd w:val="clear" w:color="auto" w:fill="FFFFFF"/>
          <w:rtl/>
        </w:rPr>
        <w:t xml:space="preserve">מדינת ישראל נ' אבו </w:t>
      </w:r>
      <w:r w:rsidR="00327EDA">
        <w:rPr>
          <w:rFonts w:ascii="David" w:hAnsi="David" w:cs="David"/>
          <w:b/>
          <w:bCs/>
          <w:color w:val="000000"/>
          <w:sz w:val="24"/>
          <w:szCs w:val="24"/>
          <w:u w:val="single"/>
          <w:shd w:val="clear" w:color="auto" w:fill="FFFFFF"/>
          <w:rtl/>
        </w:rPr>
        <w:t>מעיוף</w:t>
      </w:r>
      <w:r>
        <w:rPr>
          <w:rFonts w:ascii="David" w:hAnsi="David" w:cs="David"/>
          <w:color w:val="000000"/>
          <w:sz w:val="24"/>
          <w:szCs w:val="24"/>
          <w:shd w:val="clear" w:color="auto" w:fill="FFFFFF"/>
          <w:rtl/>
        </w:rPr>
        <w:t xml:space="preserve"> </w:t>
      </w:r>
      <w:r w:rsidR="00327EDA">
        <w:rPr>
          <w:rFonts w:ascii="David" w:hAnsi="David" w:cs="David"/>
          <w:color w:val="000000"/>
          <w:sz w:val="24"/>
          <w:szCs w:val="24"/>
          <w:shd w:val="clear" w:color="auto" w:fill="FFFFFF"/>
          <w:rtl/>
        </w:rPr>
        <w:t>(24.5.2017): הנאשם הורשע</w:t>
      </w:r>
      <w:r w:rsidR="00327EDA">
        <w:rPr>
          <w:rFonts w:ascii="David" w:hAnsi="David" w:cs="David"/>
          <w:sz w:val="24"/>
          <w:szCs w:val="24"/>
          <w:rtl/>
        </w:rPr>
        <w:t xml:space="preserve"> בעבירה של החזקת סם שלא לצריכה עצמית לאחר שהחזיק בצוותא סם מסוכן מסוג חשיש במשקל של כ- 93 גרם נטו וכן בכלי המשמש לעישון סמים (באנג). נקבע כי מתחם העונש ההולם נע בין חודש מאסר על תנאי ועד 12 חודשי מאסר בפועל ונגזר על הנאשם בעל עבר פלילי ובשים לב לגילו הצעיר 6 חודשי מאסר בפועל לצד עונשים נלווים.</w:t>
      </w:r>
    </w:p>
    <w:p w14:paraId="5BE04E6C" w14:textId="77777777" w:rsidR="00327EDA" w:rsidRDefault="00BE4481" w:rsidP="00327EDA">
      <w:pPr>
        <w:pStyle w:val="ab"/>
        <w:numPr>
          <w:ilvl w:val="0"/>
          <w:numId w:val="4"/>
        </w:numPr>
        <w:spacing w:before="120" w:after="120" w:line="360" w:lineRule="auto"/>
        <w:contextualSpacing w:val="0"/>
        <w:jc w:val="both"/>
        <w:rPr>
          <w:rFonts w:ascii="David" w:hAnsi="David" w:cs="David"/>
          <w:sz w:val="24"/>
          <w:szCs w:val="24"/>
        </w:rPr>
      </w:pPr>
      <w:hyperlink r:id="rId56" w:history="1">
        <w:r w:rsidRPr="00BE4481">
          <w:rPr>
            <w:rFonts w:ascii="David" w:hAnsi="David" w:cs="David"/>
            <w:color w:val="0000FF"/>
            <w:sz w:val="24"/>
            <w:szCs w:val="24"/>
            <w:u w:val="single"/>
            <w:rtl/>
          </w:rPr>
          <w:t>ת"פ 24895-03-20</w:t>
        </w:r>
      </w:hyperlink>
      <w:r>
        <w:rPr>
          <w:rFonts w:ascii="David" w:hAnsi="David" w:cs="David"/>
          <w:sz w:val="24"/>
          <w:szCs w:val="24"/>
          <w:rtl/>
        </w:rPr>
        <w:t xml:space="preserve"> </w:t>
      </w:r>
      <w:r w:rsidR="00327EDA">
        <w:rPr>
          <w:rFonts w:ascii="David" w:hAnsi="David" w:cs="David"/>
          <w:b/>
          <w:bCs/>
          <w:sz w:val="24"/>
          <w:szCs w:val="24"/>
          <w:u w:val="single"/>
          <w:rtl/>
        </w:rPr>
        <w:t>מדינת ישראל נ' מיכאל אלחזוב</w:t>
      </w:r>
      <w:r w:rsidR="00327EDA">
        <w:rPr>
          <w:rFonts w:ascii="David" w:hAnsi="David" w:cs="David"/>
          <w:sz w:val="24"/>
          <w:szCs w:val="24"/>
          <w:rtl/>
        </w:rPr>
        <w:t xml:space="preserve"> (09.06.24): הנאשם הורשע בשני כתבי אישום שאוחדו בעבירות של החזקת סמים ונקבעו מתחמי ענישה שונים. על פי כתב האישום הרלוונטי לענייננו הנאשם הורשע בעבירה של החזקת 100 גרם קנבוס שלא לצריכתו העצמית בחדר השינה שלו לצד משקל אלקטרוני. נקבע מתחם ענישה הנע בין מאסר מותנה ועד ל-12 חודשי מאסר בפועל לצד ענישה נלווית.</w:t>
      </w:r>
    </w:p>
    <w:p w14:paraId="472D660B"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tl/>
        </w:rPr>
      </w:pPr>
      <w:r>
        <w:rPr>
          <w:rFonts w:ascii="David" w:hAnsi="David" w:cs="David"/>
          <w:sz w:val="24"/>
          <w:szCs w:val="24"/>
          <w:rtl/>
        </w:rPr>
        <w:t xml:space="preserve">ב"כ הנאשם הפנתה לשני גזרי דין בעבירות החזקת סמים במסגרתם אושרו הסדרי טיעון ונגזרו עונשים שאינם כוללים מאסר בפועל - </w:t>
      </w:r>
      <w:hyperlink r:id="rId57" w:history="1">
        <w:r w:rsidR="00BE4481" w:rsidRPr="00BE4481">
          <w:rPr>
            <w:rFonts w:ascii="David" w:hAnsi="David" w:cs="David"/>
            <w:color w:val="0000FF"/>
            <w:sz w:val="24"/>
            <w:szCs w:val="24"/>
            <w:u w:val="single"/>
            <w:rtl/>
          </w:rPr>
          <w:t>ת"פ 8927-06-23</w:t>
        </w:r>
      </w:hyperlink>
      <w:r>
        <w:rPr>
          <w:rFonts w:ascii="David" w:hAnsi="David" w:cs="David"/>
          <w:sz w:val="24"/>
          <w:szCs w:val="24"/>
          <w:rtl/>
        </w:rPr>
        <w:t xml:space="preserve"> </w:t>
      </w:r>
      <w:r>
        <w:rPr>
          <w:rFonts w:ascii="David" w:hAnsi="David" w:cs="David"/>
          <w:b/>
          <w:bCs/>
          <w:sz w:val="24"/>
          <w:szCs w:val="24"/>
          <w:u w:val="single"/>
          <w:rtl/>
        </w:rPr>
        <w:t>מדינת ישראל נ' טל</w:t>
      </w:r>
      <w:r>
        <w:rPr>
          <w:rFonts w:ascii="David" w:hAnsi="David" w:cs="David"/>
          <w:sz w:val="24"/>
          <w:szCs w:val="24"/>
          <w:rtl/>
        </w:rPr>
        <w:t xml:space="preserve"> (09.04.24) ו</w:t>
      </w:r>
      <w:hyperlink r:id="rId58" w:history="1">
        <w:r w:rsidR="00BE4481" w:rsidRPr="00BE4481">
          <w:rPr>
            <w:rFonts w:ascii="David" w:hAnsi="David" w:cs="David"/>
            <w:color w:val="0000FF"/>
            <w:sz w:val="24"/>
            <w:szCs w:val="24"/>
            <w:u w:val="single"/>
            <w:rtl/>
          </w:rPr>
          <w:t>ת"פ 66323-01-23</w:t>
        </w:r>
      </w:hyperlink>
      <w:r>
        <w:rPr>
          <w:rFonts w:ascii="David" w:hAnsi="David" w:cs="David"/>
          <w:sz w:val="24"/>
          <w:szCs w:val="24"/>
          <w:rtl/>
        </w:rPr>
        <w:t xml:space="preserve"> </w:t>
      </w:r>
      <w:r>
        <w:rPr>
          <w:rFonts w:ascii="David" w:hAnsi="David" w:cs="David"/>
          <w:b/>
          <w:bCs/>
          <w:sz w:val="24"/>
          <w:szCs w:val="24"/>
          <w:u w:val="single"/>
          <w:rtl/>
        </w:rPr>
        <w:t xml:space="preserve">מדינת ישראל נ' אלטמן </w:t>
      </w:r>
      <w:r>
        <w:rPr>
          <w:rFonts w:ascii="David" w:hAnsi="David" w:cs="David"/>
          <w:sz w:val="24"/>
          <w:szCs w:val="24"/>
          <w:rtl/>
        </w:rPr>
        <w:t>(20.03.24). מעבר לעובדה שגזר הדין השני מתייחס לעבירה של החזקת סמים לצריכה עצמית (0.8 גרם קוקאין), הרי שבנסיבות בהן מוצג הסדר סגור לאישור בית המשפט, בית המשפט נוהג בהתאם לכללים שנקבעו ביחס להסדרי טיעון ולא בהכרח גוזר את העונש הראוי והנכון, לפיכך לא ניתן לגזור ולהשליך מגזרי דין שאישרו הסדרי טיעון על מדיניות הענישה הראויה.</w:t>
      </w:r>
    </w:p>
    <w:p w14:paraId="33B0818C"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tl/>
        </w:rPr>
      </w:pPr>
      <w:r>
        <w:rPr>
          <w:rFonts w:ascii="David" w:hAnsi="David" w:cs="David"/>
          <w:b/>
          <w:bCs/>
          <w:sz w:val="24"/>
          <w:szCs w:val="24"/>
          <w:u w:val="single"/>
          <w:rtl/>
        </w:rPr>
        <w:t>נסיבות הקשורות בביצוע העבירה</w:t>
      </w:r>
      <w:r>
        <w:rPr>
          <w:rFonts w:ascii="David" w:hAnsi="David" w:cs="David"/>
          <w:sz w:val="24"/>
          <w:szCs w:val="24"/>
          <w:rtl/>
        </w:rPr>
        <w:t xml:space="preserve"> – במסגרת הנסיבות הקשורות בביצוע עבירת החזקת הסמים שלא לצריכה עצמית, נתתי דעתי לכך שהסם הוחזק ברכבו של הנאשם ב-2 מקומות לצד משקל. מקום החזקת הסמים והימצאות משקל  מעידים על כוונה להפצה מסחרית. מנגד התחשבתי בכמות הסם, שאינה מאד גדולה, בסוג הסם, שנחשב קל, ובעובדה שהסם לא היה מחולק ולא נמצאו שקיות חלוקה. </w:t>
      </w:r>
    </w:p>
    <w:p w14:paraId="1566B1A0" w14:textId="77777777" w:rsidR="00327EDA" w:rsidRDefault="00327EDA" w:rsidP="00327EDA">
      <w:pPr>
        <w:pStyle w:val="ab"/>
        <w:numPr>
          <w:ilvl w:val="0"/>
          <w:numId w:val="2"/>
        </w:numPr>
        <w:spacing w:before="120" w:after="120" w:line="360" w:lineRule="auto"/>
        <w:ind w:left="368" w:hanging="426"/>
        <w:contextualSpacing w:val="0"/>
        <w:jc w:val="both"/>
        <w:rPr>
          <w:rFonts w:ascii="David" w:hAnsi="David" w:cs="David"/>
          <w:sz w:val="24"/>
          <w:szCs w:val="24"/>
        </w:rPr>
      </w:pPr>
      <w:r>
        <w:rPr>
          <w:rFonts w:ascii="David" w:hAnsi="David" w:cs="David"/>
          <w:sz w:val="24"/>
          <w:szCs w:val="24"/>
          <w:rtl/>
        </w:rPr>
        <w:t>במסגרת הנסיבות הקשורות בביצוע עבירת הסעת השב"חים התחשבתי בעובדה שהעבירה בוצעה לפני המתקפה ב –  7.10.23 וברכב היו פרט לשב"חים שני תושבים זרים שנכנסו לישראל בהיתר כניסה. מאידך לחומרה התחשבתי בעובדה שהנאשם הסיע שני שב"חים שלטענתו לא הכיר על כל הסיכונים הכרוכים בכך כפי שפירטתי לעיל ובנזק שיכול היה להיגרם כתוצאה מביצוע העבירה.</w:t>
      </w:r>
    </w:p>
    <w:p w14:paraId="1FB911D5" w14:textId="77777777" w:rsidR="00327EDA" w:rsidRDefault="00327EDA" w:rsidP="00327EDA">
      <w:pPr>
        <w:pStyle w:val="ab"/>
        <w:numPr>
          <w:ilvl w:val="0"/>
          <w:numId w:val="2"/>
        </w:numPr>
        <w:snapToGrid w:val="0"/>
        <w:spacing w:before="120" w:after="120" w:line="360" w:lineRule="auto"/>
        <w:ind w:left="368" w:hanging="426"/>
        <w:contextualSpacing w:val="0"/>
        <w:jc w:val="both"/>
        <w:rPr>
          <w:rFonts w:ascii="David" w:hAnsi="David" w:cs="David"/>
          <w:sz w:val="24"/>
          <w:szCs w:val="24"/>
        </w:rPr>
      </w:pPr>
      <w:r>
        <w:rPr>
          <w:rFonts w:ascii="David" w:hAnsi="David" w:cs="David"/>
          <w:sz w:val="24"/>
          <w:szCs w:val="24"/>
          <w:rtl/>
        </w:rPr>
        <w:t xml:space="preserve">במסגרת הנסיבות הקשורות בביצוע העבירה נתתי דעתי גם  לעונש המקסימלי שקבע המחוקק לעבירה בה הורשע הנאשם, שהוא כפול מהעונש המקסימלי שנקבע לעבירת שהייה בלתי חוקית בישראל, עובדה המלמדת על מידת החומרה שייחס המחוקק לעבירת הסעה של תושב זר השוהה בישראל שלא כדין. </w:t>
      </w:r>
    </w:p>
    <w:p w14:paraId="19EDCF87" w14:textId="77777777" w:rsidR="00327EDA" w:rsidRDefault="00327EDA" w:rsidP="00327EDA">
      <w:pPr>
        <w:pStyle w:val="ab"/>
        <w:numPr>
          <w:ilvl w:val="0"/>
          <w:numId w:val="2"/>
        </w:numPr>
        <w:snapToGrid w:val="0"/>
        <w:spacing w:before="120" w:after="120" w:line="360" w:lineRule="auto"/>
        <w:ind w:left="368" w:hanging="426"/>
        <w:contextualSpacing w:val="0"/>
        <w:jc w:val="both"/>
        <w:rPr>
          <w:rFonts w:ascii="David" w:hAnsi="David" w:cs="David"/>
          <w:sz w:val="24"/>
          <w:szCs w:val="24"/>
        </w:rPr>
      </w:pPr>
      <w:r>
        <w:rPr>
          <w:rFonts w:ascii="David" w:hAnsi="David" w:cs="David"/>
          <w:sz w:val="24"/>
          <w:szCs w:val="24"/>
          <w:rtl/>
        </w:rPr>
        <w:t>לאחרונה, ביום 8.4.23, אושר תיקון ל</w:t>
      </w:r>
      <w:hyperlink r:id="rId59" w:history="1">
        <w:r w:rsidR="00BE4481" w:rsidRPr="00BE4481">
          <w:rPr>
            <w:rFonts w:ascii="David" w:hAnsi="David" w:cs="David"/>
            <w:color w:val="0000FF"/>
            <w:sz w:val="24"/>
            <w:szCs w:val="24"/>
            <w:u w:val="single"/>
            <w:rtl/>
          </w:rPr>
          <w:t>חוק הכניסה לישראל</w:t>
        </w:r>
      </w:hyperlink>
      <w:r>
        <w:rPr>
          <w:rFonts w:ascii="David" w:hAnsi="David" w:cs="David"/>
          <w:sz w:val="24"/>
          <w:szCs w:val="24"/>
          <w:rtl/>
        </w:rPr>
        <w:t xml:space="preserve">, המחמיר את הענישה בעבירות לפי חוק הכניסה לישראל ומעמיד את העונש על עבירת הסעת תושב זר השוהה בישראל שלא כדין על עונש מקסימלי של 4 שנים. </w:t>
      </w:r>
    </w:p>
    <w:p w14:paraId="533F3BE5" w14:textId="77777777" w:rsidR="00327EDA" w:rsidRDefault="00327EDA" w:rsidP="00327EDA">
      <w:pPr>
        <w:pStyle w:val="ab"/>
        <w:snapToGrid w:val="0"/>
        <w:spacing w:before="120" w:after="120" w:line="360" w:lineRule="auto"/>
        <w:ind w:left="368"/>
        <w:contextualSpacing w:val="0"/>
        <w:jc w:val="both"/>
        <w:rPr>
          <w:rFonts w:ascii="David" w:hAnsi="David" w:cs="David"/>
          <w:sz w:val="24"/>
          <w:szCs w:val="24"/>
          <w:rtl/>
        </w:rPr>
      </w:pPr>
      <w:r>
        <w:rPr>
          <w:rFonts w:ascii="David" w:hAnsi="David" w:cs="David"/>
          <w:sz w:val="24"/>
          <w:szCs w:val="24"/>
          <w:rtl/>
        </w:rPr>
        <w:t xml:space="preserve">ברי כי התיקון אינו חל על המקרה שבפני, אולם יש בו כדי ללמד על הבנת המחוקק שהענישה הישנה לפני 7.10.23, לא נותנת מענה הולם לסיכונים הנובעים מתופעת השהייה הבלתי חוקית וראוי להחמיר בה. </w:t>
      </w:r>
    </w:p>
    <w:p w14:paraId="3BE98F77" w14:textId="77777777" w:rsidR="00327EDA" w:rsidRDefault="00327EDA" w:rsidP="00327EDA">
      <w:pPr>
        <w:pStyle w:val="ab"/>
        <w:snapToGrid w:val="0"/>
        <w:spacing w:before="120" w:after="120" w:line="360" w:lineRule="auto"/>
        <w:ind w:left="368"/>
        <w:contextualSpacing w:val="0"/>
        <w:jc w:val="both"/>
        <w:rPr>
          <w:rFonts w:ascii="David" w:hAnsi="David" w:cs="David"/>
          <w:sz w:val="24"/>
          <w:szCs w:val="24"/>
          <w:rtl/>
        </w:rPr>
      </w:pPr>
      <w:r>
        <w:rPr>
          <w:rFonts w:ascii="David" w:hAnsi="David" w:cs="David"/>
          <w:sz w:val="24"/>
          <w:szCs w:val="24"/>
          <w:rtl/>
        </w:rPr>
        <w:t>יש להתחשב בענייננו בעובדה שהעבירה בוצעה לפני 7.10.23 ולא להחמיר באותה מידה כפי שמחמירים ביחס לעבירות המבוצעות לאחר 7.10.23, אולם יש להתחשב בנוסף בסיכונים הכרוכים בתופעת השהייה הלא חוקית, כפי שידועים לנו היום, הנזק שעלול להיגרם מהתופעה והצורך בענישה מרתיעה.</w:t>
      </w:r>
    </w:p>
    <w:p w14:paraId="0A31A8D1" w14:textId="77777777" w:rsidR="00327EDA" w:rsidRDefault="00327EDA" w:rsidP="00327EDA">
      <w:pPr>
        <w:pStyle w:val="ab"/>
        <w:numPr>
          <w:ilvl w:val="0"/>
          <w:numId w:val="2"/>
        </w:numPr>
        <w:snapToGrid w:val="0"/>
        <w:spacing w:before="120" w:after="120" w:line="360" w:lineRule="auto"/>
        <w:ind w:left="368" w:hanging="426"/>
        <w:contextualSpacing w:val="0"/>
        <w:jc w:val="both"/>
        <w:rPr>
          <w:rFonts w:ascii="David" w:hAnsi="David" w:cs="David"/>
          <w:b/>
          <w:bCs/>
          <w:color w:val="FF0000"/>
          <w:sz w:val="24"/>
          <w:szCs w:val="24"/>
        </w:rPr>
      </w:pPr>
      <w:r>
        <w:rPr>
          <w:rFonts w:ascii="David" w:hAnsi="David" w:cs="David"/>
          <w:sz w:val="24"/>
          <w:szCs w:val="24"/>
          <w:rtl/>
        </w:rPr>
        <w:t>בנסיבות העניין, בהתחשב בפגיעה בערכים המוגנים, בהתחשב במדיניות הענישה הנוהגת ובנסיבות הקשורות בביצוע העבירה, מצאתי לקבוע כי מתחם העונש ההולם בעניינו של הנאשם נע</w:t>
      </w:r>
      <w:r>
        <w:rPr>
          <w:rFonts w:ascii="David" w:hAnsi="David" w:cs="David"/>
          <w:b/>
          <w:bCs/>
          <w:sz w:val="24"/>
          <w:szCs w:val="24"/>
          <w:rtl/>
        </w:rPr>
        <w:t xml:space="preserve"> בין מאסר קצר ל-8 חודשי מאסר בפועל, שיכול וירוצו בעבודות שירות, מאסר על תנאי, קנס, פסילת רישיון נהיגה מותנית והתחייבות להימנע מעבירה.</w:t>
      </w:r>
    </w:p>
    <w:p w14:paraId="2E261293" w14:textId="77777777" w:rsidR="00327EDA" w:rsidRDefault="00327EDA" w:rsidP="00327EDA">
      <w:pPr>
        <w:pStyle w:val="ab"/>
        <w:numPr>
          <w:ilvl w:val="0"/>
          <w:numId w:val="2"/>
        </w:numPr>
        <w:snapToGrid w:val="0"/>
        <w:spacing w:before="120" w:after="120" w:line="360" w:lineRule="auto"/>
        <w:ind w:left="368" w:hanging="426"/>
        <w:contextualSpacing w:val="0"/>
        <w:jc w:val="both"/>
        <w:rPr>
          <w:rFonts w:ascii="David" w:hAnsi="David" w:cs="David"/>
          <w:b/>
          <w:bCs/>
          <w:sz w:val="24"/>
          <w:szCs w:val="24"/>
        </w:rPr>
      </w:pPr>
      <w:r>
        <w:rPr>
          <w:rFonts w:ascii="David" w:hAnsi="David" w:cs="David"/>
          <w:b/>
          <w:bCs/>
          <w:sz w:val="24"/>
          <w:szCs w:val="24"/>
          <w:u w:val="single"/>
          <w:rtl/>
        </w:rPr>
        <w:t>נסיבות שאינן קשורות לביצוע העבירה</w:t>
      </w:r>
      <w:r>
        <w:rPr>
          <w:rFonts w:ascii="David" w:hAnsi="David" w:cs="David"/>
          <w:sz w:val="24"/>
          <w:szCs w:val="24"/>
          <w:rtl/>
        </w:rPr>
        <w:t xml:space="preserve"> – במסגרת הנסיבות שאינן קשורות לביצוע העבירה התחשבתי בהודאת הנאשם, בלקיחת אחריות (אם כי להתרשמות שירות המבחן באופן חלקי), בעברו הפלילי של הנאשם שהתיישן ואינו ממין העניין, בחלוף הזמן ממועד ביצוע העבירות במהלכן לא בוצעו עבירות נוספות, בטענת הנאשם שהוא כבר שנתיים לא משתמש בסמים, בתוצאות בדיקות לגילוי שרידי סם, שהיו שליליות, בגילו של הנאשם, במצבו הרפואי הנטען ובעדות בנו של הנאשם שהעיד שהנאשם נמצא בפיקוח ילדיו, שמטפלים בו ועוזרים לו. מנגד התחשבתי בהתרשמות שירות המבחן כי הנאשם אינו מודע לחומרה ולבעייתיות של מעשיו, מתקשה להכיר בדפוסיו ההתמכרותיים ולא עבר הליך טיפולי בתחום הסמים. </w:t>
      </w:r>
    </w:p>
    <w:p w14:paraId="05A3512C" w14:textId="77777777" w:rsidR="00327EDA" w:rsidRDefault="00327EDA" w:rsidP="00327EDA">
      <w:pPr>
        <w:pStyle w:val="ab"/>
        <w:snapToGrid w:val="0"/>
        <w:spacing w:before="120" w:after="120" w:line="360" w:lineRule="auto"/>
        <w:ind w:left="368"/>
        <w:contextualSpacing w:val="0"/>
        <w:jc w:val="both"/>
        <w:rPr>
          <w:rFonts w:ascii="David" w:hAnsi="David" w:cs="David"/>
          <w:b/>
          <w:bCs/>
          <w:sz w:val="24"/>
          <w:szCs w:val="24"/>
        </w:rPr>
      </w:pPr>
      <w:r>
        <w:rPr>
          <w:rFonts w:ascii="David" w:hAnsi="David" w:cs="David"/>
          <w:sz w:val="24"/>
          <w:szCs w:val="24"/>
          <w:rtl/>
        </w:rPr>
        <w:t xml:space="preserve">בנוסף, נתתי דעתי לטענת הנאשם לפגיעה אפשרית במקום עבודתו, ככל שיגזר עליו עונש מאסר, ולמכתב המעסיק בו צוין שאם הנאשם יאלץ לקחת חופשה ארוכה, יאלצו למצוא לו מחליף והוא יאבד את מקור פרנסתו , תוך שלקחתי בחשבון מאידך את העובדה שהשתת עונש מאסר על נאשם לרבות מאסר שירוצה בעבודות שירות טומנת בחובה לרוב פגיעה פוטנציאלית בתעסוקה. </w:t>
      </w:r>
    </w:p>
    <w:p w14:paraId="656DA833" w14:textId="77777777" w:rsidR="00327EDA" w:rsidRDefault="00327EDA" w:rsidP="00327EDA">
      <w:pPr>
        <w:pStyle w:val="ab"/>
        <w:numPr>
          <w:ilvl w:val="0"/>
          <w:numId w:val="2"/>
        </w:numPr>
        <w:snapToGrid w:val="0"/>
        <w:spacing w:before="120" w:after="120" w:line="360" w:lineRule="auto"/>
        <w:ind w:left="368" w:hanging="426"/>
        <w:contextualSpacing w:val="0"/>
        <w:jc w:val="both"/>
        <w:rPr>
          <w:rFonts w:ascii="David" w:hAnsi="David" w:cs="David"/>
          <w:b/>
          <w:bCs/>
          <w:sz w:val="24"/>
          <w:szCs w:val="24"/>
        </w:rPr>
      </w:pPr>
      <w:r>
        <w:rPr>
          <w:rFonts w:ascii="David" w:hAnsi="David" w:cs="David"/>
          <w:sz w:val="24"/>
          <w:szCs w:val="24"/>
          <w:rtl/>
        </w:rPr>
        <w:t xml:space="preserve">במקרים המתאימים ניתן לחרוג ממתחם העונש בין אם לקולא מטעמי שיקום ובין אם לחומרא מטעמי הגנה על שלום הציבור (סעיפים </w:t>
      </w:r>
      <w:hyperlink r:id="rId60" w:history="1">
        <w:r w:rsidR="007255D6" w:rsidRPr="007255D6">
          <w:rPr>
            <w:rStyle w:val="Hyperlink"/>
            <w:rFonts w:ascii="David" w:hAnsi="David" w:cs="David"/>
            <w:sz w:val="24"/>
            <w:szCs w:val="24"/>
            <w:rtl/>
          </w:rPr>
          <w:t>40 ד(א)</w:t>
        </w:r>
      </w:hyperlink>
      <w:r>
        <w:rPr>
          <w:rFonts w:ascii="David" w:hAnsi="David" w:cs="David"/>
          <w:sz w:val="24"/>
          <w:szCs w:val="24"/>
          <w:rtl/>
        </w:rPr>
        <w:t xml:space="preserve"> ו- </w:t>
      </w:r>
      <w:hyperlink r:id="rId61" w:history="1">
        <w:r w:rsidR="007255D6" w:rsidRPr="007255D6">
          <w:rPr>
            <w:rStyle w:val="Hyperlink"/>
            <w:rFonts w:ascii="David" w:hAnsi="David" w:cs="David"/>
            <w:sz w:val="24"/>
            <w:szCs w:val="24"/>
            <w:rtl/>
          </w:rPr>
          <w:t>40 ג(ב)</w:t>
        </w:r>
      </w:hyperlink>
      <w:r>
        <w:rPr>
          <w:rFonts w:ascii="David" w:hAnsi="David" w:cs="David"/>
          <w:sz w:val="24"/>
          <w:szCs w:val="24"/>
          <w:rtl/>
        </w:rPr>
        <w:t xml:space="preserve"> ל</w:t>
      </w:r>
      <w:hyperlink r:id="rId62" w:history="1">
        <w:r w:rsidR="00BE4481" w:rsidRPr="00BE4481">
          <w:rPr>
            <w:rFonts w:ascii="David" w:hAnsi="David" w:cs="David"/>
            <w:color w:val="0000FF"/>
            <w:sz w:val="24"/>
            <w:szCs w:val="24"/>
            <w:u w:val="single"/>
            <w:rtl/>
          </w:rPr>
          <w:t>חוק העונשין</w:t>
        </w:r>
      </w:hyperlink>
      <w:r>
        <w:rPr>
          <w:rFonts w:ascii="David" w:hAnsi="David" w:cs="David"/>
          <w:sz w:val="24"/>
          <w:szCs w:val="24"/>
          <w:rtl/>
        </w:rPr>
        <w:t xml:space="preserve">). </w:t>
      </w:r>
    </w:p>
    <w:p w14:paraId="3ADA949A" w14:textId="77777777" w:rsidR="00327EDA" w:rsidRDefault="00327EDA" w:rsidP="00327EDA">
      <w:pPr>
        <w:pStyle w:val="ab"/>
        <w:numPr>
          <w:ilvl w:val="0"/>
          <w:numId w:val="2"/>
        </w:numPr>
        <w:snapToGrid w:val="0"/>
        <w:spacing w:before="120" w:after="120" w:line="360" w:lineRule="auto"/>
        <w:ind w:left="368" w:hanging="426"/>
        <w:contextualSpacing w:val="0"/>
        <w:jc w:val="both"/>
        <w:rPr>
          <w:rFonts w:ascii="David" w:hAnsi="David" w:cs="David"/>
          <w:b/>
          <w:bCs/>
          <w:sz w:val="24"/>
          <w:szCs w:val="24"/>
        </w:rPr>
      </w:pPr>
      <w:r>
        <w:rPr>
          <w:rFonts w:ascii="David" w:hAnsi="David" w:cs="David"/>
          <w:sz w:val="24"/>
          <w:szCs w:val="24"/>
          <w:rtl/>
        </w:rPr>
        <w:t xml:space="preserve">בענייננו הנאשם לא עבר הליך שיקומי ולהתרשמות שירות המבחן מתקשה להכיר בדפוסיו ההתמכרותיים, לפיכך לא מצאתי לסטות ממתחם העונש ההולם. </w:t>
      </w:r>
    </w:p>
    <w:p w14:paraId="6E83BD3F" w14:textId="77777777" w:rsidR="00327EDA" w:rsidRDefault="00327EDA" w:rsidP="00327EDA">
      <w:pPr>
        <w:pStyle w:val="ab"/>
        <w:snapToGrid w:val="0"/>
        <w:spacing w:before="120" w:after="120" w:line="360" w:lineRule="auto"/>
        <w:ind w:left="368"/>
        <w:contextualSpacing w:val="0"/>
        <w:jc w:val="both"/>
        <w:rPr>
          <w:rFonts w:ascii="David" w:hAnsi="David" w:cs="David"/>
          <w:b/>
          <w:bCs/>
          <w:sz w:val="24"/>
          <w:szCs w:val="24"/>
        </w:rPr>
      </w:pPr>
    </w:p>
    <w:p w14:paraId="4F0009E7" w14:textId="77777777" w:rsidR="00327EDA" w:rsidRDefault="00327EDA" w:rsidP="00327EDA">
      <w:pPr>
        <w:spacing w:before="120" w:after="120" w:line="360" w:lineRule="auto"/>
        <w:ind w:left="360"/>
        <w:jc w:val="both"/>
        <w:rPr>
          <w:rFonts w:ascii="David" w:eastAsia="Calibri" w:hAnsi="David"/>
        </w:rPr>
      </w:pPr>
      <w:r>
        <w:rPr>
          <w:rFonts w:ascii="David" w:eastAsia="Calibri" w:hAnsi="David"/>
          <w:b/>
          <w:bCs/>
          <w:u w:val="single"/>
          <w:rtl/>
        </w:rPr>
        <w:t xml:space="preserve">התוצאה </w:t>
      </w:r>
    </w:p>
    <w:p w14:paraId="4F88D209" w14:textId="77777777" w:rsidR="00327EDA" w:rsidRDefault="00327EDA" w:rsidP="00327EDA">
      <w:pPr>
        <w:pStyle w:val="ab"/>
        <w:numPr>
          <w:ilvl w:val="0"/>
          <w:numId w:val="2"/>
        </w:numPr>
        <w:snapToGrid w:val="0"/>
        <w:spacing w:before="120" w:after="120" w:line="360" w:lineRule="auto"/>
        <w:ind w:left="368" w:hanging="426"/>
        <w:contextualSpacing w:val="0"/>
        <w:jc w:val="both"/>
        <w:rPr>
          <w:rFonts w:ascii="David" w:hAnsi="David" w:cs="David"/>
          <w:b/>
          <w:bCs/>
          <w:sz w:val="24"/>
          <w:szCs w:val="24"/>
        </w:rPr>
      </w:pPr>
      <w:r>
        <w:rPr>
          <w:rFonts w:ascii="David" w:hAnsi="David" w:cs="David"/>
          <w:b/>
          <w:bCs/>
          <w:sz w:val="24"/>
          <w:szCs w:val="24"/>
          <w:rtl/>
        </w:rPr>
        <w:t>בשים לב למתחם העונש ההולם ולנסיבות לקולא ולחומרא שפירטתי לעיל, שנוגעות ואינן נוגעות לביצוע העבירה, מצאתי לגזור על הנאשם את העונשים הבאים:</w:t>
      </w:r>
    </w:p>
    <w:p w14:paraId="4EEE8B6B" w14:textId="77777777" w:rsidR="00327EDA" w:rsidRDefault="00327EDA" w:rsidP="00327EDA">
      <w:pPr>
        <w:numPr>
          <w:ilvl w:val="0"/>
          <w:numId w:val="5"/>
        </w:numPr>
        <w:snapToGrid w:val="0"/>
        <w:spacing w:before="120" w:after="120" w:line="360" w:lineRule="auto"/>
        <w:ind w:left="793" w:hanging="289"/>
        <w:jc w:val="both"/>
        <w:rPr>
          <w:rFonts w:ascii="David" w:eastAsia="Calibri" w:hAnsi="David"/>
        </w:rPr>
      </w:pPr>
      <w:r>
        <w:rPr>
          <w:rFonts w:ascii="David" w:hAnsi="David"/>
          <w:rtl/>
        </w:rPr>
        <w:t xml:space="preserve">14 שבועות (3.5 חודשים) מאסר בפועל </w:t>
      </w:r>
      <w:r>
        <w:rPr>
          <w:rFonts w:ascii="David" w:eastAsia="Calibri" w:hAnsi="David"/>
          <w:rtl/>
        </w:rPr>
        <w:t xml:space="preserve">אותם יישא בעבודות שירות על פי המלצת הממונה במרכז יום לאזרח הותיק כ"ס. </w:t>
      </w:r>
    </w:p>
    <w:p w14:paraId="30677425" w14:textId="77777777" w:rsidR="00327EDA" w:rsidRDefault="00327EDA" w:rsidP="00327EDA">
      <w:pPr>
        <w:pStyle w:val="a"/>
        <w:numPr>
          <w:ilvl w:val="0"/>
          <w:numId w:val="0"/>
        </w:numPr>
        <w:tabs>
          <w:tab w:val="left" w:pos="226"/>
        </w:tabs>
        <w:spacing w:before="120"/>
        <w:ind w:left="651" w:hanging="502"/>
        <w:jc w:val="both"/>
      </w:pPr>
      <w:r>
        <w:rPr>
          <w:rFonts w:hint="cs"/>
          <w:rtl/>
        </w:rPr>
        <w:tab/>
      </w:r>
      <w:r>
        <w:rPr>
          <w:rFonts w:hint="cs"/>
          <w:rtl/>
        </w:rPr>
        <w:tab/>
        <w:t xml:space="preserve">הנאשם יבצע את עבודות השירות - </w:t>
      </w:r>
      <w:r>
        <w:rPr>
          <w:rFonts w:hint="cs"/>
          <w:u w:val="single"/>
          <w:rtl/>
        </w:rPr>
        <w:t>5 ימים בשבוע, 6.5 שעות ביום</w:t>
      </w:r>
      <w:r>
        <w:rPr>
          <w:rFonts w:hint="cs"/>
          <w:rtl/>
        </w:rPr>
        <w:t>, כפי שנקבע בחוות דעת הממונה על עבודות שירות לאור מגבלות רפואיות של הנאשם.</w:t>
      </w:r>
    </w:p>
    <w:p w14:paraId="0BDF74FA" w14:textId="77777777" w:rsidR="00327EDA" w:rsidRDefault="00327EDA" w:rsidP="00327EDA">
      <w:pPr>
        <w:pStyle w:val="a"/>
        <w:numPr>
          <w:ilvl w:val="0"/>
          <w:numId w:val="0"/>
        </w:numPr>
        <w:tabs>
          <w:tab w:val="left" w:pos="368"/>
        </w:tabs>
        <w:spacing w:before="120"/>
        <w:ind w:left="509" w:hanging="360"/>
        <w:jc w:val="both"/>
        <w:rPr>
          <w:color w:val="FF0000"/>
          <w:u w:val="single"/>
        </w:rPr>
      </w:pPr>
      <w:r>
        <w:rPr>
          <w:rFonts w:hint="cs"/>
          <w:rtl/>
        </w:rPr>
        <w:tab/>
      </w:r>
      <w:r>
        <w:rPr>
          <w:rFonts w:hint="cs"/>
          <w:rtl/>
        </w:rPr>
        <w:tab/>
      </w:r>
      <w:r>
        <w:rPr>
          <w:rFonts w:hint="cs"/>
          <w:rtl/>
        </w:rPr>
        <w:tab/>
      </w:r>
      <w:r>
        <w:rPr>
          <w:rFonts w:hint="cs"/>
          <w:u w:val="single"/>
          <w:rtl/>
        </w:rPr>
        <w:t>תחילת בצוע עבודות השירות ביום 30.09.24.</w:t>
      </w:r>
    </w:p>
    <w:p w14:paraId="169763E1" w14:textId="77777777" w:rsidR="00327EDA" w:rsidRDefault="00327EDA" w:rsidP="00327EDA">
      <w:pPr>
        <w:pStyle w:val="a"/>
        <w:numPr>
          <w:ilvl w:val="0"/>
          <w:numId w:val="0"/>
        </w:numPr>
        <w:tabs>
          <w:tab w:val="left" w:pos="793"/>
        </w:tabs>
        <w:spacing w:before="120"/>
        <w:ind w:left="793" w:hanging="284"/>
        <w:jc w:val="both"/>
        <w:rPr>
          <w:rtl/>
        </w:rPr>
      </w:pPr>
      <w:r>
        <w:rPr>
          <w:rFonts w:hint="cs"/>
          <w:b/>
          <w:bCs/>
          <w:color w:val="FF0000"/>
          <w:rtl/>
        </w:rPr>
        <w:tab/>
      </w:r>
      <w:r>
        <w:rPr>
          <w:rFonts w:hint="cs"/>
          <w:b/>
          <w:bCs/>
          <w:rtl/>
        </w:rPr>
        <w:t>ביום 30.09.24 בשעה 08:00</w:t>
      </w:r>
      <w:r>
        <w:rPr>
          <w:rFonts w:hint="cs"/>
          <w:rtl/>
        </w:rPr>
        <w:t xml:space="preserve"> הנאשם יתייצב לצורך קליטה והצבה ב-יחידת ברקאי - עבודות שירות - שלוחת מרכז – רח' לוחמי בית"ר 6, רמלה.</w:t>
      </w:r>
    </w:p>
    <w:p w14:paraId="48DF6609" w14:textId="77777777" w:rsidR="00327EDA" w:rsidRDefault="00327EDA" w:rsidP="00327EDA">
      <w:pPr>
        <w:pStyle w:val="a"/>
        <w:numPr>
          <w:ilvl w:val="0"/>
          <w:numId w:val="0"/>
        </w:numPr>
        <w:tabs>
          <w:tab w:val="left" w:pos="793"/>
        </w:tabs>
        <w:spacing w:before="120"/>
        <w:ind w:left="793"/>
        <w:jc w:val="both"/>
      </w:pPr>
      <w:r>
        <w:rPr>
          <w:rFonts w:hint="cs"/>
          <w:rtl/>
        </w:rPr>
        <w:t xml:space="preserve">הנאשם מוזהר כי עליו לעדכן את משרד הממונה בכל שינוי, אם יחול, בכתובת מגוריו ובטלפון הנייד שלו. </w:t>
      </w:r>
    </w:p>
    <w:p w14:paraId="3D5A430F" w14:textId="77777777" w:rsidR="00327EDA" w:rsidRDefault="00327EDA" w:rsidP="00327EDA">
      <w:pPr>
        <w:pStyle w:val="a"/>
        <w:numPr>
          <w:ilvl w:val="0"/>
          <w:numId w:val="0"/>
        </w:numPr>
        <w:tabs>
          <w:tab w:val="left" w:pos="793"/>
        </w:tabs>
        <w:spacing w:before="120"/>
        <w:ind w:left="793"/>
        <w:jc w:val="both"/>
        <w:rPr>
          <w:rtl/>
        </w:rPr>
      </w:pPr>
      <w:r>
        <w:rPr>
          <w:rFonts w:hint="cs"/>
          <w:rtl/>
        </w:rPr>
        <w:t>הנאשם מוזהר</w:t>
      </w:r>
      <w:r w:rsidR="00BE4481">
        <w:t xml:space="preserve"> </w:t>
      </w:r>
      <w:r>
        <w:rPr>
          <w:rFonts w:hint="cs"/>
          <w:rtl/>
        </w:rPr>
        <w:t xml:space="preserve">כי עליו לעמוד בתנאי הפיקוח, שכן כל הפרה או אי מילוי עבודות השירות על פי הנחיות המפקח, עלולים להביא להפסקתן ולהמרתן בריצוי יתרת המאסר בפועל. </w:t>
      </w:r>
    </w:p>
    <w:p w14:paraId="4ACB5D7B" w14:textId="77777777" w:rsidR="00327EDA" w:rsidRDefault="00327EDA" w:rsidP="00327EDA">
      <w:pPr>
        <w:numPr>
          <w:ilvl w:val="0"/>
          <w:numId w:val="5"/>
        </w:numPr>
        <w:snapToGrid w:val="0"/>
        <w:spacing w:before="120" w:after="120" w:line="360" w:lineRule="auto"/>
        <w:ind w:left="793" w:hanging="289"/>
        <w:jc w:val="both"/>
        <w:rPr>
          <w:rFonts w:ascii="David" w:hAnsi="David"/>
          <w:rtl/>
        </w:rPr>
      </w:pPr>
      <w:r>
        <w:rPr>
          <w:rFonts w:ascii="David" w:hAnsi="David"/>
          <w:rtl/>
        </w:rPr>
        <w:t xml:space="preserve">4 חודשי מאסר על תנאי שלא יעבור משך שלוש שנים מהיום כל עבירה לפי </w:t>
      </w:r>
      <w:hyperlink r:id="rId63" w:history="1">
        <w:r w:rsidR="00BE4481" w:rsidRPr="00BE4481">
          <w:rPr>
            <w:rFonts w:ascii="David" w:hAnsi="David"/>
            <w:color w:val="0000FF"/>
            <w:u w:val="single"/>
            <w:rtl/>
          </w:rPr>
          <w:t>חוק הכניסה לישראל</w:t>
        </w:r>
      </w:hyperlink>
      <w:r>
        <w:rPr>
          <w:rFonts w:ascii="David" w:hAnsi="David"/>
          <w:rtl/>
        </w:rPr>
        <w:t xml:space="preserve"> ולפי </w:t>
      </w:r>
      <w:hyperlink r:id="rId64" w:history="1">
        <w:r w:rsidR="00BE4481" w:rsidRPr="00BE4481">
          <w:rPr>
            <w:rFonts w:ascii="David" w:hAnsi="David"/>
            <w:color w:val="0000FF"/>
            <w:u w:val="single"/>
            <w:rtl/>
          </w:rPr>
          <w:t>פקודת הסמים המסוכנים</w:t>
        </w:r>
      </w:hyperlink>
      <w:r>
        <w:rPr>
          <w:rFonts w:ascii="David" w:hAnsi="David"/>
          <w:rtl/>
        </w:rPr>
        <w:t>.</w:t>
      </w:r>
    </w:p>
    <w:p w14:paraId="76CE1903" w14:textId="77777777" w:rsidR="00327EDA" w:rsidRDefault="00327EDA" w:rsidP="00327EDA">
      <w:pPr>
        <w:numPr>
          <w:ilvl w:val="0"/>
          <w:numId w:val="5"/>
        </w:numPr>
        <w:snapToGrid w:val="0"/>
        <w:spacing w:before="120" w:after="120" w:line="360" w:lineRule="auto"/>
        <w:ind w:left="793" w:hanging="289"/>
        <w:jc w:val="both"/>
        <w:rPr>
          <w:rFonts w:ascii="David" w:hAnsi="David"/>
          <w:rtl/>
        </w:rPr>
      </w:pPr>
      <w:r>
        <w:rPr>
          <w:rFonts w:ascii="David" w:hAnsi="David"/>
          <w:rtl/>
        </w:rPr>
        <w:t xml:space="preserve">3 חודשי פסילת רישיון נהיגה על תנאי, שלא יעבור כל עבירה על </w:t>
      </w:r>
      <w:hyperlink r:id="rId65" w:history="1">
        <w:r w:rsidR="00BE4481" w:rsidRPr="00BE4481">
          <w:rPr>
            <w:rFonts w:ascii="David" w:hAnsi="David"/>
            <w:color w:val="0000FF"/>
            <w:u w:val="single"/>
            <w:rtl/>
          </w:rPr>
          <w:t>פקודת הסמים המסוכנים</w:t>
        </w:r>
      </w:hyperlink>
      <w:r>
        <w:rPr>
          <w:rFonts w:ascii="David" w:hAnsi="David"/>
          <w:rtl/>
        </w:rPr>
        <w:t xml:space="preserve"> ולפי </w:t>
      </w:r>
      <w:hyperlink r:id="rId66" w:history="1">
        <w:r w:rsidR="00BE4481" w:rsidRPr="00BE4481">
          <w:rPr>
            <w:rFonts w:ascii="David" w:hAnsi="David"/>
            <w:color w:val="0000FF"/>
            <w:u w:val="single"/>
            <w:rtl/>
          </w:rPr>
          <w:t>חוק הכניסה לישראל</w:t>
        </w:r>
      </w:hyperlink>
      <w:r>
        <w:rPr>
          <w:rFonts w:ascii="David" w:hAnsi="David"/>
          <w:rtl/>
        </w:rPr>
        <w:t xml:space="preserve"> למשך שנתיים מהיום. </w:t>
      </w:r>
    </w:p>
    <w:p w14:paraId="5BA2866B" w14:textId="77777777" w:rsidR="00327EDA" w:rsidRDefault="00327EDA" w:rsidP="00327EDA">
      <w:pPr>
        <w:snapToGrid w:val="0"/>
        <w:spacing w:before="120" w:after="120" w:line="360" w:lineRule="auto"/>
        <w:ind w:left="793"/>
        <w:jc w:val="both"/>
        <w:rPr>
          <w:rFonts w:ascii="David" w:hAnsi="David"/>
        </w:rPr>
      </w:pPr>
      <w:r>
        <w:rPr>
          <w:rFonts w:ascii="David" w:hAnsi="David"/>
          <w:rtl/>
        </w:rPr>
        <w:t>בהעדר אינדיקציות לשימוש בסמים בעת האחרונה ותוצאות שליליות של בדיקות לגילוי שרידי סם ולאור טענת הנאשם לחיוניות רישיון נהיגה והשלכות אפשריות של שלילת הרישיון על המשך עבודתו, לא מצאתי להשית עליו פסילת רישיון נהיגה בפועל.</w:t>
      </w:r>
    </w:p>
    <w:p w14:paraId="050B9A4E" w14:textId="77777777" w:rsidR="00327EDA" w:rsidRDefault="00327EDA" w:rsidP="00327EDA">
      <w:pPr>
        <w:numPr>
          <w:ilvl w:val="0"/>
          <w:numId w:val="5"/>
        </w:numPr>
        <w:snapToGrid w:val="0"/>
        <w:spacing w:before="120" w:after="120" w:line="360" w:lineRule="auto"/>
        <w:ind w:left="864"/>
        <w:jc w:val="both"/>
        <w:rPr>
          <w:rFonts w:ascii="David" w:hAnsi="David"/>
        </w:rPr>
      </w:pPr>
      <w:r>
        <w:rPr>
          <w:rFonts w:ascii="David" w:eastAsia="Calibri" w:hAnsi="David"/>
          <w:rtl/>
        </w:rPr>
        <w:t xml:space="preserve">קנס כספי בסך 4,000 ₪ או 30 ימי מאסר תמורתו. הקנס ישולם ב - </w:t>
      </w:r>
      <w:r>
        <w:rPr>
          <w:rFonts w:ascii="David" w:eastAsia="Calibri" w:hAnsi="David" w:hint="cs"/>
          <w:rtl/>
        </w:rPr>
        <w:t>8</w:t>
      </w:r>
      <w:r>
        <w:rPr>
          <w:rFonts w:ascii="David" w:eastAsia="Calibri" w:hAnsi="David"/>
          <w:rtl/>
        </w:rPr>
        <w:t xml:space="preserve"> תשלומים שווים ורצופים, התשלום הראשון עד ליום 01.09.24 ובכל 1 לחודש שלאחריו. </w:t>
      </w:r>
    </w:p>
    <w:p w14:paraId="292B573D" w14:textId="77777777" w:rsidR="00327EDA" w:rsidRDefault="00327EDA" w:rsidP="00327EDA">
      <w:pPr>
        <w:snapToGrid w:val="0"/>
        <w:spacing w:before="120" w:after="120" w:line="360" w:lineRule="auto"/>
        <w:ind w:left="864"/>
        <w:jc w:val="both"/>
        <w:rPr>
          <w:rFonts w:ascii="David" w:hAnsi="David"/>
        </w:rPr>
      </w:pPr>
      <w:r>
        <w:rPr>
          <w:rFonts w:ascii="David" w:hAnsi="David"/>
          <w:rtl/>
        </w:rPr>
        <w:t xml:space="preserve">בהחלטה על גובה הקנס התחשבתי כמצוות </w:t>
      </w:r>
      <w:hyperlink r:id="rId67" w:history="1">
        <w:r w:rsidR="007255D6" w:rsidRPr="007255D6">
          <w:rPr>
            <w:rStyle w:val="Hyperlink"/>
            <w:rFonts w:ascii="David" w:hAnsi="David"/>
            <w:rtl/>
          </w:rPr>
          <w:t>סעיף 40ח</w:t>
        </w:r>
      </w:hyperlink>
      <w:r>
        <w:rPr>
          <w:rFonts w:ascii="David" w:hAnsi="David"/>
          <w:rtl/>
        </w:rPr>
        <w:t xml:space="preserve"> ל</w:t>
      </w:r>
      <w:hyperlink r:id="rId68" w:history="1">
        <w:r w:rsidR="00BE4481" w:rsidRPr="00BE4481">
          <w:rPr>
            <w:rFonts w:ascii="David" w:hAnsi="David"/>
            <w:color w:val="0000FF"/>
            <w:u w:val="single"/>
            <w:rtl/>
          </w:rPr>
          <w:t>חוק העונשין</w:t>
        </w:r>
      </w:hyperlink>
      <w:r>
        <w:rPr>
          <w:rFonts w:ascii="David" w:hAnsi="David"/>
          <w:rtl/>
        </w:rPr>
        <w:t xml:space="preserve"> במצבו הכלכלי של הנאשם. הנאשם לטענתו עובד במלון בים המלח והוא נתון בהסדר חובות לאחר הליך הוצאה לפועל. </w:t>
      </w:r>
    </w:p>
    <w:p w14:paraId="7EBE7BC6" w14:textId="77777777" w:rsidR="00327EDA" w:rsidRDefault="00327EDA" w:rsidP="00327EDA">
      <w:pPr>
        <w:snapToGrid w:val="0"/>
        <w:spacing w:before="120" w:after="120" w:line="360" w:lineRule="auto"/>
        <w:ind w:left="793" w:firstLine="2"/>
        <w:jc w:val="both"/>
        <w:rPr>
          <w:rFonts w:ascii="David" w:eastAsia="Calibri" w:hAnsi="David"/>
        </w:rPr>
      </w:pPr>
      <w:r>
        <w:rPr>
          <w:rFonts w:ascii="David" w:eastAsia="Calibri" w:hAnsi="David"/>
          <w:rtl/>
        </w:rPr>
        <w:t xml:space="preserve"> </w:t>
      </w:r>
      <w:r>
        <w:rPr>
          <w:rFonts w:ascii="David" w:eastAsia="Calibri" w:hAnsi="David" w:hint="cs"/>
          <w:b/>
          <w:bCs/>
          <w:rtl/>
        </w:rPr>
        <w:t>את הקנס ניתן לשלם כעבור 3 ימים מהיום באחת מהדרכים הבאות:</w:t>
      </w:r>
    </w:p>
    <w:p w14:paraId="6C9F591B" w14:textId="77777777" w:rsidR="00327EDA" w:rsidRDefault="00327EDA" w:rsidP="00327EDA">
      <w:pPr>
        <w:numPr>
          <w:ilvl w:val="0"/>
          <w:numId w:val="6"/>
        </w:numPr>
        <w:spacing w:before="120" w:after="120" w:line="360" w:lineRule="auto"/>
        <w:ind w:left="1076" w:hanging="281"/>
        <w:jc w:val="both"/>
        <w:rPr>
          <w:rFonts w:ascii="David" w:eastAsia="Calibri" w:hAnsi="David"/>
          <w:b/>
          <w:bCs/>
        </w:rPr>
      </w:pPr>
      <w:r>
        <w:rPr>
          <w:rFonts w:ascii="David" w:eastAsia="Calibri" w:hAnsi="David"/>
          <w:b/>
          <w:bCs/>
          <w:rtl/>
        </w:rPr>
        <w:t xml:space="preserve">תשלום בכרטיס אשראי באמצעות האתר המקוון של רשות האכיפה והגבייה בכתובת: </w:t>
      </w:r>
      <w:hyperlink w:history="1">
        <w:r w:rsidRPr="00BE4481">
          <w:rPr>
            <w:rFonts w:ascii="David" w:eastAsia="Calibri" w:hAnsi="David"/>
            <w:color w:val="000000"/>
          </w:rPr>
          <w:t>-Hyperlink Removed-</w:t>
        </w:r>
      </w:hyperlink>
      <w:r>
        <w:rPr>
          <w:rFonts w:ascii="David" w:eastAsia="Calibri" w:hAnsi="David"/>
          <w:b/>
          <w:bCs/>
          <w:rtl/>
        </w:rPr>
        <w:t>.</w:t>
      </w:r>
    </w:p>
    <w:p w14:paraId="382A5C84" w14:textId="77777777" w:rsidR="00327EDA" w:rsidRDefault="00327EDA" w:rsidP="00327EDA">
      <w:pPr>
        <w:numPr>
          <w:ilvl w:val="0"/>
          <w:numId w:val="6"/>
        </w:numPr>
        <w:spacing w:before="120" w:after="120" w:line="360" w:lineRule="auto"/>
        <w:ind w:left="1076" w:hanging="281"/>
        <w:jc w:val="both"/>
        <w:rPr>
          <w:rFonts w:ascii="David" w:eastAsia="Calibri" w:hAnsi="David"/>
          <w:b/>
          <w:bCs/>
        </w:rPr>
      </w:pPr>
      <w:r>
        <w:rPr>
          <w:rFonts w:ascii="David" w:eastAsia="Calibri" w:hAnsi="David"/>
          <w:b/>
          <w:bCs/>
          <w:rtl/>
        </w:rPr>
        <w:t>תשלום בשירות עצמי באמצעות מוקד שירות טלפוני של מרכז הגבייה, בטלפון שמספרו 35592* או, 073-205-5000.</w:t>
      </w:r>
    </w:p>
    <w:p w14:paraId="4C2C0999" w14:textId="77777777" w:rsidR="00327EDA" w:rsidRDefault="00327EDA" w:rsidP="00327EDA">
      <w:pPr>
        <w:numPr>
          <w:ilvl w:val="0"/>
          <w:numId w:val="6"/>
        </w:numPr>
        <w:spacing w:before="120" w:after="120" w:line="360" w:lineRule="auto"/>
        <w:ind w:left="1076" w:hanging="281"/>
        <w:jc w:val="both"/>
        <w:rPr>
          <w:rFonts w:ascii="David" w:eastAsia="Calibri" w:hAnsi="David"/>
          <w:b/>
          <w:bCs/>
          <w:rtl/>
        </w:rPr>
      </w:pPr>
      <w:r>
        <w:rPr>
          <w:rFonts w:ascii="David" w:eastAsia="Calibri" w:hAnsi="David"/>
          <w:b/>
          <w:bCs/>
          <w:rtl/>
        </w:rPr>
        <w:t>תשלום במזומן בכל סניף של בנק הדואר, בהצגת תעודת זהות בלבד (אין צורך בהצגת שוברי תשלום)</w:t>
      </w:r>
    </w:p>
    <w:p w14:paraId="5078FDA9" w14:textId="77777777" w:rsidR="00327EDA" w:rsidRDefault="00327EDA" w:rsidP="00327EDA">
      <w:pPr>
        <w:numPr>
          <w:ilvl w:val="0"/>
          <w:numId w:val="5"/>
        </w:numPr>
        <w:snapToGrid w:val="0"/>
        <w:spacing w:before="120" w:after="120" w:line="360" w:lineRule="auto"/>
        <w:ind w:left="864"/>
        <w:jc w:val="both"/>
        <w:rPr>
          <w:rFonts w:ascii="David" w:eastAsia="Calibri" w:hAnsi="David"/>
        </w:rPr>
      </w:pPr>
      <w:r>
        <w:rPr>
          <w:rFonts w:ascii="David" w:eastAsia="Calibri" w:hAnsi="David"/>
          <w:rtl/>
        </w:rPr>
        <w:t xml:space="preserve">התחייבות בסך 8,000 ₪ לא לעבור עבירה לפי </w:t>
      </w:r>
      <w:hyperlink r:id="rId69" w:history="1">
        <w:r w:rsidR="00BE4481" w:rsidRPr="00BE4481">
          <w:rPr>
            <w:rFonts w:ascii="David" w:eastAsia="Calibri" w:hAnsi="David"/>
            <w:color w:val="0000FF"/>
            <w:u w:val="single"/>
            <w:rtl/>
          </w:rPr>
          <w:t>חוק הכניסה לישראל</w:t>
        </w:r>
      </w:hyperlink>
      <w:r>
        <w:rPr>
          <w:rFonts w:ascii="David" w:eastAsia="Calibri" w:hAnsi="David"/>
          <w:rtl/>
        </w:rPr>
        <w:t xml:space="preserve"> ולפי </w:t>
      </w:r>
      <w:hyperlink r:id="rId70" w:history="1">
        <w:r w:rsidR="00BE4481" w:rsidRPr="00BE4481">
          <w:rPr>
            <w:rFonts w:ascii="David" w:eastAsia="Calibri" w:hAnsi="David"/>
            <w:color w:val="0000FF"/>
            <w:u w:val="single"/>
            <w:rtl/>
          </w:rPr>
          <w:t>פקודת הסמים המסוכנים</w:t>
        </w:r>
      </w:hyperlink>
      <w:r>
        <w:rPr>
          <w:rFonts w:ascii="David" w:eastAsia="Calibri" w:hAnsi="David"/>
          <w:rtl/>
        </w:rPr>
        <w:t xml:space="preserve"> במשך 3 שנים.</w:t>
      </w:r>
    </w:p>
    <w:p w14:paraId="4CA81662" w14:textId="77777777" w:rsidR="00327EDA" w:rsidRDefault="00327EDA" w:rsidP="00327EDA">
      <w:pPr>
        <w:pStyle w:val="a"/>
        <w:numPr>
          <w:ilvl w:val="0"/>
          <w:numId w:val="0"/>
        </w:numPr>
        <w:spacing w:before="120"/>
        <w:ind w:left="509"/>
        <w:jc w:val="both"/>
      </w:pPr>
      <w:r>
        <w:rPr>
          <w:rFonts w:hint="cs"/>
          <w:rtl/>
        </w:rPr>
        <w:t>ניתן צו להשמדת הסמים.</w:t>
      </w:r>
    </w:p>
    <w:p w14:paraId="676F8D35" w14:textId="77777777" w:rsidR="00327EDA" w:rsidRDefault="00327EDA" w:rsidP="00327EDA">
      <w:pPr>
        <w:spacing w:before="120" w:after="120" w:line="360" w:lineRule="auto"/>
        <w:ind w:left="504"/>
        <w:jc w:val="both"/>
        <w:rPr>
          <w:rFonts w:ascii="David" w:eastAsia="Calibri" w:hAnsi="David"/>
          <w:rtl/>
        </w:rPr>
      </w:pPr>
      <w:r>
        <w:rPr>
          <w:rFonts w:ascii="David" w:eastAsia="Calibri" w:hAnsi="David"/>
          <w:b/>
          <w:bCs/>
          <w:u w:val="single"/>
          <w:rtl/>
        </w:rPr>
        <w:t>המזכירות תשלח העתק גזר הדין לממונה על עבודות השירות ולשירות המבחן.</w:t>
      </w:r>
    </w:p>
    <w:p w14:paraId="3D8921C4" w14:textId="77777777" w:rsidR="00327EDA" w:rsidRDefault="00327EDA" w:rsidP="00327EDA">
      <w:pPr>
        <w:spacing w:before="120" w:after="120" w:line="360" w:lineRule="auto"/>
        <w:ind w:left="504"/>
        <w:jc w:val="both"/>
        <w:rPr>
          <w:rFonts w:ascii="David" w:hAnsi="David"/>
          <w:b/>
          <w:bCs/>
          <w:u w:val="single"/>
        </w:rPr>
      </w:pPr>
      <w:r>
        <w:rPr>
          <w:rFonts w:ascii="David" w:hAnsi="David"/>
          <w:b/>
          <w:bCs/>
          <w:u w:val="single"/>
          <w:rtl/>
        </w:rPr>
        <w:t>זכות ערעור תוך 45 יום מהיום לבית-המשפט המחוזי בבאר-שבע.</w:t>
      </w:r>
    </w:p>
    <w:p w14:paraId="50E12B2D" w14:textId="77777777" w:rsidR="00327EDA" w:rsidRPr="00BE4481" w:rsidRDefault="00BE4481" w:rsidP="00327EDA">
      <w:pPr>
        <w:rPr>
          <w:rFonts w:ascii="Arial" w:hAnsi="Arial"/>
          <w:b/>
          <w:bCs/>
          <w:color w:val="FFFFFF"/>
          <w:sz w:val="2"/>
          <w:szCs w:val="2"/>
          <w:rtl/>
        </w:rPr>
      </w:pPr>
      <w:r w:rsidRPr="00BE4481">
        <w:rPr>
          <w:rFonts w:ascii="Arial" w:hAnsi="Arial"/>
          <w:b/>
          <w:bCs/>
          <w:color w:val="FFFFFF"/>
          <w:sz w:val="2"/>
          <w:szCs w:val="2"/>
          <w:rtl/>
        </w:rPr>
        <w:t>5129371</w:t>
      </w:r>
    </w:p>
    <w:p w14:paraId="6942486B" w14:textId="77777777" w:rsidR="00327EDA" w:rsidRPr="00BE4481" w:rsidRDefault="00BE4481" w:rsidP="00327EDA">
      <w:pPr>
        <w:rPr>
          <w:rFonts w:ascii="Arial" w:hAnsi="Arial"/>
          <w:b/>
          <w:bCs/>
          <w:color w:val="FFFFFF"/>
          <w:sz w:val="2"/>
          <w:szCs w:val="2"/>
          <w:rtl/>
        </w:rPr>
      </w:pPr>
      <w:r w:rsidRPr="00BE4481">
        <w:rPr>
          <w:rFonts w:ascii="Arial" w:hAnsi="Arial"/>
          <w:b/>
          <w:bCs/>
          <w:color w:val="FFFFFF"/>
          <w:sz w:val="2"/>
          <w:szCs w:val="2"/>
          <w:rtl/>
        </w:rPr>
        <w:t>54678313</w:t>
      </w:r>
    </w:p>
    <w:p w14:paraId="2EE1205E" w14:textId="77777777" w:rsidR="00327EDA" w:rsidRPr="000F2247" w:rsidRDefault="00327EDA" w:rsidP="00327EDA">
      <w:pPr>
        <w:rPr>
          <w:rFonts w:ascii="Arial" w:hAnsi="Arial"/>
          <w:b/>
          <w:bCs/>
          <w:sz w:val="26"/>
          <w:szCs w:val="26"/>
          <w:rtl/>
        </w:rPr>
      </w:pPr>
    </w:p>
    <w:p w14:paraId="0DA3746B" w14:textId="77777777" w:rsidR="00327EDA" w:rsidRPr="000F2247" w:rsidRDefault="00BE4481" w:rsidP="00327ED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תמוז תשפ"ד, 15 יולי 2024, במעמד הצדדים. </w:t>
      </w:r>
      <w:bookmarkEnd w:id="8"/>
      <w:r w:rsidR="00327EDA">
        <w:rPr>
          <w:rFonts w:ascii="Arial" w:hAnsi="Arial"/>
          <w:b/>
          <w:bCs/>
          <w:sz w:val="26"/>
          <w:szCs w:val="26"/>
          <w:rtl/>
        </w:rPr>
        <w:tab/>
      </w:r>
      <w:r w:rsidR="00327EDA">
        <w:rPr>
          <w:rFonts w:ascii="Arial" w:hAnsi="Arial"/>
          <w:b/>
          <w:bCs/>
          <w:sz w:val="26"/>
          <w:szCs w:val="26"/>
          <w:rtl/>
        </w:rPr>
        <w:tab/>
      </w:r>
      <w:r w:rsidR="00327EDA">
        <w:rPr>
          <w:rFonts w:ascii="Arial" w:hAnsi="Arial"/>
          <w:b/>
          <w:bCs/>
          <w:sz w:val="26"/>
          <w:szCs w:val="26"/>
          <w:rtl/>
        </w:rPr>
        <w:tab/>
      </w:r>
      <w:r w:rsidR="00327EDA">
        <w:rPr>
          <w:rFonts w:ascii="Arial" w:hAnsi="Arial"/>
          <w:b/>
          <w:bCs/>
          <w:sz w:val="26"/>
          <w:szCs w:val="26"/>
          <w:rtl/>
        </w:rPr>
        <w:tab/>
      </w:r>
      <w:r w:rsidR="00327EDA">
        <w:rPr>
          <w:rFonts w:ascii="Arial" w:hAnsi="Arial"/>
          <w:b/>
          <w:bCs/>
          <w:sz w:val="26"/>
          <w:szCs w:val="26"/>
          <w:rtl/>
        </w:rPr>
        <w:tab/>
      </w:r>
      <w:r w:rsidR="00327EDA">
        <w:rPr>
          <w:rFonts w:ascii="Arial" w:hAnsi="Arial"/>
          <w:b/>
          <w:bCs/>
          <w:sz w:val="26"/>
          <w:szCs w:val="26"/>
          <w:rtl/>
        </w:rPr>
        <w:tab/>
      </w:r>
      <w:r w:rsidR="00327EDA">
        <w:rPr>
          <w:rFonts w:ascii="Arial" w:hAnsi="Arial"/>
          <w:b/>
          <w:bCs/>
          <w:sz w:val="26"/>
          <w:szCs w:val="26"/>
          <w:rtl/>
        </w:rPr>
        <w:tab/>
      </w:r>
      <w:r w:rsidR="00327EDA">
        <w:rPr>
          <w:rFonts w:ascii="Arial" w:hAnsi="Arial" w:hint="cs"/>
          <w:b/>
          <w:bCs/>
          <w:sz w:val="26"/>
          <w:szCs w:val="26"/>
          <w:rtl/>
        </w:rPr>
        <w:t xml:space="preserve">         </w:t>
      </w:r>
    </w:p>
    <w:p w14:paraId="52B5DE2C" w14:textId="77777777" w:rsidR="00BE4481" w:rsidRDefault="00327EDA" w:rsidP="00BE4481">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192BC2" w14:textId="77777777" w:rsidR="00BE4481" w:rsidRDefault="00BE4481" w:rsidP="00BE4481">
      <w:pPr>
        <w:rPr>
          <w:rtl/>
        </w:rPr>
      </w:pPr>
    </w:p>
    <w:p w14:paraId="2EB068ED" w14:textId="77777777" w:rsidR="00BE4481" w:rsidRDefault="00BE4481" w:rsidP="00BE4481">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40B60F75" w14:textId="77777777" w:rsidR="007255D6" w:rsidRPr="007255D6" w:rsidRDefault="007255D6" w:rsidP="007255D6">
      <w:pPr>
        <w:keepNext/>
        <w:rPr>
          <w:rFonts w:ascii="David" w:hAnsi="David" w:hint="cs"/>
          <w:color w:val="000000"/>
          <w:sz w:val="22"/>
          <w:szCs w:val="22"/>
          <w:rtl/>
        </w:rPr>
      </w:pPr>
    </w:p>
    <w:p w14:paraId="237BE0A9" w14:textId="77777777" w:rsidR="007255D6" w:rsidRPr="007255D6" w:rsidRDefault="007255D6" w:rsidP="007255D6">
      <w:pPr>
        <w:keepNext/>
        <w:rPr>
          <w:rFonts w:ascii="David" w:hAnsi="David"/>
          <w:color w:val="000000"/>
          <w:sz w:val="22"/>
          <w:szCs w:val="22"/>
          <w:rtl/>
        </w:rPr>
      </w:pPr>
      <w:r w:rsidRPr="007255D6">
        <w:rPr>
          <w:rFonts w:ascii="David" w:hAnsi="David"/>
          <w:color w:val="000000"/>
          <w:sz w:val="22"/>
          <w:szCs w:val="22"/>
          <w:rtl/>
        </w:rPr>
        <w:t>אורית קרץ 54678313-/</w:t>
      </w:r>
    </w:p>
    <w:p w14:paraId="62666F1C" w14:textId="77777777" w:rsidR="00BE4481" w:rsidRPr="00BE4481" w:rsidRDefault="007255D6" w:rsidP="007255D6">
      <w:pPr>
        <w:rPr>
          <w:rFonts w:hint="cs"/>
          <w:color w:val="0000FF"/>
          <w:u w:val="single"/>
        </w:rPr>
      </w:pPr>
      <w:r w:rsidRPr="007255D6">
        <w:rPr>
          <w:color w:val="000000"/>
          <w:u w:val="single"/>
          <w:rtl/>
        </w:rPr>
        <w:t>נוסח מסמך זה כפוף לשינויי ניסוח ועריכה</w:t>
      </w:r>
    </w:p>
    <w:sectPr w:rsidR="00BE4481" w:rsidRPr="00BE4481" w:rsidSect="007255D6">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0B4E3" w14:textId="77777777" w:rsidR="006F4174" w:rsidRDefault="006F4174" w:rsidP="009A2C43">
      <w:r>
        <w:separator/>
      </w:r>
    </w:p>
  </w:endnote>
  <w:endnote w:type="continuationSeparator" w:id="0">
    <w:p w14:paraId="76FBACA2" w14:textId="77777777" w:rsidR="006F4174" w:rsidRDefault="006F4174" w:rsidP="009A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8C3C" w14:textId="77777777" w:rsidR="007255D6" w:rsidRDefault="007255D6" w:rsidP="007255D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D6C624" w14:textId="77777777" w:rsidR="00B3768F" w:rsidRPr="007255D6" w:rsidRDefault="007255D6" w:rsidP="007255D6">
    <w:pPr>
      <w:pStyle w:val="a6"/>
      <w:pBdr>
        <w:top w:val="single" w:sz="4" w:space="1" w:color="auto"/>
        <w:between w:val="single" w:sz="4" w:space="0" w:color="auto"/>
      </w:pBdr>
      <w:spacing w:after="60"/>
      <w:jc w:val="center"/>
      <w:rPr>
        <w:rFonts w:ascii="FrankRuehl" w:hAnsi="FrankRuehl" w:cs="FrankRuehl"/>
        <w:color w:val="000000"/>
      </w:rPr>
    </w:pPr>
    <w:r w:rsidRPr="007255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419EC" w14:textId="77777777" w:rsidR="007255D6" w:rsidRDefault="007255D6" w:rsidP="007255D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7420">
      <w:rPr>
        <w:rFonts w:ascii="FrankRuehl" w:hAnsi="FrankRuehl" w:cs="FrankRuehl"/>
        <w:noProof/>
        <w:rtl/>
      </w:rPr>
      <w:t>1</w:t>
    </w:r>
    <w:r>
      <w:rPr>
        <w:rFonts w:ascii="FrankRuehl" w:hAnsi="FrankRuehl" w:cs="FrankRuehl"/>
        <w:rtl/>
      </w:rPr>
      <w:fldChar w:fldCharType="end"/>
    </w:r>
  </w:p>
  <w:p w14:paraId="73B357CF" w14:textId="77777777" w:rsidR="00B3768F" w:rsidRPr="007255D6" w:rsidRDefault="007255D6" w:rsidP="007255D6">
    <w:pPr>
      <w:pStyle w:val="a6"/>
      <w:pBdr>
        <w:top w:val="single" w:sz="4" w:space="1" w:color="auto"/>
        <w:between w:val="single" w:sz="4" w:space="0" w:color="auto"/>
      </w:pBdr>
      <w:spacing w:after="60"/>
      <w:jc w:val="center"/>
      <w:rPr>
        <w:rFonts w:ascii="FrankRuehl" w:hAnsi="FrankRuehl" w:cs="FrankRuehl"/>
        <w:color w:val="000000"/>
      </w:rPr>
    </w:pPr>
    <w:r w:rsidRPr="007255D6">
      <w:rPr>
        <w:rFonts w:ascii="FrankRuehl" w:hAnsi="FrankRuehl" w:cs="FrankRuehl"/>
        <w:color w:val="000000"/>
      </w:rPr>
      <w:pict w14:anchorId="1C6090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074F0" w14:textId="77777777" w:rsidR="006F4174" w:rsidRDefault="006F4174" w:rsidP="009A2C43">
      <w:r>
        <w:separator/>
      </w:r>
    </w:p>
  </w:footnote>
  <w:footnote w:type="continuationSeparator" w:id="0">
    <w:p w14:paraId="35CE8E59" w14:textId="77777777" w:rsidR="006F4174" w:rsidRDefault="006F4174" w:rsidP="009A2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7AAF6" w14:textId="77777777" w:rsidR="00BE4481" w:rsidRPr="007255D6" w:rsidRDefault="007255D6" w:rsidP="007255D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63073-07-22</w:t>
    </w:r>
    <w:r>
      <w:rPr>
        <w:rFonts w:ascii="David" w:hAnsi="David"/>
        <w:color w:val="000000"/>
        <w:sz w:val="22"/>
        <w:szCs w:val="22"/>
        <w:rtl/>
      </w:rPr>
      <w:tab/>
      <w:t xml:space="preserve"> מדינת ישראל נ' רוני ישראלי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AC448" w14:textId="77777777" w:rsidR="00BE4481" w:rsidRPr="007255D6" w:rsidRDefault="007255D6" w:rsidP="007255D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63073-07-22</w:t>
    </w:r>
    <w:r>
      <w:rPr>
        <w:rFonts w:ascii="David" w:hAnsi="David"/>
        <w:color w:val="000000"/>
        <w:sz w:val="22"/>
        <w:szCs w:val="22"/>
        <w:rtl/>
      </w:rPr>
      <w:tab/>
      <w:t xml:space="preserve"> מדינת ישראל נ' רוני ישראלי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19FC"/>
    <w:multiLevelType w:val="hybridMultilevel"/>
    <w:tmpl w:val="F8A431E4"/>
    <w:lvl w:ilvl="0" w:tplc="7C52B686">
      <w:start w:val="1"/>
      <w:numFmt w:val="decimal"/>
      <w:lvlText w:val="%1."/>
      <w:lvlJc w:val="left"/>
      <w:pPr>
        <w:ind w:left="720" w:hanging="360"/>
      </w:pPr>
      <w:rPr>
        <w:b w:val="0"/>
        <w:bCs w:val="0"/>
        <w:color w:val="auto"/>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3F1692"/>
    <w:multiLevelType w:val="hybridMultilevel"/>
    <w:tmpl w:val="11D0CC14"/>
    <w:lvl w:ilvl="0" w:tplc="4E58E96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5BFD4701"/>
    <w:multiLevelType w:val="hybridMultilevel"/>
    <w:tmpl w:val="45320168"/>
    <w:lvl w:ilvl="0" w:tplc="0D0E1998">
      <w:start w:val="1"/>
      <w:numFmt w:val="bullet"/>
      <w:lvlText w:val=""/>
      <w:lvlJc w:val="left"/>
      <w:pPr>
        <w:ind w:left="720" w:hanging="360"/>
      </w:pPr>
      <w:rPr>
        <w:rFonts w:ascii="Symbol" w:hAnsi="Symbol" w:hint="default"/>
      </w:rPr>
    </w:lvl>
    <w:lvl w:ilvl="1" w:tplc="63901912">
      <w:start w:val="1"/>
      <w:numFmt w:val="bullet"/>
      <w:lvlText w:val="o"/>
      <w:lvlJc w:val="left"/>
      <w:pPr>
        <w:ind w:left="1440" w:hanging="360"/>
      </w:pPr>
      <w:rPr>
        <w:rFonts w:ascii="Courier New" w:hAnsi="Courier New" w:cs="Times New Roman" w:hint="default"/>
      </w:rPr>
    </w:lvl>
    <w:lvl w:ilvl="2" w:tplc="4B8EFB68">
      <w:start w:val="1"/>
      <w:numFmt w:val="bullet"/>
      <w:lvlText w:val=""/>
      <w:lvlJc w:val="left"/>
      <w:pPr>
        <w:ind w:left="2160" w:hanging="360"/>
      </w:pPr>
      <w:rPr>
        <w:rFonts w:ascii="Wingdings" w:hAnsi="Wingdings" w:hint="default"/>
      </w:rPr>
    </w:lvl>
    <w:lvl w:ilvl="3" w:tplc="75ACC554">
      <w:start w:val="1"/>
      <w:numFmt w:val="bullet"/>
      <w:lvlText w:val=""/>
      <w:lvlJc w:val="left"/>
      <w:pPr>
        <w:ind w:left="2880" w:hanging="360"/>
      </w:pPr>
      <w:rPr>
        <w:rFonts w:ascii="Symbol" w:hAnsi="Symbol" w:hint="default"/>
      </w:rPr>
    </w:lvl>
    <w:lvl w:ilvl="4" w:tplc="ACB2ACEE">
      <w:start w:val="1"/>
      <w:numFmt w:val="bullet"/>
      <w:lvlText w:val="o"/>
      <w:lvlJc w:val="left"/>
      <w:pPr>
        <w:ind w:left="3600" w:hanging="360"/>
      </w:pPr>
      <w:rPr>
        <w:rFonts w:ascii="Courier New" w:hAnsi="Courier New" w:cs="Times New Roman" w:hint="default"/>
      </w:rPr>
    </w:lvl>
    <w:lvl w:ilvl="5" w:tplc="A5D0A97E">
      <w:start w:val="1"/>
      <w:numFmt w:val="bullet"/>
      <w:lvlText w:val=""/>
      <w:lvlJc w:val="left"/>
      <w:pPr>
        <w:ind w:left="4320" w:hanging="360"/>
      </w:pPr>
      <w:rPr>
        <w:rFonts w:ascii="Wingdings" w:hAnsi="Wingdings" w:hint="default"/>
      </w:rPr>
    </w:lvl>
    <w:lvl w:ilvl="6" w:tplc="D172AB76">
      <w:start w:val="1"/>
      <w:numFmt w:val="bullet"/>
      <w:lvlText w:val=""/>
      <w:lvlJc w:val="left"/>
      <w:pPr>
        <w:ind w:left="5040" w:hanging="360"/>
      </w:pPr>
      <w:rPr>
        <w:rFonts w:ascii="Symbol" w:hAnsi="Symbol" w:hint="default"/>
      </w:rPr>
    </w:lvl>
    <w:lvl w:ilvl="7" w:tplc="64129378">
      <w:start w:val="1"/>
      <w:numFmt w:val="bullet"/>
      <w:lvlText w:val="o"/>
      <w:lvlJc w:val="left"/>
      <w:pPr>
        <w:ind w:left="5760" w:hanging="360"/>
      </w:pPr>
      <w:rPr>
        <w:rFonts w:ascii="Courier New" w:hAnsi="Courier New" w:cs="Times New Roman" w:hint="default"/>
      </w:rPr>
    </w:lvl>
    <w:lvl w:ilvl="8" w:tplc="EA7C1E8A">
      <w:start w:val="1"/>
      <w:numFmt w:val="bullet"/>
      <w:lvlText w:val=""/>
      <w:lvlJc w:val="left"/>
      <w:pPr>
        <w:ind w:left="6480" w:hanging="360"/>
      </w:pPr>
      <w:rPr>
        <w:rFonts w:ascii="Wingdings" w:hAnsi="Wingdings" w:hint="default"/>
      </w:rPr>
    </w:lvl>
  </w:abstractNum>
  <w:abstractNum w:abstractNumId="3" w15:restartNumberingAfterBreak="0">
    <w:nsid w:val="72685967"/>
    <w:multiLevelType w:val="hybridMultilevel"/>
    <w:tmpl w:val="9C6EAD8E"/>
    <w:lvl w:ilvl="0" w:tplc="EF36B2FE">
      <w:start w:val="1"/>
      <w:numFmt w:val="hebrew1"/>
      <w:pStyle w:val="a"/>
      <w:lvlText w:val="%1."/>
      <w:lvlJc w:val="center"/>
      <w:pPr>
        <w:ind w:left="509" w:hanging="360"/>
      </w:pPr>
      <w:rPr>
        <w:b w:val="0"/>
        <w:bCs w:val="0"/>
      </w:rPr>
    </w:lvl>
    <w:lvl w:ilvl="1" w:tplc="4E604C6C">
      <w:start w:val="1"/>
      <w:numFmt w:val="lowerLetter"/>
      <w:lvlText w:val="%2."/>
      <w:lvlJc w:val="left"/>
      <w:pPr>
        <w:ind w:left="1229" w:hanging="360"/>
      </w:pPr>
    </w:lvl>
    <w:lvl w:ilvl="2" w:tplc="24705FF0">
      <w:start w:val="1"/>
      <w:numFmt w:val="lowerRoman"/>
      <w:lvlText w:val="%3."/>
      <w:lvlJc w:val="right"/>
      <w:pPr>
        <w:ind w:left="1949" w:hanging="180"/>
      </w:pPr>
    </w:lvl>
    <w:lvl w:ilvl="3" w:tplc="09E27C32">
      <w:start w:val="1"/>
      <w:numFmt w:val="decimal"/>
      <w:lvlText w:val="%4."/>
      <w:lvlJc w:val="left"/>
      <w:pPr>
        <w:ind w:left="2669" w:hanging="360"/>
      </w:pPr>
    </w:lvl>
    <w:lvl w:ilvl="4" w:tplc="EA5EADC6">
      <w:start w:val="1"/>
      <w:numFmt w:val="lowerLetter"/>
      <w:lvlText w:val="%5."/>
      <w:lvlJc w:val="left"/>
      <w:pPr>
        <w:ind w:left="3389" w:hanging="360"/>
      </w:pPr>
    </w:lvl>
    <w:lvl w:ilvl="5" w:tplc="F586CC7E">
      <w:start w:val="1"/>
      <w:numFmt w:val="lowerRoman"/>
      <w:lvlText w:val="%6."/>
      <w:lvlJc w:val="right"/>
      <w:pPr>
        <w:ind w:left="4109" w:hanging="180"/>
      </w:pPr>
    </w:lvl>
    <w:lvl w:ilvl="6" w:tplc="8F321388">
      <w:start w:val="1"/>
      <w:numFmt w:val="decimal"/>
      <w:lvlText w:val="%7."/>
      <w:lvlJc w:val="left"/>
      <w:pPr>
        <w:ind w:left="4829" w:hanging="360"/>
      </w:pPr>
    </w:lvl>
    <w:lvl w:ilvl="7" w:tplc="A640681E">
      <w:start w:val="1"/>
      <w:numFmt w:val="lowerLetter"/>
      <w:lvlText w:val="%8."/>
      <w:lvlJc w:val="left"/>
      <w:pPr>
        <w:ind w:left="5549" w:hanging="360"/>
      </w:pPr>
    </w:lvl>
    <w:lvl w:ilvl="8" w:tplc="C98A4062">
      <w:start w:val="1"/>
      <w:numFmt w:val="lowerRoman"/>
      <w:lvlText w:val="%9."/>
      <w:lvlJc w:val="right"/>
      <w:pPr>
        <w:ind w:left="6269" w:hanging="180"/>
      </w:pPr>
    </w:lvl>
  </w:abstractNum>
  <w:abstractNum w:abstractNumId="4" w15:restartNumberingAfterBreak="0">
    <w:nsid w:val="761840A3"/>
    <w:multiLevelType w:val="hybridMultilevel"/>
    <w:tmpl w:val="6F08EB98"/>
    <w:lvl w:ilvl="0" w:tplc="0409000B">
      <w:start w:val="1"/>
      <w:numFmt w:val="bullet"/>
      <w:lvlText w:val=""/>
      <w:lvlJc w:val="left"/>
      <w:pPr>
        <w:ind w:left="728" w:hanging="360"/>
      </w:pPr>
      <w:rPr>
        <w:rFonts w:ascii="Wingdings" w:hAnsi="Wingdings" w:hint="default"/>
      </w:rPr>
    </w:lvl>
    <w:lvl w:ilvl="1" w:tplc="04090003">
      <w:start w:val="1"/>
      <w:numFmt w:val="bullet"/>
      <w:lvlText w:val="o"/>
      <w:lvlJc w:val="left"/>
      <w:pPr>
        <w:ind w:left="1448" w:hanging="360"/>
      </w:pPr>
      <w:rPr>
        <w:rFonts w:ascii="Courier New" w:hAnsi="Courier New" w:cs="Courier New" w:hint="default"/>
      </w:rPr>
    </w:lvl>
    <w:lvl w:ilvl="2" w:tplc="04090005">
      <w:start w:val="1"/>
      <w:numFmt w:val="bullet"/>
      <w:lvlText w:val=""/>
      <w:lvlJc w:val="left"/>
      <w:pPr>
        <w:ind w:left="2168" w:hanging="360"/>
      </w:pPr>
      <w:rPr>
        <w:rFonts w:ascii="Wingdings" w:hAnsi="Wingdings" w:hint="default"/>
      </w:rPr>
    </w:lvl>
    <w:lvl w:ilvl="3" w:tplc="04090001">
      <w:start w:val="1"/>
      <w:numFmt w:val="bullet"/>
      <w:lvlText w:val=""/>
      <w:lvlJc w:val="left"/>
      <w:pPr>
        <w:ind w:left="2888" w:hanging="360"/>
      </w:pPr>
      <w:rPr>
        <w:rFonts w:ascii="Symbol" w:hAnsi="Symbol" w:hint="default"/>
      </w:rPr>
    </w:lvl>
    <w:lvl w:ilvl="4" w:tplc="04090003">
      <w:start w:val="1"/>
      <w:numFmt w:val="bullet"/>
      <w:lvlText w:val="o"/>
      <w:lvlJc w:val="left"/>
      <w:pPr>
        <w:ind w:left="3608" w:hanging="360"/>
      </w:pPr>
      <w:rPr>
        <w:rFonts w:ascii="Courier New" w:hAnsi="Courier New" w:cs="Courier New" w:hint="default"/>
      </w:rPr>
    </w:lvl>
    <w:lvl w:ilvl="5" w:tplc="04090005">
      <w:start w:val="1"/>
      <w:numFmt w:val="bullet"/>
      <w:lvlText w:val=""/>
      <w:lvlJc w:val="left"/>
      <w:pPr>
        <w:ind w:left="4328" w:hanging="360"/>
      </w:pPr>
      <w:rPr>
        <w:rFonts w:ascii="Wingdings" w:hAnsi="Wingdings" w:hint="default"/>
      </w:rPr>
    </w:lvl>
    <w:lvl w:ilvl="6" w:tplc="04090001">
      <w:start w:val="1"/>
      <w:numFmt w:val="bullet"/>
      <w:lvlText w:val=""/>
      <w:lvlJc w:val="left"/>
      <w:pPr>
        <w:ind w:left="5048" w:hanging="360"/>
      </w:pPr>
      <w:rPr>
        <w:rFonts w:ascii="Symbol" w:hAnsi="Symbol" w:hint="default"/>
      </w:rPr>
    </w:lvl>
    <w:lvl w:ilvl="7" w:tplc="04090003">
      <w:start w:val="1"/>
      <w:numFmt w:val="bullet"/>
      <w:lvlText w:val="o"/>
      <w:lvlJc w:val="left"/>
      <w:pPr>
        <w:ind w:left="5768" w:hanging="360"/>
      </w:pPr>
      <w:rPr>
        <w:rFonts w:ascii="Courier New" w:hAnsi="Courier New" w:cs="Courier New" w:hint="default"/>
      </w:rPr>
    </w:lvl>
    <w:lvl w:ilvl="8" w:tplc="04090005">
      <w:start w:val="1"/>
      <w:numFmt w:val="bullet"/>
      <w:lvlText w:val=""/>
      <w:lvlJc w:val="left"/>
      <w:pPr>
        <w:ind w:left="6488" w:hanging="360"/>
      </w:pPr>
      <w:rPr>
        <w:rFonts w:ascii="Wingdings" w:hAnsi="Wingdings" w:hint="default"/>
      </w:rPr>
    </w:lvl>
  </w:abstractNum>
  <w:num w:numId="1" w16cid:durableId="3655228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9766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1667948">
    <w:abstractNumId w:val="1"/>
  </w:num>
  <w:num w:numId="4" w16cid:durableId="1829319062">
    <w:abstractNumId w:val="4"/>
  </w:num>
  <w:num w:numId="5" w16cid:durableId="299072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343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7EDA"/>
    <w:rsid w:val="00327EDA"/>
    <w:rsid w:val="003D591D"/>
    <w:rsid w:val="004F09B0"/>
    <w:rsid w:val="004F1517"/>
    <w:rsid w:val="00555309"/>
    <w:rsid w:val="00661231"/>
    <w:rsid w:val="006F4174"/>
    <w:rsid w:val="007255D6"/>
    <w:rsid w:val="007B245C"/>
    <w:rsid w:val="0095667F"/>
    <w:rsid w:val="009A2C43"/>
    <w:rsid w:val="009A4E4C"/>
    <w:rsid w:val="00AE7420"/>
    <w:rsid w:val="00B3768F"/>
    <w:rsid w:val="00BE4481"/>
    <w:rsid w:val="00C44D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6B010F"/>
  <w15:chartTrackingRefBased/>
  <w15:docId w15:val="{6AB05284-EDCB-4D0C-A829-34BEC2FE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27ED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27EDA"/>
    <w:pPr>
      <w:tabs>
        <w:tab w:val="center" w:pos="4153"/>
        <w:tab w:val="right" w:pos="8306"/>
      </w:tabs>
    </w:pPr>
  </w:style>
  <w:style w:type="character" w:customStyle="1" w:styleId="a5">
    <w:name w:val="כותרת עליונה תו"/>
    <w:link w:val="a4"/>
    <w:rsid w:val="00327EDA"/>
    <w:rPr>
      <w:rFonts w:ascii="Times New Roman" w:eastAsia="Times New Roman" w:hAnsi="Times New Roman" w:cs="David"/>
      <w:sz w:val="24"/>
      <w:szCs w:val="24"/>
    </w:rPr>
  </w:style>
  <w:style w:type="paragraph" w:styleId="a6">
    <w:name w:val="footer"/>
    <w:basedOn w:val="a0"/>
    <w:link w:val="a7"/>
    <w:rsid w:val="00327EDA"/>
    <w:pPr>
      <w:tabs>
        <w:tab w:val="center" w:pos="4153"/>
        <w:tab w:val="right" w:pos="8306"/>
      </w:tabs>
    </w:pPr>
  </w:style>
  <w:style w:type="character" w:customStyle="1" w:styleId="a7">
    <w:name w:val="כותרת תחתונה תו"/>
    <w:link w:val="a6"/>
    <w:rsid w:val="00327EDA"/>
    <w:rPr>
      <w:rFonts w:ascii="Times New Roman" w:eastAsia="Times New Roman" w:hAnsi="Times New Roman" w:cs="David"/>
      <w:sz w:val="24"/>
      <w:szCs w:val="24"/>
    </w:rPr>
  </w:style>
  <w:style w:type="table" w:styleId="a8">
    <w:name w:val="Table Grid"/>
    <w:basedOn w:val="a2"/>
    <w:rsid w:val="00327E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27EDA"/>
  </w:style>
  <w:style w:type="character" w:customStyle="1" w:styleId="aa">
    <w:name w:val="פיסקת רשימה תו"/>
    <w:link w:val="ab"/>
    <w:locked/>
    <w:rsid w:val="00327EDA"/>
  </w:style>
  <w:style w:type="paragraph" w:styleId="ab">
    <w:name w:val="List Paragraph"/>
    <w:basedOn w:val="a0"/>
    <w:link w:val="aa"/>
    <w:qFormat/>
    <w:rsid w:val="00327EDA"/>
    <w:pPr>
      <w:spacing w:after="160" w:line="256" w:lineRule="auto"/>
      <w:ind w:left="720"/>
      <w:contextualSpacing/>
    </w:pPr>
    <w:rPr>
      <w:rFonts w:ascii="Calibri" w:eastAsia="Calibri" w:hAnsi="Calibri" w:cs="Arial"/>
      <w:sz w:val="22"/>
      <w:szCs w:val="22"/>
    </w:rPr>
  </w:style>
  <w:style w:type="paragraph" w:customStyle="1" w:styleId="a">
    <w:name w:val="מספור אות"/>
    <w:next w:val="a0"/>
    <w:rsid w:val="00327EDA"/>
    <w:pPr>
      <w:numPr>
        <w:numId w:val="1"/>
      </w:numPr>
      <w:bidi/>
      <w:spacing w:before="240" w:after="120" w:line="360" w:lineRule="auto"/>
    </w:pPr>
    <w:rPr>
      <w:rFonts w:ascii="David" w:hAnsi="David" w:cs="David"/>
      <w:sz w:val="24"/>
      <w:szCs w:val="24"/>
    </w:rPr>
  </w:style>
  <w:style w:type="character" w:styleId="Hyperlink">
    <w:name w:val="Hyperlink"/>
    <w:rsid w:val="00BE4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7997401" TargetMode="External"/><Relationship Id="rId47" Type="http://schemas.openxmlformats.org/officeDocument/2006/relationships/hyperlink" Target="http://www.nevo.co.il/case/25144914" TargetMode="External"/><Relationship Id="rId63" Type="http://schemas.openxmlformats.org/officeDocument/2006/relationships/hyperlink" Target="http://www.nevo.co.il/law/90721"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40d.a"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805976" TargetMode="External"/><Relationship Id="rId37" Type="http://schemas.openxmlformats.org/officeDocument/2006/relationships/hyperlink" Target="http://www.nevo.co.il/case/21946914" TargetMode="External"/><Relationship Id="rId40" Type="http://schemas.openxmlformats.org/officeDocument/2006/relationships/hyperlink" Target="http://www.nevo.co.il/case/26490648" TargetMode="External"/><Relationship Id="rId45" Type="http://schemas.openxmlformats.org/officeDocument/2006/relationships/hyperlink" Target="http://www.nevo.co.il/case/30151865" TargetMode="External"/><Relationship Id="rId53" Type="http://schemas.openxmlformats.org/officeDocument/2006/relationships/hyperlink" Target="http://www.nevo.co.il/case/18118326" TargetMode="External"/><Relationship Id="rId58" Type="http://schemas.openxmlformats.org/officeDocument/2006/relationships/hyperlink" Target="http://www.nevo.co.il/case/29346156" TargetMode="External"/><Relationship Id="rId66" Type="http://schemas.openxmlformats.org/officeDocument/2006/relationships/hyperlink" Target="http://www.nevo.co.il/law/90721"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40c.b" TargetMode="External"/><Relationship Id="rId19" Type="http://schemas.openxmlformats.org/officeDocument/2006/relationships/hyperlink" Target="http://www.nevo.co.il/law/90721"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908341" TargetMode="External"/><Relationship Id="rId43" Type="http://schemas.openxmlformats.org/officeDocument/2006/relationships/hyperlink" Target="http://www.nevo.co.il/case/28198487" TargetMode="External"/><Relationship Id="rId48" Type="http://schemas.openxmlformats.org/officeDocument/2006/relationships/hyperlink" Target="http://www.nevo.co.il/case/16901561" TargetMode="External"/><Relationship Id="rId56" Type="http://schemas.openxmlformats.org/officeDocument/2006/relationships/hyperlink" Target="http://www.nevo.co.il/case/26532707" TargetMode="External"/><Relationship Id="rId64" Type="http://schemas.openxmlformats.org/officeDocument/2006/relationships/hyperlink" Target="http://www.nevo.co.il/law/4216" TargetMode="External"/><Relationship Id="rId69" Type="http://schemas.openxmlformats.org/officeDocument/2006/relationships/hyperlink" Target="http://www.nevo.co.il/law/90721" TargetMode="External"/><Relationship Id="rId77" Type="http://schemas.openxmlformats.org/officeDocument/2006/relationships/theme" Target="theme/theme1.xml"/><Relationship Id="rId8" Type="http://schemas.openxmlformats.org/officeDocument/2006/relationships/hyperlink" Target="http://www.nevo.co.il/law/90721/12a.c.1" TargetMode="External"/><Relationship Id="rId51" Type="http://schemas.openxmlformats.org/officeDocument/2006/relationships/hyperlink" Target="http://www.nevo.co.il/case/19994719"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h" TargetMode="External"/><Relationship Id="rId25" Type="http://schemas.openxmlformats.org/officeDocument/2006/relationships/hyperlink" Target="http://www.nevo.co.il/law/70301/40c.b" TargetMode="External"/><Relationship Id="rId33" Type="http://schemas.openxmlformats.org/officeDocument/2006/relationships/hyperlink" Target="http://www.nevo.co.il/case/27313460" TargetMode="External"/><Relationship Id="rId38" Type="http://schemas.openxmlformats.org/officeDocument/2006/relationships/hyperlink" Target="http://www.nevo.co.il/case/11257701" TargetMode="External"/><Relationship Id="rId46" Type="http://schemas.openxmlformats.org/officeDocument/2006/relationships/hyperlink" Target="http://www.nevo.co.il/case/30527886" TargetMode="External"/><Relationship Id="rId59" Type="http://schemas.openxmlformats.org/officeDocument/2006/relationships/hyperlink" Target="http://www.nevo.co.il/law/90721" TargetMode="External"/><Relationship Id="rId67" Type="http://schemas.openxmlformats.org/officeDocument/2006/relationships/hyperlink" Target="http://www.nevo.co.il/law/70301/40h"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7601116" TargetMode="External"/><Relationship Id="rId54" Type="http://schemas.openxmlformats.org/officeDocument/2006/relationships/hyperlink" Target="http://www.nevo.co.il/case/26406170" TargetMode="External"/><Relationship Id="rId62" Type="http://schemas.openxmlformats.org/officeDocument/2006/relationships/hyperlink" Target="http://www.nevo.co.il/law/70301" TargetMode="External"/><Relationship Id="rId70" Type="http://schemas.openxmlformats.org/officeDocument/2006/relationships/hyperlink" Target="http://www.nevo.co.il/law/4216"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b"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1249500" TargetMode="External"/><Relationship Id="rId49" Type="http://schemas.openxmlformats.org/officeDocument/2006/relationships/hyperlink" Target="http://www.nevo.co.il/case/27855371" TargetMode="External"/><Relationship Id="rId57" Type="http://schemas.openxmlformats.org/officeDocument/2006/relationships/hyperlink" Target="http://www.nevo.co.il/case/29720675" TargetMode="External"/><Relationship Id="rId10" Type="http://schemas.openxmlformats.org/officeDocument/2006/relationships/hyperlink" Target="http://www.nevo.co.il/law/4216/7.a." TargetMode="External"/><Relationship Id="rId31" Type="http://schemas.openxmlformats.org/officeDocument/2006/relationships/hyperlink" Target="http://www.nevo.co.il/law/4216" TargetMode="External"/><Relationship Id="rId44" Type="http://schemas.openxmlformats.org/officeDocument/2006/relationships/hyperlink" Target="http://www.nevo.co.il/case/30507006" TargetMode="External"/><Relationship Id="rId52" Type="http://schemas.openxmlformats.org/officeDocument/2006/relationships/hyperlink" Target="http://www.nevo.co.il/case/28710074" TargetMode="External"/><Relationship Id="rId60" Type="http://schemas.openxmlformats.org/officeDocument/2006/relationships/hyperlink" Target="http://www.nevo.co.il/law/70301/40d.a" TargetMode="External"/><Relationship Id="rId65" Type="http://schemas.openxmlformats.org/officeDocument/2006/relationships/hyperlink" Target="http://www.nevo.co.il/law/4216"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90721/12a.c.1" TargetMode="External"/><Relationship Id="rId39" Type="http://schemas.openxmlformats.org/officeDocument/2006/relationships/hyperlink" Target="http://www.nevo.co.il/case/20186426" TargetMode="External"/><Relationship Id="rId34" Type="http://schemas.openxmlformats.org/officeDocument/2006/relationships/hyperlink" Target="http://www.nevo.co.il/case/27517511" TargetMode="External"/><Relationship Id="rId50" Type="http://schemas.openxmlformats.org/officeDocument/2006/relationships/hyperlink" Target="http://www.nevo.co.il/case/30359710" TargetMode="External"/><Relationship Id="rId55" Type="http://schemas.openxmlformats.org/officeDocument/2006/relationships/hyperlink" Target="http://www.nevo.co.il/case/21924102" TargetMode="External"/><Relationship Id="rId76" Type="http://schemas.openxmlformats.org/officeDocument/2006/relationships/fontTable" Target="fontTable.xml"/><Relationship Id="rId7" Type="http://schemas.openxmlformats.org/officeDocument/2006/relationships/hyperlink" Target="http://www.nevo.co.il/law/9072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4802</Words>
  <Characters>24010</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28755</CharactersWithSpaces>
  <SharedDoc>false</SharedDoc>
  <HLinks>
    <vt:vector size="390" baseType="variant">
      <vt:variant>
        <vt:i4>393283</vt:i4>
      </vt:variant>
      <vt:variant>
        <vt:i4>195</vt:i4>
      </vt:variant>
      <vt:variant>
        <vt:i4>0</vt:i4>
      </vt:variant>
      <vt:variant>
        <vt:i4>5</vt:i4>
      </vt:variant>
      <vt:variant>
        <vt:lpwstr>http://www.nevo.co.il/advertisements/nevo-100.doc</vt:lpwstr>
      </vt:variant>
      <vt:variant>
        <vt:lpwstr/>
      </vt:variant>
      <vt:variant>
        <vt:i4>8257637</vt:i4>
      </vt:variant>
      <vt:variant>
        <vt:i4>192</vt:i4>
      </vt:variant>
      <vt:variant>
        <vt:i4>0</vt:i4>
      </vt:variant>
      <vt:variant>
        <vt:i4>5</vt:i4>
      </vt:variant>
      <vt:variant>
        <vt:lpwstr>http://www.nevo.co.il/law/4216</vt:lpwstr>
      </vt:variant>
      <vt:variant>
        <vt:lpwstr/>
      </vt:variant>
      <vt:variant>
        <vt:i4>7864430</vt:i4>
      </vt:variant>
      <vt:variant>
        <vt:i4>189</vt:i4>
      </vt:variant>
      <vt:variant>
        <vt:i4>0</vt:i4>
      </vt:variant>
      <vt:variant>
        <vt:i4>5</vt:i4>
      </vt:variant>
      <vt:variant>
        <vt:lpwstr>http://www.nevo.co.il/law/90721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6619233</vt:i4>
      </vt:variant>
      <vt:variant>
        <vt:i4>180</vt:i4>
      </vt:variant>
      <vt:variant>
        <vt:i4>0</vt:i4>
      </vt:variant>
      <vt:variant>
        <vt:i4>5</vt:i4>
      </vt:variant>
      <vt:variant>
        <vt:lpwstr>http://www.nevo.co.il/law/70301/40h</vt:lpwstr>
      </vt:variant>
      <vt:variant>
        <vt:lpwstr/>
      </vt:variant>
      <vt:variant>
        <vt:i4>7864430</vt:i4>
      </vt:variant>
      <vt:variant>
        <vt:i4>177</vt:i4>
      </vt:variant>
      <vt:variant>
        <vt:i4>0</vt:i4>
      </vt:variant>
      <vt:variant>
        <vt:i4>5</vt:i4>
      </vt:variant>
      <vt:variant>
        <vt:lpwstr>http://www.nevo.co.il/law/90721</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7864430</vt:i4>
      </vt:variant>
      <vt:variant>
        <vt:i4>168</vt:i4>
      </vt:variant>
      <vt:variant>
        <vt:i4>0</vt:i4>
      </vt:variant>
      <vt:variant>
        <vt:i4>5</vt:i4>
      </vt:variant>
      <vt:variant>
        <vt:lpwstr>http://www.nevo.co.il/law/90721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4915202</vt:i4>
      </vt:variant>
      <vt:variant>
        <vt:i4>162</vt:i4>
      </vt:variant>
      <vt:variant>
        <vt:i4>0</vt:i4>
      </vt:variant>
      <vt:variant>
        <vt:i4>5</vt:i4>
      </vt:variant>
      <vt:variant>
        <vt:lpwstr>http://www.nevo.co.il/law/70301/40c.b</vt:lpwstr>
      </vt:variant>
      <vt:variant>
        <vt:lpwstr/>
      </vt:variant>
      <vt:variant>
        <vt:i4>4915205</vt:i4>
      </vt:variant>
      <vt:variant>
        <vt:i4>159</vt:i4>
      </vt:variant>
      <vt:variant>
        <vt:i4>0</vt:i4>
      </vt:variant>
      <vt:variant>
        <vt:i4>5</vt:i4>
      </vt:variant>
      <vt:variant>
        <vt:lpwstr>http://www.nevo.co.il/law/70301/40d.a</vt:lpwstr>
      </vt:variant>
      <vt:variant>
        <vt:lpwstr/>
      </vt:variant>
      <vt:variant>
        <vt:i4>7864430</vt:i4>
      </vt:variant>
      <vt:variant>
        <vt:i4>156</vt:i4>
      </vt:variant>
      <vt:variant>
        <vt:i4>0</vt:i4>
      </vt:variant>
      <vt:variant>
        <vt:i4>5</vt:i4>
      </vt:variant>
      <vt:variant>
        <vt:lpwstr>http://www.nevo.co.il/law/90721</vt:lpwstr>
      </vt:variant>
      <vt:variant>
        <vt:lpwstr/>
      </vt:variant>
      <vt:variant>
        <vt:i4>3276920</vt:i4>
      </vt:variant>
      <vt:variant>
        <vt:i4>153</vt:i4>
      </vt:variant>
      <vt:variant>
        <vt:i4>0</vt:i4>
      </vt:variant>
      <vt:variant>
        <vt:i4>5</vt:i4>
      </vt:variant>
      <vt:variant>
        <vt:lpwstr>http://www.nevo.co.il/case/29346156</vt:lpwstr>
      </vt:variant>
      <vt:variant>
        <vt:lpwstr/>
      </vt:variant>
      <vt:variant>
        <vt:i4>3276921</vt:i4>
      </vt:variant>
      <vt:variant>
        <vt:i4>150</vt:i4>
      </vt:variant>
      <vt:variant>
        <vt:i4>0</vt:i4>
      </vt:variant>
      <vt:variant>
        <vt:i4>5</vt:i4>
      </vt:variant>
      <vt:variant>
        <vt:lpwstr>http://www.nevo.co.il/case/29720675</vt:lpwstr>
      </vt:variant>
      <vt:variant>
        <vt:lpwstr/>
      </vt:variant>
      <vt:variant>
        <vt:i4>3473526</vt:i4>
      </vt:variant>
      <vt:variant>
        <vt:i4>147</vt:i4>
      </vt:variant>
      <vt:variant>
        <vt:i4>0</vt:i4>
      </vt:variant>
      <vt:variant>
        <vt:i4>5</vt:i4>
      </vt:variant>
      <vt:variant>
        <vt:lpwstr>http://www.nevo.co.il/case/26532707</vt:lpwstr>
      </vt:variant>
      <vt:variant>
        <vt:lpwstr/>
      </vt:variant>
      <vt:variant>
        <vt:i4>4128886</vt:i4>
      </vt:variant>
      <vt:variant>
        <vt:i4>144</vt:i4>
      </vt:variant>
      <vt:variant>
        <vt:i4>0</vt:i4>
      </vt:variant>
      <vt:variant>
        <vt:i4>5</vt:i4>
      </vt:variant>
      <vt:variant>
        <vt:lpwstr>http://www.nevo.co.il/case/21924102</vt:lpwstr>
      </vt:variant>
      <vt:variant>
        <vt:lpwstr/>
      </vt:variant>
      <vt:variant>
        <vt:i4>3604595</vt:i4>
      </vt:variant>
      <vt:variant>
        <vt:i4>141</vt:i4>
      </vt:variant>
      <vt:variant>
        <vt:i4>0</vt:i4>
      </vt:variant>
      <vt:variant>
        <vt:i4>5</vt:i4>
      </vt:variant>
      <vt:variant>
        <vt:lpwstr>http://www.nevo.co.il/case/26406170</vt:lpwstr>
      </vt:variant>
      <vt:variant>
        <vt:lpwstr/>
      </vt:variant>
      <vt:variant>
        <vt:i4>3801214</vt:i4>
      </vt:variant>
      <vt:variant>
        <vt:i4>138</vt:i4>
      </vt:variant>
      <vt:variant>
        <vt:i4>0</vt:i4>
      </vt:variant>
      <vt:variant>
        <vt:i4>5</vt:i4>
      </vt:variant>
      <vt:variant>
        <vt:lpwstr>http://www.nevo.co.il/case/18118326</vt:lpwstr>
      </vt:variant>
      <vt:variant>
        <vt:lpwstr/>
      </vt:variant>
      <vt:variant>
        <vt:i4>3276925</vt:i4>
      </vt:variant>
      <vt:variant>
        <vt:i4>135</vt:i4>
      </vt:variant>
      <vt:variant>
        <vt:i4>0</vt:i4>
      </vt:variant>
      <vt:variant>
        <vt:i4>5</vt:i4>
      </vt:variant>
      <vt:variant>
        <vt:lpwstr>http://www.nevo.co.il/case/28710074</vt:lpwstr>
      </vt:variant>
      <vt:variant>
        <vt:lpwstr/>
      </vt:variant>
      <vt:variant>
        <vt:i4>3997811</vt:i4>
      </vt:variant>
      <vt:variant>
        <vt:i4>132</vt:i4>
      </vt:variant>
      <vt:variant>
        <vt:i4>0</vt:i4>
      </vt:variant>
      <vt:variant>
        <vt:i4>5</vt:i4>
      </vt:variant>
      <vt:variant>
        <vt:lpwstr>http://www.nevo.co.il/case/19994719</vt:lpwstr>
      </vt:variant>
      <vt:variant>
        <vt:lpwstr/>
      </vt:variant>
      <vt:variant>
        <vt:i4>3670134</vt:i4>
      </vt:variant>
      <vt:variant>
        <vt:i4>129</vt:i4>
      </vt:variant>
      <vt:variant>
        <vt:i4>0</vt:i4>
      </vt:variant>
      <vt:variant>
        <vt:i4>5</vt:i4>
      </vt:variant>
      <vt:variant>
        <vt:lpwstr>http://www.nevo.co.il/case/30359710</vt:lpwstr>
      </vt:variant>
      <vt:variant>
        <vt:lpwstr/>
      </vt:variant>
      <vt:variant>
        <vt:i4>3670133</vt:i4>
      </vt:variant>
      <vt:variant>
        <vt:i4>126</vt:i4>
      </vt:variant>
      <vt:variant>
        <vt:i4>0</vt:i4>
      </vt:variant>
      <vt:variant>
        <vt:i4>5</vt:i4>
      </vt:variant>
      <vt:variant>
        <vt:lpwstr>http://www.nevo.co.il/case/27855371</vt:lpwstr>
      </vt:variant>
      <vt:variant>
        <vt:lpwstr/>
      </vt:variant>
      <vt:variant>
        <vt:i4>4128887</vt:i4>
      </vt:variant>
      <vt:variant>
        <vt:i4>123</vt:i4>
      </vt:variant>
      <vt:variant>
        <vt:i4>0</vt:i4>
      </vt:variant>
      <vt:variant>
        <vt:i4>5</vt:i4>
      </vt:variant>
      <vt:variant>
        <vt:lpwstr>http://www.nevo.co.il/case/16901561</vt:lpwstr>
      </vt:variant>
      <vt:variant>
        <vt:lpwstr/>
      </vt:variant>
      <vt:variant>
        <vt:i4>3539068</vt:i4>
      </vt:variant>
      <vt:variant>
        <vt:i4>120</vt:i4>
      </vt:variant>
      <vt:variant>
        <vt:i4>0</vt:i4>
      </vt:variant>
      <vt:variant>
        <vt:i4>5</vt:i4>
      </vt:variant>
      <vt:variant>
        <vt:lpwstr>http://www.nevo.co.il/case/25144914</vt:lpwstr>
      </vt:variant>
      <vt:variant>
        <vt:lpwstr/>
      </vt:variant>
      <vt:variant>
        <vt:i4>3735678</vt:i4>
      </vt:variant>
      <vt:variant>
        <vt:i4>117</vt:i4>
      </vt:variant>
      <vt:variant>
        <vt:i4>0</vt:i4>
      </vt:variant>
      <vt:variant>
        <vt:i4>5</vt:i4>
      </vt:variant>
      <vt:variant>
        <vt:lpwstr>http://www.nevo.co.il/case/30527886</vt:lpwstr>
      </vt:variant>
      <vt:variant>
        <vt:lpwstr/>
      </vt:variant>
      <vt:variant>
        <vt:i4>3473529</vt:i4>
      </vt:variant>
      <vt:variant>
        <vt:i4>114</vt:i4>
      </vt:variant>
      <vt:variant>
        <vt:i4>0</vt:i4>
      </vt:variant>
      <vt:variant>
        <vt:i4>5</vt:i4>
      </vt:variant>
      <vt:variant>
        <vt:lpwstr>http://www.nevo.co.il/case/30151865</vt:lpwstr>
      </vt:variant>
      <vt:variant>
        <vt:lpwstr/>
      </vt:variant>
      <vt:variant>
        <vt:i4>3211380</vt:i4>
      </vt:variant>
      <vt:variant>
        <vt:i4>111</vt:i4>
      </vt:variant>
      <vt:variant>
        <vt:i4>0</vt:i4>
      </vt:variant>
      <vt:variant>
        <vt:i4>5</vt:i4>
      </vt:variant>
      <vt:variant>
        <vt:lpwstr>http://www.nevo.co.il/case/30507006</vt:lpwstr>
      </vt:variant>
      <vt:variant>
        <vt:lpwstr/>
      </vt:variant>
      <vt:variant>
        <vt:i4>3342449</vt:i4>
      </vt:variant>
      <vt:variant>
        <vt:i4>108</vt:i4>
      </vt:variant>
      <vt:variant>
        <vt:i4>0</vt:i4>
      </vt:variant>
      <vt:variant>
        <vt:i4>5</vt:i4>
      </vt:variant>
      <vt:variant>
        <vt:lpwstr>http://www.nevo.co.il/case/28198487</vt:lpwstr>
      </vt:variant>
      <vt:variant>
        <vt:lpwstr/>
      </vt:variant>
      <vt:variant>
        <vt:i4>3932286</vt:i4>
      </vt:variant>
      <vt:variant>
        <vt:i4>105</vt:i4>
      </vt:variant>
      <vt:variant>
        <vt:i4>0</vt:i4>
      </vt:variant>
      <vt:variant>
        <vt:i4>5</vt:i4>
      </vt:variant>
      <vt:variant>
        <vt:lpwstr>http://www.nevo.co.il/case/27997401</vt:lpwstr>
      </vt:variant>
      <vt:variant>
        <vt:lpwstr/>
      </vt:variant>
      <vt:variant>
        <vt:i4>3407986</vt:i4>
      </vt:variant>
      <vt:variant>
        <vt:i4>102</vt:i4>
      </vt:variant>
      <vt:variant>
        <vt:i4>0</vt:i4>
      </vt:variant>
      <vt:variant>
        <vt:i4>5</vt:i4>
      </vt:variant>
      <vt:variant>
        <vt:lpwstr>http://www.nevo.co.il/case/27601116</vt:lpwstr>
      </vt:variant>
      <vt:variant>
        <vt:lpwstr/>
      </vt:variant>
      <vt:variant>
        <vt:i4>3276925</vt:i4>
      </vt:variant>
      <vt:variant>
        <vt:i4>99</vt:i4>
      </vt:variant>
      <vt:variant>
        <vt:i4>0</vt:i4>
      </vt:variant>
      <vt:variant>
        <vt:i4>5</vt:i4>
      </vt:variant>
      <vt:variant>
        <vt:lpwstr>http://www.nevo.co.il/case/26490648</vt:lpwstr>
      </vt:variant>
      <vt:variant>
        <vt:lpwstr/>
      </vt:variant>
      <vt:variant>
        <vt:i4>3604600</vt:i4>
      </vt:variant>
      <vt:variant>
        <vt:i4>96</vt:i4>
      </vt:variant>
      <vt:variant>
        <vt:i4>0</vt:i4>
      </vt:variant>
      <vt:variant>
        <vt:i4>5</vt:i4>
      </vt:variant>
      <vt:variant>
        <vt:lpwstr>http://www.nevo.co.il/case/20186426</vt:lpwstr>
      </vt:variant>
      <vt:variant>
        <vt:lpwstr/>
      </vt:variant>
      <vt:variant>
        <vt:i4>3407991</vt:i4>
      </vt:variant>
      <vt:variant>
        <vt:i4>93</vt:i4>
      </vt:variant>
      <vt:variant>
        <vt:i4>0</vt:i4>
      </vt:variant>
      <vt:variant>
        <vt:i4>5</vt:i4>
      </vt:variant>
      <vt:variant>
        <vt:lpwstr>http://www.nevo.co.il/case/11257701</vt:lpwstr>
      </vt:variant>
      <vt:variant>
        <vt:lpwstr/>
      </vt:variant>
      <vt:variant>
        <vt:i4>3932280</vt:i4>
      </vt:variant>
      <vt:variant>
        <vt:i4>90</vt:i4>
      </vt:variant>
      <vt:variant>
        <vt:i4>0</vt:i4>
      </vt:variant>
      <vt:variant>
        <vt:i4>5</vt:i4>
      </vt:variant>
      <vt:variant>
        <vt:lpwstr>http://www.nevo.co.il/case/21946914</vt:lpwstr>
      </vt:variant>
      <vt:variant>
        <vt:lpwstr/>
      </vt:variant>
      <vt:variant>
        <vt:i4>3801204</vt:i4>
      </vt:variant>
      <vt:variant>
        <vt:i4>87</vt:i4>
      </vt:variant>
      <vt:variant>
        <vt:i4>0</vt:i4>
      </vt:variant>
      <vt:variant>
        <vt:i4>5</vt:i4>
      </vt:variant>
      <vt:variant>
        <vt:lpwstr>http://www.nevo.co.il/case/11249500</vt:lpwstr>
      </vt:variant>
      <vt:variant>
        <vt:lpwstr/>
      </vt:variant>
      <vt:variant>
        <vt:i4>3604593</vt:i4>
      </vt:variant>
      <vt:variant>
        <vt:i4>84</vt:i4>
      </vt:variant>
      <vt:variant>
        <vt:i4>0</vt:i4>
      </vt:variant>
      <vt:variant>
        <vt:i4>5</vt:i4>
      </vt:variant>
      <vt:variant>
        <vt:lpwstr>http://www.nevo.co.il/case/5908341</vt:lpwstr>
      </vt:variant>
      <vt:variant>
        <vt:lpwstr/>
      </vt:variant>
      <vt:variant>
        <vt:i4>3211383</vt:i4>
      </vt:variant>
      <vt:variant>
        <vt:i4>81</vt:i4>
      </vt:variant>
      <vt:variant>
        <vt:i4>0</vt:i4>
      </vt:variant>
      <vt:variant>
        <vt:i4>5</vt:i4>
      </vt:variant>
      <vt:variant>
        <vt:lpwstr>http://www.nevo.co.il/case/27517511</vt:lpwstr>
      </vt:variant>
      <vt:variant>
        <vt:lpwstr/>
      </vt:variant>
      <vt:variant>
        <vt:i4>3407990</vt:i4>
      </vt:variant>
      <vt:variant>
        <vt:i4>78</vt:i4>
      </vt:variant>
      <vt:variant>
        <vt:i4>0</vt:i4>
      </vt:variant>
      <vt:variant>
        <vt:i4>5</vt:i4>
      </vt:variant>
      <vt:variant>
        <vt:lpwstr>http://www.nevo.co.il/case/27313460</vt:lpwstr>
      </vt:variant>
      <vt:variant>
        <vt:lpwstr/>
      </vt:variant>
      <vt:variant>
        <vt:i4>3801214</vt:i4>
      </vt:variant>
      <vt:variant>
        <vt:i4>75</vt:i4>
      </vt:variant>
      <vt:variant>
        <vt:i4>0</vt:i4>
      </vt:variant>
      <vt:variant>
        <vt:i4>5</vt:i4>
      </vt:variant>
      <vt:variant>
        <vt:lpwstr>http://www.nevo.co.il/case/5805976</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7864430</vt:i4>
      </vt:variant>
      <vt:variant>
        <vt:i4>36</vt:i4>
      </vt:variant>
      <vt:variant>
        <vt:i4>0</vt:i4>
      </vt:variant>
      <vt:variant>
        <vt:i4>5</vt:i4>
      </vt:variant>
      <vt:variant>
        <vt:lpwstr>http://www.nevo.co.il/law/90721</vt:lpwstr>
      </vt:variant>
      <vt:variant>
        <vt:lpwstr/>
      </vt:variant>
      <vt:variant>
        <vt:i4>6619244</vt:i4>
      </vt:variant>
      <vt:variant>
        <vt:i4>33</vt:i4>
      </vt:variant>
      <vt:variant>
        <vt:i4>0</vt:i4>
      </vt:variant>
      <vt:variant>
        <vt:i4>5</vt:i4>
      </vt:variant>
      <vt:variant>
        <vt:lpwstr>http://www.nevo.co.il/law/90721/12a.c.1</vt:lpwstr>
      </vt:variant>
      <vt:variant>
        <vt:lpwstr/>
      </vt:variant>
      <vt:variant>
        <vt:i4>6619233</vt:i4>
      </vt:variant>
      <vt:variant>
        <vt:i4>30</vt:i4>
      </vt:variant>
      <vt:variant>
        <vt:i4>0</vt:i4>
      </vt:variant>
      <vt:variant>
        <vt:i4>5</vt:i4>
      </vt:variant>
      <vt:variant>
        <vt:lpwstr>http://www.nevo.co.il/law/70301/40h</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6619244</vt:i4>
      </vt:variant>
      <vt:variant>
        <vt:i4>3</vt:i4>
      </vt:variant>
      <vt:variant>
        <vt:i4>0</vt:i4>
      </vt:variant>
      <vt:variant>
        <vt:i4>5</vt:i4>
      </vt:variant>
      <vt:variant>
        <vt:lpwstr>http://www.nevo.co.il/law/90721/12a.c.1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63073</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רוני ישראלי</vt:lpwstr>
  </property>
  <property fmtid="{D5CDD505-2E9C-101B-9397-08002B2CF9AE}" pid="10" name="LAWYER">
    <vt:lpwstr>רעות אביטל</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20240715</vt:lpwstr>
  </property>
  <property fmtid="{D5CDD505-2E9C-101B-9397-08002B2CF9AE}" pid="14" name="TYPE_N_DATE">
    <vt:lpwstr>38020240715</vt:lpwstr>
  </property>
  <property fmtid="{D5CDD505-2E9C-101B-9397-08002B2CF9AE}" pid="15" name="WORDNUMPAGES">
    <vt:lpwstr>13</vt:lpwstr>
  </property>
  <property fmtid="{D5CDD505-2E9C-101B-9397-08002B2CF9AE}" pid="16" name="TYPE_ABS_DATE">
    <vt:lpwstr>380020240715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5805976;27313460;27517511;5908341;11249500;21946914;11257701;20186426;26490648;27601116;27997401;28198487;30507006;30151865;30527886;25144914;16901561;27855371;30359710;19994719;28710074;18118326;26406170;21924102;26532707;29720675;29346156</vt:lpwstr>
  </property>
  <property fmtid="{D5CDD505-2E9C-101B-9397-08002B2CF9AE}" pid="36" name="LAWLISTTMP1">
    <vt:lpwstr>90721/012a.c.1</vt:lpwstr>
  </property>
  <property fmtid="{D5CDD505-2E9C-101B-9397-08002B2CF9AE}" pid="37" name="LAWLISTTMP2">
    <vt:lpwstr>4216/007.a;007.c</vt:lpwstr>
  </property>
  <property fmtid="{D5CDD505-2E9C-101B-9397-08002B2CF9AE}" pid="38" name="LAWLISTTMP3">
    <vt:lpwstr>70301/040c;040c.b:3;040b;040d.a;040h</vt:lpwstr>
  </property>
</Properties>
</file>