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794"/>
        <w:gridCol w:w="1341"/>
        <w:gridCol w:w="3663"/>
        <w:gridCol w:w="99"/>
      </w:tblGrid>
      <w:tr w:rsidR="00482613" w:rsidRPr="000468AF" w14:paraId="166758DA" w14:textId="77777777" w:rsidTr="001659FD">
        <w:trPr>
          <w:gridAfter w:val="1"/>
          <w:wAfter w:w="99" w:type="dxa"/>
          <w:trHeight w:hRule="exact" w:val="418"/>
          <w:jc w:val="center"/>
        </w:trPr>
        <w:tc>
          <w:tcPr>
            <w:tcW w:w="8721" w:type="dxa"/>
            <w:gridSpan w:val="4"/>
          </w:tcPr>
          <w:p w14:paraId="0BC818AD" w14:textId="77777777" w:rsidR="00482613" w:rsidRPr="000468AF" w:rsidRDefault="00482613" w:rsidP="005328D1">
            <w:pPr>
              <w:pStyle w:val="a3"/>
              <w:jc w:val="center"/>
              <w:rPr>
                <w:rFonts w:ascii="Tahoma" w:hAnsi="Tahoma" w:cs="Tahoma"/>
                <w:color w:val="000080"/>
                <w:rtl/>
              </w:rPr>
            </w:pPr>
            <w:bookmarkStart w:id="0" w:name="LastJudge"/>
            <w:r w:rsidRPr="000468AF">
              <w:rPr>
                <w:rFonts w:ascii="Tahoma" w:hAnsi="Tahoma" w:cs="Tahoma"/>
                <w:b/>
                <w:bCs/>
                <w:color w:val="000080"/>
                <w:rtl/>
              </w:rPr>
              <w:t>בית משפט השלום בחדרה</w:t>
            </w:r>
          </w:p>
        </w:tc>
      </w:tr>
      <w:tr w:rsidR="00482613" w:rsidRPr="000468AF" w14:paraId="2982B30B" w14:textId="77777777" w:rsidTr="001659FD">
        <w:trPr>
          <w:gridAfter w:val="1"/>
          <w:wAfter w:w="99" w:type="dxa"/>
          <w:trHeight w:val="337"/>
          <w:jc w:val="center"/>
        </w:trPr>
        <w:tc>
          <w:tcPr>
            <w:tcW w:w="5058" w:type="dxa"/>
            <w:gridSpan w:val="3"/>
          </w:tcPr>
          <w:p w14:paraId="15C858EC" w14:textId="77777777" w:rsidR="00482613" w:rsidRPr="000468AF" w:rsidRDefault="00482613" w:rsidP="005328D1">
            <w:pPr>
              <w:rPr>
                <w:rFonts w:cs="FrankRuehl"/>
                <w:sz w:val="28"/>
                <w:szCs w:val="28"/>
                <w:rtl/>
              </w:rPr>
            </w:pPr>
            <w:r w:rsidRPr="000468AF">
              <w:rPr>
                <w:rFonts w:cs="FrankRuehl"/>
                <w:sz w:val="28"/>
                <w:szCs w:val="28"/>
                <w:rtl/>
              </w:rPr>
              <w:t>ת"פ</w:t>
            </w:r>
            <w:r w:rsidRPr="000468AF">
              <w:rPr>
                <w:rFonts w:cs="FrankRuehl" w:hint="cs"/>
                <w:sz w:val="28"/>
                <w:szCs w:val="28"/>
                <w:rtl/>
              </w:rPr>
              <w:t xml:space="preserve"> </w:t>
            </w:r>
            <w:r w:rsidRPr="000468AF">
              <w:rPr>
                <w:rFonts w:cs="FrankRuehl"/>
                <w:sz w:val="28"/>
                <w:szCs w:val="28"/>
                <w:rtl/>
              </w:rPr>
              <w:t>9296-07-22</w:t>
            </w:r>
            <w:r w:rsidRPr="000468AF">
              <w:rPr>
                <w:rFonts w:cs="FrankRuehl" w:hint="cs"/>
                <w:sz w:val="28"/>
                <w:szCs w:val="28"/>
                <w:rtl/>
              </w:rPr>
              <w:t xml:space="preserve"> </w:t>
            </w:r>
            <w:r w:rsidRPr="000468AF">
              <w:rPr>
                <w:rFonts w:cs="FrankRuehl"/>
                <w:sz w:val="28"/>
                <w:szCs w:val="28"/>
                <w:rtl/>
              </w:rPr>
              <w:t>מדינת ישראל נ' גרבאן(עציר)</w:t>
            </w:r>
          </w:p>
          <w:p w14:paraId="42081247" w14:textId="77777777" w:rsidR="00482613" w:rsidRPr="000468AF" w:rsidRDefault="00482613" w:rsidP="005328D1">
            <w:pPr>
              <w:pStyle w:val="a3"/>
              <w:rPr>
                <w:rFonts w:cs="FrankRuehl"/>
                <w:sz w:val="28"/>
                <w:szCs w:val="28"/>
                <w:rtl/>
              </w:rPr>
            </w:pPr>
          </w:p>
        </w:tc>
        <w:tc>
          <w:tcPr>
            <w:tcW w:w="3663" w:type="dxa"/>
          </w:tcPr>
          <w:p w14:paraId="4AB1FEA4" w14:textId="77777777" w:rsidR="00482613" w:rsidRPr="000468AF" w:rsidRDefault="00482613" w:rsidP="005328D1">
            <w:pPr>
              <w:pStyle w:val="a3"/>
              <w:jc w:val="right"/>
              <w:rPr>
                <w:rFonts w:cs="FrankRuehl"/>
                <w:sz w:val="28"/>
                <w:szCs w:val="28"/>
                <w:rtl/>
              </w:rPr>
            </w:pPr>
          </w:p>
        </w:tc>
      </w:tr>
      <w:tr w:rsidR="00482613" w:rsidRPr="000468AF" w14:paraId="7AD95487" w14:textId="77777777" w:rsidTr="00165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1B8231" w14:textId="77777777" w:rsidR="00482613" w:rsidRPr="000468AF" w:rsidRDefault="00482613" w:rsidP="00482613">
            <w:pPr>
              <w:jc w:val="both"/>
              <w:rPr>
                <w:rFonts w:ascii="David" w:hAnsi="David"/>
                <w:sz w:val="26"/>
                <w:szCs w:val="26"/>
              </w:rPr>
            </w:pPr>
            <w:r w:rsidRPr="000468AF">
              <w:rPr>
                <w:rFonts w:hint="cs"/>
                <w:rtl/>
              </w:rPr>
              <w:t xml:space="preserve"> </w:t>
            </w:r>
            <w:r w:rsidRPr="000468A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85E596F" w14:textId="77777777" w:rsidR="00482613" w:rsidRPr="000468AF" w:rsidRDefault="00482613" w:rsidP="005328D1">
            <w:pPr>
              <w:rPr>
                <w:rFonts w:ascii="David" w:hAnsi="David"/>
                <w:b/>
                <w:bCs/>
                <w:sz w:val="26"/>
                <w:szCs w:val="26"/>
                <w:rtl/>
              </w:rPr>
            </w:pPr>
            <w:r w:rsidRPr="000468AF">
              <w:rPr>
                <w:rFonts w:ascii="David" w:hAnsi="David"/>
                <w:b/>
                <w:bCs/>
                <w:sz w:val="26"/>
                <w:szCs w:val="26"/>
                <w:rtl/>
              </w:rPr>
              <w:t>כבוד השופט  אלכס אחטר</w:t>
            </w:r>
          </w:p>
          <w:p w14:paraId="1699C3AE" w14:textId="77777777" w:rsidR="00482613" w:rsidRPr="000468AF" w:rsidRDefault="00482613" w:rsidP="005328D1">
            <w:pPr>
              <w:rPr>
                <w:rFonts w:ascii="David" w:hAnsi="David"/>
                <w:sz w:val="26"/>
                <w:szCs w:val="26"/>
                <w:rtl/>
              </w:rPr>
            </w:pPr>
          </w:p>
          <w:p w14:paraId="23F4A136" w14:textId="77777777" w:rsidR="00482613" w:rsidRPr="000468AF" w:rsidRDefault="00482613" w:rsidP="00482613">
            <w:pPr>
              <w:jc w:val="both"/>
              <w:rPr>
                <w:rFonts w:ascii="David" w:hAnsi="David"/>
                <w:sz w:val="26"/>
                <w:szCs w:val="26"/>
              </w:rPr>
            </w:pPr>
          </w:p>
        </w:tc>
      </w:tr>
      <w:tr w:rsidR="00482613" w:rsidRPr="000468AF" w14:paraId="151F87ED" w14:textId="77777777" w:rsidTr="00165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8CBCEB" w14:textId="77777777" w:rsidR="00482613" w:rsidRPr="000468AF" w:rsidRDefault="00482613" w:rsidP="00482613">
            <w:pPr>
              <w:jc w:val="both"/>
              <w:rPr>
                <w:rFonts w:ascii="David" w:hAnsi="David"/>
                <w:sz w:val="26"/>
                <w:szCs w:val="26"/>
              </w:rPr>
            </w:pPr>
            <w:bookmarkStart w:id="1" w:name="FirstAppellant"/>
            <w:bookmarkStart w:id="2" w:name="FirstLawyer"/>
            <w:r w:rsidRPr="000468AF">
              <w:rPr>
                <w:rFonts w:ascii="David" w:hAnsi="David"/>
                <w:sz w:val="26"/>
                <w:szCs w:val="26"/>
                <w:rtl/>
              </w:rPr>
              <w:t>בעניין:</w:t>
            </w:r>
          </w:p>
        </w:tc>
        <w:tc>
          <w:tcPr>
            <w:tcW w:w="2794" w:type="dxa"/>
            <w:tcBorders>
              <w:top w:val="nil"/>
              <w:left w:val="nil"/>
              <w:bottom w:val="nil"/>
              <w:right w:val="nil"/>
            </w:tcBorders>
            <w:shd w:val="clear" w:color="auto" w:fill="auto"/>
          </w:tcPr>
          <w:p w14:paraId="78388991" w14:textId="77777777" w:rsidR="00482613" w:rsidRPr="000468AF" w:rsidRDefault="00482613" w:rsidP="00482613">
            <w:pPr>
              <w:suppressLineNumbers/>
            </w:pPr>
            <w:r w:rsidRPr="000468AF">
              <w:rPr>
                <w:rFonts w:ascii="Arial" w:hAnsi="Arial" w:hint="cs"/>
                <w:b/>
                <w:bCs/>
                <w:sz w:val="26"/>
                <w:szCs w:val="26"/>
                <w:rtl/>
              </w:rPr>
              <w:t>ה</w:t>
            </w:r>
            <w:r w:rsidRPr="000468AF">
              <w:rPr>
                <w:rFonts w:ascii="Arial" w:hAnsi="Arial"/>
                <w:b/>
                <w:bCs/>
                <w:sz w:val="26"/>
                <w:szCs w:val="26"/>
                <w:rtl/>
              </w:rPr>
              <w:t>מאשימה</w:t>
            </w:r>
          </w:p>
          <w:p w14:paraId="2C0265CE" w14:textId="77777777" w:rsidR="00482613" w:rsidRPr="000468AF" w:rsidRDefault="00482613" w:rsidP="005328D1">
            <w:pPr>
              <w:rPr>
                <w:rFonts w:ascii="David" w:hAnsi="David"/>
                <w:sz w:val="26"/>
                <w:szCs w:val="26"/>
              </w:rPr>
            </w:pPr>
          </w:p>
        </w:tc>
        <w:tc>
          <w:tcPr>
            <w:tcW w:w="5103" w:type="dxa"/>
            <w:gridSpan w:val="3"/>
            <w:tcBorders>
              <w:top w:val="nil"/>
              <w:left w:val="nil"/>
              <w:bottom w:val="nil"/>
              <w:right w:val="nil"/>
            </w:tcBorders>
            <w:shd w:val="clear" w:color="auto" w:fill="auto"/>
            <w:vAlign w:val="center"/>
          </w:tcPr>
          <w:p w14:paraId="7308597D" w14:textId="77777777" w:rsidR="00482613" w:rsidRPr="000468AF" w:rsidRDefault="00482613" w:rsidP="00482613">
            <w:pPr>
              <w:suppressLineNumbers/>
              <w:rPr>
                <w:rFonts w:ascii="Arial" w:hAnsi="Arial"/>
                <w:b/>
                <w:bCs/>
                <w:sz w:val="26"/>
                <w:szCs w:val="26"/>
                <w:rtl/>
              </w:rPr>
            </w:pPr>
            <w:r w:rsidRPr="000468AF">
              <w:rPr>
                <w:rFonts w:ascii="Arial" w:hAnsi="Arial"/>
                <w:b/>
                <w:bCs/>
                <w:sz w:val="26"/>
                <w:szCs w:val="26"/>
                <w:rtl/>
              </w:rPr>
              <w:t>מדינת ישראל</w:t>
            </w:r>
            <w:r w:rsidRPr="000468AF">
              <w:rPr>
                <w:rFonts w:ascii="Arial" w:hAnsi="Arial" w:hint="cs"/>
                <w:b/>
                <w:bCs/>
                <w:sz w:val="26"/>
                <w:szCs w:val="26"/>
                <w:rtl/>
              </w:rPr>
              <w:t xml:space="preserve"> </w:t>
            </w:r>
          </w:p>
          <w:p w14:paraId="225DFF75" w14:textId="77777777" w:rsidR="00482613" w:rsidRPr="000468AF" w:rsidRDefault="00482613" w:rsidP="00482613">
            <w:pPr>
              <w:suppressLineNumbers/>
              <w:rPr>
                <w:b/>
                <w:bCs/>
              </w:rPr>
            </w:pPr>
            <w:r w:rsidRPr="000468AF">
              <w:rPr>
                <w:rFonts w:ascii="Arial" w:hAnsi="Arial"/>
                <w:b/>
                <w:bCs/>
                <w:rtl/>
              </w:rPr>
              <w:t>ע"י ב"כ עוה"ד</w:t>
            </w:r>
            <w:r w:rsidRPr="000468AF">
              <w:rPr>
                <w:rFonts w:hint="cs"/>
                <w:b/>
                <w:bCs/>
                <w:rtl/>
              </w:rPr>
              <w:t xml:space="preserve"> שירן גבע אלנקווה</w:t>
            </w:r>
          </w:p>
          <w:p w14:paraId="0B1DE67A" w14:textId="77777777" w:rsidR="00482613" w:rsidRPr="000468AF" w:rsidRDefault="00482613" w:rsidP="005328D1">
            <w:pPr>
              <w:rPr>
                <w:rFonts w:ascii="David" w:hAnsi="David"/>
                <w:sz w:val="26"/>
                <w:szCs w:val="26"/>
              </w:rPr>
            </w:pPr>
          </w:p>
        </w:tc>
      </w:tr>
      <w:bookmarkEnd w:id="1"/>
      <w:bookmarkEnd w:id="2"/>
      <w:tr w:rsidR="00482613" w:rsidRPr="000468AF" w14:paraId="294FDA06" w14:textId="77777777" w:rsidTr="00165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75AE4C03" w14:textId="77777777" w:rsidR="00482613" w:rsidRPr="000468AF" w:rsidRDefault="00482613" w:rsidP="005328D1">
            <w:pPr>
              <w:rPr>
                <w:rFonts w:ascii="David" w:hAnsi="David"/>
                <w:b/>
                <w:bCs/>
                <w:sz w:val="26"/>
                <w:szCs w:val="26"/>
                <w:rtl/>
              </w:rPr>
            </w:pPr>
          </w:p>
          <w:p w14:paraId="3AA702C8" w14:textId="77777777" w:rsidR="00482613" w:rsidRPr="000468AF" w:rsidRDefault="00482613" w:rsidP="00482613">
            <w:pPr>
              <w:jc w:val="center"/>
              <w:rPr>
                <w:rFonts w:ascii="David" w:hAnsi="David"/>
                <w:b/>
                <w:bCs/>
                <w:sz w:val="26"/>
                <w:szCs w:val="26"/>
                <w:rtl/>
              </w:rPr>
            </w:pPr>
            <w:r w:rsidRPr="000468AF">
              <w:rPr>
                <w:rFonts w:ascii="David" w:hAnsi="David"/>
                <w:b/>
                <w:bCs/>
                <w:sz w:val="26"/>
                <w:szCs w:val="26"/>
                <w:rtl/>
              </w:rPr>
              <w:t>נגד</w:t>
            </w:r>
          </w:p>
          <w:p w14:paraId="34227784" w14:textId="77777777" w:rsidR="00482613" w:rsidRPr="000468AF" w:rsidRDefault="00482613" w:rsidP="00482613">
            <w:pPr>
              <w:jc w:val="both"/>
              <w:rPr>
                <w:rFonts w:ascii="David" w:hAnsi="David"/>
                <w:sz w:val="26"/>
                <w:szCs w:val="26"/>
              </w:rPr>
            </w:pPr>
          </w:p>
        </w:tc>
      </w:tr>
      <w:tr w:rsidR="00482613" w:rsidRPr="000468AF" w14:paraId="35C22C3F" w14:textId="77777777" w:rsidTr="00165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6BCE33" w14:textId="77777777" w:rsidR="00482613" w:rsidRPr="000468AF" w:rsidRDefault="00482613" w:rsidP="005328D1">
            <w:pPr>
              <w:rPr>
                <w:rFonts w:ascii="David" w:hAnsi="David"/>
                <w:sz w:val="26"/>
                <w:szCs w:val="26"/>
                <w:rtl/>
              </w:rPr>
            </w:pPr>
          </w:p>
        </w:tc>
        <w:tc>
          <w:tcPr>
            <w:tcW w:w="2794" w:type="dxa"/>
            <w:tcBorders>
              <w:top w:val="nil"/>
              <w:left w:val="nil"/>
              <w:bottom w:val="nil"/>
              <w:right w:val="nil"/>
            </w:tcBorders>
            <w:shd w:val="clear" w:color="auto" w:fill="auto"/>
          </w:tcPr>
          <w:p w14:paraId="7DD2794D" w14:textId="77777777" w:rsidR="00482613" w:rsidRPr="000468AF" w:rsidRDefault="00482613" w:rsidP="005328D1">
            <w:pPr>
              <w:rPr>
                <w:rFonts w:ascii="Arial" w:hAnsi="Arial"/>
                <w:b/>
                <w:bCs/>
                <w:sz w:val="26"/>
                <w:szCs w:val="26"/>
                <w:rtl/>
              </w:rPr>
            </w:pPr>
            <w:r w:rsidRPr="000468AF">
              <w:rPr>
                <w:rFonts w:ascii="Arial" w:hAnsi="Arial"/>
                <w:b/>
                <w:bCs/>
                <w:sz w:val="26"/>
                <w:szCs w:val="26"/>
                <w:rtl/>
              </w:rPr>
              <w:t>הנאשם</w:t>
            </w:r>
          </w:p>
        </w:tc>
        <w:tc>
          <w:tcPr>
            <w:tcW w:w="5103" w:type="dxa"/>
            <w:gridSpan w:val="3"/>
            <w:tcBorders>
              <w:top w:val="nil"/>
              <w:left w:val="nil"/>
              <w:bottom w:val="nil"/>
              <w:right w:val="nil"/>
            </w:tcBorders>
            <w:shd w:val="clear" w:color="auto" w:fill="auto"/>
            <w:vAlign w:val="center"/>
          </w:tcPr>
          <w:p w14:paraId="0E848C11" w14:textId="77777777" w:rsidR="00482613" w:rsidRPr="000468AF" w:rsidRDefault="00482613" w:rsidP="00482613">
            <w:pPr>
              <w:suppressLineNumbers/>
              <w:rPr>
                <w:rFonts w:ascii="Arial" w:hAnsi="Arial"/>
                <w:b/>
                <w:bCs/>
                <w:sz w:val="26"/>
                <w:szCs w:val="26"/>
                <w:rtl/>
              </w:rPr>
            </w:pPr>
            <w:r w:rsidRPr="000468AF">
              <w:rPr>
                <w:rFonts w:ascii="Arial" w:hAnsi="Arial"/>
                <w:b/>
                <w:bCs/>
                <w:sz w:val="26"/>
                <w:szCs w:val="26"/>
                <w:rtl/>
              </w:rPr>
              <w:t>עיד גרבאן (עציר)</w:t>
            </w:r>
            <w:r w:rsidRPr="000468AF">
              <w:rPr>
                <w:rFonts w:ascii="Arial" w:hAnsi="Arial" w:hint="cs"/>
                <w:b/>
                <w:bCs/>
                <w:sz w:val="26"/>
                <w:szCs w:val="26"/>
                <w:rtl/>
              </w:rPr>
              <w:t xml:space="preserve"> </w:t>
            </w:r>
          </w:p>
          <w:p w14:paraId="0DFE1CDB" w14:textId="77777777" w:rsidR="00482613" w:rsidRPr="000468AF" w:rsidRDefault="00482613" w:rsidP="00482613">
            <w:pPr>
              <w:suppressLineNumbers/>
              <w:rPr>
                <w:b/>
                <w:bCs/>
              </w:rPr>
            </w:pPr>
            <w:r w:rsidRPr="000468AF">
              <w:rPr>
                <w:rFonts w:ascii="Arial" w:hAnsi="Arial"/>
                <w:b/>
                <w:bCs/>
                <w:rtl/>
              </w:rPr>
              <w:t>ע"י ב"כ עוה"ד</w:t>
            </w:r>
            <w:r w:rsidRPr="000468AF">
              <w:rPr>
                <w:rFonts w:hint="cs"/>
                <w:b/>
                <w:bCs/>
                <w:rtl/>
              </w:rPr>
              <w:t xml:space="preserve"> מוחמד מסארווה</w:t>
            </w:r>
          </w:p>
          <w:p w14:paraId="68A5A545" w14:textId="77777777" w:rsidR="00482613" w:rsidRPr="000468AF" w:rsidRDefault="00482613" w:rsidP="005328D1">
            <w:pPr>
              <w:rPr>
                <w:rFonts w:ascii="David" w:hAnsi="David"/>
                <w:sz w:val="26"/>
                <w:szCs w:val="26"/>
              </w:rPr>
            </w:pPr>
          </w:p>
        </w:tc>
      </w:tr>
    </w:tbl>
    <w:p w14:paraId="7528411A" w14:textId="77777777" w:rsidR="001659FD" w:rsidRDefault="001659FD" w:rsidP="000468AF">
      <w:pPr>
        <w:rPr>
          <w:sz w:val="26"/>
          <w:szCs w:val="26"/>
          <w:rtl/>
        </w:rPr>
      </w:pPr>
    </w:p>
    <w:p w14:paraId="245688F2" w14:textId="77777777" w:rsidR="001659FD" w:rsidRPr="001659FD" w:rsidRDefault="001659FD" w:rsidP="001659FD">
      <w:pPr>
        <w:spacing w:after="120" w:line="240" w:lineRule="exact"/>
        <w:ind w:left="283" w:hanging="283"/>
        <w:jc w:val="both"/>
        <w:rPr>
          <w:rFonts w:ascii="FrankRuehl" w:hAnsi="FrankRuehl" w:cs="FrankRuehl"/>
          <w:rtl/>
        </w:rPr>
      </w:pPr>
    </w:p>
    <w:p w14:paraId="26D06131" w14:textId="77777777" w:rsidR="00741D58" w:rsidRPr="00741D58" w:rsidRDefault="00741D58" w:rsidP="00741D58">
      <w:pPr>
        <w:spacing w:before="120" w:after="120" w:line="240" w:lineRule="exact"/>
        <w:ind w:left="283" w:hanging="283"/>
        <w:jc w:val="both"/>
        <w:rPr>
          <w:rFonts w:ascii="FrankRuehl" w:hAnsi="FrankRuehl" w:cs="FrankRuehl"/>
          <w:rtl/>
        </w:rPr>
      </w:pPr>
    </w:p>
    <w:p w14:paraId="232D4DE6" w14:textId="77777777" w:rsidR="002121C3" w:rsidRDefault="002121C3" w:rsidP="002121C3">
      <w:pPr>
        <w:rPr>
          <w:sz w:val="26"/>
          <w:szCs w:val="26"/>
          <w:rtl/>
        </w:rPr>
      </w:pPr>
      <w:bookmarkStart w:id="3" w:name="LawTable"/>
      <w:bookmarkEnd w:id="3"/>
    </w:p>
    <w:p w14:paraId="1C1233C5" w14:textId="77777777" w:rsidR="002121C3" w:rsidRPr="002121C3" w:rsidRDefault="002121C3" w:rsidP="002121C3">
      <w:pPr>
        <w:spacing w:before="120" w:after="120" w:line="240" w:lineRule="exact"/>
        <w:ind w:left="283" w:hanging="283"/>
        <w:jc w:val="both"/>
        <w:rPr>
          <w:rFonts w:ascii="FrankRuehl" w:hAnsi="FrankRuehl" w:cs="FrankRuehl"/>
          <w:rtl/>
        </w:rPr>
      </w:pPr>
    </w:p>
    <w:p w14:paraId="0158BD6C" w14:textId="77777777" w:rsidR="002121C3" w:rsidRPr="002121C3" w:rsidRDefault="002121C3" w:rsidP="002121C3">
      <w:pPr>
        <w:spacing w:before="120" w:after="120" w:line="240" w:lineRule="exact"/>
        <w:ind w:left="283" w:hanging="283"/>
        <w:jc w:val="both"/>
        <w:rPr>
          <w:rFonts w:ascii="FrankRuehl" w:hAnsi="FrankRuehl" w:cs="FrankRuehl"/>
          <w:rtl/>
        </w:rPr>
      </w:pPr>
    </w:p>
    <w:p w14:paraId="44679C32" w14:textId="77777777" w:rsidR="002121C3" w:rsidRPr="002121C3" w:rsidRDefault="002121C3" w:rsidP="002121C3">
      <w:pPr>
        <w:spacing w:before="120" w:after="120" w:line="240" w:lineRule="exact"/>
        <w:ind w:left="283" w:hanging="283"/>
        <w:jc w:val="both"/>
        <w:rPr>
          <w:rFonts w:ascii="FrankRuehl" w:hAnsi="FrankRuehl" w:cs="FrankRuehl"/>
          <w:rtl/>
        </w:rPr>
      </w:pPr>
      <w:r w:rsidRPr="002121C3">
        <w:rPr>
          <w:rFonts w:ascii="FrankRuehl" w:hAnsi="FrankRuehl" w:cs="FrankRuehl"/>
          <w:rtl/>
        </w:rPr>
        <w:t xml:space="preserve">חקיקה שאוזכרה: </w:t>
      </w:r>
    </w:p>
    <w:p w14:paraId="55DFFA56" w14:textId="77777777" w:rsidR="002121C3" w:rsidRPr="002121C3" w:rsidRDefault="002121C3" w:rsidP="002121C3">
      <w:pPr>
        <w:spacing w:before="120" w:after="120" w:line="240" w:lineRule="exact"/>
        <w:ind w:left="283" w:hanging="283"/>
        <w:jc w:val="both"/>
        <w:rPr>
          <w:rFonts w:ascii="FrankRuehl" w:hAnsi="FrankRuehl" w:cs="FrankRuehl"/>
          <w:rtl/>
        </w:rPr>
      </w:pPr>
      <w:hyperlink r:id="rId7" w:history="1">
        <w:r w:rsidRPr="002121C3">
          <w:rPr>
            <w:rFonts w:ascii="FrankRuehl" w:hAnsi="FrankRuehl" w:cs="FrankRuehl"/>
            <w:color w:val="0000FF"/>
            <w:rtl/>
          </w:rPr>
          <w:t>פקודת הסמים המסוכנים [נוסח חדש], תשל"ג-1973</w:t>
        </w:r>
      </w:hyperlink>
      <w:r w:rsidRPr="002121C3">
        <w:rPr>
          <w:rFonts w:ascii="FrankRuehl" w:hAnsi="FrankRuehl" w:cs="FrankRuehl"/>
          <w:rtl/>
        </w:rPr>
        <w:t xml:space="preserve">: סע'  </w:t>
      </w:r>
      <w:hyperlink r:id="rId8" w:history="1">
        <w:r w:rsidRPr="002121C3">
          <w:rPr>
            <w:rFonts w:ascii="FrankRuehl" w:hAnsi="FrankRuehl" w:cs="FrankRuehl"/>
            <w:color w:val="0000FF"/>
            <w:rtl/>
          </w:rPr>
          <w:t>7.א.</w:t>
        </w:r>
      </w:hyperlink>
      <w:r w:rsidRPr="002121C3">
        <w:rPr>
          <w:rFonts w:ascii="FrankRuehl" w:hAnsi="FrankRuehl" w:cs="FrankRuehl"/>
          <w:rtl/>
        </w:rPr>
        <w:t xml:space="preserve">, </w:t>
      </w:r>
      <w:hyperlink r:id="rId9" w:history="1">
        <w:r w:rsidRPr="002121C3">
          <w:rPr>
            <w:rFonts w:ascii="FrankRuehl" w:hAnsi="FrankRuehl" w:cs="FrankRuehl"/>
            <w:color w:val="0000FF"/>
            <w:rtl/>
          </w:rPr>
          <w:t>7.ב</w:t>
        </w:r>
      </w:hyperlink>
      <w:r w:rsidRPr="002121C3">
        <w:rPr>
          <w:rFonts w:ascii="FrankRuehl" w:hAnsi="FrankRuehl" w:cs="FrankRuehl"/>
          <w:rtl/>
        </w:rPr>
        <w:t xml:space="preserve">, </w:t>
      </w:r>
      <w:hyperlink r:id="rId10" w:history="1">
        <w:r w:rsidRPr="002121C3">
          <w:rPr>
            <w:rFonts w:ascii="FrankRuehl" w:hAnsi="FrankRuehl" w:cs="FrankRuehl"/>
            <w:color w:val="0000FF"/>
            <w:rtl/>
          </w:rPr>
          <w:t>13</w:t>
        </w:r>
      </w:hyperlink>
      <w:r w:rsidRPr="002121C3">
        <w:rPr>
          <w:rFonts w:ascii="FrankRuehl" w:hAnsi="FrankRuehl" w:cs="FrankRuehl"/>
          <w:rtl/>
        </w:rPr>
        <w:t xml:space="preserve">, </w:t>
      </w:r>
      <w:hyperlink r:id="rId11" w:history="1">
        <w:r w:rsidRPr="002121C3">
          <w:rPr>
            <w:rFonts w:ascii="FrankRuehl" w:hAnsi="FrankRuehl" w:cs="FrankRuehl"/>
            <w:color w:val="0000FF"/>
            <w:rtl/>
          </w:rPr>
          <w:t>19.א</w:t>
        </w:r>
      </w:hyperlink>
    </w:p>
    <w:p w14:paraId="0C93A830" w14:textId="77777777" w:rsidR="002121C3" w:rsidRPr="002121C3" w:rsidRDefault="002121C3" w:rsidP="002121C3">
      <w:pPr>
        <w:spacing w:before="120" w:after="120" w:line="240" w:lineRule="exact"/>
        <w:ind w:left="283" w:hanging="283"/>
        <w:jc w:val="both"/>
        <w:rPr>
          <w:rFonts w:ascii="FrankRuehl" w:hAnsi="FrankRuehl" w:cs="FrankRuehl"/>
          <w:rtl/>
        </w:rPr>
      </w:pPr>
      <w:hyperlink r:id="rId12" w:history="1">
        <w:r w:rsidRPr="002121C3">
          <w:rPr>
            <w:rFonts w:ascii="FrankRuehl" w:hAnsi="FrankRuehl" w:cs="FrankRuehl"/>
            <w:color w:val="0000FF"/>
            <w:rtl/>
          </w:rPr>
          <w:t>חוק העונשין, תשל"ז-1977</w:t>
        </w:r>
      </w:hyperlink>
      <w:r w:rsidRPr="002121C3">
        <w:rPr>
          <w:rFonts w:ascii="FrankRuehl" w:hAnsi="FrankRuehl" w:cs="FrankRuehl"/>
          <w:rtl/>
        </w:rPr>
        <w:t xml:space="preserve">: סע'  </w:t>
      </w:r>
      <w:hyperlink r:id="rId13" w:history="1">
        <w:r w:rsidRPr="002121C3">
          <w:rPr>
            <w:rFonts w:ascii="FrankRuehl" w:hAnsi="FrankRuehl" w:cs="FrankRuehl"/>
            <w:color w:val="0000FF"/>
            <w:rtl/>
          </w:rPr>
          <w:t>40ד'</w:t>
        </w:r>
      </w:hyperlink>
      <w:r w:rsidRPr="002121C3">
        <w:rPr>
          <w:rFonts w:ascii="FrankRuehl" w:hAnsi="FrankRuehl" w:cs="FrankRuehl"/>
          <w:rtl/>
        </w:rPr>
        <w:t xml:space="preserve">, </w:t>
      </w:r>
      <w:hyperlink r:id="rId14" w:history="1">
        <w:r w:rsidRPr="002121C3">
          <w:rPr>
            <w:rFonts w:ascii="FrankRuehl" w:hAnsi="FrankRuehl" w:cs="FrankRuehl"/>
            <w:color w:val="0000FF"/>
            <w:rtl/>
          </w:rPr>
          <w:t>40 ה'</w:t>
        </w:r>
      </w:hyperlink>
      <w:r w:rsidRPr="002121C3">
        <w:rPr>
          <w:rFonts w:ascii="FrankRuehl" w:hAnsi="FrankRuehl" w:cs="FrankRuehl"/>
          <w:rtl/>
        </w:rPr>
        <w:t xml:space="preserve">, </w:t>
      </w:r>
      <w:hyperlink r:id="rId15" w:history="1">
        <w:r w:rsidRPr="002121C3">
          <w:rPr>
            <w:rFonts w:ascii="FrankRuehl" w:hAnsi="FrankRuehl" w:cs="FrankRuehl"/>
            <w:color w:val="0000FF"/>
            <w:rtl/>
          </w:rPr>
          <w:t>40ט'</w:t>
        </w:r>
      </w:hyperlink>
      <w:r w:rsidRPr="002121C3">
        <w:rPr>
          <w:rFonts w:ascii="FrankRuehl" w:hAnsi="FrankRuehl" w:cs="FrankRuehl"/>
          <w:rtl/>
        </w:rPr>
        <w:t xml:space="preserve">, </w:t>
      </w:r>
      <w:hyperlink r:id="rId16" w:history="1">
        <w:r w:rsidRPr="002121C3">
          <w:rPr>
            <w:rFonts w:ascii="FrankRuehl" w:hAnsi="FrankRuehl" w:cs="FrankRuehl"/>
            <w:color w:val="0000FF"/>
            <w:rtl/>
          </w:rPr>
          <w:t>58</w:t>
        </w:r>
      </w:hyperlink>
      <w:r w:rsidRPr="002121C3">
        <w:rPr>
          <w:rFonts w:ascii="FrankRuehl" w:hAnsi="FrankRuehl" w:cs="FrankRuehl"/>
          <w:rtl/>
        </w:rPr>
        <w:t xml:space="preserve">, </w:t>
      </w:r>
      <w:hyperlink r:id="rId17" w:history="1">
        <w:r w:rsidRPr="002121C3">
          <w:rPr>
            <w:rFonts w:ascii="FrankRuehl" w:hAnsi="FrankRuehl" w:cs="FrankRuehl"/>
            <w:color w:val="0000FF"/>
            <w:rtl/>
          </w:rPr>
          <w:t>40יא'</w:t>
        </w:r>
      </w:hyperlink>
    </w:p>
    <w:p w14:paraId="17A7DEFB" w14:textId="77777777" w:rsidR="002121C3" w:rsidRPr="002121C3" w:rsidRDefault="002121C3" w:rsidP="002121C3">
      <w:pPr>
        <w:rPr>
          <w:sz w:val="26"/>
          <w:szCs w:val="26"/>
          <w:rtl/>
        </w:rPr>
      </w:pPr>
      <w:bookmarkStart w:id="4" w:name="LawTable_End"/>
      <w:bookmarkEnd w:id="4"/>
    </w:p>
    <w:p w14:paraId="1E21F6BD" w14:textId="77777777" w:rsidR="00482613" w:rsidRPr="00741D58" w:rsidRDefault="00482613" w:rsidP="00741D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2613" w14:paraId="3222651B" w14:textId="77777777" w:rsidTr="00482613">
        <w:trPr>
          <w:trHeight w:val="355"/>
          <w:jc w:val="center"/>
        </w:trPr>
        <w:tc>
          <w:tcPr>
            <w:tcW w:w="8820" w:type="dxa"/>
            <w:tcBorders>
              <w:top w:val="nil"/>
              <w:left w:val="nil"/>
              <w:bottom w:val="nil"/>
              <w:right w:val="nil"/>
            </w:tcBorders>
            <w:shd w:val="clear" w:color="auto" w:fill="auto"/>
          </w:tcPr>
          <w:p w14:paraId="180362F1" w14:textId="77777777" w:rsidR="000468AF" w:rsidRPr="000468AF" w:rsidRDefault="000468AF" w:rsidP="000468AF">
            <w:pPr>
              <w:jc w:val="center"/>
              <w:rPr>
                <w:rFonts w:ascii="David" w:hAnsi="David"/>
                <w:b/>
                <w:bCs/>
                <w:sz w:val="32"/>
                <w:szCs w:val="32"/>
                <w:u w:val="single"/>
                <w:rtl/>
              </w:rPr>
            </w:pPr>
            <w:bookmarkStart w:id="5" w:name="PsakDin" w:colFirst="0" w:colLast="0"/>
            <w:bookmarkEnd w:id="0"/>
            <w:r w:rsidRPr="000468AF">
              <w:rPr>
                <w:rFonts w:ascii="David" w:hAnsi="David"/>
                <w:b/>
                <w:bCs/>
                <w:sz w:val="32"/>
                <w:szCs w:val="32"/>
                <w:u w:val="single"/>
                <w:rtl/>
              </w:rPr>
              <w:t>גזר דין</w:t>
            </w:r>
          </w:p>
          <w:p w14:paraId="54F76674" w14:textId="77777777" w:rsidR="00482613" w:rsidRPr="000468AF" w:rsidRDefault="00482613" w:rsidP="000468AF">
            <w:pPr>
              <w:jc w:val="center"/>
              <w:rPr>
                <w:rFonts w:ascii="David" w:hAnsi="David"/>
                <w:bCs/>
                <w:sz w:val="32"/>
                <w:szCs w:val="32"/>
                <w:u w:val="single"/>
                <w:rtl/>
              </w:rPr>
            </w:pPr>
          </w:p>
        </w:tc>
      </w:tr>
      <w:bookmarkEnd w:id="5"/>
    </w:tbl>
    <w:p w14:paraId="6C8D8509" w14:textId="77777777" w:rsidR="00482613" w:rsidRPr="000F2247" w:rsidRDefault="00482613" w:rsidP="00482613">
      <w:pPr>
        <w:rPr>
          <w:rFonts w:ascii="Arial" w:hAnsi="Arial"/>
          <w:b/>
          <w:bCs/>
          <w:sz w:val="26"/>
          <w:szCs w:val="26"/>
          <w:rtl/>
        </w:rPr>
      </w:pPr>
    </w:p>
    <w:p w14:paraId="0C35AE5F" w14:textId="77777777" w:rsidR="00482613" w:rsidRPr="00644822" w:rsidRDefault="00482613" w:rsidP="00482613">
      <w:pPr>
        <w:spacing w:line="360" w:lineRule="auto"/>
        <w:rPr>
          <w:b/>
          <w:bCs/>
          <w:u w:val="single"/>
          <w:rtl/>
        </w:rPr>
      </w:pPr>
      <w:r w:rsidRPr="00644822">
        <w:rPr>
          <w:b/>
          <w:bCs/>
          <w:u w:val="single"/>
          <w:rtl/>
        </w:rPr>
        <w:t xml:space="preserve">מבוא: </w:t>
      </w:r>
    </w:p>
    <w:p w14:paraId="026F2EFC" w14:textId="77777777" w:rsidR="00482613" w:rsidRPr="00644822" w:rsidRDefault="00482613" w:rsidP="00482613">
      <w:pPr>
        <w:spacing w:line="360" w:lineRule="auto"/>
        <w:jc w:val="both"/>
        <w:rPr>
          <w:rtl/>
        </w:rPr>
      </w:pPr>
      <w:bookmarkStart w:id="6" w:name="ABSTRACT_START"/>
      <w:bookmarkEnd w:id="6"/>
      <w:r w:rsidRPr="00644822">
        <w:rPr>
          <w:noProof/>
          <w:rtl/>
        </w:rPr>
        <w:t>הנאשם הורשע בהתאם להודאתו בכתב האישום</w:t>
      </w:r>
      <w:r>
        <w:rPr>
          <w:rFonts w:hint="cs"/>
          <w:noProof/>
          <w:rtl/>
        </w:rPr>
        <w:t xml:space="preserve"> המתוקן</w:t>
      </w:r>
      <w:r w:rsidRPr="00644822">
        <w:rPr>
          <w:noProof/>
          <w:rtl/>
        </w:rPr>
        <w:t xml:space="preserve"> ב-3 עבירות של</w:t>
      </w:r>
      <w:r w:rsidRPr="00644822">
        <w:rPr>
          <w:b/>
          <w:bCs/>
          <w:noProof/>
          <w:rtl/>
        </w:rPr>
        <w:t xml:space="preserve"> יצוא, יבוא, מסחר, הספקה סמים מסוכנים</w:t>
      </w:r>
      <w:r w:rsidRPr="00644822">
        <w:rPr>
          <w:noProof/>
          <w:rtl/>
        </w:rPr>
        <w:t xml:space="preserve"> – לפי </w:t>
      </w:r>
      <w:hyperlink r:id="rId18" w:history="1">
        <w:r w:rsidR="001659FD" w:rsidRPr="001659FD">
          <w:rPr>
            <w:rStyle w:val="Hyperlink"/>
            <w:noProof/>
            <w:rtl/>
          </w:rPr>
          <w:t>סעיפים 19+13א</w:t>
        </w:r>
      </w:hyperlink>
      <w:r w:rsidRPr="00644822">
        <w:rPr>
          <w:noProof/>
          <w:rtl/>
        </w:rPr>
        <w:t xml:space="preserve"> ל</w:t>
      </w:r>
      <w:hyperlink r:id="rId19" w:history="1">
        <w:r w:rsidR="000468AF" w:rsidRPr="000468AF">
          <w:rPr>
            <w:noProof/>
            <w:color w:val="0000FF"/>
            <w:u w:val="single"/>
            <w:rtl/>
          </w:rPr>
          <w:t>פקודת הסמים המסוכנים</w:t>
        </w:r>
      </w:hyperlink>
      <w:r w:rsidRPr="00644822">
        <w:rPr>
          <w:noProof/>
          <w:rtl/>
        </w:rPr>
        <w:t xml:space="preserve"> [נוסח חדש] התשל"ג-1973 ובעבירה אחת של החזקה/ שימוש בסמים שלא לצריכה עצמית – לפי </w:t>
      </w:r>
      <w:hyperlink r:id="rId20" w:history="1">
        <w:r w:rsidR="001659FD" w:rsidRPr="001659FD">
          <w:rPr>
            <w:rStyle w:val="Hyperlink"/>
            <w:noProof/>
            <w:rtl/>
          </w:rPr>
          <w:t>סעיפים 7(א)+7(ג)</w:t>
        </w:r>
      </w:hyperlink>
      <w:r w:rsidRPr="00644822">
        <w:rPr>
          <w:noProof/>
          <w:rtl/>
        </w:rPr>
        <w:t xml:space="preserve"> רישא לפקודה.</w:t>
      </w:r>
    </w:p>
    <w:p w14:paraId="7E6A1D0F" w14:textId="77777777" w:rsidR="00482613" w:rsidRPr="00644822" w:rsidRDefault="00482613" w:rsidP="00482613">
      <w:pPr>
        <w:spacing w:line="360" w:lineRule="auto"/>
        <w:rPr>
          <w:rtl/>
        </w:rPr>
      </w:pPr>
      <w:bookmarkStart w:id="7" w:name="ABSTRACT_END"/>
      <w:bookmarkEnd w:id="7"/>
    </w:p>
    <w:p w14:paraId="47E9CC66" w14:textId="77777777" w:rsidR="00482613" w:rsidRPr="00644822" w:rsidRDefault="00482613" w:rsidP="00482613">
      <w:pPr>
        <w:spacing w:line="360" w:lineRule="auto"/>
        <w:jc w:val="both"/>
        <w:rPr>
          <w:rtl/>
        </w:rPr>
      </w:pPr>
      <w:r w:rsidRPr="00644822">
        <w:rPr>
          <w:rtl/>
        </w:rPr>
        <w:t>על פי עובדות כתב האישום</w:t>
      </w:r>
      <w:r>
        <w:rPr>
          <w:rFonts w:hint="cs"/>
          <w:rtl/>
        </w:rPr>
        <w:t xml:space="preserve"> המתוקן</w:t>
      </w:r>
      <w:r w:rsidRPr="00644822">
        <w:rPr>
          <w:rtl/>
        </w:rPr>
        <w:t xml:space="preserve">, בתאריך 24.05.22, מכר הנאשם לסוכן סמוי סם מסוכן מסוג הרואין במשקל 3.5196 ג' בתמורה ל-250 ש"ח. בתאריך 26.05.22 מכר הנאשם לאחר סם מסוכן מסוג הרואין במשקל 3.4966 בתמורה ל-250 ₪. בתאריך 30.05.22 מכר הנאשם לאחר סם מסוכן מסוג הרואין במשקל 3.9274 ג' בתמורה ל-250 ₪. כל זאת, ללא היתר וללא אישור מהמנהל. בתאריך 22.06.22 בחיפוש שנערך במקום על ידי שוטרים, נמצא הנאשם כשהוא מחזיק בתוך כוס </w:t>
      </w:r>
      <w:r w:rsidRPr="00644822">
        <w:rPr>
          <w:rtl/>
        </w:rPr>
        <w:lastRenderedPageBreak/>
        <w:t>קרטון, 10 שקיות ניילון שקופות המכילות בתוכן סם מסוכן מסוג הרואין במשקל כולל של 1.7120 גרם שלא לצריכתו העצמית.</w:t>
      </w:r>
    </w:p>
    <w:p w14:paraId="6F5350E0" w14:textId="77777777" w:rsidR="00482613" w:rsidRPr="00644822" w:rsidRDefault="00482613" w:rsidP="00482613">
      <w:pPr>
        <w:spacing w:line="360" w:lineRule="auto"/>
        <w:jc w:val="both"/>
        <w:rPr>
          <w:rtl/>
        </w:rPr>
      </w:pPr>
    </w:p>
    <w:p w14:paraId="6A5289D3" w14:textId="77777777" w:rsidR="00482613" w:rsidRPr="00644822" w:rsidRDefault="00482613" w:rsidP="00482613">
      <w:pPr>
        <w:spacing w:line="360" w:lineRule="auto"/>
        <w:jc w:val="both"/>
        <w:rPr>
          <w:rtl/>
        </w:rPr>
      </w:pPr>
      <w:r w:rsidRPr="00644822">
        <w:rPr>
          <w:rtl/>
        </w:rPr>
        <w:t>הנאשם נעצר בתאריך 22.06.22 ומאז נתון במעצר מאחורי סורג ובריח.</w:t>
      </w:r>
    </w:p>
    <w:p w14:paraId="7B7E4595" w14:textId="77777777" w:rsidR="00482613" w:rsidRPr="00644822" w:rsidRDefault="00482613" w:rsidP="00482613">
      <w:pPr>
        <w:spacing w:line="360" w:lineRule="auto"/>
        <w:jc w:val="both"/>
        <w:rPr>
          <w:rtl/>
        </w:rPr>
      </w:pPr>
    </w:p>
    <w:p w14:paraId="36404E7B" w14:textId="77777777" w:rsidR="00482613" w:rsidRDefault="00482613" w:rsidP="00482613">
      <w:pPr>
        <w:spacing w:line="360" w:lineRule="auto"/>
        <w:jc w:val="both"/>
        <w:rPr>
          <w:noProof/>
          <w:rtl/>
        </w:rPr>
      </w:pPr>
      <w:r w:rsidRPr="00644822">
        <w:rPr>
          <w:noProof/>
          <w:rtl/>
        </w:rPr>
        <w:t>בתאריך 25.01.23 חזר בו הנאשם מכפירתו והודה במיוחס לו בכתב האישום המתוקן במסגרת הסדר טיעון עליו הסכימו הצדדים ללא גיבוש הסכמה עונשית.</w:t>
      </w:r>
    </w:p>
    <w:p w14:paraId="5C0F8725" w14:textId="77777777" w:rsidR="00482613" w:rsidRDefault="00482613" w:rsidP="00482613">
      <w:pPr>
        <w:spacing w:line="360" w:lineRule="auto"/>
        <w:jc w:val="both"/>
        <w:rPr>
          <w:noProof/>
          <w:rtl/>
        </w:rPr>
      </w:pPr>
    </w:p>
    <w:p w14:paraId="5AC074B3" w14:textId="77777777" w:rsidR="00482613" w:rsidRDefault="00482613" w:rsidP="00482613">
      <w:pPr>
        <w:spacing w:line="360" w:lineRule="auto"/>
        <w:jc w:val="both"/>
        <w:rPr>
          <w:noProof/>
          <w:rtl/>
        </w:rPr>
      </w:pPr>
    </w:p>
    <w:p w14:paraId="2449E433" w14:textId="77777777" w:rsidR="00482613" w:rsidRPr="00644822" w:rsidRDefault="00482613" w:rsidP="00482613">
      <w:pPr>
        <w:spacing w:line="360" w:lineRule="auto"/>
        <w:jc w:val="both"/>
        <w:rPr>
          <w:noProof/>
          <w:rtl/>
        </w:rPr>
      </w:pPr>
    </w:p>
    <w:p w14:paraId="41C444F4" w14:textId="77777777" w:rsidR="00482613" w:rsidRPr="00644822" w:rsidRDefault="00482613" w:rsidP="00482613">
      <w:pPr>
        <w:spacing w:line="360" w:lineRule="auto"/>
        <w:jc w:val="both"/>
        <w:rPr>
          <w:noProof/>
          <w:rtl/>
        </w:rPr>
      </w:pPr>
    </w:p>
    <w:p w14:paraId="219628F9" w14:textId="77777777" w:rsidR="00482613" w:rsidRPr="00644822" w:rsidRDefault="00482613" w:rsidP="00482613">
      <w:pPr>
        <w:spacing w:line="360" w:lineRule="auto"/>
        <w:jc w:val="both"/>
        <w:rPr>
          <w:b/>
          <w:bCs/>
          <w:noProof/>
          <w:color w:val="FF0000"/>
          <w:sz w:val="40"/>
          <w:szCs w:val="40"/>
          <w:rtl/>
        </w:rPr>
      </w:pPr>
      <w:r w:rsidRPr="00644822">
        <w:rPr>
          <w:b/>
          <w:bCs/>
          <w:noProof/>
          <w:u w:val="single"/>
          <w:rtl/>
        </w:rPr>
        <w:t>טיעונים וראיות הצדדים לעונש</w:t>
      </w:r>
      <w:r w:rsidRPr="00644822">
        <w:rPr>
          <w:b/>
          <w:bCs/>
          <w:noProof/>
          <w:rtl/>
        </w:rPr>
        <w:t xml:space="preserve">: </w:t>
      </w:r>
    </w:p>
    <w:p w14:paraId="18AE9441" w14:textId="77777777" w:rsidR="00482613" w:rsidRPr="00644822" w:rsidRDefault="00482613" w:rsidP="00482613">
      <w:pPr>
        <w:spacing w:line="360" w:lineRule="auto"/>
        <w:jc w:val="both"/>
        <w:rPr>
          <w:noProof/>
          <w:rtl/>
        </w:rPr>
      </w:pPr>
      <w:r w:rsidRPr="00644822">
        <w:rPr>
          <w:noProof/>
          <w:rtl/>
        </w:rPr>
        <w:t>המאשימה הפנתה לעובדות כתב האישום המתוקן וכן לפגיעה בערכים המוגנים של בריאות הציבור כאשר בתי המשפט עמדו על כך שיש לנהוג בחומרה עם מבצעי העבירות על מנת למגר אותן, ודאי כאשר המדובר בסוג הסם בענייננו - הרואין.</w:t>
      </w:r>
    </w:p>
    <w:p w14:paraId="7C7A3323" w14:textId="77777777" w:rsidR="00482613" w:rsidRPr="00644822" w:rsidRDefault="00482613" w:rsidP="00482613">
      <w:pPr>
        <w:spacing w:line="360" w:lineRule="auto"/>
        <w:jc w:val="both"/>
        <w:rPr>
          <w:noProof/>
          <w:rtl/>
        </w:rPr>
      </w:pPr>
    </w:p>
    <w:p w14:paraId="7708C863" w14:textId="77777777" w:rsidR="00482613" w:rsidRPr="00644822" w:rsidRDefault="00482613" w:rsidP="00482613">
      <w:pPr>
        <w:spacing w:line="360" w:lineRule="auto"/>
        <w:jc w:val="both"/>
        <w:rPr>
          <w:noProof/>
          <w:rtl/>
        </w:rPr>
      </w:pPr>
      <w:r w:rsidRPr="00644822">
        <w:rPr>
          <w:noProof/>
          <w:rtl/>
        </w:rPr>
        <w:t>לאחר שהפנתה למספר העסקאות והמשקלים בהן, המאשימה עתרה לקביעת מתחם ענישה בין 20-30 חודשי מאסר בפועל תוך שהפנתה לפסיקה בה נקבעו מתחמים דומים.</w:t>
      </w:r>
    </w:p>
    <w:p w14:paraId="26FC75C7" w14:textId="77777777" w:rsidR="00482613" w:rsidRPr="00644822" w:rsidRDefault="00482613" w:rsidP="00482613">
      <w:pPr>
        <w:spacing w:line="360" w:lineRule="auto"/>
        <w:jc w:val="both"/>
        <w:rPr>
          <w:noProof/>
          <w:rtl/>
        </w:rPr>
      </w:pPr>
    </w:p>
    <w:p w14:paraId="3E3F17DA" w14:textId="77777777" w:rsidR="00482613" w:rsidRPr="00644822" w:rsidRDefault="00482613" w:rsidP="00482613">
      <w:pPr>
        <w:spacing w:line="360" w:lineRule="auto"/>
        <w:jc w:val="both"/>
        <w:rPr>
          <w:noProof/>
          <w:rtl/>
        </w:rPr>
      </w:pPr>
      <w:r w:rsidRPr="00644822">
        <w:rPr>
          <w:noProof/>
          <w:rtl/>
        </w:rPr>
        <w:t>אשר לנסיבותיו של הנאשם, לחובתו 10 הרשעות קודמות בגין עבירות סמים, רכוש, אלימות במשפחה, הפרעה לשוטר במילוי תפקידו ועוד (ת/1) כאשר בגין הרשעתו האחרונה בעבירות סמים בשנת 2019 ב</w:t>
      </w:r>
      <w:hyperlink r:id="rId21" w:history="1">
        <w:r w:rsidR="000468AF" w:rsidRPr="000468AF">
          <w:rPr>
            <w:noProof/>
            <w:color w:val="0000FF"/>
            <w:u w:val="single"/>
            <w:rtl/>
          </w:rPr>
          <w:t>ת"פ 24311-06-19</w:t>
        </w:r>
      </w:hyperlink>
      <w:r w:rsidRPr="00644822">
        <w:rPr>
          <w:noProof/>
          <w:rtl/>
        </w:rPr>
        <w:t xml:space="preserve"> נדון לעונש מאסר בפועל וכן למאסר על תנאי חב הפעלה בתיק זה (ת/2). המאשימה הפנתה לכך שהנאשם לא הופנה לשירות המבחן ולא עבר הליך טיפולי כלשהו ולכן ביקשה לגזור על הנאשם עונש ברף העליון לצד ענישה צופה פני עתיד, פסילת רישיון נהיגה וקנס.</w:t>
      </w:r>
    </w:p>
    <w:p w14:paraId="1582E7C1" w14:textId="77777777" w:rsidR="00482613" w:rsidRPr="00644822" w:rsidRDefault="00482613" w:rsidP="00482613">
      <w:pPr>
        <w:spacing w:line="360" w:lineRule="auto"/>
        <w:jc w:val="both"/>
        <w:rPr>
          <w:noProof/>
          <w:rtl/>
        </w:rPr>
      </w:pPr>
    </w:p>
    <w:p w14:paraId="5A019D9F" w14:textId="77777777" w:rsidR="00482613" w:rsidRPr="00644822" w:rsidRDefault="00482613" w:rsidP="00482613">
      <w:pPr>
        <w:spacing w:line="360" w:lineRule="auto"/>
        <w:jc w:val="both"/>
        <w:rPr>
          <w:noProof/>
          <w:rtl/>
        </w:rPr>
      </w:pPr>
      <w:r w:rsidRPr="00644822">
        <w:rPr>
          <w:noProof/>
          <w:rtl/>
        </w:rPr>
        <w:t xml:space="preserve">ב"כ הנאשם הפנה בטיעוניו לכמות העסקאות שנעשו מול סוכן משטרתי ולסכום הנמוך שהתקבל בכל עסקה המסתכמות יחדיו ב-750 ₪ בלבד. בנסיבות אלה ותוך הפניה לפסיקה רלוונטית ביקש לקבוע מתחם שנע בין 8 ל-18 חודשי מאסר בפועל. </w:t>
      </w:r>
    </w:p>
    <w:p w14:paraId="0B08B3AF" w14:textId="77777777" w:rsidR="00482613" w:rsidRPr="00644822" w:rsidRDefault="00482613" w:rsidP="00482613">
      <w:pPr>
        <w:spacing w:line="360" w:lineRule="auto"/>
        <w:jc w:val="both"/>
        <w:rPr>
          <w:noProof/>
          <w:rtl/>
        </w:rPr>
      </w:pPr>
      <w:r w:rsidRPr="00644822">
        <w:rPr>
          <w:noProof/>
          <w:rtl/>
        </w:rPr>
        <w:t>לאור גילו של הנאשם, העובדה שהודה בהזדמנות הראשונה, חסך מזמנם היקר של העדים והביע חרטה כנה, נסיבותיו המשפחתיות בהן שכל את אמו ושתי אחיותיו במהלך מעצרו</w:t>
      </w:r>
      <w:r>
        <w:rPr>
          <w:rFonts w:hint="cs"/>
          <w:noProof/>
          <w:rtl/>
        </w:rPr>
        <w:t xml:space="preserve"> (נ/1)</w:t>
      </w:r>
      <w:r w:rsidRPr="00644822">
        <w:rPr>
          <w:noProof/>
          <w:rtl/>
        </w:rPr>
        <w:t>, כמו גם היותו אב לשלושה ילדים, המצוי במעצר מאחורי סורג ובריח מזה 7 חודשים, ביקש בא כוח הנאשם להסתפק בענישה מתונה. לאור כך שהמאסר המותנה הוטל לפני יותר משלוש שנים, ביקש בא כוח הנאשם להפעילו כולו בחופף או לכל הפחות חלקו בחופף וחלקו במצטבר.</w:t>
      </w:r>
    </w:p>
    <w:p w14:paraId="67E1E8A9" w14:textId="77777777" w:rsidR="00482613" w:rsidRPr="00644822" w:rsidRDefault="00482613" w:rsidP="00482613">
      <w:pPr>
        <w:spacing w:line="360" w:lineRule="auto"/>
        <w:jc w:val="both"/>
        <w:rPr>
          <w:noProof/>
          <w:rtl/>
        </w:rPr>
      </w:pPr>
    </w:p>
    <w:p w14:paraId="60A77C0D" w14:textId="77777777" w:rsidR="00482613" w:rsidRPr="00644822" w:rsidRDefault="00482613" w:rsidP="00482613">
      <w:pPr>
        <w:spacing w:line="360" w:lineRule="auto"/>
        <w:jc w:val="both"/>
        <w:rPr>
          <w:rFonts w:ascii="Tahoma" w:hAnsi="Tahoma"/>
          <w:b/>
          <w:bCs/>
          <w:noProof/>
          <w:u w:val="single"/>
          <w:rtl/>
        </w:rPr>
      </w:pPr>
      <w:r w:rsidRPr="00644822">
        <w:rPr>
          <w:noProof/>
          <w:rtl/>
        </w:rPr>
        <w:t>הנאשם התנצל על מעשיו והתחייב שלא לשוב על כך.</w:t>
      </w:r>
    </w:p>
    <w:p w14:paraId="144EE4B4" w14:textId="77777777" w:rsidR="00482613" w:rsidRPr="00644822" w:rsidRDefault="00482613" w:rsidP="00482613">
      <w:pPr>
        <w:spacing w:line="360" w:lineRule="auto"/>
        <w:jc w:val="both"/>
        <w:rPr>
          <w:rFonts w:ascii="Tahoma" w:hAnsi="Tahoma"/>
          <w:b/>
          <w:bCs/>
          <w:noProof/>
          <w:u w:val="single"/>
          <w:rtl/>
        </w:rPr>
      </w:pPr>
    </w:p>
    <w:p w14:paraId="31A88909" w14:textId="77777777" w:rsidR="00482613" w:rsidRPr="00644822" w:rsidRDefault="00482613" w:rsidP="00482613">
      <w:pPr>
        <w:spacing w:line="360" w:lineRule="auto"/>
        <w:jc w:val="both"/>
        <w:rPr>
          <w:rFonts w:ascii="Tahoma" w:hAnsi="Tahoma"/>
          <w:b/>
          <w:bCs/>
          <w:noProof/>
          <w:sz w:val="28"/>
          <w:szCs w:val="28"/>
          <w:u w:val="single"/>
          <w:rtl/>
        </w:rPr>
      </w:pPr>
      <w:r w:rsidRPr="00644822">
        <w:rPr>
          <w:rFonts w:ascii="Tahoma" w:hAnsi="Tahoma"/>
          <w:b/>
          <w:bCs/>
          <w:noProof/>
          <w:sz w:val="28"/>
          <w:szCs w:val="28"/>
          <w:u w:val="single"/>
          <w:rtl/>
        </w:rPr>
        <w:t>דיון והכרעה</w:t>
      </w:r>
      <w:r w:rsidRPr="00644822">
        <w:rPr>
          <w:rFonts w:ascii="Tahoma" w:hAnsi="Tahoma"/>
          <w:b/>
          <w:bCs/>
          <w:noProof/>
          <w:sz w:val="28"/>
          <w:szCs w:val="28"/>
          <w:rtl/>
        </w:rPr>
        <w:t>:</w:t>
      </w:r>
    </w:p>
    <w:p w14:paraId="299DE83A" w14:textId="77777777" w:rsidR="00482613" w:rsidRPr="00644822" w:rsidRDefault="00482613" w:rsidP="00482613">
      <w:pPr>
        <w:spacing w:line="360" w:lineRule="auto"/>
        <w:jc w:val="both"/>
        <w:rPr>
          <w:rFonts w:ascii="Arial" w:hAnsi="Arial" w:cs="Arial"/>
          <w:noProof/>
          <w:rtl/>
        </w:rPr>
      </w:pPr>
      <w:r w:rsidRPr="00644822">
        <w:rPr>
          <w:noProof/>
          <w:rtl/>
        </w:rPr>
        <w:t>תיקון 113 ל</w:t>
      </w:r>
      <w:hyperlink r:id="rId22" w:history="1">
        <w:r w:rsidR="000468AF" w:rsidRPr="000468AF">
          <w:rPr>
            <w:noProof/>
            <w:color w:val="0000FF"/>
            <w:u w:val="single"/>
            <w:rtl/>
          </w:rPr>
          <w:t>חוק העונשין</w:t>
        </w:r>
      </w:hyperlink>
      <w:r w:rsidRPr="00644822">
        <w:rPr>
          <w:noProof/>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3" w:history="1">
        <w:r w:rsidR="001659FD" w:rsidRPr="001659FD">
          <w:rPr>
            <w:rStyle w:val="Hyperlink"/>
            <w:noProof/>
            <w:rtl/>
          </w:rPr>
          <w:t>בסעיף 40ט'</w:t>
        </w:r>
      </w:hyperlink>
      <w:r w:rsidRPr="00644822">
        <w:rPr>
          <w:noProof/>
          <w:rtl/>
        </w:rPr>
        <w:t xml:space="preserve"> ל</w:t>
      </w:r>
      <w:hyperlink r:id="rId24" w:history="1">
        <w:r w:rsidR="000468AF" w:rsidRPr="000468AF">
          <w:rPr>
            <w:noProof/>
            <w:color w:val="0000FF"/>
            <w:u w:val="single"/>
            <w:rtl/>
          </w:rPr>
          <w:t>חוק העונשין</w:t>
        </w:r>
      </w:hyperlink>
      <w:r w:rsidRPr="00644822">
        <w:rPr>
          <w:noProof/>
          <w:rtl/>
        </w:rPr>
        <w:t xml:space="preserve">. </w:t>
      </w:r>
    </w:p>
    <w:p w14:paraId="29E2B743" w14:textId="77777777" w:rsidR="00482613" w:rsidRPr="00644822" w:rsidRDefault="00482613" w:rsidP="00482613">
      <w:pPr>
        <w:spacing w:line="360" w:lineRule="auto"/>
        <w:jc w:val="both"/>
        <w:rPr>
          <w:noProof/>
          <w:rtl/>
        </w:rPr>
      </w:pPr>
    </w:p>
    <w:p w14:paraId="799D5609" w14:textId="77777777" w:rsidR="00482613" w:rsidRPr="00644822" w:rsidRDefault="00482613" w:rsidP="00482613">
      <w:pPr>
        <w:spacing w:line="360" w:lineRule="auto"/>
        <w:jc w:val="both"/>
        <w:rPr>
          <w:noProof/>
          <w:rtl/>
        </w:rPr>
      </w:pPr>
      <w:r w:rsidRPr="00644822">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5" w:history="1">
        <w:r w:rsidR="001659FD" w:rsidRPr="001659FD">
          <w:rPr>
            <w:rStyle w:val="Hyperlink"/>
            <w:noProof/>
            <w:rtl/>
          </w:rPr>
          <w:t>בסעיף 40יא'</w:t>
        </w:r>
      </w:hyperlink>
      <w:r w:rsidRPr="00644822">
        <w:rPr>
          <w:noProof/>
          <w:rtl/>
        </w:rPr>
        <w:t xml:space="preserve"> לחוק. </w:t>
      </w:r>
    </w:p>
    <w:p w14:paraId="23FA892A" w14:textId="77777777" w:rsidR="00482613" w:rsidRPr="00644822" w:rsidRDefault="00482613" w:rsidP="00482613">
      <w:pPr>
        <w:spacing w:line="360" w:lineRule="auto"/>
        <w:jc w:val="both"/>
        <w:rPr>
          <w:noProof/>
        </w:rPr>
      </w:pPr>
    </w:p>
    <w:p w14:paraId="5D6CC754" w14:textId="77777777" w:rsidR="00482613" w:rsidRPr="00644822" w:rsidRDefault="00482613" w:rsidP="00482613">
      <w:pPr>
        <w:spacing w:line="360" w:lineRule="auto"/>
        <w:jc w:val="both"/>
        <w:rPr>
          <w:noProof/>
        </w:rPr>
      </w:pPr>
      <w:r w:rsidRPr="00644822">
        <w:rPr>
          <w:noProof/>
          <w:rtl/>
        </w:rPr>
        <w:t xml:space="preserve">בית המשפט רשאי לחרוג ממתחם העונש ההולם בשל שיקולי שיקום או הגנה על שלום הציבור לפי </w:t>
      </w:r>
      <w:hyperlink r:id="rId26" w:history="1">
        <w:r w:rsidR="001659FD" w:rsidRPr="001659FD">
          <w:rPr>
            <w:rStyle w:val="Hyperlink"/>
            <w:noProof/>
            <w:rtl/>
          </w:rPr>
          <w:t>סעיפים 40ד'</w:t>
        </w:r>
      </w:hyperlink>
      <w:r w:rsidRPr="00644822">
        <w:rPr>
          <w:noProof/>
          <w:rtl/>
        </w:rPr>
        <w:t xml:space="preserve"> ו</w:t>
      </w:r>
      <w:hyperlink r:id="rId27" w:history="1">
        <w:r w:rsidR="001659FD" w:rsidRPr="001659FD">
          <w:rPr>
            <w:rStyle w:val="Hyperlink"/>
            <w:noProof/>
            <w:rtl/>
          </w:rPr>
          <w:t>40 ה'</w:t>
        </w:r>
      </w:hyperlink>
      <w:r w:rsidRPr="00644822">
        <w:rPr>
          <w:noProof/>
          <w:rtl/>
        </w:rPr>
        <w:t xml:space="preserve"> לחוק.</w:t>
      </w:r>
    </w:p>
    <w:p w14:paraId="3127CEC3" w14:textId="77777777" w:rsidR="00482613" w:rsidRPr="00644822" w:rsidRDefault="00482613" w:rsidP="00482613">
      <w:pPr>
        <w:spacing w:line="360" w:lineRule="auto"/>
        <w:jc w:val="both"/>
        <w:rPr>
          <w:rFonts w:ascii="Arial" w:hAnsi="Arial"/>
          <w:noProof/>
          <w:rtl/>
        </w:rPr>
      </w:pPr>
    </w:p>
    <w:p w14:paraId="5F33E23C" w14:textId="77777777" w:rsidR="00482613" w:rsidRPr="00644822" w:rsidRDefault="00482613" w:rsidP="00482613">
      <w:pPr>
        <w:spacing w:line="360" w:lineRule="auto"/>
        <w:jc w:val="both"/>
        <w:rPr>
          <w:rFonts w:ascii="Tahoma" w:hAnsi="Tahoma"/>
          <w:u w:val="single"/>
          <w:rtl/>
        </w:rPr>
      </w:pPr>
      <w:r w:rsidRPr="00644822">
        <w:rPr>
          <w:rFonts w:ascii="Tahoma" w:hAnsi="Tahoma"/>
          <w:u w:val="single"/>
          <w:rtl/>
        </w:rPr>
        <w:t>קביעת מתחם העונש ההולם</w:t>
      </w:r>
      <w:r w:rsidRPr="00644822">
        <w:rPr>
          <w:rFonts w:ascii="Tahoma" w:hAnsi="Tahoma"/>
          <w:rtl/>
        </w:rPr>
        <w:t xml:space="preserve">: </w:t>
      </w:r>
    </w:p>
    <w:p w14:paraId="647AF801"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אין צורך להכביר מילים אודות חומרת העבירה בה הורשע הנאשם והפגיעה בערכים המוגנים לרבות בציבור בכללותו וודאי כאשר עסקינן בסם מסוג הרואין. </w:t>
      </w:r>
    </w:p>
    <w:p w14:paraId="5C8920E4" w14:textId="77777777" w:rsidR="00482613" w:rsidRPr="00644822" w:rsidRDefault="00482613" w:rsidP="00482613">
      <w:pPr>
        <w:spacing w:line="360" w:lineRule="auto"/>
        <w:jc w:val="both"/>
        <w:rPr>
          <w:rFonts w:ascii="David" w:eastAsia="Calibri" w:hAnsi="David"/>
          <w:rtl/>
        </w:rPr>
      </w:pPr>
    </w:p>
    <w:p w14:paraId="13BFC590" w14:textId="77777777" w:rsidR="00482613" w:rsidRPr="00644822" w:rsidRDefault="00482613" w:rsidP="00482613">
      <w:pPr>
        <w:spacing w:line="360" w:lineRule="auto"/>
        <w:jc w:val="both"/>
        <w:rPr>
          <w:rFonts w:ascii="David" w:hAnsi="David"/>
          <w:color w:val="000000"/>
          <w:rtl/>
        </w:rPr>
      </w:pPr>
      <w:r w:rsidRPr="00644822">
        <w:rPr>
          <w:rFonts w:ascii="David" w:hAnsi="David"/>
          <w:color w:val="000000"/>
          <w:rtl/>
        </w:rPr>
        <w:t>עבירות הסמים פוגעות בשלומו ובריאותו של הציבור. גידול סם, החזקה שלא לצריכה עצמית, יבוא סם וסחר בסם תורמות להפצת הסם. בנוסף לשימוש בסם עצמו, ההתמכרות לסמים והצורך במימונם יוצרת מעגלים רחבים של פשיעה בתחום הרכוש ובתחומים נוספים. בתי המשפט עמדו על הצורך בענישה משמעותית בעבירות אלו, המביאה בחשבון בין היתר את כמות הסם ואת חלקו של הנאשם בביצוע העבירות (</w:t>
      </w:r>
      <w:hyperlink r:id="rId28" w:history="1">
        <w:r w:rsidR="000468AF" w:rsidRPr="000468AF">
          <w:rPr>
            <w:rFonts w:ascii="David" w:hAnsi="David"/>
            <w:color w:val="0000FF"/>
            <w:u w:val="single"/>
            <w:rtl/>
          </w:rPr>
          <w:t>רע"פ 7906/19</w:t>
        </w:r>
      </w:hyperlink>
      <w:r w:rsidRPr="00644822">
        <w:rPr>
          <w:rFonts w:ascii="David" w:hAnsi="David"/>
          <w:color w:val="000000"/>
          <w:rtl/>
        </w:rPr>
        <w:t xml:space="preserve"> </w:t>
      </w:r>
      <w:r w:rsidRPr="00644822">
        <w:rPr>
          <w:rFonts w:ascii="David" w:hAnsi="David"/>
          <w:b/>
          <w:bCs/>
          <w:color w:val="000000"/>
          <w:rtl/>
        </w:rPr>
        <w:t>אדרי נ' מדינת ישראל</w:t>
      </w:r>
      <w:r w:rsidRPr="00644822">
        <w:rPr>
          <w:rFonts w:ascii="David" w:hAnsi="David"/>
          <w:color w:val="000000"/>
          <w:rtl/>
        </w:rPr>
        <w:t xml:space="preserve"> (03.12.19) וכן </w:t>
      </w:r>
      <w:hyperlink r:id="rId29" w:history="1">
        <w:r w:rsidR="000468AF" w:rsidRPr="000468AF">
          <w:rPr>
            <w:rFonts w:ascii="David" w:eastAsia="Calibri" w:hAnsi="David"/>
            <w:color w:val="0000FF"/>
            <w:u w:val="single"/>
            <w:rtl/>
          </w:rPr>
          <w:t>רע"פ 5494/19</w:t>
        </w:r>
      </w:hyperlink>
      <w:r w:rsidRPr="00644822">
        <w:rPr>
          <w:rFonts w:ascii="David" w:eastAsia="Calibri" w:hAnsi="David"/>
          <w:color w:val="000000"/>
          <w:rtl/>
        </w:rPr>
        <w:t xml:space="preserve"> </w:t>
      </w:r>
      <w:r w:rsidRPr="00644822">
        <w:rPr>
          <w:rFonts w:ascii="David" w:eastAsia="Calibri" w:hAnsi="David"/>
          <w:b/>
          <w:bCs/>
          <w:color w:val="000000"/>
          <w:rtl/>
        </w:rPr>
        <w:t>רנד נ' מדינת ישראל</w:t>
      </w:r>
      <w:r w:rsidRPr="00644822">
        <w:rPr>
          <w:rFonts w:ascii="David" w:eastAsia="Calibri" w:hAnsi="David"/>
          <w:color w:val="000000"/>
          <w:rtl/>
        </w:rPr>
        <w:t xml:space="preserve"> (22.08.19)</w:t>
      </w:r>
      <w:r w:rsidRPr="00644822">
        <w:rPr>
          <w:rFonts w:ascii="David" w:hAnsi="David"/>
          <w:color w:val="000000"/>
          <w:rtl/>
        </w:rPr>
        <w:t>).</w:t>
      </w:r>
    </w:p>
    <w:p w14:paraId="3F0AED05" w14:textId="77777777" w:rsidR="00482613" w:rsidRPr="00644822" w:rsidRDefault="00482613" w:rsidP="00482613">
      <w:pPr>
        <w:spacing w:line="360" w:lineRule="auto"/>
        <w:jc w:val="both"/>
        <w:rPr>
          <w:rFonts w:ascii="David" w:eastAsia="Calibri" w:hAnsi="David"/>
          <w:rtl/>
        </w:rPr>
      </w:pPr>
    </w:p>
    <w:p w14:paraId="2133AC24"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לא ניתן להתעלם גם מהעובדה שעבירות הסמים מגבירות ומהוות לעיתים את הסיבה העיקרית לביצוע עבירות פליליות אחרות כגון עבירות רכוש הפוגעות בקניינו של הפרט. </w:t>
      </w:r>
    </w:p>
    <w:p w14:paraId="565F93F4" w14:textId="77777777" w:rsidR="00482613" w:rsidRPr="00644822" w:rsidRDefault="00482613" w:rsidP="00482613">
      <w:pPr>
        <w:spacing w:line="360" w:lineRule="auto"/>
        <w:jc w:val="both"/>
        <w:rPr>
          <w:rFonts w:ascii="David" w:eastAsia="Calibri" w:hAnsi="David"/>
          <w:spacing w:val="10"/>
        </w:rPr>
      </w:pPr>
      <w:r w:rsidRPr="00644822">
        <w:rPr>
          <w:rFonts w:ascii="David" w:eastAsia="Calibri" w:hAnsi="David"/>
          <w:rtl/>
        </w:rPr>
        <w:t>ב</w:t>
      </w:r>
      <w:hyperlink r:id="rId30" w:history="1">
        <w:r w:rsidR="000468AF" w:rsidRPr="000468AF">
          <w:rPr>
            <w:rFonts w:ascii="David" w:eastAsia="Calibri" w:hAnsi="David"/>
            <w:color w:val="0000FF"/>
            <w:u w:val="single"/>
            <w:rtl/>
          </w:rPr>
          <w:t>ע"פ 966/94</w:t>
        </w:r>
      </w:hyperlink>
      <w:r w:rsidRPr="00644822">
        <w:rPr>
          <w:rFonts w:ascii="David" w:eastAsia="Calibri" w:hAnsi="David"/>
          <w:rtl/>
        </w:rPr>
        <w:t xml:space="preserve"> אמזלג נ' מדינת ישראל, </w:t>
      </w:r>
      <w:r w:rsidRPr="00644822">
        <w:rPr>
          <w:rFonts w:ascii="David" w:eastAsia="Calibri"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Pr="00644822">
        <w:rPr>
          <w:rFonts w:ascii="David" w:eastAsia="Calibri"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sidRPr="00644822">
        <w:rPr>
          <w:rFonts w:ascii="David" w:eastAsia="Calibri" w:hAnsi="David"/>
          <w:spacing w:val="10"/>
          <w:rtl/>
        </w:rPr>
        <w:t xml:space="preserve"> </w:t>
      </w:r>
    </w:p>
    <w:p w14:paraId="2BBBDE4B" w14:textId="77777777" w:rsidR="00482613" w:rsidRPr="00644822" w:rsidRDefault="00482613" w:rsidP="00482613">
      <w:pPr>
        <w:spacing w:line="360" w:lineRule="auto"/>
        <w:jc w:val="both"/>
        <w:rPr>
          <w:rFonts w:ascii="David" w:eastAsia="Calibri" w:hAnsi="David"/>
          <w:spacing w:val="10"/>
        </w:rPr>
      </w:pPr>
    </w:p>
    <w:p w14:paraId="614BB73D" w14:textId="77777777" w:rsidR="00482613" w:rsidRPr="00644822" w:rsidRDefault="00482613" w:rsidP="00482613">
      <w:pPr>
        <w:spacing w:line="360" w:lineRule="auto"/>
        <w:jc w:val="both"/>
        <w:rPr>
          <w:rFonts w:ascii="David" w:eastAsia="Calibri" w:hAnsi="David"/>
          <w:b/>
          <w:bCs/>
          <w:color w:val="000000"/>
          <w:rtl/>
        </w:rPr>
      </w:pPr>
      <w:r w:rsidRPr="00644822">
        <w:rPr>
          <w:rFonts w:ascii="David" w:eastAsia="Calibri" w:hAnsi="David"/>
          <w:spacing w:val="10"/>
          <w:rtl/>
        </w:rPr>
        <w:t xml:space="preserve">ראו לעניין זה גם </w:t>
      </w:r>
      <w:hyperlink r:id="rId31" w:history="1">
        <w:r w:rsidR="000468AF" w:rsidRPr="000468AF">
          <w:rPr>
            <w:rFonts w:ascii="David" w:eastAsia="Calibri" w:hAnsi="David"/>
            <w:color w:val="0000FF"/>
            <w:spacing w:val="10"/>
            <w:u w:val="single"/>
            <w:rtl/>
          </w:rPr>
          <w:t>ע"פ 211/09</w:t>
        </w:r>
      </w:hyperlink>
      <w:r w:rsidRPr="00644822">
        <w:rPr>
          <w:rFonts w:ascii="David" w:eastAsia="Calibri" w:hAnsi="David"/>
          <w:rtl/>
        </w:rPr>
        <w:t xml:space="preserve"> אזולאי נ' מדינת ישראל</w:t>
      </w:r>
      <w:r w:rsidRPr="00644822">
        <w:rPr>
          <w:rFonts w:ascii="David" w:eastAsia="Calibri" w:hAnsi="David"/>
          <w:spacing w:val="10"/>
          <w:rtl/>
        </w:rPr>
        <w:t>:</w:t>
      </w:r>
      <w:r w:rsidRPr="00644822">
        <w:rPr>
          <w:rFonts w:ascii="David" w:eastAsia="Calibri" w:hAnsi="David"/>
          <w:b/>
          <w:bCs/>
          <w:color w:val="000000"/>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30C190C1" w14:textId="77777777" w:rsidR="00482613" w:rsidRPr="00644822" w:rsidRDefault="00482613" w:rsidP="00482613">
      <w:pPr>
        <w:spacing w:line="360" w:lineRule="auto"/>
        <w:jc w:val="both"/>
        <w:rPr>
          <w:rFonts w:ascii="David" w:hAnsi="David"/>
          <w:color w:val="000000"/>
          <w:rtl/>
        </w:rPr>
      </w:pPr>
    </w:p>
    <w:p w14:paraId="0CDAFDAE" w14:textId="77777777" w:rsidR="00482613" w:rsidRPr="00644822" w:rsidRDefault="00482613" w:rsidP="00482613">
      <w:pPr>
        <w:spacing w:line="360" w:lineRule="auto"/>
        <w:jc w:val="both"/>
        <w:rPr>
          <w:rFonts w:ascii="David" w:eastAsia="Calibri" w:hAnsi="David"/>
          <w:rtl/>
        </w:rPr>
      </w:pPr>
      <w:r w:rsidRPr="00644822">
        <w:rPr>
          <w:rFonts w:ascii="David" w:hAnsi="David"/>
          <w:color w:val="000000"/>
          <w:rtl/>
        </w:rPr>
        <w:t>בענייננו הורשע הנאשם בעבירות סחר בסם ובהחזקה שלא לשימוש עצמי. עם זאת, מעובדות כתב האישום אכן עולה תמונה של מספר עסקאות בודדות. כך גם, כמות הסם שנסחרה נמוכה והתמורה הכספית שניתנה עבורה איננה גבוהה (</w:t>
      </w:r>
      <w:r w:rsidRPr="00644822">
        <w:rPr>
          <w:rFonts w:ascii="David" w:hAnsi="David"/>
          <w:b/>
          <w:bCs/>
          <w:color w:val="000000"/>
          <w:rtl/>
        </w:rPr>
        <w:t>כ- 10 גרם וכשבע מאות וחמישים ש"ח</w:t>
      </w:r>
      <w:r w:rsidRPr="00644822">
        <w:rPr>
          <w:rFonts w:ascii="David" w:hAnsi="David"/>
          <w:color w:val="000000"/>
          <w:rtl/>
        </w:rPr>
        <w:t xml:space="preserve">). </w:t>
      </w:r>
    </w:p>
    <w:p w14:paraId="4842AD37" w14:textId="77777777" w:rsidR="00482613" w:rsidRPr="00644822" w:rsidRDefault="00482613" w:rsidP="00482613">
      <w:pPr>
        <w:spacing w:line="360" w:lineRule="auto"/>
        <w:jc w:val="both"/>
        <w:rPr>
          <w:rFonts w:ascii="David" w:eastAsia="Calibri" w:hAnsi="David"/>
          <w:rtl/>
        </w:rPr>
      </w:pPr>
    </w:p>
    <w:p w14:paraId="40FBE8E1"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סקירת מדיניות הענישה הנוהגת בתיקי סחר מלמדת על טווח ענישה רחב התלוי לרוב בנסיבותיו של כל מקרה ומקרה, זאת בהתחשב בכמות הסם שנסחרה, סוג הסם ומספר העסקאות. </w:t>
      </w:r>
    </w:p>
    <w:p w14:paraId="1B21C7AC" w14:textId="77777777" w:rsidR="00482613" w:rsidRPr="00644822" w:rsidRDefault="00482613" w:rsidP="00482613">
      <w:pPr>
        <w:spacing w:line="360" w:lineRule="auto"/>
        <w:jc w:val="both"/>
        <w:rPr>
          <w:rFonts w:ascii="David" w:hAnsi="David"/>
          <w:rtl/>
        </w:rPr>
      </w:pPr>
    </w:p>
    <w:p w14:paraId="79F5D358" w14:textId="77777777" w:rsidR="00482613" w:rsidRPr="00644822" w:rsidRDefault="00482613" w:rsidP="00482613">
      <w:pPr>
        <w:spacing w:line="360" w:lineRule="auto"/>
        <w:jc w:val="both"/>
        <w:rPr>
          <w:rFonts w:ascii="David" w:eastAsia="Calibri" w:hAnsi="David"/>
          <w:rtl/>
        </w:rPr>
      </w:pPr>
      <w:r w:rsidRPr="00644822">
        <w:rPr>
          <w:rFonts w:ascii="David" w:hAnsi="David"/>
          <w:rtl/>
        </w:rPr>
        <w:t>ב</w:t>
      </w:r>
      <w:hyperlink r:id="rId32" w:history="1">
        <w:r w:rsidR="000468AF" w:rsidRPr="000468AF">
          <w:rPr>
            <w:rFonts w:ascii="David" w:hAnsi="David"/>
            <w:color w:val="0000FF"/>
            <w:u w:val="single"/>
            <w:rtl/>
          </w:rPr>
          <w:t>רע"פ 5494/19</w:t>
        </w:r>
      </w:hyperlink>
      <w:r w:rsidRPr="00644822">
        <w:rPr>
          <w:rFonts w:ascii="David" w:hAnsi="David"/>
          <w:rtl/>
        </w:rPr>
        <w:t xml:space="preserve"> </w:t>
      </w:r>
      <w:r w:rsidRPr="00644822">
        <w:rPr>
          <w:rFonts w:ascii="David" w:hAnsi="David"/>
          <w:b/>
          <w:bCs/>
          <w:rtl/>
        </w:rPr>
        <w:t>רנד נ' מדינת ישראל</w:t>
      </w:r>
      <w:r w:rsidRPr="00644822">
        <w:rPr>
          <w:rFonts w:ascii="David" w:hAnsi="David"/>
          <w:rtl/>
        </w:rPr>
        <w:t xml:space="preserve"> (22.08.19) – נדחתה </w:t>
      </w:r>
      <w:r w:rsidRPr="00644822">
        <w:rPr>
          <w:rFonts w:ascii="David" w:eastAsia="Calibri" w:hAnsi="David"/>
          <w:rtl/>
        </w:rPr>
        <w:t>בקשת ערעור של נאשם שבית המשפט השלום דן אותו ל-6 חודשי מאסר בפועל בעבודות שירות לצד ענישה נלווית לאחר שהורשע בשתי עסקאות מכירת סם מסוכן מסוג "קריסטל" תמורת סך כולל של 750 ₪ והחזקה ברכבו 14 "יחידות" של סם מסוג הרואין במשקל כולל של כ-11 גרם, ו-8 "יחידות" של סם מסוג קוקאין במשקל כולל של כ-1.9 גרם. בית המשפט קבע מתחם ענישה בין 6-18 חודשי מאסר בפועל וגזר 6 חודשי עבודות שירות בשל נסיבותיו של הנאשם. המדינה לא ערערה על גזר הדין ובקשת ערעורו של הנאשם נדחתה כאמור.</w:t>
      </w:r>
    </w:p>
    <w:p w14:paraId="66B9CA35" w14:textId="77777777" w:rsidR="00482613" w:rsidRPr="00644822" w:rsidRDefault="00482613" w:rsidP="00482613">
      <w:pPr>
        <w:spacing w:line="360" w:lineRule="auto"/>
        <w:jc w:val="both"/>
        <w:rPr>
          <w:rFonts w:ascii="David" w:hAnsi="David"/>
          <w:rtl/>
        </w:rPr>
      </w:pPr>
    </w:p>
    <w:p w14:paraId="008F3B2F" w14:textId="77777777" w:rsidR="00482613" w:rsidRPr="00644822" w:rsidRDefault="00482613" w:rsidP="00482613">
      <w:pPr>
        <w:spacing w:line="360" w:lineRule="auto"/>
        <w:jc w:val="both"/>
        <w:rPr>
          <w:rFonts w:ascii="David" w:hAnsi="David"/>
          <w:rtl/>
        </w:rPr>
      </w:pPr>
      <w:r w:rsidRPr="00644822">
        <w:rPr>
          <w:rFonts w:ascii="David" w:eastAsia="Calibri" w:hAnsi="David"/>
          <w:rtl/>
        </w:rPr>
        <w:t>ב</w:t>
      </w:r>
      <w:hyperlink r:id="rId33" w:history="1">
        <w:r w:rsidR="000468AF" w:rsidRPr="000468AF">
          <w:rPr>
            <w:rFonts w:ascii="David" w:eastAsia="Calibri" w:hAnsi="David"/>
            <w:color w:val="0000FF"/>
            <w:u w:val="single"/>
            <w:rtl/>
          </w:rPr>
          <w:t>ע"פ 6286/20</w:t>
        </w:r>
      </w:hyperlink>
      <w:r w:rsidR="000468AF">
        <w:rPr>
          <w:rFonts w:ascii="David" w:eastAsia="Calibri" w:hAnsi="David"/>
          <w:rtl/>
        </w:rPr>
        <w:t xml:space="preserve"> </w:t>
      </w:r>
      <w:r w:rsidRPr="00644822">
        <w:rPr>
          <w:rFonts w:ascii="David" w:eastAsia="Calibri" w:hAnsi="David"/>
          <w:b/>
          <w:bCs/>
          <w:rtl/>
        </w:rPr>
        <w:t>פלוני נ' מדינת ישראל</w:t>
      </w:r>
      <w:r w:rsidR="000468AF">
        <w:rPr>
          <w:rFonts w:ascii="David" w:eastAsia="Calibri" w:hAnsi="David"/>
          <w:rtl/>
        </w:rPr>
        <w:t xml:space="preserve"> </w:t>
      </w:r>
      <w:r w:rsidRPr="00644822">
        <w:rPr>
          <w:rFonts w:ascii="David" w:eastAsia="Calibri" w:hAnsi="David"/>
          <w:rtl/>
        </w:rPr>
        <w:t>(22.09.20) – נדחתה בקשת ערעור של נאשם שבית משפט השלום דן אותו ל-25 חודשי מאסר בפועל לאחר שהורשע בשתי עבירות סחר בסם, כשמכר לסוכן משטרתי 100 גרם הרואין בסך 10,000 ש"ח.</w:t>
      </w:r>
      <w:r w:rsidRPr="00644822">
        <w:rPr>
          <w:rFonts w:ascii="David" w:hAnsi="David"/>
          <w:rtl/>
        </w:rPr>
        <w:t xml:space="preserve"> בית המשפט קבע מתחם ענישה 18-36 חודשי מאסר וגזר כאמור 25 חודשים על הנאשם שהיה בעל עבר פלילי כבד והורשע גם בשתי עבירות איומים על עובד ציבור.</w:t>
      </w:r>
    </w:p>
    <w:p w14:paraId="11DE2B15" w14:textId="77777777" w:rsidR="00482613" w:rsidRPr="00644822" w:rsidRDefault="00482613" w:rsidP="00482613">
      <w:pPr>
        <w:spacing w:line="360" w:lineRule="auto"/>
        <w:jc w:val="both"/>
        <w:rPr>
          <w:rFonts w:ascii="David" w:eastAsia="Calibri" w:hAnsi="David"/>
          <w:rtl/>
        </w:rPr>
      </w:pPr>
    </w:p>
    <w:p w14:paraId="1327702B" w14:textId="77777777" w:rsidR="00482613" w:rsidRPr="00644822" w:rsidRDefault="00482613" w:rsidP="00482613">
      <w:pPr>
        <w:spacing w:line="360" w:lineRule="auto"/>
        <w:jc w:val="both"/>
        <w:rPr>
          <w:rFonts w:ascii="David" w:eastAsia="Calibri" w:hAnsi="David"/>
          <w:color w:val="0000FF"/>
          <w:u w:val="single"/>
          <w:rtl/>
        </w:rPr>
      </w:pPr>
      <w:r w:rsidRPr="00644822">
        <w:rPr>
          <w:rFonts w:ascii="David" w:eastAsia="Calibri" w:hAnsi="David"/>
          <w:rtl/>
        </w:rPr>
        <w:t>ב</w:t>
      </w:r>
      <w:hyperlink r:id="rId34" w:history="1">
        <w:r w:rsidR="000468AF" w:rsidRPr="000468AF">
          <w:rPr>
            <w:rFonts w:ascii="David" w:eastAsia="Calibri" w:hAnsi="David"/>
            <w:color w:val="0000FF"/>
            <w:u w:val="single"/>
            <w:rtl/>
          </w:rPr>
          <w:t>רע"פ 1183/18</w:t>
        </w:r>
      </w:hyperlink>
      <w:r w:rsidR="000468AF">
        <w:rPr>
          <w:rFonts w:ascii="David" w:eastAsia="Calibri" w:hAnsi="David"/>
          <w:rtl/>
        </w:rPr>
        <w:t xml:space="preserve"> </w:t>
      </w:r>
      <w:r w:rsidRPr="00644822">
        <w:rPr>
          <w:rFonts w:ascii="David" w:eastAsia="Calibri" w:hAnsi="David"/>
          <w:b/>
          <w:bCs/>
          <w:rtl/>
        </w:rPr>
        <w:t xml:space="preserve">דולב </w:t>
      </w:r>
      <w:r w:rsidRPr="00644822">
        <w:rPr>
          <w:rFonts w:ascii="David" w:eastAsia="Calibri" w:hAnsi="David"/>
          <w:b/>
          <w:bCs/>
          <w:color w:val="000000"/>
          <w:rtl/>
        </w:rPr>
        <w:t>ששון נ' מדינת ישראל</w:t>
      </w:r>
      <w:r w:rsidR="000468AF">
        <w:rPr>
          <w:rFonts w:ascii="David" w:eastAsia="Calibri" w:hAnsi="David"/>
          <w:color w:val="000000"/>
          <w:rtl/>
        </w:rPr>
        <w:t xml:space="preserve"> </w:t>
      </w:r>
      <w:r w:rsidRPr="00644822">
        <w:rPr>
          <w:rFonts w:ascii="David" w:eastAsia="Calibri" w:hAnsi="David"/>
          <w:color w:val="000000"/>
          <w:rtl/>
        </w:rPr>
        <w:t>(21.03.18) – נדון עניינו של מי שבשני מועדים סיכם עם אחר למכור לו סמים מסוג</w:t>
      </w:r>
      <w:r w:rsidR="000468AF">
        <w:rPr>
          <w:rFonts w:ascii="David" w:eastAsia="Calibri" w:hAnsi="David"/>
          <w:color w:val="000000"/>
          <w:rtl/>
        </w:rPr>
        <w:t xml:space="preserve"> </w:t>
      </w:r>
      <w:r w:rsidRPr="00644822">
        <w:rPr>
          <w:rFonts w:ascii="David" w:eastAsia="Calibri" w:hAnsi="David"/>
          <w:color w:val="000000"/>
        </w:rPr>
        <w:t>LSD</w:t>
      </w:r>
      <w:r w:rsidR="000468AF">
        <w:rPr>
          <w:rFonts w:ascii="David" w:eastAsia="Calibri" w:hAnsi="David"/>
          <w:color w:val="000000"/>
          <w:rtl/>
        </w:rPr>
        <w:t xml:space="preserve"> </w:t>
      </w:r>
      <w:r w:rsidRPr="00644822">
        <w:rPr>
          <w:rFonts w:ascii="David" w:eastAsia="Calibri" w:hAnsi="David"/>
          <w:color w:val="000000"/>
          <w:rtl/>
        </w:rPr>
        <w:t>– פעם אחת ב-150 ₪ ובפעם השניה ב-500 ₪. נקבע כי מתחם העונש ההולם הוא בין מספר חודשי מאסר בפועל לשנה מאסר בפועל ונגזרו 5 חודשי מאסר בפועל (ערעור ובקשת רשות ערעור נדחו).</w:t>
      </w:r>
      <w:r w:rsidR="000468AF">
        <w:rPr>
          <w:rFonts w:ascii="David" w:eastAsia="Calibri" w:hAnsi="David"/>
          <w:color w:val="000000"/>
          <w:rtl/>
        </w:rPr>
        <w:t xml:space="preserve"> </w:t>
      </w:r>
    </w:p>
    <w:p w14:paraId="6B06CEB0" w14:textId="77777777" w:rsidR="00482613" w:rsidRPr="00644822" w:rsidRDefault="00482613" w:rsidP="00482613">
      <w:pPr>
        <w:spacing w:line="360" w:lineRule="auto"/>
        <w:jc w:val="both"/>
        <w:rPr>
          <w:rFonts w:ascii="David" w:eastAsia="Calibri" w:hAnsi="David"/>
          <w:rtl/>
        </w:rPr>
      </w:pPr>
    </w:p>
    <w:p w14:paraId="7F342CCF" w14:textId="77777777" w:rsidR="00482613" w:rsidRPr="00644822" w:rsidRDefault="00482613" w:rsidP="00482613">
      <w:pPr>
        <w:spacing w:line="360" w:lineRule="auto"/>
        <w:jc w:val="both"/>
        <w:rPr>
          <w:rFonts w:ascii="David" w:eastAsia="Calibri" w:hAnsi="David"/>
          <w:color w:val="000000"/>
          <w:rtl/>
        </w:rPr>
      </w:pPr>
      <w:r w:rsidRPr="00644822">
        <w:rPr>
          <w:rFonts w:ascii="David" w:eastAsia="Calibri" w:hAnsi="David"/>
          <w:rtl/>
        </w:rPr>
        <w:t>ב</w:t>
      </w:r>
      <w:hyperlink r:id="rId35" w:history="1">
        <w:r w:rsidR="000468AF" w:rsidRPr="000468AF">
          <w:rPr>
            <w:rFonts w:ascii="David" w:eastAsia="Calibri" w:hAnsi="David"/>
            <w:color w:val="0000FF"/>
            <w:u w:val="single"/>
            <w:rtl/>
          </w:rPr>
          <w:t>רע"פ 747/14</w:t>
        </w:r>
      </w:hyperlink>
      <w:r w:rsidR="000468AF">
        <w:rPr>
          <w:rFonts w:ascii="David" w:eastAsia="Calibri" w:hAnsi="David"/>
          <w:rtl/>
        </w:rPr>
        <w:t xml:space="preserve"> </w:t>
      </w:r>
      <w:r w:rsidRPr="00644822">
        <w:rPr>
          <w:rFonts w:ascii="David" w:eastAsia="Calibri" w:hAnsi="David"/>
          <w:b/>
          <w:bCs/>
          <w:rtl/>
        </w:rPr>
        <w:t xml:space="preserve">אלי </w:t>
      </w:r>
      <w:r w:rsidRPr="00644822">
        <w:rPr>
          <w:rFonts w:ascii="David" w:eastAsia="Calibri" w:hAnsi="David"/>
          <w:b/>
          <w:bCs/>
          <w:color w:val="000000"/>
          <w:rtl/>
        </w:rPr>
        <w:t>לוי נ' מדינת ישראל</w:t>
      </w:r>
      <w:r w:rsidR="000468AF">
        <w:rPr>
          <w:rFonts w:ascii="David" w:eastAsia="Calibri" w:hAnsi="David"/>
          <w:color w:val="000000"/>
          <w:rtl/>
        </w:rPr>
        <w:t xml:space="preserve"> </w:t>
      </w:r>
      <w:r w:rsidRPr="00644822">
        <w:rPr>
          <w:rFonts w:ascii="David" w:eastAsia="Calibri" w:hAnsi="David"/>
          <w:color w:val="000000"/>
          <w:rtl/>
        </w:rPr>
        <w:t>(11.02.14) – נדחתה בקשת רשות ערעור על עונשו של מי שהחזיק שלא לצריכה עצמית 5 גרם הרואין וכמות קטנה של קוקאין ונדון ל-8 חודשי מאסר בפועל שנקבעו כקצה התחתון של מתחם העונש ההולם שמגיע בקצהו העליון ל-18 חודשי מאסר בפועל.</w:t>
      </w:r>
      <w:r w:rsidR="000468AF">
        <w:rPr>
          <w:rFonts w:ascii="David" w:eastAsia="Calibri" w:hAnsi="David"/>
          <w:color w:val="000000"/>
          <w:rtl/>
        </w:rPr>
        <w:t xml:space="preserve"> </w:t>
      </w:r>
      <w:r w:rsidRPr="00644822">
        <w:rPr>
          <w:rFonts w:ascii="David" w:eastAsia="Calibri" w:hAnsi="David"/>
          <w:color w:val="000000"/>
          <w:rtl/>
        </w:rPr>
        <w:t xml:space="preserve"> </w:t>
      </w:r>
    </w:p>
    <w:p w14:paraId="0FA7F4F7" w14:textId="77777777" w:rsidR="00482613" w:rsidRPr="00644822" w:rsidRDefault="00482613" w:rsidP="00482613">
      <w:pPr>
        <w:spacing w:line="360" w:lineRule="auto"/>
        <w:jc w:val="both"/>
        <w:rPr>
          <w:rFonts w:ascii="David" w:eastAsia="Calibri" w:hAnsi="David"/>
          <w:rtl/>
        </w:rPr>
      </w:pPr>
    </w:p>
    <w:p w14:paraId="396D73A2" w14:textId="77777777" w:rsidR="00482613" w:rsidRDefault="00482613" w:rsidP="00482613">
      <w:pPr>
        <w:spacing w:line="360" w:lineRule="auto"/>
        <w:jc w:val="both"/>
        <w:rPr>
          <w:rFonts w:ascii="David" w:eastAsia="Calibri" w:hAnsi="David"/>
          <w:noProof/>
          <w:rtl/>
        </w:rPr>
      </w:pPr>
      <w:r w:rsidRPr="00644822">
        <w:rPr>
          <w:rFonts w:ascii="David" w:hAnsi="David"/>
          <w:noProof/>
          <w:rtl/>
        </w:rPr>
        <w:t>על כן ולאור כל האמור לעיל, בהתחשב בשיקולים האמורים ובנסיבות המקרה דנא, אני קובע כי מתחם העונש ההולם ביחס לעבירות בהן הורשע הנאשם, הינו מ-8 חודשי מאסר בפועל ועד 20 חודשי מאסר בפועל לצד ענישה נלווית.</w:t>
      </w:r>
    </w:p>
    <w:p w14:paraId="36F9E7C4" w14:textId="77777777" w:rsidR="00482613" w:rsidRPr="00644822" w:rsidRDefault="00482613" w:rsidP="00482613">
      <w:pPr>
        <w:spacing w:line="360" w:lineRule="auto"/>
        <w:jc w:val="both"/>
        <w:rPr>
          <w:rFonts w:ascii="David" w:eastAsia="Calibri" w:hAnsi="David"/>
          <w:noProof/>
          <w:rtl/>
        </w:rPr>
      </w:pPr>
    </w:p>
    <w:p w14:paraId="2C3D22D8" w14:textId="77777777" w:rsidR="00482613" w:rsidRPr="00644822" w:rsidRDefault="00482613" w:rsidP="00482613">
      <w:pPr>
        <w:spacing w:line="360" w:lineRule="auto"/>
        <w:jc w:val="both"/>
        <w:rPr>
          <w:rFonts w:ascii="David" w:hAnsi="David"/>
          <w:noProof/>
        </w:rPr>
      </w:pPr>
    </w:p>
    <w:p w14:paraId="406E8DBD" w14:textId="77777777" w:rsidR="00482613" w:rsidRPr="00644822" w:rsidRDefault="00482613" w:rsidP="00482613">
      <w:pPr>
        <w:spacing w:line="360" w:lineRule="auto"/>
        <w:jc w:val="both"/>
        <w:rPr>
          <w:rFonts w:ascii="David" w:hAnsi="David"/>
          <w:u w:val="single"/>
          <w:rtl/>
        </w:rPr>
      </w:pPr>
      <w:r w:rsidRPr="00644822">
        <w:rPr>
          <w:rFonts w:ascii="David" w:hAnsi="David"/>
          <w:u w:val="single"/>
          <w:rtl/>
        </w:rPr>
        <w:t>גזירת עונשו של הנאשם בתוך מתחם העונש ההולם</w:t>
      </w:r>
      <w:r w:rsidRPr="00644822">
        <w:rPr>
          <w:rFonts w:ascii="David" w:hAnsi="David"/>
          <w:rtl/>
        </w:rPr>
        <w:t>:</w:t>
      </w:r>
    </w:p>
    <w:p w14:paraId="6C405A42"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הנאשם הודה בעבירה המיוחסת לו בכתב האישום המתוקן בהזדמנות הראשונה, לקח אחריות על מעשיו וחסך זמן שיפוטי יקר כמו גם את עדותם של עדים רבים. </w:t>
      </w:r>
    </w:p>
    <w:p w14:paraId="7BD38491" w14:textId="77777777" w:rsidR="00482613" w:rsidRPr="00644822" w:rsidRDefault="00482613" w:rsidP="00482613">
      <w:pPr>
        <w:spacing w:line="360" w:lineRule="auto"/>
        <w:jc w:val="both"/>
        <w:rPr>
          <w:rFonts w:ascii="David" w:eastAsia="Calibri" w:hAnsi="David"/>
          <w:rtl/>
        </w:rPr>
      </w:pPr>
    </w:p>
    <w:p w14:paraId="7C91B2C5"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לקחתי בחשבון את העובדה שלחובת הנאשם הרשעות קודמות, בהן הרשעה אחרונה בעבירה דומה בגינה הוטל עליו עונש מאסר בפועל למשך 10 חודשים לצד עונש מאסר מותנה של 8 חודשים שהינו כאמור חב הפעלה בתיק זה (</w:t>
      </w:r>
      <w:hyperlink r:id="rId36" w:history="1">
        <w:r w:rsidR="000468AF" w:rsidRPr="000468AF">
          <w:rPr>
            <w:rFonts w:ascii="David" w:eastAsia="Calibri" w:hAnsi="David"/>
            <w:color w:val="0000FF"/>
            <w:u w:val="single"/>
            <w:rtl/>
          </w:rPr>
          <w:t>ת"פ 24311-06-19</w:t>
        </w:r>
      </w:hyperlink>
      <w:r w:rsidRPr="00644822">
        <w:rPr>
          <w:rFonts w:ascii="David" w:eastAsia="Calibri" w:hAnsi="David"/>
          <w:rtl/>
        </w:rPr>
        <w:t xml:space="preserve"> בית משפט שלום חדרה, גזר דין מתאריך 07.10.19). </w:t>
      </w:r>
    </w:p>
    <w:p w14:paraId="7C8438C2" w14:textId="77777777" w:rsidR="00482613" w:rsidRPr="00644822" w:rsidRDefault="00482613" w:rsidP="00482613">
      <w:pPr>
        <w:spacing w:line="360" w:lineRule="auto"/>
        <w:jc w:val="both"/>
        <w:rPr>
          <w:rFonts w:ascii="David" w:eastAsia="Calibri" w:hAnsi="David"/>
          <w:rtl/>
        </w:rPr>
      </w:pPr>
    </w:p>
    <w:p w14:paraId="77825ACA"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הנאשם ריצה בעבר עונשי מאסר, הוטלו עליו עונשי מאסר מותנים, רישיונו נפסל בפועל ועל תנאי אך עדיין עונשים אלה לא הרתיעו אותו מלחזור לסורו. הנאשם היה מודע לחומרת מעשיו, לנזק אותו הוא מסב לחברה, כך גם היה מודע לעונש בו יצטרך לשאת במידה וייתפס ויורשע בעבירה של החזקת סם בין אם לצריכה עצמית ובין אם לאו ולמרות זאת, הוסיף הנאשם חטא על פשע והוסיף לעבירת ההחזקה גם עבירות של סחר.</w:t>
      </w:r>
    </w:p>
    <w:p w14:paraId="5EE20260" w14:textId="77777777" w:rsidR="00482613" w:rsidRPr="00644822" w:rsidRDefault="00482613" w:rsidP="00482613">
      <w:pPr>
        <w:spacing w:line="360" w:lineRule="auto"/>
        <w:jc w:val="both"/>
        <w:rPr>
          <w:rFonts w:ascii="David" w:eastAsia="Calibri" w:hAnsi="David"/>
          <w:rtl/>
        </w:rPr>
      </w:pPr>
    </w:p>
    <w:p w14:paraId="1F81F49E"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לקחתי בחשבון את דברי ב"כ הנאשם אשר ביקש להקל בעונשו של מרשו בהתחשב בנסיבותיו האישיות ולהטיל עליו ענישה מתחשבת וכן את העובדה שהוא נמצא במעצר מתאריך 22.06.22, דהיינו מזה כשמונה וחצי חודשים כאשר ידוע שתנאי המעצר קשים הם מתנאי המאסר. </w:t>
      </w:r>
    </w:p>
    <w:p w14:paraId="57921FC6" w14:textId="77777777" w:rsidR="00482613" w:rsidRPr="00644822" w:rsidRDefault="00482613" w:rsidP="00482613">
      <w:pPr>
        <w:spacing w:line="360" w:lineRule="auto"/>
        <w:jc w:val="both"/>
        <w:rPr>
          <w:rFonts w:ascii="David" w:eastAsia="Calibri" w:hAnsi="David"/>
          <w:rtl/>
        </w:rPr>
      </w:pPr>
    </w:p>
    <w:p w14:paraId="1BD9C89F"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לאחר ששקלתי את מכלול השיקולים האמורים לעיל ונתתי את דעתי לטיעוני הצדדים, באתי לכלל מסקנה שיש למקם את העונש המתאים שיוטל על הנאשם ברף האמצעי של המתחם.</w:t>
      </w:r>
    </w:p>
    <w:p w14:paraId="0CF23F80" w14:textId="77777777" w:rsidR="00482613" w:rsidRPr="00644822" w:rsidRDefault="00482613" w:rsidP="00482613">
      <w:pPr>
        <w:spacing w:line="360" w:lineRule="auto"/>
        <w:jc w:val="both"/>
        <w:rPr>
          <w:rFonts w:ascii="David" w:eastAsia="Calibri" w:hAnsi="David"/>
          <w:rtl/>
        </w:rPr>
      </w:pPr>
    </w:p>
    <w:p w14:paraId="447ACCC5"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באשר לאופן הפעלת עונש המאסר המותנה, בהתאם לאמור </w:t>
      </w:r>
      <w:hyperlink r:id="rId37" w:history="1">
        <w:r w:rsidR="001659FD" w:rsidRPr="001659FD">
          <w:rPr>
            <w:rStyle w:val="Hyperlink"/>
            <w:rFonts w:ascii="David" w:eastAsia="Calibri" w:hAnsi="David"/>
            <w:rtl/>
          </w:rPr>
          <w:t>בסעיף 58</w:t>
        </w:r>
      </w:hyperlink>
      <w:r w:rsidRPr="00644822">
        <w:rPr>
          <w:rFonts w:ascii="David" w:eastAsia="Calibri" w:hAnsi="David"/>
          <w:rtl/>
        </w:rPr>
        <w:t xml:space="preserve"> ל</w:t>
      </w:r>
      <w:hyperlink r:id="rId38" w:history="1">
        <w:r w:rsidR="000468AF" w:rsidRPr="000468AF">
          <w:rPr>
            <w:rFonts w:ascii="David" w:eastAsia="Calibri" w:hAnsi="David"/>
            <w:color w:val="0000FF"/>
            <w:u w:val="single"/>
            <w:rtl/>
          </w:rPr>
          <w:t>חוק העונשין</w:t>
        </w:r>
      </w:hyperlink>
      <w:r w:rsidRPr="00644822">
        <w:rPr>
          <w:rFonts w:ascii="David" w:eastAsia="Calibri" w:hAnsi="David"/>
          <w:rtl/>
        </w:rPr>
        <w:t xml:space="preserve">, הכלל הוא שעונש המאסר המותנה ירוצה במצטבר לעונש המאסר שיוטל על הנאשם בגין ההליך הנוכחי, אלא אם כן יגיע בית המשפט למסקנה שבנסיבות המקרה ניתן יהיה להורות שעונש המאסר ירוצה שלא במצטבר וזאת בשל טעמים שירשמו. </w:t>
      </w:r>
    </w:p>
    <w:p w14:paraId="360E6F0B" w14:textId="77777777" w:rsidR="00482613" w:rsidRPr="00644822" w:rsidRDefault="00482613" w:rsidP="00482613">
      <w:pPr>
        <w:spacing w:line="360" w:lineRule="auto"/>
        <w:jc w:val="both"/>
        <w:rPr>
          <w:rFonts w:ascii="David" w:eastAsia="Calibri" w:hAnsi="David"/>
          <w:rtl/>
        </w:rPr>
      </w:pPr>
    </w:p>
    <w:p w14:paraId="62C6CBCA"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בענייננו, סבורני שלאור הודאתו של הנאשם, לקיחת אחריות מלאה על מעשיו והחיסכון בזמן השיפוטי היקר, ניתן לקבוע שבנסיבות אלה וודאי אל מול תקופת המאסר אותה עתיד הנאשם לרצות בגין העבירות בהן הורשע בתיק זה, ירוצה עונש המאסר המותנה חלקו בחופף וחלקו במצטבר לעונש המאסר שאגזור על הנאשם בגין תיק זה. </w:t>
      </w:r>
    </w:p>
    <w:p w14:paraId="7F84F991" w14:textId="77777777" w:rsidR="00482613" w:rsidRPr="00644822" w:rsidRDefault="00482613" w:rsidP="00482613">
      <w:pPr>
        <w:spacing w:line="360" w:lineRule="auto"/>
        <w:jc w:val="both"/>
        <w:rPr>
          <w:rFonts w:ascii="David" w:eastAsia="Calibri" w:hAnsi="David"/>
          <w:rtl/>
        </w:rPr>
      </w:pPr>
    </w:p>
    <w:p w14:paraId="2B67332D" w14:textId="77777777" w:rsidR="00482613" w:rsidRPr="00644822" w:rsidRDefault="00482613" w:rsidP="00482613">
      <w:pPr>
        <w:spacing w:line="360" w:lineRule="auto"/>
        <w:jc w:val="both"/>
        <w:rPr>
          <w:rFonts w:ascii="David" w:eastAsia="Calibri" w:hAnsi="David"/>
          <w:rtl/>
        </w:rPr>
      </w:pPr>
      <w:r w:rsidRPr="00644822">
        <w:rPr>
          <w:rFonts w:ascii="David" w:eastAsia="Calibri" w:hAnsi="David"/>
          <w:rtl/>
        </w:rPr>
        <w:t xml:space="preserve">משכך, ולאור כל האמור לעיל, אני מטיל בזאת על הנאשם את העונשים הבאים: </w:t>
      </w:r>
    </w:p>
    <w:p w14:paraId="312316CC" w14:textId="77777777" w:rsidR="00482613" w:rsidRPr="00644822" w:rsidRDefault="00482613" w:rsidP="00482613">
      <w:pPr>
        <w:spacing w:line="360" w:lineRule="auto"/>
        <w:jc w:val="both"/>
        <w:rPr>
          <w:rFonts w:ascii="David" w:eastAsia="Calibri" w:hAnsi="David"/>
          <w:rtl/>
        </w:rPr>
      </w:pPr>
    </w:p>
    <w:p w14:paraId="2A2E5498" w14:textId="77777777" w:rsidR="00482613" w:rsidRPr="00644822" w:rsidRDefault="00482613" w:rsidP="00482613">
      <w:pPr>
        <w:numPr>
          <w:ilvl w:val="0"/>
          <w:numId w:val="1"/>
        </w:numPr>
        <w:spacing w:after="160" w:line="360" w:lineRule="auto"/>
        <w:contextualSpacing/>
        <w:jc w:val="both"/>
        <w:rPr>
          <w:rFonts w:ascii="David" w:hAnsi="David"/>
          <w:rtl/>
        </w:rPr>
      </w:pPr>
      <w:r w:rsidRPr="00644822">
        <w:rPr>
          <w:rFonts w:ascii="David" w:hAnsi="David"/>
          <w:rtl/>
        </w:rPr>
        <w:t xml:space="preserve">מאסר בפועל למשך 13 חודשים, אשר יחושב ממועד מעצרו 22.06.22. </w:t>
      </w:r>
    </w:p>
    <w:p w14:paraId="4E7025CE" w14:textId="77777777" w:rsidR="00482613" w:rsidRPr="00644822" w:rsidRDefault="00482613" w:rsidP="00482613">
      <w:pPr>
        <w:spacing w:line="360" w:lineRule="auto"/>
        <w:ind w:left="1080"/>
        <w:contextualSpacing/>
        <w:jc w:val="both"/>
        <w:rPr>
          <w:rFonts w:ascii="David" w:hAnsi="David"/>
          <w:rtl/>
        </w:rPr>
      </w:pPr>
    </w:p>
    <w:p w14:paraId="3F6740D4" w14:textId="77777777" w:rsidR="00482613" w:rsidRPr="00644822" w:rsidRDefault="00482613" w:rsidP="00482613">
      <w:pPr>
        <w:numPr>
          <w:ilvl w:val="0"/>
          <w:numId w:val="1"/>
        </w:numPr>
        <w:spacing w:after="160" w:line="360" w:lineRule="auto"/>
        <w:contextualSpacing/>
        <w:jc w:val="both"/>
        <w:rPr>
          <w:rFonts w:ascii="David" w:hAnsi="David"/>
          <w:u w:val="single"/>
          <w:rtl/>
        </w:rPr>
      </w:pPr>
      <w:r w:rsidRPr="00644822">
        <w:rPr>
          <w:rFonts w:ascii="David" w:hAnsi="David"/>
          <w:rtl/>
        </w:rPr>
        <w:t xml:space="preserve">אני מורה על הפעלת עונש המאסר המותנה של 8 חודשים למשך 3 שנים כפי שהוטל על הנאשם בבית משפט שלום חדרה, </w:t>
      </w:r>
      <w:hyperlink r:id="rId39" w:history="1">
        <w:r w:rsidR="000468AF" w:rsidRPr="000468AF">
          <w:rPr>
            <w:rFonts w:ascii="David" w:hAnsi="David"/>
            <w:color w:val="0000FF"/>
            <w:u w:val="single"/>
            <w:rtl/>
          </w:rPr>
          <w:t>ת"פ 24311-06-19</w:t>
        </w:r>
      </w:hyperlink>
      <w:r w:rsidRPr="00644822">
        <w:rPr>
          <w:rFonts w:ascii="David" w:hAnsi="David"/>
          <w:rtl/>
        </w:rPr>
        <w:t xml:space="preserve"> גזר דין מתאריך 07.10.19 באופן בו 5 </w:t>
      </w:r>
      <w:r w:rsidRPr="00CB45A1">
        <w:rPr>
          <w:rFonts w:ascii="David" w:hAnsi="David"/>
          <w:rtl/>
        </w:rPr>
        <w:t>חודשים</w:t>
      </w:r>
      <w:r>
        <w:rPr>
          <w:rFonts w:ascii="David" w:hAnsi="David" w:hint="cs"/>
          <w:rtl/>
        </w:rPr>
        <w:t xml:space="preserve"> </w:t>
      </w:r>
      <w:r w:rsidRPr="00CB45A1">
        <w:rPr>
          <w:rFonts w:ascii="David" w:hAnsi="David"/>
          <w:rtl/>
        </w:rPr>
        <w:t>רוצו</w:t>
      </w:r>
      <w:r w:rsidRPr="00644822">
        <w:rPr>
          <w:rFonts w:ascii="David" w:hAnsi="David"/>
          <w:rtl/>
        </w:rPr>
        <w:t xml:space="preserve"> </w:t>
      </w:r>
      <w:r w:rsidRPr="00644822">
        <w:rPr>
          <w:rFonts w:ascii="David" w:hAnsi="David"/>
          <w:b/>
          <w:bCs/>
          <w:rtl/>
        </w:rPr>
        <w:t>בחופף</w:t>
      </w:r>
      <w:r w:rsidRPr="00644822">
        <w:rPr>
          <w:rFonts w:ascii="David" w:hAnsi="David"/>
          <w:rtl/>
        </w:rPr>
        <w:t xml:space="preserve"> לעונש המאסר האמור בסעיף 1 ואילו 3 חודשים ירוצו </w:t>
      </w:r>
      <w:r w:rsidRPr="00644822">
        <w:rPr>
          <w:rFonts w:ascii="David" w:hAnsi="David"/>
          <w:b/>
          <w:bCs/>
          <w:rtl/>
        </w:rPr>
        <w:t>במצטבר</w:t>
      </w:r>
      <w:r w:rsidRPr="00644822">
        <w:rPr>
          <w:rFonts w:ascii="David" w:hAnsi="David"/>
          <w:rtl/>
        </w:rPr>
        <w:t xml:space="preserve"> לעונש המאסר האמור בסעיף 1, </w:t>
      </w:r>
      <w:r w:rsidRPr="00644822">
        <w:rPr>
          <w:rFonts w:ascii="David" w:hAnsi="David"/>
          <w:u w:val="single"/>
          <w:rtl/>
        </w:rPr>
        <w:t>כך שבסופו של דבר ירצה הנאשם מאסר בפועל לתקופה כוללת של 16 חודשים וזאת ממועד מעצרו</w:t>
      </w:r>
      <w:r w:rsidRPr="00644822">
        <w:rPr>
          <w:rFonts w:ascii="David" w:hAnsi="David"/>
          <w:rtl/>
        </w:rPr>
        <w:t>.</w:t>
      </w:r>
      <w:r w:rsidRPr="00644822">
        <w:rPr>
          <w:rFonts w:ascii="David" w:hAnsi="David"/>
          <w:u w:val="single"/>
          <w:rtl/>
        </w:rPr>
        <w:t xml:space="preserve"> </w:t>
      </w:r>
    </w:p>
    <w:p w14:paraId="772EDB8E" w14:textId="77777777" w:rsidR="00482613" w:rsidRPr="00644822" w:rsidRDefault="00482613" w:rsidP="00482613">
      <w:pPr>
        <w:spacing w:line="360" w:lineRule="auto"/>
        <w:ind w:left="1080"/>
        <w:contextualSpacing/>
        <w:jc w:val="both"/>
        <w:rPr>
          <w:rFonts w:ascii="David" w:hAnsi="David"/>
          <w:u w:val="single"/>
          <w:rtl/>
        </w:rPr>
      </w:pPr>
    </w:p>
    <w:p w14:paraId="5BA9CEEB" w14:textId="77777777" w:rsidR="00482613" w:rsidRPr="00644822" w:rsidRDefault="00482613" w:rsidP="00482613">
      <w:pPr>
        <w:numPr>
          <w:ilvl w:val="0"/>
          <w:numId w:val="1"/>
        </w:numPr>
        <w:spacing w:after="160" w:line="360" w:lineRule="auto"/>
        <w:contextualSpacing/>
        <w:jc w:val="both"/>
        <w:rPr>
          <w:rFonts w:ascii="David" w:hAnsi="David"/>
          <w:rtl/>
        </w:rPr>
      </w:pPr>
      <w:r w:rsidRPr="00644822">
        <w:rPr>
          <w:rFonts w:ascii="David" w:hAnsi="David"/>
          <w:rtl/>
        </w:rPr>
        <w:t xml:space="preserve">מאסר על תנאי של 12 חודשים למשך 3 שנים והתנאי שהנאשם לא יעבור בפרק זמן זה, לאחר שחרורו מריצוי מאסרו בגין תיק זה, על עבירה מסוג פשע לפי </w:t>
      </w:r>
      <w:hyperlink r:id="rId40" w:history="1">
        <w:r w:rsidR="000468AF" w:rsidRPr="000468AF">
          <w:rPr>
            <w:rFonts w:ascii="David" w:hAnsi="David"/>
            <w:color w:val="0000FF"/>
            <w:u w:val="single"/>
            <w:rtl/>
          </w:rPr>
          <w:t>פקודת הסמים המסוכנים</w:t>
        </w:r>
      </w:hyperlink>
      <w:r w:rsidRPr="00644822">
        <w:rPr>
          <w:rFonts w:ascii="David" w:hAnsi="David"/>
          <w:rtl/>
        </w:rPr>
        <w:t xml:space="preserve">. </w:t>
      </w:r>
    </w:p>
    <w:p w14:paraId="1C7402C9" w14:textId="77777777" w:rsidR="00482613" w:rsidRPr="00644822" w:rsidRDefault="00482613" w:rsidP="00482613">
      <w:pPr>
        <w:spacing w:after="160" w:line="256" w:lineRule="auto"/>
        <w:ind w:left="720"/>
        <w:contextualSpacing/>
        <w:rPr>
          <w:rFonts w:ascii="David" w:hAnsi="David"/>
        </w:rPr>
      </w:pPr>
    </w:p>
    <w:p w14:paraId="299BA4B3" w14:textId="77777777" w:rsidR="00482613" w:rsidRPr="00644822" w:rsidRDefault="00482613" w:rsidP="00482613">
      <w:pPr>
        <w:numPr>
          <w:ilvl w:val="0"/>
          <w:numId w:val="1"/>
        </w:numPr>
        <w:spacing w:after="160" w:line="360" w:lineRule="auto"/>
        <w:contextualSpacing/>
        <w:jc w:val="both"/>
        <w:rPr>
          <w:rFonts w:ascii="David" w:hAnsi="David"/>
          <w:rtl/>
        </w:rPr>
      </w:pPr>
      <w:r w:rsidRPr="00644822">
        <w:rPr>
          <w:rFonts w:ascii="David" w:hAnsi="David"/>
          <w:rtl/>
        </w:rPr>
        <w:t>אני פוסל את הנאשם מלהחזיק או לקבל רישיון נהיגה לתקופה של 18 חודשים. מוסבר בזאת לנאשם כי לאחר שחרור מריצוי מאסרו בגין תיק זה, עליו להפקיד את רישיון הנהיגה במזכירות בית המשפט ובהעדרו עליו להפקיד תצהיר כך שיונפק לו אישור הפקדה מתאים. פסילה זו תחושב מהמועד הנ"ל ותרוצה במצטבר לכל פסילה אחרת ככל שקיימת. מוסבר לנאשם כי עליו להגיש בקשה למשרד הרישוי לצורך ביצוע חישוב פסילותיו.</w:t>
      </w:r>
    </w:p>
    <w:p w14:paraId="530A2C09" w14:textId="77777777" w:rsidR="00482613" w:rsidRPr="00644822" w:rsidRDefault="00482613" w:rsidP="00482613">
      <w:pPr>
        <w:spacing w:after="160" w:line="256" w:lineRule="auto"/>
        <w:ind w:left="720"/>
        <w:contextualSpacing/>
        <w:rPr>
          <w:rFonts w:ascii="David" w:hAnsi="David"/>
        </w:rPr>
      </w:pPr>
    </w:p>
    <w:p w14:paraId="48483A46" w14:textId="77777777" w:rsidR="00482613" w:rsidRPr="00644822" w:rsidRDefault="00482613" w:rsidP="00482613">
      <w:pPr>
        <w:numPr>
          <w:ilvl w:val="0"/>
          <w:numId w:val="1"/>
        </w:numPr>
        <w:spacing w:after="160" w:line="360" w:lineRule="auto"/>
        <w:contextualSpacing/>
        <w:jc w:val="both"/>
        <w:rPr>
          <w:rFonts w:ascii="David" w:hAnsi="David"/>
          <w:rtl/>
        </w:rPr>
      </w:pPr>
      <w:r w:rsidRPr="00644822">
        <w:rPr>
          <w:rFonts w:ascii="David" w:hAnsi="David"/>
          <w:rtl/>
        </w:rPr>
        <w:t xml:space="preserve">אני פוסל את הנאשם מלקבל או מלהחזיק רישיון נהיגה לתקופה של 10 חודשים על תנאי למשך 3 שנים והתנאי הוא שהנאשם לא יעבור על עבירה לפי </w:t>
      </w:r>
      <w:hyperlink r:id="rId41" w:history="1">
        <w:r w:rsidR="000468AF" w:rsidRPr="000468AF">
          <w:rPr>
            <w:rFonts w:ascii="David" w:hAnsi="David"/>
            <w:color w:val="0000FF"/>
            <w:u w:val="single"/>
            <w:rtl/>
          </w:rPr>
          <w:t>פקודת הסמים המסוכנים</w:t>
        </w:r>
      </w:hyperlink>
      <w:r w:rsidRPr="00644822">
        <w:rPr>
          <w:rFonts w:ascii="David" w:hAnsi="David"/>
          <w:rtl/>
        </w:rPr>
        <w:t xml:space="preserve"> ויורשע בה או על עבירה של נהיגה בזמן פסילה.</w:t>
      </w:r>
    </w:p>
    <w:p w14:paraId="15F06394" w14:textId="77777777" w:rsidR="00482613" w:rsidRPr="00644822" w:rsidRDefault="00482613" w:rsidP="00482613">
      <w:pPr>
        <w:spacing w:after="160" w:line="256" w:lineRule="auto"/>
        <w:ind w:left="720"/>
        <w:contextualSpacing/>
        <w:rPr>
          <w:rFonts w:ascii="David" w:hAnsi="David"/>
        </w:rPr>
      </w:pPr>
    </w:p>
    <w:p w14:paraId="4228D791" w14:textId="77777777" w:rsidR="00482613" w:rsidRPr="00644822" w:rsidRDefault="00482613" w:rsidP="00482613">
      <w:pPr>
        <w:spacing w:line="360" w:lineRule="auto"/>
        <w:jc w:val="both"/>
        <w:rPr>
          <w:rFonts w:ascii="David" w:eastAsia="Calibri" w:hAnsi="David"/>
          <w:b/>
          <w:bCs/>
          <w:rtl/>
        </w:rPr>
      </w:pPr>
      <w:r w:rsidRPr="00644822">
        <w:rPr>
          <w:rFonts w:ascii="David" w:eastAsia="Calibri" w:hAnsi="David"/>
          <w:b/>
          <w:bCs/>
          <w:rtl/>
        </w:rPr>
        <w:t xml:space="preserve">ניתן בזאת צו להשמדת המוצגים - סמים. </w:t>
      </w:r>
    </w:p>
    <w:p w14:paraId="33E2B55C" w14:textId="77777777" w:rsidR="00482613" w:rsidRPr="00644822" w:rsidRDefault="000468AF" w:rsidP="00482613">
      <w:pPr>
        <w:spacing w:line="360" w:lineRule="auto"/>
        <w:jc w:val="both"/>
        <w:rPr>
          <w:rFonts w:ascii="David" w:eastAsia="Calibri" w:hAnsi="David"/>
          <w:b/>
          <w:bCs/>
        </w:rPr>
      </w:pPr>
      <w:r w:rsidRPr="000468AF">
        <w:rPr>
          <w:rFonts w:ascii="David" w:eastAsia="Calibri" w:hAnsi="David"/>
          <w:b/>
          <w:bCs/>
          <w:color w:val="FFFFFF"/>
          <w:sz w:val="2"/>
          <w:szCs w:val="2"/>
          <w:rtl/>
        </w:rPr>
        <w:t>5129371</w:t>
      </w:r>
      <w:r w:rsidR="00482613" w:rsidRPr="00644822">
        <w:rPr>
          <w:rFonts w:ascii="David" w:eastAsia="Calibri" w:hAnsi="David"/>
          <w:b/>
          <w:bCs/>
          <w:rtl/>
        </w:rPr>
        <w:t xml:space="preserve">גזר דין זה מהווה פקודת מאסר. </w:t>
      </w:r>
    </w:p>
    <w:p w14:paraId="1B54628A" w14:textId="77777777" w:rsidR="00482613" w:rsidRPr="000F2247" w:rsidRDefault="000468AF" w:rsidP="00482613">
      <w:pPr>
        <w:spacing w:after="160" w:line="360" w:lineRule="auto"/>
        <w:jc w:val="both"/>
        <w:rPr>
          <w:rFonts w:ascii="Arial" w:hAnsi="Arial"/>
          <w:b/>
          <w:bCs/>
          <w:sz w:val="26"/>
          <w:szCs w:val="26"/>
          <w:rtl/>
        </w:rPr>
      </w:pPr>
      <w:r w:rsidRPr="000468AF">
        <w:rPr>
          <w:rFonts w:ascii="David" w:eastAsia="Calibri" w:hAnsi="David"/>
          <w:b/>
          <w:bCs/>
          <w:color w:val="FFFFFF"/>
          <w:sz w:val="2"/>
          <w:szCs w:val="2"/>
          <w:rtl/>
        </w:rPr>
        <w:t>54678313</w:t>
      </w:r>
      <w:r w:rsidR="00482613" w:rsidRPr="00644822">
        <w:rPr>
          <w:rFonts w:ascii="David" w:eastAsia="Calibri" w:hAnsi="David"/>
          <w:b/>
          <w:bCs/>
          <w:rtl/>
        </w:rPr>
        <w:t xml:space="preserve">זכות ערעור לבית המשפט המחוזי בחיפה  תוך 45 ימים מהיום. </w:t>
      </w:r>
    </w:p>
    <w:p w14:paraId="0F5512FD" w14:textId="77777777" w:rsidR="00482613" w:rsidRPr="000F2247" w:rsidRDefault="00482613" w:rsidP="00482613">
      <w:pPr>
        <w:rPr>
          <w:rFonts w:ascii="Arial" w:hAnsi="Arial"/>
          <w:b/>
          <w:bCs/>
          <w:sz w:val="26"/>
          <w:szCs w:val="26"/>
          <w:rtl/>
        </w:rPr>
      </w:pPr>
    </w:p>
    <w:p w14:paraId="4DC638FE" w14:textId="77777777" w:rsidR="00482613" w:rsidRPr="000F2247" w:rsidRDefault="000468AF" w:rsidP="0048261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אדר תשפ"ג, 06 מרץ 2023, במעמד הצדדים. </w:t>
      </w:r>
      <w:bookmarkEnd w:id="8"/>
      <w:r w:rsidR="00482613">
        <w:rPr>
          <w:rFonts w:ascii="Arial" w:hAnsi="Arial"/>
          <w:b/>
          <w:bCs/>
          <w:sz w:val="26"/>
          <w:szCs w:val="26"/>
          <w:rtl/>
        </w:rPr>
        <w:tab/>
      </w:r>
      <w:r w:rsidR="00482613">
        <w:rPr>
          <w:rFonts w:ascii="Arial" w:hAnsi="Arial"/>
          <w:b/>
          <w:bCs/>
          <w:sz w:val="26"/>
          <w:szCs w:val="26"/>
          <w:rtl/>
        </w:rPr>
        <w:tab/>
      </w:r>
      <w:r w:rsidR="00482613">
        <w:rPr>
          <w:rFonts w:ascii="Arial" w:hAnsi="Arial"/>
          <w:b/>
          <w:bCs/>
          <w:sz w:val="26"/>
          <w:szCs w:val="26"/>
          <w:rtl/>
        </w:rPr>
        <w:tab/>
      </w:r>
      <w:r w:rsidR="00482613">
        <w:rPr>
          <w:rFonts w:ascii="Arial" w:hAnsi="Arial"/>
          <w:b/>
          <w:bCs/>
          <w:sz w:val="26"/>
          <w:szCs w:val="26"/>
          <w:rtl/>
        </w:rPr>
        <w:tab/>
      </w:r>
      <w:r w:rsidR="00482613">
        <w:rPr>
          <w:rFonts w:ascii="Arial" w:hAnsi="Arial"/>
          <w:b/>
          <w:bCs/>
          <w:sz w:val="26"/>
          <w:szCs w:val="26"/>
          <w:rtl/>
        </w:rPr>
        <w:tab/>
      </w:r>
      <w:r w:rsidR="00482613">
        <w:rPr>
          <w:rFonts w:ascii="Arial" w:hAnsi="Arial"/>
          <w:b/>
          <w:bCs/>
          <w:sz w:val="26"/>
          <w:szCs w:val="26"/>
          <w:rtl/>
        </w:rPr>
        <w:tab/>
      </w:r>
      <w:r w:rsidR="00482613">
        <w:rPr>
          <w:rFonts w:ascii="Arial" w:hAnsi="Arial"/>
          <w:b/>
          <w:bCs/>
          <w:sz w:val="26"/>
          <w:szCs w:val="26"/>
          <w:rtl/>
        </w:rPr>
        <w:tab/>
      </w:r>
      <w:r w:rsidR="00482613">
        <w:rPr>
          <w:rFonts w:ascii="Arial" w:hAnsi="Arial" w:hint="cs"/>
          <w:b/>
          <w:bCs/>
          <w:sz w:val="26"/>
          <w:szCs w:val="26"/>
          <w:rtl/>
        </w:rPr>
        <w:t xml:space="preserve">         </w:t>
      </w:r>
    </w:p>
    <w:p w14:paraId="4885543F" w14:textId="77777777" w:rsidR="000468AF" w:rsidRDefault="000468AF" w:rsidP="000468AF"/>
    <w:p w14:paraId="3DFDC4E9" w14:textId="77777777" w:rsidR="000468AF" w:rsidRDefault="000468AF" w:rsidP="000468A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B77F82F" w14:textId="77777777" w:rsidR="001659FD" w:rsidRPr="001659FD" w:rsidRDefault="001659FD" w:rsidP="001659FD">
      <w:pPr>
        <w:keepNext/>
        <w:rPr>
          <w:rFonts w:ascii="David" w:hAnsi="David"/>
          <w:color w:val="000000"/>
          <w:sz w:val="22"/>
          <w:szCs w:val="22"/>
          <w:rtl/>
        </w:rPr>
      </w:pPr>
    </w:p>
    <w:p w14:paraId="5478FF3C" w14:textId="77777777" w:rsidR="001659FD" w:rsidRPr="001659FD" w:rsidRDefault="001659FD" w:rsidP="001659FD">
      <w:pPr>
        <w:keepNext/>
        <w:rPr>
          <w:rFonts w:ascii="David" w:hAnsi="David"/>
          <w:color w:val="000000"/>
          <w:sz w:val="22"/>
          <w:szCs w:val="22"/>
          <w:rtl/>
        </w:rPr>
      </w:pPr>
      <w:r w:rsidRPr="001659FD">
        <w:rPr>
          <w:rFonts w:ascii="David" w:hAnsi="David"/>
          <w:color w:val="000000"/>
          <w:sz w:val="22"/>
          <w:szCs w:val="22"/>
          <w:rtl/>
        </w:rPr>
        <w:t>אלכס אחטר 54678313-/</w:t>
      </w:r>
    </w:p>
    <w:p w14:paraId="40E48AAC" w14:textId="77777777" w:rsidR="000468AF" w:rsidRPr="000468AF" w:rsidRDefault="001659FD" w:rsidP="001659FD">
      <w:pPr>
        <w:rPr>
          <w:color w:val="0000FF"/>
          <w:u w:val="single"/>
        </w:rPr>
      </w:pPr>
      <w:r w:rsidRPr="001659FD">
        <w:rPr>
          <w:color w:val="000000"/>
          <w:u w:val="single"/>
          <w:rtl/>
        </w:rPr>
        <w:t>נוסח מסמך זה כפוף לשינויי ניסוח ועריכה</w:t>
      </w:r>
    </w:p>
    <w:sectPr w:rsidR="000468AF" w:rsidRPr="000468AF" w:rsidSect="001659F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F1338" w14:textId="77777777" w:rsidR="00570230" w:rsidRDefault="00570230" w:rsidP="009260F6">
      <w:r>
        <w:separator/>
      </w:r>
    </w:p>
  </w:endnote>
  <w:endnote w:type="continuationSeparator" w:id="0">
    <w:p w14:paraId="444611A0" w14:textId="77777777" w:rsidR="00570230" w:rsidRDefault="00570230" w:rsidP="0092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1E176" w14:textId="77777777" w:rsidR="001659FD" w:rsidRDefault="001659FD" w:rsidP="001659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033140" w14:textId="77777777" w:rsidR="005328D1" w:rsidRPr="001659FD" w:rsidRDefault="001659FD" w:rsidP="001659FD">
    <w:pPr>
      <w:pStyle w:val="a5"/>
      <w:pBdr>
        <w:top w:val="single" w:sz="4" w:space="1" w:color="auto"/>
        <w:between w:val="single" w:sz="4" w:space="0" w:color="auto"/>
      </w:pBdr>
      <w:spacing w:after="60"/>
      <w:jc w:val="center"/>
      <w:rPr>
        <w:rFonts w:ascii="FrankRuehl" w:hAnsi="FrankRuehl" w:cs="FrankRuehl"/>
        <w:color w:val="000000"/>
      </w:rPr>
    </w:pPr>
    <w:r w:rsidRPr="001659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0FCD6" w14:textId="77777777" w:rsidR="001659FD" w:rsidRDefault="001659FD" w:rsidP="001659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3944">
      <w:rPr>
        <w:rFonts w:ascii="FrankRuehl" w:hAnsi="FrankRuehl" w:cs="FrankRuehl"/>
        <w:noProof/>
        <w:rtl/>
      </w:rPr>
      <w:t>1</w:t>
    </w:r>
    <w:r>
      <w:rPr>
        <w:rFonts w:ascii="FrankRuehl" w:hAnsi="FrankRuehl" w:cs="FrankRuehl"/>
        <w:rtl/>
      </w:rPr>
      <w:fldChar w:fldCharType="end"/>
    </w:r>
  </w:p>
  <w:p w14:paraId="178078C8" w14:textId="77777777" w:rsidR="005328D1" w:rsidRPr="001659FD" w:rsidRDefault="001659FD" w:rsidP="001659FD">
    <w:pPr>
      <w:pStyle w:val="a5"/>
      <w:pBdr>
        <w:top w:val="single" w:sz="4" w:space="1" w:color="auto"/>
        <w:between w:val="single" w:sz="4" w:space="0" w:color="auto"/>
      </w:pBdr>
      <w:spacing w:after="60"/>
      <w:jc w:val="center"/>
      <w:rPr>
        <w:rFonts w:ascii="FrankRuehl" w:hAnsi="FrankRuehl" w:cs="FrankRuehl"/>
        <w:color w:val="000000"/>
      </w:rPr>
    </w:pPr>
    <w:r w:rsidRPr="001659FD">
      <w:rPr>
        <w:rFonts w:ascii="FrankRuehl" w:hAnsi="FrankRuehl" w:cs="FrankRuehl"/>
        <w:color w:val="000000"/>
      </w:rPr>
      <w:pict w14:anchorId="69AFF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CB275" w14:textId="77777777" w:rsidR="00570230" w:rsidRDefault="00570230" w:rsidP="009260F6">
      <w:r>
        <w:separator/>
      </w:r>
    </w:p>
  </w:footnote>
  <w:footnote w:type="continuationSeparator" w:id="0">
    <w:p w14:paraId="00880BBE" w14:textId="77777777" w:rsidR="00570230" w:rsidRDefault="00570230" w:rsidP="0092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B476F" w14:textId="77777777" w:rsidR="000468AF" w:rsidRPr="001659FD" w:rsidRDefault="001659FD" w:rsidP="001659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9296-07-22</w:t>
    </w:r>
    <w:r>
      <w:rPr>
        <w:rFonts w:ascii="David" w:hAnsi="David"/>
        <w:color w:val="000000"/>
        <w:sz w:val="22"/>
        <w:szCs w:val="22"/>
        <w:rtl/>
      </w:rPr>
      <w:tab/>
      <w:t xml:space="preserve"> מדינת ישראל נ' עיד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00E66" w14:textId="77777777" w:rsidR="000468AF" w:rsidRPr="001659FD" w:rsidRDefault="001659FD" w:rsidP="001659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9296-07-22</w:t>
    </w:r>
    <w:r>
      <w:rPr>
        <w:rFonts w:ascii="David" w:hAnsi="David"/>
        <w:color w:val="000000"/>
        <w:sz w:val="22"/>
        <w:szCs w:val="22"/>
        <w:rtl/>
      </w:rPr>
      <w:tab/>
      <w:t xml:space="preserve"> מדינת ישראל נ' עיד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D41A5"/>
    <w:multiLevelType w:val="hybridMultilevel"/>
    <w:tmpl w:val="EA928190"/>
    <w:lvl w:ilvl="0" w:tplc="0CE052E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0412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2613"/>
    <w:rsid w:val="000468AF"/>
    <w:rsid w:val="001659FD"/>
    <w:rsid w:val="001B5A3B"/>
    <w:rsid w:val="002121C3"/>
    <w:rsid w:val="00385558"/>
    <w:rsid w:val="00482613"/>
    <w:rsid w:val="005328D1"/>
    <w:rsid w:val="00570230"/>
    <w:rsid w:val="00612AD6"/>
    <w:rsid w:val="00625467"/>
    <w:rsid w:val="00630286"/>
    <w:rsid w:val="0072745F"/>
    <w:rsid w:val="00741D58"/>
    <w:rsid w:val="007A4D5D"/>
    <w:rsid w:val="009260F6"/>
    <w:rsid w:val="00D63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C64474"/>
  <w15:chartTrackingRefBased/>
  <w15:docId w15:val="{E4F3753D-56EB-463C-8877-D6F74A3C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26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2613"/>
    <w:pPr>
      <w:tabs>
        <w:tab w:val="center" w:pos="4153"/>
        <w:tab w:val="right" w:pos="8306"/>
      </w:tabs>
    </w:pPr>
  </w:style>
  <w:style w:type="character" w:customStyle="1" w:styleId="a4">
    <w:name w:val="כותרת עליונה תו"/>
    <w:link w:val="a3"/>
    <w:rsid w:val="00482613"/>
    <w:rPr>
      <w:rFonts w:ascii="Times New Roman" w:eastAsia="Times New Roman" w:hAnsi="Times New Roman" w:cs="David"/>
      <w:sz w:val="24"/>
      <w:szCs w:val="24"/>
    </w:rPr>
  </w:style>
  <w:style w:type="paragraph" w:styleId="a5">
    <w:name w:val="footer"/>
    <w:basedOn w:val="a"/>
    <w:link w:val="a6"/>
    <w:rsid w:val="00482613"/>
    <w:pPr>
      <w:tabs>
        <w:tab w:val="center" w:pos="4153"/>
        <w:tab w:val="right" w:pos="8306"/>
      </w:tabs>
    </w:pPr>
  </w:style>
  <w:style w:type="character" w:customStyle="1" w:styleId="a6">
    <w:name w:val="כותרת תחתונה תו"/>
    <w:link w:val="a5"/>
    <w:rsid w:val="00482613"/>
    <w:rPr>
      <w:rFonts w:ascii="Times New Roman" w:eastAsia="Times New Roman" w:hAnsi="Times New Roman" w:cs="David"/>
      <w:sz w:val="24"/>
      <w:szCs w:val="24"/>
    </w:rPr>
  </w:style>
  <w:style w:type="table" w:styleId="a7">
    <w:name w:val="Table Grid"/>
    <w:basedOn w:val="a1"/>
    <w:rsid w:val="004826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2613"/>
  </w:style>
  <w:style w:type="character" w:styleId="a9">
    <w:name w:val="line number"/>
    <w:rsid w:val="00482613"/>
  </w:style>
  <w:style w:type="character" w:styleId="Hyperlink">
    <w:name w:val="Hyperlink"/>
    <w:rsid w:val="00046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law/70301/40d" TargetMode="External"/><Relationship Id="rId39" Type="http://schemas.openxmlformats.org/officeDocument/2006/relationships/hyperlink" Target="http://www.nevo.co.il/case/25773580" TargetMode="External"/><Relationship Id="rId21" Type="http://schemas.openxmlformats.org/officeDocument/2006/relationships/hyperlink" Target="http://www.nevo.co.il/case/25773580" TargetMode="External"/><Relationship Id="rId34" Type="http://schemas.openxmlformats.org/officeDocument/2006/relationships/hyperlink" Target="http://www.nevo.co.il/case/2374889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58" TargetMode="External"/><Relationship Id="rId29" Type="http://schemas.openxmlformats.org/officeDocument/2006/relationships/hyperlink" Target="http://www.nevo.co.il/case/259777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977712" TargetMode="External"/><Relationship Id="rId37" Type="http://schemas.openxmlformats.org/officeDocument/2006/relationships/hyperlink" Target="http://www.nevo.co.il/law/70301/58"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6230247" TargetMode="External"/><Relationship Id="rId36" Type="http://schemas.openxmlformats.org/officeDocument/2006/relationships/hyperlink" Target="http://www.nevo.co.il/case/25773580"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69891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b"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e" TargetMode="External"/><Relationship Id="rId30" Type="http://schemas.openxmlformats.org/officeDocument/2006/relationships/hyperlink" Target="http://www.nevo.co.il/case/17932979" TargetMode="External"/><Relationship Id="rId35" Type="http://schemas.openxmlformats.org/officeDocument/2006/relationships/hyperlink" Target="http://www.nevo.co.il/case/1127920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case/26986940"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4216/7.a.;7.b"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2061</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12344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4063347</vt:i4>
      </vt:variant>
      <vt:variant>
        <vt:i4>96</vt:i4>
      </vt:variant>
      <vt:variant>
        <vt:i4>0</vt:i4>
      </vt:variant>
      <vt:variant>
        <vt:i4>5</vt:i4>
      </vt:variant>
      <vt:variant>
        <vt:lpwstr>http://www.nevo.co.il/case/25773580</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7143520</vt:i4>
      </vt:variant>
      <vt:variant>
        <vt:i4>90</vt:i4>
      </vt:variant>
      <vt:variant>
        <vt:i4>0</vt:i4>
      </vt:variant>
      <vt:variant>
        <vt:i4>5</vt:i4>
      </vt:variant>
      <vt:variant>
        <vt:lpwstr>http://www.nevo.co.il/law/70301/58</vt:lpwstr>
      </vt:variant>
      <vt:variant>
        <vt:lpwstr/>
      </vt:variant>
      <vt:variant>
        <vt:i4>4063347</vt:i4>
      </vt:variant>
      <vt:variant>
        <vt:i4>87</vt:i4>
      </vt:variant>
      <vt:variant>
        <vt:i4>0</vt:i4>
      </vt:variant>
      <vt:variant>
        <vt:i4>5</vt:i4>
      </vt:variant>
      <vt:variant>
        <vt:lpwstr>http://www.nevo.co.il/case/25773580</vt:lpwstr>
      </vt:variant>
      <vt:variant>
        <vt:lpwstr/>
      </vt:variant>
      <vt:variant>
        <vt:i4>3801200</vt:i4>
      </vt:variant>
      <vt:variant>
        <vt:i4>84</vt:i4>
      </vt:variant>
      <vt:variant>
        <vt:i4>0</vt:i4>
      </vt:variant>
      <vt:variant>
        <vt:i4>5</vt:i4>
      </vt:variant>
      <vt:variant>
        <vt:lpwstr>http://www.nevo.co.il/case/11279208</vt:lpwstr>
      </vt:variant>
      <vt:variant>
        <vt:lpwstr/>
      </vt:variant>
      <vt:variant>
        <vt:i4>3407995</vt:i4>
      </vt:variant>
      <vt:variant>
        <vt:i4>81</vt:i4>
      </vt:variant>
      <vt:variant>
        <vt:i4>0</vt:i4>
      </vt:variant>
      <vt:variant>
        <vt:i4>5</vt:i4>
      </vt:variant>
      <vt:variant>
        <vt:lpwstr>http://www.nevo.co.il/case/23748897</vt:lpwstr>
      </vt:variant>
      <vt:variant>
        <vt:lpwstr/>
      </vt:variant>
      <vt:variant>
        <vt:i4>3735667</vt:i4>
      </vt:variant>
      <vt:variant>
        <vt:i4>78</vt:i4>
      </vt:variant>
      <vt:variant>
        <vt:i4>0</vt:i4>
      </vt:variant>
      <vt:variant>
        <vt:i4>5</vt:i4>
      </vt:variant>
      <vt:variant>
        <vt:lpwstr>http://www.nevo.co.il/case/26986940</vt:lpwstr>
      </vt:variant>
      <vt:variant>
        <vt:lpwstr/>
      </vt:variant>
      <vt:variant>
        <vt:i4>3997809</vt:i4>
      </vt:variant>
      <vt:variant>
        <vt:i4>75</vt:i4>
      </vt:variant>
      <vt:variant>
        <vt:i4>0</vt:i4>
      </vt:variant>
      <vt:variant>
        <vt:i4>5</vt:i4>
      </vt:variant>
      <vt:variant>
        <vt:lpwstr>http://www.nevo.co.il/case/25977712</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3997817</vt:i4>
      </vt:variant>
      <vt:variant>
        <vt:i4>69</vt:i4>
      </vt:variant>
      <vt:variant>
        <vt:i4>0</vt:i4>
      </vt:variant>
      <vt:variant>
        <vt:i4>5</vt:i4>
      </vt:variant>
      <vt:variant>
        <vt:lpwstr>http://www.nevo.co.il/case/17932979</vt:lpwstr>
      </vt:variant>
      <vt:variant>
        <vt:lpwstr/>
      </vt:variant>
      <vt:variant>
        <vt:i4>3997809</vt:i4>
      </vt:variant>
      <vt:variant>
        <vt:i4>66</vt:i4>
      </vt:variant>
      <vt:variant>
        <vt:i4>0</vt:i4>
      </vt:variant>
      <vt:variant>
        <vt:i4>5</vt:i4>
      </vt:variant>
      <vt:variant>
        <vt:lpwstr>http://www.nevo.co.il/case/25977712</vt:lpwstr>
      </vt:variant>
      <vt:variant>
        <vt:lpwstr/>
      </vt:variant>
      <vt:variant>
        <vt:i4>3407987</vt:i4>
      </vt:variant>
      <vt:variant>
        <vt:i4>63</vt:i4>
      </vt:variant>
      <vt:variant>
        <vt:i4>0</vt:i4>
      </vt:variant>
      <vt:variant>
        <vt:i4>5</vt:i4>
      </vt:variant>
      <vt:variant>
        <vt:lpwstr>http://www.nevo.co.il/case/26230247</vt:lpwstr>
      </vt:variant>
      <vt:variant>
        <vt:lpwstr/>
      </vt:variant>
      <vt:variant>
        <vt:i4>6619233</vt:i4>
      </vt:variant>
      <vt:variant>
        <vt:i4>60</vt:i4>
      </vt:variant>
      <vt:variant>
        <vt:i4>0</vt:i4>
      </vt:variant>
      <vt:variant>
        <vt:i4>5</vt:i4>
      </vt:variant>
      <vt:variant>
        <vt:lpwstr>http://www.nevo.co.il/law/70301/40e</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4063347</vt:i4>
      </vt:variant>
      <vt:variant>
        <vt:i4>42</vt:i4>
      </vt:variant>
      <vt:variant>
        <vt:i4>0</vt:i4>
      </vt:variant>
      <vt:variant>
        <vt:i4>5</vt:i4>
      </vt:variant>
      <vt:variant>
        <vt:lpwstr>http://www.nevo.co.il/case/25773580</vt:lpwstr>
      </vt:variant>
      <vt:variant>
        <vt:lpwstr/>
      </vt:variant>
      <vt:variant>
        <vt:i4>3997821</vt:i4>
      </vt:variant>
      <vt:variant>
        <vt:i4>39</vt:i4>
      </vt:variant>
      <vt:variant>
        <vt:i4>0</vt:i4>
      </vt:variant>
      <vt:variant>
        <vt:i4>5</vt:i4>
      </vt:variant>
      <vt:variant>
        <vt:lpwstr>http://www.nevo.co.il/law/4216/7.a.;7.b</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7143520</vt:i4>
      </vt:variant>
      <vt:variant>
        <vt:i4>27</vt:i4>
      </vt:variant>
      <vt:variant>
        <vt:i4>0</vt:i4>
      </vt:variant>
      <vt:variant>
        <vt:i4>5</vt:i4>
      </vt:variant>
      <vt:variant>
        <vt:lpwstr>http://www.nevo.co.il/law/70301/58</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2818148</vt:i4>
      </vt:variant>
      <vt:variant>
        <vt:i4>6</vt:i4>
      </vt:variant>
      <vt:variant>
        <vt:i4>0</vt:i4>
      </vt:variant>
      <vt:variant>
        <vt:i4>5</vt:i4>
      </vt:variant>
      <vt:variant>
        <vt:lpwstr>http://www.nevo.co.il/law/4216/7.b</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9296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עיד גרבאן</vt:lpwstr>
  </property>
  <property fmtid="{D5CDD505-2E9C-101B-9397-08002B2CF9AE}" pid="10" name="LAWYER">
    <vt:lpwstr>שירן גבע אלנקווה;מוחמד מסארווה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20230306</vt:lpwstr>
  </property>
  <property fmtid="{D5CDD505-2E9C-101B-9397-08002B2CF9AE}" pid="14" name="TYPE_N_DATE">
    <vt:lpwstr>38020230306</vt:lpwstr>
  </property>
  <property fmtid="{D5CDD505-2E9C-101B-9397-08002B2CF9AE}" pid="15" name="WORDNUMPAGES">
    <vt:lpwstr>7</vt:lpwstr>
  </property>
  <property fmtid="{D5CDD505-2E9C-101B-9397-08002B2CF9AE}" pid="16" name="TYPE_ABS_DATE">
    <vt:lpwstr>380020230306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25773580:3;26230247;25977712:2;17932979;5698919;26986940;23748897;11279208</vt:lpwstr>
  </property>
  <property fmtid="{D5CDD505-2E9C-101B-9397-08002B2CF9AE}" pid="36" name="LAWLISTTMP1">
    <vt:lpwstr>4216/013;019.a;007.a;007.b</vt:lpwstr>
  </property>
  <property fmtid="{D5CDD505-2E9C-101B-9397-08002B2CF9AE}" pid="37" name="LAWLISTTMP2">
    <vt:lpwstr>70301/040i;40ja;040d;040e;058</vt:lpwstr>
  </property>
</Properties>
</file>