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3438B6" w:rsidRPr="00E46066" w14:paraId="36B99D89" w14:textId="77777777" w:rsidTr="0096411A">
        <w:trPr>
          <w:gridAfter w:val="1"/>
          <w:wAfter w:w="99" w:type="dxa"/>
          <w:trHeight w:hRule="exact" w:val="418"/>
          <w:jc w:val="center"/>
        </w:trPr>
        <w:tc>
          <w:tcPr>
            <w:tcW w:w="8721" w:type="dxa"/>
            <w:gridSpan w:val="4"/>
          </w:tcPr>
          <w:p w14:paraId="7F4FE2B8" w14:textId="77777777" w:rsidR="003438B6" w:rsidRPr="00E46066" w:rsidRDefault="003438B6" w:rsidP="002F5BB9">
            <w:pPr>
              <w:pStyle w:val="a3"/>
              <w:jc w:val="center"/>
              <w:rPr>
                <w:rFonts w:ascii="Tahoma" w:hAnsi="Tahoma" w:cs="Tahoma"/>
                <w:color w:val="000080"/>
                <w:rtl/>
              </w:rPr>
            </w:pPr>
            <w:bookmarkStart w:id="0" w:name="LastJudge"/>
            <w:r w:rsidRPr="00E46066">
              <w:rPr>
                <w:rFonts w:ascii="Tahoma" w:hAnsi="Tahoma" w:cs="Tahoma"/>
                <w:b/>
                <w:bCs/>
                <w:color w:val="000080"/>
                <w:rtl/>
              </w:rPr>
              <w:t>בית משפט השלום בירושלים</w:t>
            </w:r>
          </w:p>
        </w:tc>
      </w:tr>
      <w:tr w:rsidR="003438B6" w:rsidRPr="00E46066" w14:paraId="6DFC441C" w14:textId="77777777" w:rsidTr="0096411A">
        <w:trPr>
          <w:gridAfter w:val="1"/>
          <w:wAfter w:w="99" w:type="dxa"/>
          <w:trHeight w:val="337"/>
          <w:jc w:val="center"/>
        </w:trPr>
        <w:tc>
          <w:tcPr>
            <w:tcW w:w="5055" w:type="dxa"/>
            <w:gridSpan w:val="3"/>
          </w:tcPr>
          <w:p w14:paraId="09DD71CE" w14:textId="77777777" w:rsidR="003438B6" w:rsidRPr="00E46066" w:rsidRDefault="003438B6" w:rsidP="002F5BB9">
            <w:pPr>
              <w:rPr>
                <w:rFonts w:ascii="David" w:hAnsi="David"/>
                <w:b/>
                <w:bCs/>
                <w:sz w:val="28"/>
                <w:szCs w:val="28"/>
                <w:rtl/>
              </w:rPr>
            </w:pPr>
            <w:r w:rsidRPr="00E46066">
              <w:rPr>
                <w:rFonts w:ascii="David" w:hAnsi="David"/>
                <w:b/>
                <w:bCs/>
                <w:sz w:val="28"/>
                <w:szCs w:val="28"/>
                <w:rtl/>
              </w:rPr>
              <w:t>ת"פ 10095-08-22 מדינת ישראל נ' אבו חלף</w:t>
            </w:r>
          </w:p>
          <w:p w14:paraId="0F63A7EF" w14:textId="77777777" w:rsidR="003438B6" w:rsidRPr="00E46066" w:rsidRDefault="003438B6" w:rsidP="002F5BB9">
            <w:pPr>
              <w:pStyle w:val="a3"/>
              <w:rPr>
                <w:rFonts w:cs="FrankRuehl"/>
                <w:sz w:val="28"/>
                <w:szCs w:val="28"/>
                <w:rtl/>
              </w:rPr>
            </w:pPr>
          </w:p>
        </w:tc>
        <w:tc>
          <w:tcPr>
            <w:tcW w:w="3666" w:type="dxa"/>
          </w:tcPr>
          <w:p w14:paraId="7D2E22DC" w14:textId="77777777" w:rsidR="003438B6" w:rsidRPr="00E46066" w:rsidRDefault="003438B6" w:rsidP="002F5BB9">
            <w:pPr>
              <w:pStyle w:val="a3"/>
              <w:jc w:val="right"/>
              <w:rPr>
                <w:rFonts w:cs="FrankRuehl"/>
                <w:sz w:val="28"/>
                <w:szCs w:val="28"/>
                <w:rtl/>
              </w:rPr>
            </w:pPr>
          </w:p>
        </w:tc>
      </w:tr>
      <w:tr w:rsidR="003438B6" w:rsidRPr="00E46066" w14:paraId="120F65A1" w14:textId="77777777" w:rsidTr="009641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1CDDF7C" w14:textId="77777777" w:rsidR="003438B6" w:rsidRPr="00E46066" w:rsidRDefault="003438B6" w:rsidP="003438B6">
            <w:pPr>
              <w:jc w:val="both"/>
              <w:rPr>
                <w:rFonts w:ascii="David" w:hAnsi="David"/>
                <w:b/>
                <w:bCs/>
                <w:sz w:val="26"/>
                <w:szCs w:val="26"/>
              </w:rPr>
            </w:pPr>
            <w:r w:rsidRPr="00E46066">
              <w:rPr>
                <w:rFonts w:hint="cs"/>
                <w:rtl/>
              </w:rPr>
              <w:t xml:space="preserve"> </w:t>
            </w:r>
            <w:r w:rsidRPr="00E46066">
              <w:rPr>
                <w:rFonts w:ascii="David" w:hAnsi="David" w:hint="cs"/>
                <w:b/>
                <w:bCs/>
                <w:sz w:val="26"/>
                <w:szCs w:val="26"/>
                <w:rtl/>
              </w:rPr>
              <w:t>ל</w:t>
            </w:r>
            <w:r w:rsidRPr="00E46066">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52034E85" w14:textId="77777777" w:rsidR="003438B6" w:rsidRPr="00E46066" w:rsidRDefault="003438B6" w:rsidP="002F5BB9">
            <w:pPr>
              <w:rPr>
                <w:rFonts w:ascii="David" w:hAnsi="David"/>
                <w:b/>
                <w:bCs/>
                <w:sz w:val="26"/>
                <w:szCs w:val="26"/>
                <w:rtl/>
              </w:rPr>
            </w:pPr>
            <w:r w:rsidRPr="00E46066">
              <w:rPr>
                <w:rFonts w:ascii="David" w:hAnsi="David"/>
                <w:b/>
                <w:bCs/>
                <w:sz w:val="26"/>
                <w:szCs w:val="26"/>
                <w:rtl/>
              </w:rPr>
              <w:t>כבוד השופט  דוד שאול גבאי ריכטר</w:t>
            </w:r>
          </w:p>
          <w:p w14:paraId="63E8202E" w14:textId="77777777" w:rsidR="003438B6" w:rsidRPr="00E46066" w:rsidRDefault="003438B6" w:rsidP="002F5BB9">
            <w:pPr>
              <w:rPr>
                <w:rFonts w:ascii="David" w:hAnsi="David"/>
                <w:b/>
                <w:bCs/>
                <w:sz w:val="26"/>
                <w:szCs w:val="26"/>
                <w:rtl/>
              </w:rPr>
            </w:pPr>
          </w:p>
          <w:p w14:paraId="5B2769B7" w14:textId="77777777" w:rsidR="003438B6" w:rsidRPr="00E46066" w:rsidRDefault="003438B6" w:rsidP="003438B6">
            <w:pPr>
              <w:jc w:val="both"/>
              <w:rPr>
                <w:rFonts w:ascii="David" w:hAnsi="David"/>
                <w:b/>
                <w:bCs/>
                <w:sz w:val="26"/>
                <w:szCs w:val="26"/>
              </w:rPr>
            </w:pPr>
          </w:p>
        </w:tc>
      </w:tr>
      <w:tr w:rsidR="003438B6" w:rsidRPr="00E46066" w14:paraId="169E7D45" w14:textId="77777777" w:rsidTr="009641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3BA8449" w14:textId="77777777" w:rsidR="003438B6" w:rsidRPr="00E46066" w:rsidRDefault="003438B6" w:rsidP="003438B6">
            <w:pPr>
              <w:jc w:val="both"/>
              <w:rPr>
                <w:rFonts w:ascii="David" w:hAnsi="David"/>
                <w:b/>
                <w:bCs/>
                <w:sz w:val="26"/>
                <w:szCs w:val="26"/>
              </w:rPr>
            </w:pPr>
            <w:bookmarkStart w:id="1" w:name="FirstAppellant"/>
            <w:bookmarkStart w:id="2" w:name="FirstLawyer"/>
            <w:r w:rsidRPr="00E46066">
              <w:rPr>
                <w:rFonts w:ascii="David" w:hAnsi="David"/>
                <w:b/>
                <w:bCs/>
                <w:sz w:val="26"/>
                <w:szCs w:val="26"/>
                <w:rtl/>
              </w:rPr>
              <w:t>בעניין:</w:t>
            </w:r>
          </w:p>
        </w:tc>
        <w:tc>
          <w:tcPr>
            <w:tcW w:w="3219" w:type="dxa"/>
            <w:tcBorders>
              <w:top w:val="nil"/>
              <w:left w:val="nil"/>
              <w:bottom w:val="nil"/>
              <w:right w:val="nil"/>
            </w:tcBorders>
            <w:shd w:val="clear" w:color="auto" w:fill="auto"/>
          </w:tcPr>
          <w:p w14:paraId="5571EA91" w14:textId="77777777" w:rsidR="003438B6" w:rsidRPr="00E46066" w:rsidRDefault="003438B6" w:rsidP="003438B6">
            <w:pPr>
              <w:suppressLineNumbers/>
              <w:rPr>
                <w:b/>
                <w:bCs/>
                <w:sz w:val="26"/>
                <w:szCs w:val="26"/>
              </w:rPr>
            </w:pPr>
            <w:r w:rsidRPr="00E46066">
              <w:rPr>
                <w:rFonts w:ascii="Arial" w:hAnsi="Arial" w:hint="cs"/>
                <w:b/>
                <w:bCs/>
                <w:sz w:val="26"/>
                <w:szCs w:val="26"/>
                <w:rtl/>
              </w:rPr>
              <w:t>ה</w:t>
            </w:r>
            <w:r w:rsidRPr="00E46066">
              <w:rPr>
                <w:rFonts w:ascii="Arial" w:hAnsi="Arial"/>
                <w:b/>
                <w:bCs/>
                <w:sz w:val="26"/>
                <w:szCs w:val="26"/>
                <w:rtl/>
              </w:rPr>
              <w:t>מאשימה</w:t>
            </w:r>
          </w:p>
          <w:p w14:paraId="0E4094DF" w14:textId="77777777" w:rsidR="003438B6" w:rsidRPr="00E46066" w:rsidRDefault="003438B6" w:rsidP="002F5BB9">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5E9BDA78" w14:textId="77777777" w:rsidR="003438B6" w:rsidRPr="00E46066" w:rsidRDefault="003438B6" w:rsidP="003438B6">
            <w:pPr>
              <w:suppressLineNumbers/>
              <w:rPr>
                <w:rFonts w:ascii="Arial" w:hAnsi="Arial"/>
                <w:b/>
                <w:bCs/>
                <w:sz w:val="26"/>
                <w:szCs w:val="26"/>
                <w:rtl/>
              </w:rPr>
            </w:pPr>
            <w:r w:rsidRPr="00E46066">
              <w:rPr>
                <w:rFonts w:ascii="Arial" w:hAnsi="Arial"/>
                <w:b/>
                <w:bCs/>
                <w:sz w:val="26"/>
                <w:szCs w:val="26"/>
                <w:rtl/>
              </w:rPr>
              <w:t>מדינת ישראל</w:t>
            </w:r>
            <w:r w:rsidRPr="00E46066">
              <w:rPr>
                <w:rFonts w:ascii="Arial" w:hAnsi="Arial" w:hint="cs"/>
                <w:b/>
                <w:bCs/>
                <w:sz w:val="26"/>
                <w:szCs w:val="26"/>
                <w:rtl/>
              </w:rPr>
              <w:t xml:space="preserve"> </w:t>
            </w:r>
          </w:p>
          <w:p w14:paraId="1C1914EC" w14:textId="77777777" w:rsidR="003438B6" w:rsidRPr="00E46066" w:rsidRDefault="003438B6" w:rsidP="003438B6">
            <w:pPr>
              <w:suppressLineNumbers/>
              <w:rPr>
                <w:rFonts w:ascii="Arial" w:hAnsi="Arial"/>
                <w:b/>
                <w:bCs/>
                <w:sz w:val="26"/>
                <w:szCs w:val="26"/>
                <w:rtl/>
              </w:rPr>
            </w:pPr>
            <w:r w:rsidRPr="00E46066">
              <w:rPr>
                <w:rFonts w:ascii="Arial" w:hAnsi="Arial"/>
                <w:b/>
                <w:bCs/>
                <w:sz w:val="26"/>
                <w:szCs w:val="26"/>
                <w:rtl/>
              </w:rPr>
              <w:t xml:space="preserve">ע"י ב"כ </w:t>
            </w:r>
            <w:r w:rsidRPr="00E46066">
              <w:rPr>
                <w:rFonts w:ascii="Arial" w:hAnsi="Arial" w:hint="cs"/>
                <w:b/>
                <w:bCs/>
                <w:sz w:val="26"/>
                <w:szCs w:val="26"/>
                <w:rtl/>
              </w:rPr>
              <w:t>מר פנחס סרי לוי, מתמחה</w:t>
            </w:r>
          </w:p>
          <w:p w14:paraId="094467B9" w14:textId="77777777" w:rsidR="003438B6" w:rsidRPr="00E46066" w:rsidRDefault="003438B6" w:rsidP="003438B6">
            <w:pPr>
              <w:suppressLineNumbers/>
              <w:rPr>
                <w:b/>
                <w:bCs/>
                <w:sz w:val="26"/>
                <w:szCs w:val="26"/>
              </w:rPr>
            </w:pPr>
            <w:r w:rsidRPr="00E46066">
              <w:rPr>
                <w:rFonts w:hint="cs"/>
                <w:b/>
                <w:bCs/>
                <w:sz w:val="26"/>
                <w:szCs w:val="26"/>
                <w:rtl/>
              </w:rPr>
              <w:t>מתביעות ירושלים</w:t>
            </w:r>
          </w:p>
          <w:p w14:paraId="204BCA59" w14:textId="77777777" w:rsidR="003438B6" w:rsidRPr="00E46066" w:rsidRDefault="003438B6" w:rsidP="002F5BB9">
            <w:pPr>
              <w:rPr>
                <w:rFonts w:ascii="David" w:hAnsi="David"/>
                <w:b/>
                <w:bCs/>
                <w:sz w:val="26"/>
                <w:szCs w:val="26"/>
              </w:rPr>
            </w:pPr>
          </w:p>
        </w:tc>
      </w:tr>
      <w:bookmarkEnd w:id="1"/>
      <w:bookmarkEnd w:id="2"/>
      <w:tr w:rsidR="003438B6" w:rsidRPr="00E46066" w14:paraId="5FF6ACD7" w14:textId="77777777" w:rsidTr="009641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3877BD" w14:textId="77777777" w:rsidR="003438B6" w:rsidRPr="00E46066" w:rsidRDefault="003438B6" w:rsidP="003438B6">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665665EC" w14:textId="77777777" w:rsidR="003438B6" w:rsidRPr="00E46066" w:rsidRDefault="003438B6" w:rsidP="003438B6">
            <w:pPr>
              <w:jc w:val="center"/>
              <w:rPr>
                <w:rFonts w:ascii="David" w:hAnsi="David"/>
                <w:b/>
                <w:bCs/>
                <w:sz w:val="26"/>
                <w:szCs w:val="26"/>
                <w:rtl/>
              </w:rPr>
            </w:pPr>
          </w:p>
          <w:p w14:paraId="1B910DE4" w14:textId="77777777" w:rsidR="003438B6" w:rsidRPr="00E46066" w:rsidRDefault="003438B6" w:rsidP="003438B6">
            <w:pPr>
              <w:jc w:val="center"/>
              <w:rPr>
                <w:rFonts w:ascii="David" w:hAnsi="David"/>
                <w:b/>
                <w:bCs/>
                <w:sz w:val="26"/>
                <w:szCs w:val="26"/>
                <w:rtl/>
              </w:rPr>
            </w:pPr>
            <w:r w:rsidRPr="00E46066">
              <w:rPr>
                <w:rFonts w:ascii="David" w:hAnsi="David"/>
                <w:b/>
                <w:bCs/>
                <w:sz w:val="26"/>
                <w:szCs w:val="26"/>
                <w:rtl/>
              </w:rPr>
              <w:t>נגד</w:t>
            </w:r>
          </w:p>
          <w:p w14:paraId="26CEA0AC" w14:textId="77777777" w:rsidR="003438B6" w:rsidRPr="00E46066" w:rsidRDefault="003438B6" w:rsidP="003438B6">
            <w:pPr>
              <w:jc w:val="both"/>
              <w:rPr>
                <w:rFonts w:ascii="David" w:hAnsi="David"/>
                <w:b/>
                <w:bCs/>
                <w:sz w:val="26"/>
                <w:szCs w:val="26"/>
              </w:rPr>
            </w:pPr>
          </w:p>
        </w:tc>
      </w:tr>
      <w:tr w:rsidR="003438B6" w:rsidRPr="00E46066" w14:paraId="171BFCB6" w14:textId="77777777" w:rsidTr="009641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51A374" w14:textId="77777777" w:rsidR="003438B6" w:rsidRPr="00E46066" w:rsidRDefault="003438B6" w:rsidP="002F5BB9">
            <w:pPr>
              <w:rPr>
                <w:rFonts w:ascii="David" w:hAnsi="David"/>
                <w:b/>
                <w:bCs/>
                <w:sz w:val="26"/>
                <w:szCs w:val="26"/>
                <w:rtl/>
              </w:rPr>
            </w:pPr>
          </w:p>
        </w:tc>
        <w:tc>
          <w:tcPr>
            <w:tcW w:w="3219" w:type="dxa"/>
            <w:tcBorders>
              <w:top w:val="nil"/>
              <w:left w:val="nil"/>
              <w:bottom w:val="nil"/>
              <w:right w:val="nil"/>
            </w:tcBorders>
            <w:shd w:val="clear" w:color="auto" w:fill="auto"/>
          </w:tcPr>
          <w:p w14:paraId="77F84977" w14:textId="77777777" w:rsidR="003438B6" w:rsidRPr="00E46066" w:rsidRDefault="003438B6" w:rsidP="002F5BB9">
            <w:pPr>
              <w:rPr>
                <w:rFonts w:ascii="Arial" w:hAnsi="Arial"/>
                <w:b/>
                <w:bCs/>
                <w:sz w:val="26"/>
                <w:szCs w:val="26"/>
                <w:rtl/>
              </w:rPr>
            </w:pPr>
            <w:r w:rsidRPr="00E4606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B276081" w14:textId="77777777" w:rsidR="003438B6" w:rsidRPr="00E46066" w:rsidRDefault="003438B6" w:rsidP="003438B6">
            <w:pPr>
              <w:suppressLineNumbers/>
              <w:rPr>
                <w:rFonts w:ascii="Arial" w:hAnsi="Arial"/>
                <w:b/>
                <w:bCs/>
                <w:sz w:val="26"/>
                <w:szCs w:val="26"/>
                <w:rtl/>
              </w:rPr>
            </w:pPr>
            <w:r w:rsidRPr="00E46066">
              <w:rPr>
                <w:rFonts w:ascii="Arial" w:hAnsi="Arial"/>
                <w:b/>
                <w:bCs/>
                <w:sz w:val="26"/>
                <w:szCs w:val="26"/>
                <w:rtl/>
              </w:rPr>
              <w:t>מאזן אבו חלף</w:t>
            </w:r>
            <w:r w:rsidRPr="00E46066">
              <w:rPr>
                <w:rFonts w:ascii="Arial" w:hAnsi="Arial" w:hint="cs"/>
                <w:b/>
                <w:bCs/>
                <w:sz w:val="26"/>
                <w:szCs w:val="26"/>
                <w:rtl/>
              </w:rPr>
              <w:t xml:space="preserve"> </w:t>
            </w:r>
          </w:p>
          <w:p w14:paraId="00ADFB86" w14:textId="77777777" w:rsidR="003438B6" w:rsidRPr="00E46066" w:rsidRDefault="003438B6" w:rsidP="003438B6">
            <w:pPr>
              <w:suppressLineNumbers/>
              <w:rPr>
                <w:rFonts w:ascii="Arial" w:hAnsi="Arial"/>
                <w:b/>
                <w:bCs/>
                <w:sz w:val="26"/>
                <w:szCs w:val="26"/>
                <w:rtl/>
              </w:rPr>
            </w:pPr>
            <w:r w:rsidRPr="00E46066">
              <w:rPr>
                <w:rFonts w:ascii="Arial" w:hAnsi="Arial"/>
                <w:b/>
                <w:bCs/>
                <w:sz w:val="26"/>
                <w:szCs w:val="26"/>
                <w:rtl/>
              </w:rPr>
              <w:t>ע"י ב"כ עוה"ד</w:t>
            </w:r>
            <w:r w:rsidRPr="00E46066">
              <w:rPr>
                <w:rFonts w:ascii="Arial" w:hAnsi="Arial" w:hint="cs"/>
                <w:b/>
                <w:bCs/>
                <w:sz w:val="26"/>
                <w:szCs w:val="26"/>
                <w:rtl/>
              </w:rPr>
              <w:t xml:space="preserve"> מחמוד רבאח</w:t>
            </w:r>
          </w:p>
          <w:p w14:paraId="2D97022C" w14:textId="77777777" w:rsidR="003438B6" w:rsidRPr="00E46066" w:rsidRDefault="003438B6" w:rsidP="003438B6">
            <w:pPr>
              <w:suppressLineNumbers/>
              <w:rPr>
                <w:b/>
                <w:bCs/>
                <w:sz w:val="26"/>
                <w:szCs w:val="26"/>
              </w:rPr>
            </w:pPr>
            <w:r w:rsidRPr="00E46066">
              <w:rPr>
                <w:rFonts w:hint="cs"/>
                <w:b/>
                <w:bCs/>
                <w:sz w:val="26"/>
                <w:szCs w:val="26"/>
                <w:rtl/>
              </w:rPr>
              <w:t>מטעם הסניגוריה הציבורית</w:t>
            </w:r>
          </w:p>
          <w:p w14:paraId="153B1832" w14:textId="77777777" w:rsidR="003438B6" w:rsidRPr="00E46066" w:rsidRDefault="003438B6" w:rsidP="002F5BB9">
            <w:pPr>
              <w:rPr>
                <w:rFonts w:ascii="David" w:hAnsi="David"/>
                <w:b/>
                <w:bCs/>
                <w:sz w:val="26"/>
                <w:szCs w:val="26"/>
              </w:rPr>
            </w:pPr>
          </w:p>
        </w:tc>
      </w:tr>
    </w:tbl>
    <w:p w14:paraId="27BA9957" w14:textId="77777777" w:rsidR="00E46066" w:rsidRPr="00E46066" w:rsidRDefault="00E46066" w:rsidP="00E46066">
      <w:pPr>
        <w:spacing w:before="120" w:after="120" w:line="240" w:lineRule="exact"/>
        <w:ind w:left="283" w:hanging="283"/>
        <w:jc w:val="both"/>
        <w:rPr>
          <w:rFonts w:ascii="FrankRuehl" w:hAnsi="FrankRuehl" w:cs="FrankRuehl"/>
          <w:rtl/>
        </w:rPr>
      </w:pPr>
    </w:p>
    <w:p w14:paraId="3C9957D0" w14:textId="77777777" w:rsidR="00E46066" w:rsidRPr="00E46066" w:rsidRDefault="00E46066" w:rsidP="00E46066">
      <w:pPr>
        <w:rPr>
          <w:sz w:val="26"/>
          <w:szCs w:val="26"/>
          <w:rtl/>
        </w:rPr>
      </w:pPr>
    </w:p>
    <w:p w14:paraId="61CAA768" w14:textId="77777777" w:rsidR="0096411A" w:rsidRPr="0096411A" w:rsidRDefault="0096411A" w:rsidP="0096411A">
      <w:pPr>
        <w:spacing w:before="120" w:after="120" w:line="240" w:lineRule="exact"/>
        <w:ind w:left="283" w:hanging="283"/>
        <w:jc w:val="both"/>
        <w:rPr>
          <w:rFonts w:ascii="FrankRuehl" w:hAnsi="FrankRuehl" w:cs="FrankRuehl"/>
          <w:rtl/>
        </w:rPr>
      </w:pPr>
    </w:p>
    <w:p w14:paraId="36852509" w14:textId="77777777" w:rsidR="00D633E7" w:rsidRPr="00D633E7" w:rsidRDefault="00D633E7" w:rsidP="00D633E7">
      <w:pPr>
        <w:spacing w:before="120" w:after="120" w:line="240" w:lineRule="exact"/>
        <w:ind w:left="283" w:hanging="283"/>
        <w:jc w:val="both"/>
        <w:rPr>
          <w:rFonts w:ascii="FrankRuehl" w:hAnsi="FrankRuehl" w:cs="FrankRuehl"/>
          <w:rtl/>
        </w:rPr>
      </w:pPr>
    </w:p>
    <w:p w14:paraId="2CEAA575" w14:textId="77777777" w:rsidR="00D633E7" w:rsidRPr="00D633E7" w:rsidRDefault="00D633E7" w:rsidP="00D633E7">
      <w:pPr>
        <w:spacing w:before="120" w:after="120" w:line="240" w:lineRule="exact"/>
        <w:ind w:left="283" w:hanging="283"/>
        <w:jc w:val="both"/>
        <w:rPr>
          <w:rFonts w:ascii="FrankRuehl" w:hAnsi="FrankRuehl" w:cs="FrankRuehl"/>
          <w:rtl/>
        </w:rPr>
      </w:pPr>
    </w:p>
    <w:p w14:paraId="40DA5584" w14:textId="77777777" w:rsidR="0076423A" w:rsidRDefault="0076423A" w:rsidP="0076423A">
      <w:pPr>
        <w:rPr>
          <w:sz w:val="26"/>
          <w:szCs w:val="26"/>
          <w:rtl/>
        </w:rPr>
      </w:pPr>
      <w:bookmarkStart w:id="3" w:name="LawTable"/>
      <w:bookmarkEnd w:id="3"/>
    </w:p>
    <w:p w14:paraId="130F84E5" w14:textId="77777777" w:rsidR="0076423A" w:rsidRPr="0076423A" w:rsidRDefault="0076423A" w:rsidP="0076423A">
      <w:pPr>
        <w:spacing w:before="120" w:after="120" w:line="240" w:lineRule="exact"/>
        <w:ind w:left="283" w:hanging="283"/>
        <w:jc w:val="both"/>
        <w:rPr>
          <w:rFonts w:ascii="FrankRuehl" w:hAnsi="FrankRuehl" w:cs="FrankRuehl"/>
          <w:rtl/>
        </w:rPr>
      </w:pPr>
    </w:p>
    <w:p w14:paraId="5569F3CC" w14:textId="77777777" w:rsidR="0076423A" w:rsidRPr="0076423A" w:rsidRDefault="0076423A" w:rsidP="0076423A">
      <w:pPr>
        <w:spacing w:before="120" w:after="120" w:line="240" w:lineRule="exact"/>
        <w:ind w:left="283" w:hanging="283"/>
        <w:jc w:val="both"/>
        <w:rPr>
          <w:rFonts w:ascii="FrankRuehl" w:hAnsi="FrankRuehl" w:cs="FrankRuehl"/>
          <w:rtl/>
        </w:rPr>
      </w:pPr>
    </w:p>
    <w:p w14:paraId="5CBAB233" w14:textId="77777777" w:rsidR="0076423A" w:rsidRPr="0076423A" w:rsidRDefault="0076423A" w:rsidP="0076423A">
      <w:pPr>
        <w:spacing w:before="120" w:after="120" w:line="240" w:lineRule="exact"/>
        <w:ind w:left="283" w:hanging="283"/>
        <w:jc w:val="both"/>
        <w:rPr>
          <w:rFonts w:ascii="FrankRuehl" w:hAnsi="FrankRuehl" w:cs="FrankRuehl"/>
          <w:rtl/>
        </w:rPr>
      </w:pPr>
      <w:r w:rsidRPr="0076423A">
        <w:rPr>
          <w:rFonts w:ascii="FrankRuehl" w:hAnsi="FrankRuehl" w:cs="FrankRuehl"/>
          <w:rtl/>
        </w:rPr>
        <w:t xml:space="preserve">חקיקה שאוזכרה: </w:t>
      </w:r>
    </w:p>
    <w:p w14:paraId="0153273F" w14:textId="77777777" w:rsidR="0076423A" w:rsidRPr="0076423A" w:rsidRDefault="0076423A" w:rsidP="0076423A">
      <w:pPr>
        <w:spacing w:before="120" w:after="120" w:line="240" w:lineRule="exact"/>
        <w:ind w:left="283" w:hanging="283"/>
        <w:jc w:val="both"/>
        <w:rPr>
          <w:rFonts w:ascii="FrankRuehl" w:hAnsi="FrankRuehl" w:cs="FrankRuehl"/>
          <w:rtl/>
        </w:rPr>
      </w:pPr>
      <w:hyperlink r:id="rId7" w:history="1">
        <w:r w:rsidRPr="0076423A">
          <w:rPr>
            <w:rFonts w:ascii="FrankRuehl" w:hAnsi="FrankRuehl" w:cs="FrankRuehl"/>
            <w:color w:val="0000FF"/>
            <w:rtl/>
          </w:rPr>
          <w:t>פקודת הסמים המסוכנים [נוסח חדש], תשל"ג-1973</w:t>
        </w:r>
      </w:hyperlink>
      <w:r w:rsidRPr="0076423A">
        <w:rPr>
          <w:rFonts w:ascii="FrankRuehl" w:hAnsi="FrankRuehl" w:cs="FrankRuehl"/>
          <w:rtl/>
        </w:rPr>
        <w:t xml:space="preserve">: סע'  </w:t>
      </w:r>
      <w:hyperlink r:id="rId8" w:history="1">
        <w:r w:rsidRPr="0076423A">
          <w:rPr>
            <w:rFonts w:ascii="FrankRuehl" w:hAnsi="FrankRuehl" w:cs="FrankRuehl"/>
            <w:color w:val="0000FF"/>
            <w:rtl/>
          </w:rPr>
          <w:t>13</w:t>
        </w:r>
      </w:hyperlink>
      <w:r w:rsidRPr="0076423A">
        <w:rPr>
          <w:rFonts w:ascii="FrankRuehl" w:hAnsi="FrankRuehl" w:cs="FrankRuehl"/>
          <w:rtl/>
        </w:rPr>
        <w:t xml:space="preserve">, </w:t>
      </w:r>
      <w:hyperlink r:id="rId9" w:history="1">
        <w:r w:rsidRPr="0076423A">
          <w:rPr>
            <w:rFonts w:ascii="FrankRuehl" w:hAnsi="FrankRuehl" w:cs="FrankRuehl"/>
            <w:color w:val="0000FF"/>
            <w:rtl/>
          </w:rPr>
          <w:t>19א</w:t>
        </w:r>
      </w:hyperlink>
    </w:p>
    <w:p w14:paraId="6E1551C2" w14:textId="77777777" w:rsidR="0076423A" w:rsidRPr="0076423A" w:rsidRDefault="0076423A" w:rsidP="0076423A">
      <w:pPr>
        <w:spacing w:before="120" w:after="120" w:line="240" w:lineRule="exact"/>
        <w:ind w:left="283" w:hanging="283"/>
        <w:jc w:val="both"/>
        <w:rPr>
          <w:rFonts w:ascii="FrankRuehl" w:hAnsi="FrankRuehl" w:cs="FrankRuehl"/>
          <w:rtl/>
        </w:rPr>
      </w:pPr>
      <w:hyperlink r:id="rId10" w:history="1">
        <w:r w:rsidRPr="0076423A">
          <w:rPr>
            <w:rFonts w:ascii="FrankRuehl" w:hAnsi="FrankRuehl" w:cs="FrankRuehl"/>
            <w:color w:val="0000FF"/>
            <w:rtl/>
          </w:rPr>
          <w:t>חוק העונשין, תשל"ז-1977</w:t>
        </w:r>
      </w:hyperlink>
      <w:r w:rsidRPr="0076423A">
        <w:rPr>
          <w:rFonts w:ascii="FrankRuehl" w:hAnsi="FrankRuehl" w:cs="FrankRuehl"/>
          <w:rtl/>
        </w:rPr>
        <w:t xml:space="preserve">: סע'  </w:t>
      </w:r>
      <w:hyperlink r:id="rId11" w:history="1">
        <w:r w:rsidRPr="0076423A">
          <w:rPr>
            <w:rFonts w:ascii="FrankRuehl" w:hAnsi="FrankRuehl" w:cs="FrankRuehl"/>
            <w:color w:val="0000FF"/>
            <w:rtl/>
          </w:rPr>
          <w:t>29(א)</w:t>
        </w:r>
      </w:hyperlink>
    </w:p>
    <w:p w14:paraId="42EE7052" w14:textId="77777777" w:rsidR="0076423A" w:rsidRPr="0076423A" w:rsidRDefault="0076423A" w:rsidP="0076423A">
      <w:pPr>
        <w:rPr>
          <w:sz w:val="26"/>
          <w:szCs w:val="26"/>
          <w:rtl/>
        </w:rPr>
      </w:pPr>
      <w:bookmarkStart w:id="4" w:name="LawTable_End"/>
      <w:bookmarkEnd w:id="4"/>
    </w:p>
    <w:p w14:paraId="5057CDEF" w14:textId="77777777" w:rsidR="003438B6" w:rsidRPr="00D633E7" w:rsidRDefault="003438B6" w:rsidP="00D633E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38B6" w14:paraId="04455657" w14:textId="77777777" w:rsidTr="003438B6">
        <w:trPr>
          <w:trHeight w:val="355"/>
          <w:jc w:val="center"/>
        </w:trPr>
        <w:tc>
          <w:tcPr>
            <w:tcW w:w="8820" w:type="dxa"/>
            <w:tcBorders>
              <w:top w:val="nil"/>
              <w:left w:val="nil"/>
              <w:bottom w:val="nil"/>
              <w:right w:val="nil"/>
            </w:tcBorders>
            <w:shd w:val="clear" w:color="auto" w:fill="auto"/>
          </w:tcPr>
          <w:p w14:paraId="538422FD" w14:textId="77777777" w:rsidR="00E46066" w:rsidRPr="00E46066" w:rsidRDefault="00E46066" w:rsidP="00E46066">
            <w:pPr>
              <w:jc w:val="center"/>
              <w:rPr>
                <w:rFonts w:ascii="David" w:hAnsi="David"/>
                <w:b/>
                <w:bCs/>
                <w:sz w:val="32"/>
                <w:szCs w:val="32"/>
                <w:u w:val="single"/>
                <w:rtl/>
              </w:rPr>
            </w:pPr>
            <w:bookmarkStart w:id="5" w:name="PsakDin" w:colFirst="0" w:colLast="0"/>
            <w:bookmarkEnd w:id="0"/>
            <w:r w:rsidRPr="00E46066">
              <w:rPr>
                <w:rFonts w:ascii="David" w:hAnsi="David"/>
                <w:b/>
                <w:bCs/>
                <w:sz w:val="32"/>
                <w:szCs w:val="32"/>
                <w:u w:val="single"/>
                <w:rtl/>
              </w:rPr>
              <w:t>גזר דין</w:t>
            </w:r>
          </w:p>
          <w:p w14:paraId="0F3F2399" w14:textId="77777777" w:rsidR="003438B6" w:rsidRPr="00E46066" w:rsidRDefault="003438B6" w:rsidP="00E46066">
            <w:pPr>
              <w:jc w:val="center"/>
              <w:rPr>
                <w:rFonts w:ascii="David" w:hAnsi="David"/>
                <w:bCs/>
                <w:sz w:val="32"/>
                <w:szCs w:val="32"/>
                <w:u w:val="single"/>
                <w:rtl/>
              </w:rPr>
            </w:pPr>
          </w:p>
        </w:tc>
      </w:tr>
      <w:bookmarkEnd w:id="5"/>
    </w:tbl>
    <w:p w14:paraId="730DEC18" w14:textId="77777777" w:rsidR="003438B6" w:rsidRPr="000F2247" w:rsidRDefault="003438B6" w:rsidP="003438B6">
      <w:pPr>
        <w:rPr>
          <w:rFonts w:ascii="Arial" w:hAnsi="Arial"/>
          <w:b/>
          <w:bCs/>
          <w:sz w:val="26"/>
          <w:szCs w:val="26"/>
          <w:rtl/>
        </w:rPr>
      </w:pPr>
    </w:p>
    <w:p w14:paraId="7827402A" w14:textId="77777777" w:rsidR="003438B6" w:rsidRDefault="003438B6" w:rsidP="003438B6">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w:t>
      </w:r>
    </w:p>
    <w:p w14:paraId="14D57762" w14:textId="77777777" w:rsidR="003438B6" w:rsidRDefault="003438B6" w:rsidP="003438B6">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 xml:space="preserve">הנאשם הורשע על פי הודאתו </w:t>
      </w:r>
      <w:r>
        <w:rPr>
          <w:rFonts w:ascii="David" w:hAnsi="David" w:hint="cs"/>
          <w:sz w:val="26"/>
          <w:szCs w:val="26"/>
          <w:rtl/>
        </w:rPr>
        <w:t xml:space="preserve">בכתב אישום מתוקן בביצוע </w:t>
      </w:r>
      <w:r w:rsidRPr="00947254">
        <w:rPr>
          <w:rFonts w:ascii="David" w:hAnsi="David" w:hint="cs"/>
          <w:b/>
          <w:bCs/>
          <w:sz w:val="26"/>
          <w:szCs w:val="26"/>
          <w:rtl/>
        </w:rPr>
        <w:t>שתי עבירות של סחר בסמים בצוותא</w:t>
      </w:r>
      <w:r>
        <w:rPr>
          <w:rFonts w:ascii="David" w:hAnsi="David" w:hint="cs"/>
          <w:sz w:val="26"/>
          <w:szCs w:val="26"/>
          <w:rtl/>
        </w:rPr>
        <w:t xml:space="preserve">, לפי </w:t>
      </w:r>
      <w:hyperlink r:id="rId12" w:history="1">
        <w:r w:rsidR="0096411A" w:rsidRPr="0096411A">
          <w:rPr>
            <w:rStyle w:val="Hyperlink"/>
            <w:rFonts w:ascii="David" w:hAnsi="David" w:hint="eastAsia"/>
            <w:sz w:val="26"/>
            <w:szCs w:val="26"/>
            <w:rtl/>
          </w:rPr>
          <w:t>סעיפים</w:t>
        </w:r>
        <w:r w:rsidR="0096411A" w:rsidRPr="0096411A">
          <w:rPr>
            <w:rStyle w:val="Hyperlink"/>
            <w:rFonts w:ascii="David" w:hAnsi="David"/>
            <w:sz w:val="26"/>
            <w:szCs w:val="26"/>
            <w:rtl/>
          </w:rPr>
          <w:t xml:space="preserve"> 13</w:t>
        </w:r>
      </w:hyperlink>
      <w:r>
        <w:rPr>
          <w:rFonts w:ascii="David" w:hAnsi="David" w:hint="cs"/>
          <w:sz w:val="26"/>
          <w:szCs w:val="26"/>
          <w:rtl/>
        </w:rPr>
        <w:t xml:space="preserve"> ו-</w:t>
      </w:r>
      <w:hyperlink r:id="rId13" w:history="1">
        <w:r w:rsidR="0096411A" w:rsidRPr="0096411A">
          <w:rPr>
            <w:rStyle w:val="Hyperlink"/>
            <w:rFonts w:ascii="David" w:hAnsi="David"/>
            <w:sz w:val="26"/>
            <w:szCs w:val="26"/>
            <w:rtl/>
          </w:rPr>
          <w:t>19א</w:t>
        </w:r>
      </w:hyperlink>
      <w:r>
        <w:rPr>
          <w:rFonts w:ascii="David" w:hAnsi="David" w:hint="cs"/>
          <w:sz w:val="26"/>
          <w:szCs w:val="26"/>
          <w:rtl/>
        </w:rPr>
        <w:t xml:space="preserve"> לפקודת הסמים בצירוף </w:t>
      </w:r>
      <w:hyperlink r:id="rId14" w:history="1">
        <w:r w:rsidR="0096411A" w:rsidRPr="0096411A">
          <w:rPr>
            <w:rStyle w:val="Hyperlink"/>
            <w:rFonts w:ascii="David" w:hAnsi="David" w:hint="eastAsia"/>
            <w:sz w:val="26"/>
            <w:szCs w:val="26"/>
            <w:rtl/>
          </w:rPr>
          <w:t>סעיף</w:t>
        </w:r>
        <w:r w:rsidR="0096411A" w:rsidRPr="0096411A">
          <w:rPr>
            <w:rStyle w:val="Hyperlink"/>
            <w:rFonts w:ascii="David" w:hAnsi="David"/>
            <w:sz w:val="26"/>
            <w:szCs w:val="26"/>
            <w:rtl/>
          </w:rPr>
          <w:t xml:space="preserve"> 29(א)</w:t>
        </w:r>
      </w:hyperlink>
      <w:r>
        <w:rPr>
          <w:rFonts w:ascii="David" w:hAnsi="David" w:hint="cs"/>
          <w:sz w:val="26"/>
          <w:szCs w:val="26"/>
          <w:rtl/>
        </w:rPr>
        <w:t xml:space="preserve"> ל</w:t>
      </w:r>
      <w:hyperlink r:id="rId15" w:history="1">
        <w:r w:rsidR="00E46066" w:rsidRPr="00E46066">
          <w:rPr>
            <w:rFonts w:ascii="David" w:hAnsi="David"/>
            <w:color w:val="0000FF"/>
            <w:sz w:val="26"/>
            <w:szCs w:val="26"/>
            <w:u w:val="single"/>
            <w:rtl/>
          </w:rPr>
          <w:t>חוק העונשין</w:t>
        </w:r>
      </w:hyperlink>
      <w:r>
        <w:rPr>
          <w:rFonts w:ascii="David" w:hAnsi="David" w:hint="cs"/>
          <w:sz w:val="26"/>
          <w:szCs w:val="26"/>
          <w:rtl/>
        </w:rPr>
        <w:t xml:space="preserve">, התשל"ז-1977, ובעבירת </w:t>
      </w:r>
      <w:r w:rsidRPr="00947254">
        <w:rPr>
          <w:rFonts w:ascii="David" w:hAnsi="David" w:hint="cs"/>
          <w:b/>
          <w:bCs/>
          <w:sz w:val="26"/>
          <w:szCs w:val="26"/>
          <w:rtl/>
        </w:rPr>
        <w:t>סחר בסמים</w:t>
      </w:r>
      <w:r>
        <w:rPr>
          <w:rFonts w:ascii="David" w:hAnsi="David" w:hint="cs"/>
          <w:sz w:val="26"/>
          <w:szCs w:val="26"/>
          <w:rtl/>
        </w:rPr>
        <w:t xml:space="preserve">. </w:t>
      </w:r>
    </w:p>
    <w:p w14:paraId="5C51A246" w14:textId="77777777" w:rsidR="003438B6" w:rsidRDefault="003438B6" w:rsidP="003438B6">
      <w:pPr>
        <w:pStyle w:val="a9"/>
        <w:numPr>
          <w:ilvl w:val="0"/>
          <w:numId w:val="2"/>
        </w:numPr>
        <w:spacing w:after="160" w:line="360" w:lineRule="auto"/>
        <w:jc w:val="both"/>
        <w:rPr>
          <w:rFonts w:ascii="David" w:hAnsi="David"/>
          <w:sz w:val="26"/>
          <w:szCs w:val="26"/>
        </w:rPr>
      </w:pPr>
      <w:bookmarkStart w:id="7" w:name="ABSTRACT_END"/>
      <w:bookmarkEnd w:id="7"/>
      <w:r>
        <w:rPr>
          <w:rFonts w:ascii="David" w:hAnsi="David" w:hint="cs"/>
          <w:sz w:val="26"/>
          <w:szCs w:val="26"/>
          <w:rtl/>
        </w:rPr>
        <w:t xml:space="preserve">ברקע העובדות, עבודתו של הנאשם בעסק לשטיפת כלי רכב יחד עם בניו של בעל העסק. הנאשם יחד עם בעל העסק ובניו, הסליקו ברחבי העסק סמים מסוכנים, ונהגו ליטול את </w:t>
      </w:r>
      <w:r>
        <w:rPr>
          <w:rFonts w:ascii="David" w:hAnsi="David" w:hint="cs"/>
          <w:sz w:val="26"/>
          <w:szCs w:val="26"/>
          <w:rtl/>
        </w:rPr>
        <w:lastRenderedPageBreak/>
        <w:t xml:space="preserve">הסמים מן העסק לצורך ביצוע עסקאות סמים. בזמנים הרלבנטיים הפעילה המשטרה סוכנים בהקשר לפעילות למיגור סחר בסמים. </w:t>
      </w:r>
    </w:p>
    <w:p w14:paraId="42CB2FB2" w14:textId="77777777" w:rsidR="003438B6" w:rsidRDefault="003438B6" w:rsidP="003438B6">
      <w:pPr>
        <w:pStyle w:val="a9"/>
        <w:numPr>
          <w:ilvl w:val="0"/>
          <w:numId w:val="2"/>
        </w:numPr>
        <w:spacing w:after="160" w:line="360" w:lineRule="auto"/>
        <w:jc w:val="both"/>
        <w:rPr>
          <w:rFonts w:ascii="David" w:hAnsi="David"/>
          <w:sz w:val="26"/>
          <w:szCs w:val="26"/>
        </w:rPr>
      </w:pPr>
      <w:r>
        <w:rPr>
          <w:rFonts w:ascii="David" w:hAnsi="David" w:hint="cs"/>
          <w:sz w:val="26"/>
          <w:szCs w:val="26"/>
          <w:rtl/>
        </w:rPr>
        <w:t>על פי האישום השני, סחר הנאשם בצוותא עם אחד מבניו של בית העסק בקנביס במשקל כ-47 גרם נטו מול סוכן משטרתי תמורת 1,300 ₪, זאת ביום 26.6.2022. כך גם היה מול הסוכן השני ביום 17.7.2022 עת סחר הנאשם עם אחר מול הסוחר בכ-44.5 גרם קנביס תמורת 1,200 ₪, על-פי האישום השלישי. על-פי האישום הרביעי סחר הנאשם בעצמו מול אחד הסוכנים בקנביס במשקל 53 גרם תמורת 1,200 ₪ וזאת ביום 26.7.2022.</w:t>
      </w:r>
    </w:p>
    <w:p w14:paraId="07F19875" w14:textId="77777777" w:rsidR="003438B6" w:rsidRDefault="003438B6" w:rsidP="003438B6">
      <w:pPr>
        <w:spacing w:after="160" w:line="360" w:lineRule="auto"/>
        <w:jc w:val="both"/>
        <w:rPr>
          <w:rFonts w:ascii="David" w:hAnsi="David"/>
          <w:b/>
          <w:bCs/>
          <w:sz w:val="26"/>
          <w:szCs w:val="26"/>
          <w:u w:val="single"/>
        </w:rPr>
      </w:pPr>
    </w:p>
    <w:p w14:paraId="5A727D58" w14:textId="77777777" w:rsidR="003438B6" w:rsidRDefault="003438B6" w:rsidP="003438B6">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753F85B0" w14:textId="77777777" w:rsidR="003438B6" w:rsidRDefault="003438B6" w:rsidP="003438B6">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נעצר ביום 26.7.2022 ושהה במעצר ממש עד ליום 17.8.2022, עת נעצר בפיקוח אלקטרוני. הנאשם שהה בפיקוח אלקטרוני עד ליום 1.2.2023, אז הוקלו התנאים כך שבוטל הפיקוח האלקטרוני והותר לנאשם לצאת לעבודה בפיקוח. הקלה נוספת בתנאי השחרור ניתנה ביום 16.4.2023 עת הודה הנאשם והורשע בכתב האישום המתוקן, עת הוריתי לשירות המבחן ולממונה על עבודות השירות להכין תסקיר וחוו"ד (בהתאמה) לקראת שמיעת טיעונים לעונש. כעבור פחות מחודש הודיע הסניגור בשם הנאשם, כי הנאשם מוותר על זכותו לקבלת תסקיר וחוו"ד, תוך שהוא מודע להשלכות העונשיות של בחירה זו, וזאת בשל רצונו לסיים בהקדם את התיק כך שעונשו ייגזר במועד המוקדם ביותר האפשרי.</w:t>
      </w:r>
    </w:p>
    <w:p w14:paraId="20F8A048" w14:textId="77777777" w:rsidR="003438B6" w:rsidRDefault="003438B6" w:rsidP="003438B6">
      <w:pPr>
        <w:spacing w:after="160" w:line="360" w:lineRule="auto"/>
        <w:jc w:val="both"/>
        <w:rPr>
          <w:rFonts w:ascii="David" w:hAnsi="David"/>
          <w:b/>
          <w:bCs/>
          <w:sz w:val="26"/>
          <w:szCs w:val="26"/>
          <w:u w:val="single"/>
        </w:rPr>
      </w:pPr>
    </w:p>
    <w:p w14:paraId="7D29C0FF" w14:textId="77777777" w:rsidR="003438B6" w:rsidRDefault="003438B6" w:rsidP="003438B6">
      <w:pPr>
        <w:spacing w:after="160" w:line="360" w:lineRule="auto"/>
        <w:jc w:val="both"/>
        <w:rPr>
          <w:rFonts w:ascii="David" w:hAnsi="David"/>
          <w:b/>
          <w:bCs/>
          <w:sz w:val="26"/>
          <w:szCs w:val="26"/>
          <w:u w:val="single"/>
          <w:rtl/>
        </w:rPr>
      </w:pPr>
      <w:r>
        <w:rPr>
          <w:rFonts w:ascii="David" w:hAnsi="David" w:hint="cs"/>
          <w:b/>
          <w:bCs/>
          <w:sz w:val="26"/>
          <w:szCs w:val="26"/>
          <w:u w:val="single"/>
          <w:rtl/>
        </w:rPr>
        <w:t>ראיות ו</w:t>
      </w:r>
      <w:r>
        <w:rPr>
          <w:rFonts w:ascii="David" w:hAnsi="David"/>
          <w:b/>
          <w:bCs/>
          <w:sz w:val="26"/>
          <w:szCs w:val="26"/>
          <w:u w:val="single"/>
          <w:rtl/>
        </w:rPr>
        <w:t>טיעונים לעונש</w:t>
      </w:r>
    </w:p>
    <w:p w14:paraId="45DDE47B" w14:textId="77777777" w:rsidR="003438B6" w:rsidRPr="00FB786A" w:rsidRDefault="003438B6" w:rsidP="003438B6">
      <w:pPr>
        <w:pStyle w:val="a9"/>
        <w:numPr>
          <w:ilvl w:val="0"/>
          <w:numId w:val="2"/>
        </w:numPr>
        <w:spacing w:after="160" w:line="360" w:lineRule="auto"/>
        <w:jc w:val="both"/>
        <w:rPr>
          <w:rFonts w:ascii="David" w:hAnsi="David"/>
          <w:sz w:val="26"/>
          <w:szCs w:val="26"/>
          <w:rtl/>
        </w:rPr>
      </w:pPr>
      <w:r w:rsidRPr="00FB786A">
        <w:rPr>
          <w:rFonts w:ascii="David" w:hAnsi="David" w:hint="cs"/>
          <w:sz w:val="26"/>
          <w:szCs w:val="26"/>
          <w:rtl/>
        </w:rPr>
        <w:t>ב"כ המאשימה עתר להטיל על הנאשם עונש של 16 חודשי מאסר בהתבסס על מתחם שבין 4 ל-12 חודשי מאסר בכל אישום, וכן ענישה נלווית. הסניגור מנגד, ביקש להסתפק בתקופת מאסר קצרה, בין היתר בהתחשב באופן סיום עניינם של השותפים לעבירות במסכת האירועים בה הודה הנאשם. שניים מהשותפים נדונו בהסכמה ל-13 חודשי מאסר, כאשר הורשעו בהיקף עבירות רחב בהרבה מזה של הנאשם לרבות עבירה של קשירת קשר, שנמחקה מכתב האישום של הנאשם שלפניי. עניינו של נאשם אחר טרם הסתיים</w:t>
      </w:r>
      <w:r>
        <w:rPr>
          <w:rFonts w:ascii="David" w:hAnsi="David" w:hint="cs"/>
          <w:sz w:val="26"/>
          <w:szCs w:val="26"/>
          <w:rtl/>
        </w:rPr>
        <w:t>,</w:t>
      </w:r>
      <w:r w:rsidRPr="00FB786A">
        <w:rPr>
          <w:rFonts w:ascii="David" w:hAnsi="David" w:hint="cs"/>
          <w:sz w:val="26"/>
          <w:szCs w:val="26"/>
          <w:rtl/>
        </w:rPr>
        <w:t xml:space="preserve"> ומעיון בתיק עולה כי נשקלת אפשרות של הטלת מאסר בעבודות שירות (ת"פ 10082-08-22). בנוסף, היפנה הסניגור </w:t>
      </w:r>
      <w:r>
        <w:rPr>
          <w:rFonts w:ascii="David" w:hAnsi="David" w:hint="cs"/>
          <w:sz w:val="26"/>
          <w:szCs w:val="26"/>
          <w:rtl/>
        </w:rPr>
        <w:t xml:space="preserve">להודעת הנאשם במשטרה, ממנה עולה כי הוא שיתף פעולה עם חוקריו ולמעשה היה גורם משמעותי בפענוח הפרשה, עובדה המלמדת </w:t>
      </w:r>
      <w:r>
        <w:rPr>
          <w:rFonts w:ascii="David" w:hAnsi="David" w:hint="cs"/>
          <w:sz w:val="26"/>
          <w:szCs w:val="26"/>
          <w:rtl/>
        </w:rPr>
        <w:lastRenderedPageBreak/>
        <w:t xml:space="preserve">על קבלת אחריות והכאה על חטא כבר בשלב מוקדם, לאחר מעצרו ובעוד בטרם הודה בבית המשפט. </w:t>
      </w:r>
    </w:p>
    <w:p w14:paraId="6C93279C" w14:textId="77777777" w:rsidR="003438B6" w:rsidRDefault="003438B6" w:rsidP="003438B6">
      <w:pPr>
        <w:spacing w:after="160" w:line="360" w:lineRule="auto"/>
        <w:jc w:val="both"/>
        <w:rPr>
          <w:rFonts w:ascii="David" w:hAnsi="David"/>
          <w:b/>
          <w:bCs/>
          <w:sz w:val="26"/>
          <w:szCs w:val="26"/>
          <w:u w:val="single"/>
          <w:rtl/>
        </w:rPr>
      </w:pPr>
    </w:p>
    <w:p w14:paraId="64637F36" w14:textId="77777777" w:rsidR="003438B6" w:rsidRDefault="003438B6" w:rsidP="003438B6">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5814180D" w14:textId="77777777" w:rsidR="003438B6" w:rsidRDefault="003438B6" w:rsidP="003438B6">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15EB97F9" w14:textId="77777777" w:rsidR="003438B6" w:rsidRDefault="003438B6" w:rsidP="003438B6">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שלום הציבור, ביטחונו ובריאותו. סחר בסמים, ואף בסמים "קלים" הוא רעה חולה של ממש שיש למגרה, ולכן לרוב מדיניות הענישה מחמירה. בענייננו מידת הפגיעה בערכים המוגנים בינונית-נמוכה.</w:t>
      </w:r>
    </w:p>
    <w:p w14:paraId="0A31D87E" w14:textId="77777777" w:rsidR="003438B6" w:rsidRDefault="003438B6" w:rsidP="003438B6">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הנאשם לא היה גורם דומיננטי בתכנון הקשר אלא שיתף פעולה עם בני משפחה אחת (בעל העסק ובניו) ועיקר תפקידו היה בהוצאה לפועל של עסקאות (אין למעט מחלק זה ומהפסול שבו). בעסקה אחת הנאשם היה עצמאי, וייתכן שהיה ממשיך במעשים עצמאית לולא נתפס. הנאשם צריך היה להימנע מן המעשים וידע את הפסול שבהם, כשהמניע מאחוריהם הוא כלכלי. יחד עם זאת, בפועל הנזק שנגרם מינימלי בהיות הקונים סוכנים משטרתיים, כך שהסם לא הופץ בפועל לכלל הציבור. גם אם מדובר ב"סם קל", הכמות בכל עסקה אינה מבוטלת, וכאמור, סחר גם ב"סם קל" מגונה ואסור (ראו: </w:t>
      </w:r>
      <w:hyperlink r:id="rId16" w:history="1">
        <w:r w:rsidR="00E46066" w:rsidRPr="00E46066">
          <w:rPr>
            <w:rFonts w:ascii="David" w:hAnsi="David"/>
            <w:color w:val="0000FF"/>
            <w:sz w:val="26"/>
            <w:szCs w:val="26"/>
            <w:u w:val="single"/>
            <w:rtl/>
          </w:rPr>
          <w:t>רע"פ 8759/21</w:t>
        </w:r>
      </w:hyperlink>
      <w:r>
        <w:rPr>
          <w:rFonts w:ascii="David" w:hAnsi="David" w:hint="cs"/>
          <w:sz w:val="26"/>
          <w:szCs w:val="26"/>
          <w:rtl/>
        </w:rPr>
        <w:t xml:space="preserve"> </w:t>
      </w:r>
      <w:r w:rsidRPr="0020233E">
        <w:rPr>
          <w:rFonts w:ascii="David" w:hAnsi="David" w:hint="cs"/>
          <w:b/>
          <w:bCs/>
          <w:sz w:val="26"/>
          <w:szCs w:val="26"/>
          <w:rtl/>
        </w:rPr>
        <w:t>קסלר נ' מ"י</w:t>
      </w:r>
      <w:r>
        <w:rPr>
          <w:rFonts w:ascii="David" w:hAnsi="David" w:hint="cs"/>
          <w:sz w:val="26"/>
          <w:szCs w:val="26"/>
          <w:rtl/>
        </w:rPr>
        <w:t xml:space="preserve"> (מיום 23.12.2021) בפסקות 10 ו-11).</w:t>
      </w:r>
    </w:p>
    <w:p w14:paraId="354B139E" w14:textId="77777777" w:rsidR="003438B6" w:rsidRDefault="003438B6" w:rsidP="003438B6">
      <w:pPr>
        <w:pStyle w:val="a9"/>
        <w:numPr>
          <w:ilvl w:val="0"/>
          <w:numId w:val="2"/>
        </w:numPr>
        <w:spacing w:after="160" w:line="360" w:lineRule="auto"/>
        <w:jc w:val="both"/>
        <w:rPr>
          <w:rFonts w:ascii="David" w:hAnsi="David"/>
          <w:sz w:val="26"/>
          <w:szCs w:val="26"/>
        </w:rPr>
      </w:pPr>
      <w:r>
        <w:rPr>
          <w:rFonts w:ascii="David" w:hAnsi="David"/>
          <w:b/>
          <w:bCs/>
          <w:sz w:val="26"/>
          <w:szCs w:val="26"/>
          <w:rtl/>
        </w:rPr>
        <w:t xml:space="preserve">אשר למדיניות הענישה הנוהגת, </w:t>
      </w:r>
      <w:r w:rsidRPr="006F6AD5">
        <w:rPr>
          <w:rFonts w:ascii="David" w:hAnsi="David" w:hint="cs"/>
          <w:sz w:val="26"/>
          <w:szCs w:val="26"/>
          <w:rtl/>
        </w:rPr>
        <w:t>כאמור הפסיקה נוטה להחמיר בעבירות סחר סמים.</w:t>
      </w:r>
    </w:p>
    <w:p w14:paraId="1C3C76EF" w14:textId="77777777" w:rsidR="003438B6" w:rsidRPr="006F6AD5" w:rsidRDefault="00E46066" w:rsidP="003438B6">
      <w:pPr>
        <w:pStyle w:val="a9"/>
        <w:numPr>
          <w:ilvl w:val="0"/>
          <w:numId w:val="4"/>
        </w:numPr>
        <w:spacing w:after="160" w:line="360" w:lineRule="auto"/>
        <w:jc w:val="both"/>
        <w:rPr>
          <w:rFonts w:ascii="David" w:hAnsi="David"/>
          <w:sz w:val="26"/>
          <w:szCs w:val="26"/>
          <w:rtl/>
        </w:rPr>
      </w:pPr>
      <w:hyperlink r:id="rId17" w:history="1">
        <w:r w:rsidRPr="00E46066">
          <w:rPr>
            <w:rFonts w:ascii="David" w:hAnsi="David"/>
            <w:color w:val="0000FF"/>
            <w:sz w:val="26"/>
            <w:szCs w:val="26"/>
            <w:u w:val="single"/>
            <w:rtl/>
          </w:rPr>
          <w:t>רע"פ 6401/18</w:t>
        </w:r>
      </w:hyperlink>
      <w:r w:rsidR="003438B6" w:rsidRPr="006F6AD5">
        <w:rPr>
          <w:rFonts w:ascii="David" w:hAnsi="David" w:hint="cs"/>
          <w:sz w:val="26"/>
          <w:szCs w:val="26"/>
          <w:rtl/>
        </w:rPr>
        <w:t xml:space="preserve"> </w:t>
      </w:r>
      <w:r w:rsidR="003438B6" w:rsidRPr="006F6AD5">
        <w:rPr>
          <w:rFonts w:ascii="David" w:hAnsi="David" w:hint="cs"/>
          <w:b/>
          <w:bCs/>
          <w:sz w:val="26"/>
          <w:szCs w:val="26"/>
          <w:rtl/>
        </w:rPr>
        <w:t>ספיר נ' מ"י</w:t>
      </w:r>
      <w:r w:rsidR="003438B6" w:rsidRPr="006F6AD5">
        <w:rPr>
          <w:rFonts w:ascii="David" w:hAnsi="David" w:hint="cs"/>
          <w:sz w:val="26"/>
          <w:szCs w:val="26"/>
          <w:rtl/>
        </w:rPr>
        <w:t xml:space="preserve"> (מיום 17.9.2018) </w:t>
      </w:r>
      <w:r w:rsidR="003438B6" w:rsidRPr="006F6AD5">
        <w:rPr>
          <w:rFonts w:ascii="David" w:hAnsi="David"/>
          <w:sz w:val="26"/>
          <w:szCs w:val="26"/>
          <w:rtl/>
        </w:rPr>
        <w:t>–</w:t>
      </w:r>
      <w:r w:rsidR="003438B6" w:rsidRPr="006F6AD5">
        <w:rPr>
          <w:rFonts w:ascii="David" w:hAnsi="David" w:hint="cs"/>
          <w:sz w:val="26"/>
          <w:szCs w:val="26"/>
          <w:rtl/>
        </w:rPr>
        <w:t xml:space="preserve"> ריבוי אישומים בסחר בקנביס בין גרמים בודדים ל-23 גרם. נקבע מתחם שבין 16 ל-36 חודשים ונגזר על הנאשם עונש בחריגה ממתחם מטעמי שיקום של שנת מאסר.</w:t>
      </w:r>
    </w:p>
    <w:p w14:paraId="56AB5CD4" w14:textId="77777777" w:rsidR="003438B6" w:rsidRPr="006F6AD5" w:rsidRDefault="00E46066" w:rsidP="003438B6">
      <w:pPr>
        <w:pStyle w:val="a9"/>
        <w:numPr>
          <w:ilvl w:val="0"/>
          <w:numId w:val="4"/>
        </w:numPr>
        <w:spacing w:after="160" w:line="360" w:lineRule="auto"/>
        <w:jc w:val="both"/>
        <w:rPr>
          <w:rFonts w:ascii="David" w:hAnsi="David"/>
          <w:sz w:val="26"/>
          <w:szCs w:val="26"/>
          <w:rtl/>
        </w:rPr>
      </w:pPr>
      <w:hyperlink r:id="rId18" w:history="1">
        <w:r w:rsidRPr="00E46066">
          <w:rPr>
            <w:rFonts w:ascii="David" w:hAnsi="David"/>
            <w:color w:val="0000FF"/>
            <w:sz w:val="26"/>
            <w:szCs w:val="26"/>
            <w:u w:val="single"/>
            <w:rtl/>
          </w:rPr>
          <w:t>רע"פ 678/21</w:t>
        </w:r>
      </w:hyperlink>
      <w:r w:rsidR="003438B6" w:rsidRPr="006F6AD5">
        <w:rPr>
          <w:rFonts w:ascii="David" w:hAnsi="David" w:hint="cs"/>
          <w:sz w:val="26"/>
          <w:szCs w:val="26"/>
          <w:rtl/>
        </w:rPr>
        <w:t xml:space="preserve"> </w:t>
      </w:r>
      <w:r w:rsidR="003438B6" w:rsidRPr="006F6AD5">
        <w:rPr>
          <w:rFonts w:ascii="David" w:hAnsi="David" w:hint="cs"/>
          <w:b/>
          <w:bCs/>
          <w:sz w:val="26"/>
          <w:szCs w:val="26"/>
          <w:rtl/>
        </w:rPr>
        <w:t>יהודה נ' מ"י</w:t>
      </w:r>
      <w:r w:rsidR="003438B6" w:rsidRPr="006F6AD5">
        <w:rPr>
          <w:rFonts w:ascii="David" w:hAnsi="David" w:hint="cs"/>
          <w:sz w:val="26"/>
          <w:szCs w:val="26"/>
          <w:rtl/>
        </w:rPr>
        <w:t xml:space="preserve"> (מיום 9.2.2021) </w:t>
      </w:r>
      <w:r w:rsidR="003438B6" w:rsidRPr="006F6AD5">
        <w:rPr>
          <w:rFonts w:ascii="David" w:hAnsi="David"/>
          <w:sz w:val="26"/>
          <w:szCs w:val="26"/>
          <w:rtl/>
        </w:rPr>
        <w:t>–</w:t>
      </w:r>
      <w:r w:rsidR="003438B6" w:rsidRPr="006F6AD5">
        <w:rPr>
          <w:rFonts w:ascii="David" w:hAnsi="David" w:hint="cs"/>
          <w:sz w:val="26"/>
          <w:szCs w:val="26"/>
          <w:rtl/>
        </w:rPr>
        <w:t xml:space="preserve"> למעלה משמונים מקרי סחר בין גרמים בודדים לכ-15 גרם וכן החזקת כחצי ק"ג קנביס שלא לצריכה עצמית. אושר מתחם שבין מס' חודשי מאסר עד ל-12 חודשים בגין כל אירוע סחר, ועונש של 13 חודשי מאסר. </w:t>
      </w:r>
    </w:p>
    <w:p w14:paraId="07151F17" w14:textId="77777777" w:rsidR="003438B6" w:rsidRPr="006F6AD5" w:rsidRDefault="00E46066" w:rsidP="003438B6">
      <w:pPr>
        <w:pStyle w:val="a9"/>
        <w:numPr>
          <w:ilvl w:val="0"/>
          <w:numId w:val="4"/>
        </w:numPr>
        <w:spacing w:after="160" w:line="360" w:lineRule="auto"/>
        <w:jc w:val="both"/>
        <w:rPr>
          <w:rFonts w:ascii="David" w:hAnsi="David"/>
          <w:sz w:val="26"/>
          <w:szCs w:val="26"/>
        </w:rPr>
      </w:pPr>
      <w:hyperlink r:id="rId19" w:history="1">
        <w:r w:rsidRPr="00E46066">
          <w:rPr>
            <w:rFonts w:ascii="David" w:hAnsi="David"/>
            <w:color w:val="0000FF"/>
            <w:sz w:val="26"/>
            <w:szCs w:val="26"/>
            <w:u w:val="single"/>
            <w:rtl/>
          </w:rPr>
          <w:t>רע"פ 4894/21</w:t>
        </w:r>
      </w:hyperlink>
      <w:r w:rsidR="003438B6" w:rsidRPr="006F6AD5">
        <w:rPr>
          <w:rFonts w:ascii="David" w:hAnsi="David" w:hint="cs"/>
          <w:sz w:val="26"/>
          <w:szCs w:val="26"/>
          <w:rtl/>
        </w:rPr>
        <w:t xml:space="preserve"> </w:t>
      </w:r>
      <w:r w:rsidR="003438B6" w:rsidRPr="006F6AD5">
        <w:rPr>
          <w:rFonts w:ascii="David" w:hAnsi="David" w:hint="cs"/>
          <w:b/>
          <w:bCs/>
          <w:sz w:val="26"/>
          <w:szCs w:val="26"/>
          <w:rtl/>
        </w:rPr>
        <w:t>אלטוחי נ' מ"י</w:t>
      </w:r>
      <w:r w:rsidR="003438B6" w:rsidRPr="006F6AD5">
        <w:rPr>
          <w:rFonts w:ascii="David" w:hAnsi="David" w:hint="cs"/>
          <w:sz w:val="26"/>
          <w:szCs w:val="26"/>
          <w:rtl/>
        </w:rPr>
        <w:t xml:space="preserve"> (מיום 18.7.2021) </w:t>
      </w:r>
      <w:r w:rsidR="003438B6" w:rsidRPr="006F6AD5">
        <w:rPr>
          <w:rFonts w:ascii="David" w:hAnsi="David"/>
          <w:sz w:val="26"/>
          <w:szCs w:val="26"/>
          <w:rtl/>
        </w:rPr>
        <w:t>–</w:t>
      </w:r>
      <w:r w:rsidR="003438B6" w:rsidRPr="006F6AD5">
        <w:rPr>
          <w:rFonts w:ascii="David" w:hAnsi="David" w:hint="cs"/>
          <w:sz w:val="26"/>
          <w:szCs w:val="26"/>
          <w:rtl/>
        </w:rPr>
        <w:t xml:space="preserve"> סחר בהזדמנות אחת של 12 פלטות חשיש במשקל של למעלה מקילוגרם. המאשימה הגבילה עצמה ל-13 חודשי מאסר והעונש שאושר הוא שנת מאסר. </w:t>
      </w:r>
    </w:p>
    <w:p w14:paraId="50566250" w14:textId="77777777" w:rsidR="003438B6" w:rsidRDefault="003438B6" w:rsidP="003438B6">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sidRPr="00947254">
        <w:rPr>
          <w:rFonts w:ascii="David" w:hAnsi="David" w:hint="cs"/>
          <w:b/>
          <w:bCs/>
          <w:sz w:val="26"/>
          <w:szCs w:val="26"/>
          <w:rtl/>
        </w:rPr>
        <w:t>בין 6 ל-12 חודשים</w:t>
      </w:r>
      <w:r>
        <w:rPr>
          <w:rFonts w:ascii="David" w:hAnsi="David" w:hint="cs"/>
          <w:sz w:val="26"/>
          <w:szCs w:val="26"/>
          <w:rtl/>
        </w:rPr>
        <w:t xml:space="preserve"> ביחס למכלול העבירות, כאשר אני קובע מתחם אחד, שכן האירועים קרובים זה לזה בציר הזמן, שיטת הביצוע דומה, וכך גם הצדדים לעסקאות, סוג הסם וכמותו. לכן מתקיים "קשר הדוק" בין המעשים והם מהווים אירוע אחד (ראו: </w:t>
      </w:r>
      <w:hyperlink r:id="rId20" w:history="1">
        <w:r w:rsidR="00E46066" w:rsidRPr="00E46066">
          <w:rPr>
            <w:rFonts w:ascii="David" w:hAnsi="David"/>
            <w:color w:val="0000FF"/>
            <w:sz w:val="26"/>
            <w:szCs w:val="26"/>
            <w:u w:val="single"/>
            <w:rtl/>
          </w:rPr>
          <w:t>ע"פ 4910/13</w:t>
        </w:r>
      </w:hyperlink>
      <w:r>
        <w:rPr>
          <w:rFonts w:ascii="David" w:hAnsi="David"/>
          <w:sz w:val="26"/>
          <w:szCs w:val="26"/>
          <w:rtl/>
        </w:rPr>
        <w:t xml:space="preserve"> </w:t>
      </w:r>
      <w:r>
        <w:rPr>
          <w:rFonts w:ascii="David" w:hAnsi="David"/>
          <w:b/>
          <w:bCs/>
          <w:sz w:val="26"/>
          <w:szCs w:val="26"/>
          <w:rtl/>
        </w:rPr>
        <w:t>בני ג'אבר  נ' מ"י</w:t>
      </w:r>
      <w:r>
        <w:rPr>
          <w:rFonts w:ascii="David" w:hAnsi="David"/>
          <w:sz w:val="26"/>
          <w:szCs w:val="26"/>
          <w:rtl/>
        </w:rPr>
        <w:t xml:space="preserve"> (מיום 29.10.2014)</w:t>
      </w:r>
      <w:r>
        <w:rPr>
          <w:rFonts w:ascii="David" w:hAnsi="David" w:hint="cs"/>
          <w:sz w:val="26"/>
          <w:szCs w:val="26"/>
          <w:rtl/>
        </w:rPr>
        <w:t xml:space="preserve">). </w:t>
      </w:r>
    </w:p>
    <w:p w14:paraId="1D06704E" w14:textId="77777777" w:rsidR="003438B6" w:rsidRDefault="003438B6" w:rsidP="003438B6">
      <w:pPr>
        <w:spacing w:after="160" w:line="360" w:lineRule="auto"/>
        <w:jc w:val="both"/>
        <w:rPr>
          <w:rFonts w:ascii="David" w:hAnsi="David"/>
          <w:b/>
          <w:bCs/>
          <w:sz w:val="26"/>
          <w:szCs w:val="26"/>
          <w:u w:val="single"/>
          <w:rtl/>
        </w:rPr>
      </w:pPr>
    </w:p>
    <w:p w14:paraId="1B0F20A1" w14:textId="77777777" w:rsidR="003438B6" w:rsidRDefault="003438B6" w:rsidP="003438B6">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w:t>
      </w:r>
      <w:r>
        <w:rPr>
          <w:rFonts w:ascii="David" w:hAnsi="David" w:hint="cs"/>
          <w:b/>
          <w:bCs/>
          <w:sz w:val="26"/>
          <w:szCs w:val="26"/>
          <w:u w:val="single"/>
          <w:rtl/>
        </w:rPr>
        <w:t xml:space="preserve"> והמיקום במתחם</w:t>
      </w:r>
      <w:r>
        <w:rPr>
          <w:rFonts w:ascii="David" w:hAnsi="David"/>
          <w:b/>
          <w:bCs/>
          <w:sz w:val="26"/>
          <w:szCs w:val="26"/>
          <w:u w:val="single"/>
          <w:rtl/>
        </w:rPr>
        <w:t xml:space="preserve"> </w:t>
      </w:r>
    </w:p>
    <w:p w14:paraId="2E636E1F" w14:textId="77777777" w:rsidR="003438B6" w:rsidRDefault="003438B6" w:rsidP="003438B6">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לימים כבן 22, קיבל אחריות בהזדמנות הראשונה במשטרה וסייע לפענח את הפרשה (בהקשר זה ראו: </w:t>
      </w:r>
      <w:hyperlink r:id="rId21" w:history="1">
        <w:r w:rsidR="00E46066" w:rsidRPr="00E46066">
          <w:rPr>
            <w:rFonts w:ascii="David" w:hAnsi="David"/>
            <w:color w:val="0000FF"/>
            <w:sz w:val="26"/>
            <w:szCs w:val="26"/>
            <w:u w:val="single"/>
            <w:rtl/>
          </w:rPr>
          <w:t>ע"פ 1403/17</w:t>
        </w:r>
      </w:hyperlink>
      <w:r>
        <w:rPr>
          <w:rFonts w:ascii="David" w:hAnsi="David" w:hint="cs"/>
          <w:sz w:val="26"/>
          <w:szCs w:val="26"/>
          <w:rtl/>
        </w:rPr>
        <w:t xml:space="preserve"> </w:t>
      </w:r>
      <w:r w:rsidRPr="006F6AD5">
        <w:rPr>
          <w:rFonts w:ascii="David" w:hAnsi="David" w:hint="cs"/>
          <w:b/>
          <w:bCs/>
          <w:sz w:val="26"/>
          <w:szCs w:val="26"/>
          <w:rtl/>
        </w:rPr>
        <w:t>קובלסקי נ' מ"י</w:t>
      </w:r>
      <w:r>
        <w:rPr>
          <w:rFonts w:ascii="David" w:hAnsi="David" w:hint="cs"/>
          <w:sz w:val="26"/>
          <w:szCs w:val="26"/>
          <w:rtl/>
        </w:rPr>
        <w:t xml:space="preserve"> (מיום 24.10.2017)  בסעיף 10), אין לו רישום פלילי, ושהייתו במעצר ממש לראשונה במשך כחודש ימים וכן שהייתו במעצר בפיקוח אלקטרוני לאורך כחצי שנה ללא כל הפרות ופתיחת תיקים חדשים הן נסיבות לזכותו (בהקשר להתחשבות לקולה לעניין העונש בתקופת מעצר בפיקוח אלקטרוני ראו: </w:t>
      </w:r>
      <w:hyperlink r:id="rId22" w:history="1">
        <w:r w:rsidR="00E46066" w:rsidRPr="00E46066">
          <w:rPr>
            <w:rFonts w:ascii="David" w:hAnsi="David"/>
            <w:color w:val="0000FF"/>
            <w:sz w:val="26"/>
            <w:szCs w:val="26"/>
            <w:u w:val="single"/>
            <w:rtl/>
          </w:rPr>
          <w:t>ע"פ 7768/15</w:t>
        </w:r>
      </w:hyperlink>
      <w:r>
        <w:rPr>
          <w:rFonts w:ascii="David" w:hAnsi="David" w:hint="cs"/>
          <w:sz w:val="26"/>
          <w:szCs w:val="26"/>
          <w:rtl/>
        </w:rPr>
        <w:t xml:space="preserve"> </w:t>
      </w:r>
      <w:r w:rsidRPr="00947254">
        <w:rPr>
          <w:rFonts w:ascii="David" w:hAnsi="David" w:hint="cs"/>
          <w:b/>
          <w:bCs/>
          <w:sz w:val="26"/>
          <w:szCs w:val="26"/>
          <w:rtl/>
        </w:rPr>
        <w:t>פלוני נ' מ"י</w:t>
      </w:r>
      <w:r>
        <w:rPr>
          <w:rFonts w:ascii="David" w:hAnsi="David" w:hint="cs"/>
          <w:sz w:val="26"/>
          <w:szCs w:val="26"/>
          <w:rtl/>
        </w:rPr>
        <w:t xml:space="preserve"> (מיום 20.4.2016) בפסקה 33"). בנוסף, יש לקחת בחשבון את עקרון אחידות הענישה, כאשר שניים משותפיו, שחלקם גדול מחלקו והיו דומיננטיים ממנו בהתארגנות העבריינית ובתכנון המעשים, נדונו ל-13 חודשי מאסר בפועל.  מכך יש לגזור עונש קל יותר בעניינו. הואיל והנאשם ויתר על אפשרויות עונשיות אחרות בוותרו על אבחון ע"י שירות המבחן וקבלת חוו"ד מטעם הממונה על עבודות שירות, העונש ההולם הוא מאסר בפועל בחלק הראשון של המתחם. </w:t>
      </w:r>
    </w:p>
    <w:p w14:paraId="3784667E" w14:textId="77777777" w:rsidR="003438B6" w:rsidRDefault="003438B6" w:rsidP="003438B6">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6D5CB155" w14:textId="77777777" w:rsidR="003438B6" w:rsidRDefault="003438B6" w:rsidP="003438B6">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180C079D" w14:textId="77777777" w:rsidR="003438B6" w:rsidRPr="00947254" w:rsidRDefault="003438B6" w:rsidP="003438B6">
      <w:pPr>
        <w:pStyle w:val="a9"/>
        <w:numPr>
          <w:ilvl w:val="0"/>
          <w:numId w:val="1"/>
        </w:numPr>
        <w:spacing w:after="160" w:line="360" w:lineRule="auto"/>
        <w:jc w:val="both"/>
        <w:rPr>
          <w:rFonts w:ascii="David" w:hAnsi="David"/>
          <w:sz w:val="26"/>
          <w:szCs w:val="26"/>
          <w:rtl/>
        </w:rPr>
      </w:pPr>
      <w:r w:rsidRPr="00947254">
        <w:rPr>
          <w:rFonts w:ascii="David" w:hAnsi="David" w:hint="cs"/>
          <w:sz w:val="26"/>
          <w:szCs w:val="26"/>
          <w:rtl/>
        </w:rPr>
        <w:t xml:space="preserve">6 </w:t>
      </w:r>
      <w:r w:rsidRPr="00947254">
        <w:rPr>
          <w:rFonts w:ascii="David" w:hAnsi="David"/>
          <w:sz w:val="26"/>
          <w:szCs w:val="26"/>
          <w:rtl/>
        </w:rPr>
        <w:t>חודשי מאסר בפועל לריצוי בניכוי ימי מעצרו על-פי חישוב שב"ס שיכריע</w:t>
      </w:r>
      <w:r w:rsidRPr="00947254">
        <w:rPr>
          <w:rFonts w:ascii="David" w:hAnsi="David" w:hint="cs"/>
          <w:sz w:val="26"/>
          <w:szCs w:val="26"/>
          <w:rtl/>
        </w:rPr>
        <w:t xml:space="preserve"> וזאת בניכוי ימי מעצרו בתיק זה ע"פ חישוב שב"ס שיכריע </w:t>
      </w:r>
      <w:r w:rsidRPr="00947254">
        <w:rPr>
          <w:rFonts w:ascii="David" w:hAnsi="David"/>
          <w:sz w:val="26"/>
          <w:szCs w:val="26"/>
          <w:rtl/>
        </w:rPr>
        <w:t>–</w:t>
      </w:r>
      <w:r w:rsidRPr="00947254">
        <w:rPr>
          <w:rFonts w:ascii="David" w:hAnsi="David" w:hint="cs"/>
          <w:sz w:val="26"/>
          <w:szCs w:val="26"/>
          <w:rtl/>
        </w:rPr>
        <w:t xml:space="preserve"> נתתי משקל לתקופת הפיקוח האלקטרוני במכלול הנסיבות. על הנאשם להתייצב לתחילת ריצוי עונשו בכלא "ניצן" ביום </w:t>
      </w:r>
      <w:r>
        <w:rPr>
          <w:rFonts w:ascii="David" w:hAnsi="David" w:hint="cs"/>
          <w:sz w:val="26"/>
          <w:szCs w:val="26"/>
          <w:rtl/>
        </w:rPr>
        <w:t>6.7.2023</w:t>
      </w:r>
      <w:r w:rsidRPr="00947254">
        <w:rPr>
          <w:rFonts w:ascii="David" w:hAnsi="David" w:hint="cs"/>
          <w:sz w:val="26"/>
          <w:szCs w:val="26"/>
          <w:rtl/>
        </w:rPr>
        <w:t xml:space="preserve"> עד לשעה 10:00 כשהוא מצויד בתעודת זהות ועותק מגזר הדין. ניתן </w:t>
      </w:r>
      <w:r w:rsidRPr="00947254">
        <w:rPr>
          <w:rFonts w:ascii="David" w:hAnsi="David"/>
          <w:sz w:val="26"/>
          <w:szCs w:val="26"/>
          <w:rtl/>
        </w:rPr>
        <w:t>לתאם את הכניסה למאסר, כולל האפשרות למיון מוקדם, עם ענף אבחון ומיון של שב"ס, ט</w:t>
      </w:r>
      <w:r>
        <w:rPr>
          <w:rFonts w:ascii="David" w:hAnsi="David"/>
          <w:sz w:val="26"/>
          <w:szCs w:val="26"/>
          <w:rtl/>
        </w:rPr>
        <w:t>לפונים: 08-9787377, 08-9787336</w:t>
      </w:r>
      <w:r>
        <w:rPr>
          <w:rFonts w:ascii="David" w:hAnsi="David" w:hint="cs"/>
          <w:sz w:val="26"/>
          <w:szCs w:val="26"/>
          <w:rtl/>
        </w:rPr>
        <w:t>;</w:t>
      </w:r>
    </w:p>
    <w:p w14:paraId="208CBDB8" w14:textId="77777777" w:rsidR="003438B6" w:rsidRDefault="003438B6" w:rsidP="003438B6">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w:t>
      </w:r>
      <w:r>
        <w:rPr>
          <w:rFonts w:ascii="David" w:hAnsi="David" w:hint="cs"/>
          <w:sz w:val="26"/>
          <w:szCs w:val="26"/>
          <w:rtl/>
        </w:rPr>
        <w:t xml:space="preserve">משחרורו כל עבירת פשע לפי </w:t>
      </w:r>
      <w:hyperlink r:id="rId23" w:history="1">
        <w:r w:rsidR="00E46066" w:rsidRPr="00E46066">
          <w:rPr>
            <w:rFonts w:ascii="David" w:hAnsi="David"/>
            <w:color w:val="0000FF"/>
            <w:sz w:val="26"/>
            <w:szCs w:val="26"/>
            <w:u w:val="single"/>
            <w:rtl/>
          </w:rPr>
          <w:t>פקודת הסמים המסוכנים</w:t>
        </w:r>
      </w:hyperlink>
      <w:r>
        <w:rPr>
          <w:rFonts w:ascii="David" w:hAnsi="David" w:hint="cs"/>
          <w:sz w:val="26"/>
          <w:szCs w:val="26"/>
          <w:rtl/>
        </w:rPr>
        <w:t>;</w:t>
      </w:r>
    </w:p>
    <w:p w14:paraId="525711B6" w14:textId="77777777" w:rsidR="003438B6" w:rsidRDefault="003438B6" w:rsidP="003438B6">
      <w:pPr>
        <w:numPr>
          <w:ilvl w:val="0"/>
          <w:numId w:val="1"/>
        </w:numPr>
        <w:spacing w:after="160" w:line="360" w:lineRule="auto"/>
        <w:contextualSpacing/>
        <w:jc w:val="both"/>
        <w:rPr>
          <w:rFonts w:ascii="David" w:hAnsi="David"/>
          <w:sz w:val="26"/>
          <w:szCs w:val="26"/>
          <w:rtl/>
        </w:rPr>
      </w:pPr>
      <w:r>
        <w:rPr>
          <w:rFonts w:ascii="David" w:hAnsi="David" w:hint="cs"/>
          <w:sz w:val="26"/>
          <w:szCs w:val="26"/>
          <w:rtl/>
        </w:rPr>
        <w:t>12 חודשי פסילה וזאת על-תנאי שמשך 3 שנים משחרורו, שלא יעבור הנאשם כל עבירת פשע לפי פקודת הסמים;</w:t>
      </w:r>
    </w:p>
    <w:p w14:paraId="714F5319" w14:textId="77777777" w:rsidR="003438B6" w:rsidRDefault="003438B6" w:rsidP="003438B6">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3,000</w:t>
      </w:r>
      <w:r>
        <w:rPr>
          <w:rFonts w:ascii="David" w:hAnsi="David"/>
          <w:sz w:val="26"/>
          <w:szCs w:val="26"/>
          <w:rtl/>
        </w:rPr>
        <w:t xml:space="preserve">  ₪, או </w:t>
      </w:r>
      <w:r>
        <w:rPr>
          <w:rFonts w:ascii="David" w:hAnsi="David" w:hint="cs"/>
          <w:sz w:val="26"/>
          <w:szCs w:val="26"/>
          <w:rtl/>
        </w:rPr>
        <w:t xml:space="preserve">15 </w:t>
      </w:r>
      <w:r>
        <w:rPr>
          <w:rFonts w:ascii="David" w:hAnsi="David"/>
          <w:sz w:val="26"/>
          <w:szCs w:val="26"/>
          <w:rtl/>
        </w:rPr>
        <w:t xml:space="preserve">ימי מאסר תמורתו אם לא ישולם. הקנס ישולם עד ליום </w:t>
      </w:r>
      <w:r>
        <w:rPr>
          <w:rFonts w:ascii="David" w:hAnsi="David" w:hint="cs"/>
          <w:sz w:val="26"/>
          <w:szCs w:val="26"/>
          <w:rtl/>
        </w:rPr>
        <w:t>1.12.2023</w:t>
      </w:r>
      <w:r>
        <w:rPr>
          <w:rFonts w:ascii="David" w:hAnsi="David"/>
          <w:sz w:val="26"/>
          <w:szCs w:val="26"/>
          <w:rtl/>
        </w:rPr>
        <w:t xml:space="preserve">; </w:t>
      </w:r>
    </w:p>
    <w:p w14:paraId="0B33DA13" w14:textId="77777777" w:rsidR="003438B6" w:rsidRDefault="003438B6" w:rsidP="003438B6">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כל </w:t>
      </w:r>
      <w:r>
        <w:rPr>
          <w:rFonts w:ascii="David" w:hAnsi="David" w:hint="cs"/>
          <w:sz w:val="26"/>
          <w:szCs w:val="26"/>
          <w:rtl/>
        </w:rPr>
        <w:t xml:space="preserve">עבירת פשע לפי פקודת הסמים </w:t>
      </w:r>
      <w:r>
        <w:rPr>
          <w:rFonts w:ascii="David" w:hAnsi="David"/>
          <w:sz w:val="26"/>
          <w:szCs w:val="26"/>
          <w:rtl/>
        </w:rPr>
        <w:t xml:space="preserve">במשך שנתיים </w:t>
      </w:r>
      <w:r>
        <w:rPr>
          <w:rFonts w:ascii="David" w:hAnsi="David" w:hint="cs"/>
          <w:sz w:val="26"/>
          <w:szCs w:val="26"/>
          <w:rtl/>
        </w:rPr>
        <w:t>מהשחרור ממאסר</w:t>
      </w:r>
      <w:r>
        <w:rPr>
          <w:rFonts w:ascii="David" w:hAnsi="David"/>
          <w:sz w:val="26"/>
          <w:szCs w:val="26"/>
          <w:rtl/>
        </w:rPr>
        <w:t>. הובהר לנאשם שמשמעות ההתחייבות היא, כי אם יעבור את העבירה בתוך התקופה שצוינה, בית המשפט שיגזור את הדין יהא חייב לחלט את ההתחייבות כקנס.</w:t>
      </w:r>
    </w:p>
    <w:p w14:paraId="5F41C545" w14:textId="77777777" w:rsidR="003438B6" w:rsidRDefault="003438B6" w:rsidP="003438B6">
      <w:pPr>
        <w:spacing w:line="360" w:lineRule="auto"/>
        <w:jc w:val="both"/>
        <w:rPr>
          <w:rFonts w:ascii="David" w:hAnsi="David"/>
          <w:b/>
          <w:bCs/>
          <w:sz w:val="26"/>
          <w:szCs w:val="26"/>
          <w:rtl/>
        </w:rPr>
      </w:pPr>
    </w:p>
    <w:p w14:paraId="7939D502" w14:textId="77777777" w:rsidR="003438B6" w:rsidRDefault="003438B6" w:rsidP="003438B6">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3AADB1FA" w14:textId="77777777" w:rsidR="003438B6" w:rsidRDefault="003438B6" w:rsidP="003438B6">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4"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34918E3A" w14:textId="77777777" w:rsidR="003438B6" w:rsidRDefault="003438B6" w:rsidP="003438B6">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4F0A08B5" w14:textId="77777777" w:rsidR="003438B6" w:rsidRDefault="003438B6" w:rsidP="003438B6">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4EFCE617" w14:textId="77777777" w:rsidR="003438B6" w:rsidRDefault="003438B6" w:rsidP="003438B6">
      <w:pPr>
        <w:spacing w:line="360" w:lineRule="auto"/>
        <w:jc w:val="both"/>
        <w:rPr>
          <w:rFonts w:ascii="David" w:hAnsi="David"/>
          <w:b/>
          <w:bCs/>
          <w:sz w:val="26"/>
          <w:szCs w:val="26"/>
        </w:rPr>
      </w:pPr>
      <w:r>
        <w:rPr>
          <w:rFonts w:ascii="David" w:hAnsi="David"/>
          <w:b/>
          <w:bCs/>
          <w:sz w:val="26"/>
          <w:szCs w:val="26"/>
          <w:rtl/>
        </w:rPr>
        <w:t>לא יונפקו שוברי תשלום.</w:t>
      </w:r>
    </w:p>
    <w:p w14:paraId="5713CE21" w14:textId="77777777" w:rsidR="003438B6" w:rsidRDefault="003438B6" w:rsidP="003438B6">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2DD7B6A9" w14:textId="77777777" w:rsidR="003438B6" w:rsidRDefault="003438B6" w:rsidP="003438B6"/>
    <w:p w14:paraId="47872FBC" w14:textId="77777777" w:rsidR="003438B6" w:rsidRDefault="003438B6" w:rsidP="003438B6">
      <w:pPr>
        <w:spacing w:after="160" w:line="360" w:lineRule="auto"/>
        <w:jc w:val="both"/>
        <w:rPr>
          <w:rFonts w:ascii="David" w:hAnsi="David"/>
          <w:sz w:val="26"/>
          <w:szCs w:val="26"/>
        </w:rPr>
      </w:pPr>
      <w:r>
        <w:rPr>
          <w:rFonts w:ascii="David" w:hAnsi="David" w:hint="cs"/>
          <w:sz w:val="26"/>
          <w:szCs w:val="26"/>
          <w:rtl/>
        </w:rPr>
        <w:t xml:space="preserve">בשל קיומם של מעורבים נוספים שטרם הסתיים עניינם, לא ניתן להורות על השמדת הסמים. </w:t>
      </w:r>
    </w:p>
    <w:p w14:paraId="283F1DEF" w14:textId="77777777" w:rsidR="003438B6" w:rsidRDefault="00E46066" w:rsidP="003438B6">
      <w:pPr>
        <w:spacing w:after="160" w:line="252" w:lineRule="auto"/>
        <w:rPr>
          <w:rFonts w:ascii="David" w:hAnsi="David"/>
          <w:sz w:val="26"/>
          <w:szCs w:val="26"/>
          <w:rtl/>
        </w:rPr>
      </w:pPr>
      <w:r w:rsidRPr="00E46066">
        <w:rPr>
          <w:rFonts w:ascii="David" w:hAnsi="David"/>
          <w:color w:val="FFFFFF"/>
          <w:sz w:val="2"/>
          <w:szCs w:val="2"/>
          <w:rtl/>
        </w:rPr>
        <w:t>5129371</w:t>
      </w:r>
      <w:r w:rsidR="003438B6">
        <w:rPr>
          <w:rFonts w:ascii="David" w:hAnsi="David"/>
          <w:sz w:val="26"/>
          <w:szCs w:val="26"/>
          <w:rtl/>
        </w:rPr>
        <w:t>זכות ערעור כחוק לבית המשפט המחוזי בירושלים בתוך 45 יום מהיום.</w:t>
      </w:r>
    </w:p>
    <w:p w14:paraId="186C1D1D" w14:textId="77777777" w:rsidR="003438B6" w:rsidRPr="00E46066" w:rsidRDefault="00E46066" w:rsidP="003438B6">
      <w:pPr>
        <w:rPr>
          <w:color w:val="FFFFFF"/>
          <w:sz w:val="2"/>
          <w:szCs w:val="2"/>
        </w:rPr>
      </w:pPr>
      <w:r w:rsidRPr="00E46066">
        <w:rPr>
          <w:color w:val="FFFFFF"/>
          <w:sz w:val="2"/>
          <w:szCs w:val="2"/>
          <w:rtl/>
        </w:rPr>
        <w:t>54678313</w:t>
      </w:r>
    </w:p>
    <w:p w14:paraId="06A5995C" w14:textId="77777777" w:rsidR="003438B6" w:rsidRPr="000F2247" w:rsidRDefault="003438B6" w:rsidP="003438B6">
      <w:pPr>
        <w:rPr>
          <w:rFonts w:ascii="Arial" w:hAnsi="Arial"/>
          <w:b/>
          <w:bCs/>
          <w:sz w:val="26"/>
          <w:szCs w:val="26"/>
          <w:rtl/>
        </w:rPr>
      </w:pPr>
    </w:p>
    <w:p w14:paraId="19F91E43" w14:textId="77777777" w:rsidR="00E46066" w:rsidRDefault="00E46066" w:rsidP="00E46066">
      <w:bookmarkStart w:id="8" w:name="Nitan"/>
      <w:r>
        <w:rPr>
          <w:rFonts w:ascii="Arial" w:hAnsi="Arial"/>
          <w:b/>
          <w:bCs/>
          <w:sz w:val="26"/>
          <w:szCs w:val="26"/>
          <w:rtl/>
        </w:rPr>
        <w:t xml:space="preserve">ניתן היום,  ו' תמוז תשפ"ג, 25 יוני 2023, במעמד הצדדים. </w:t>
      </w:r>
      <w:bookmarkEnd w:id="8"/>
      <w:r w:rsidR="003438B6">
        <w:rPr>
          <w:rFonts w:ascii="Arial" w:hAnsi="Arial"/>
          <w:b/>
          <w:bCs/>
          <w:sz w:val="26"/>
          <w:szCs w:val="26"/>
          <w:rtl/>
        </w:rPr>
        <w:tab/>
      </w:r>
      <w:r w:rsidR="003438B6">
        <w:rPr>
          <w:rFonts w:ascii="Arial" w:hAnsi="Arial"/>
          <w:b/>
          <w:bCs/>
          <w:sz w:val="26"/>
          <w:szCs w:val="26"/>
          <w:rtl/>
        </w:rPr>
        <w:tab/>
      </w:r>
      <w:r w:rsidR="003438B6">
        <w:rPr>
          <w:rFonts w:ascii="Arial" w:hAnsi="Arial"/>
          <w:b/>
          <w:bCs/>
          <w:sz w:val="26"/>
          <w:szCs w:val="26"/>
          <w:rtl/>
        </w:rPr>
        <w:tab/>
      </w:r>
      <w:r w:rsidR="003438B6">
        <w:rPr>
          <w:rFonts w:ascii="Arial" w:hAnsi="Arial"/>
          <w:b/>
          <w:bCs/>
          <w:sz w:val="26"/>
          <w:szCs w:val="26"/>
          <w:rtl/>
        </w:rPr>
        <w:tab/>
      </w:r>
      <w:r w:rsidR="003438B6">
        <w:rPr>
          <w:rFonts w:ascii="Arial" w:hAnsi="Arial"/>
          <w:b/>
          <w:bCs/>
          <w:sz w:val="26"/>
          <w:szCs w:val="26"/>
          <w:rtl/>
        </w:rPr>
        <w:tab/>
      </w:r>
    </w:p>
    <w:p w14:paraId="050AC0E4" w14:textId="77777777" w:rsidR="00E46066" w:rsidRDefault="00E46066" w:rsidP="00E46066">
      <w:pPr>
        <w:rPr>
          <w:rtl/>
        </w:rPr>
      </w:pPr>
    </w:p>
    <w:p w14:paraId="0896A86C" w14:textId="77777777" w:rsidR="00E46066" w:rsidRDefault="00E46066" w:rsidP="00E46066">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6C7F68D" w14:textId="77777777" w:rsidR="0096411A" w:rsidRPr="0096411A" w:rsidRDefault="0096411A" w:rsidP="0096411A">
      <w:pPr>
        <w:keepNext/>
        <w:rPr>
          <w:rFonts w:ascii="David" w:hAnsi="David"/>
          <w:color w:val="000000"/>
          <w:sz w:val="22"/>
          <w:szCs w:val="22"/>
          <w:rtl/>
        </w:rPr>
      </w:pPr>
    </w:p>
    <w:p w14:paraId="104A455C" w14:textId="77777777" w:rsidR="0096411A" w:rsidRPr="0096411A" w:rsidRDefault="0096411A" w:rsidP="0096411A">
      <w:pPr>
        <w:keepNext/>
        <w:rPr>
          <w:rFonts w:ascii="David" w:hAnsi="David"/>
          <w:color w:val="000000"/>
          <w:sz w:val="22"/>
          <w:szCs w:val="22"/>
          <w:rtl/>
        </w:rPr>
      </w:pPr>
      <w:r w:rsidRPr="0096411A">
        <w:rPr>
          <w:rFonts w:ascii="David" w:hAnsi="David"/>
          <w:color w:val="000000"/>
          <w:sz w:val="22"/>
          <w:szCs w:val="22"/>
          <w:rtl/>
        </w:rPr>
        <w:t>דוד שאול גבאי ריכטר 54678313-/</w:t>
      </w:r>
    </w:p>
    <w:p w14:paraId="0C538E80" w14:textId="77777777" w:rsidR="00E46066" w:rsidRPr="00E46066" w:rsidRDefault="0096411A" w:rsidP="0096411A">
      <w:pPr>
        <w:rPr>
          <w:color w:val="0000FF"/>
          <w:u w:val="single"/>
        </w:rPr>
      </w:pPr>
      <w:r w:rsidRPr="0096411A">
        <w:rPr>
          <w:color w:val="000000"/>
          <w:u w:val="single"/>
          <w:rtl/>
        </w:rPr>
        <w:t>נוסח מסמך זה כפוף לשינויי ניסוח ועריכה</w:t>
      </w:r>
    </w:p>
    <w:sectPr w:rsidR="00E46066" w:rsidRPr="00E46066" w:rsidSect="0096411A">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98D72" w14:textId="77777777" w:rsidR="00440B17" w:rsidRDefault="00440B17" w:rsidP="00070F40">
      <w:r>
        <w:separator/>
      </w:r>
    </w:p>
  </w:endnote>
  <w:endnote w:type="continuationSeparator" w:id="0">
    <w:p w14:paraId="5D18B19C" w14:textId="77777777" w:rsidR="00440B17" w:rsidRDefault="00440B17" w:rsidP="0007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5E591" w14:textId="77777777" w:rsidR="0096411A" w:rsidRDefault="0096411A" w:rsidP="009641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B4D63A" w14:textId="77777777" w:rsidR="002F5BB9" w:rsidRPr="0096411A" w:rsidRDefault="0096411A" w:rsidP="0096411A">
    <w:pPr>
      <w:pStyle w:val="a5"/>
      <w:pBdr>
        <w:top w:val="single" w:sz="4" w:space="1" w:color="auto"/>
        <w:between w:val="single" w:sz="4" w:space="0" w:color="auto"/>
      </w:pBdr>
      <w:spacing w:after="60"/>
      <w:jc w:val="center"/>
      <w:rPr>
        <w:rFonts w:ascii="FrankRuehl" w:hAnsi="FrankRuehl" w:cs="FrankRuehl"/>
        <w:color w:val="000000"/>
      </w:rPr>
    </w:pPr>
    <w:r w:rsidRPr="009641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85321" w14:textId="77777777" w:rsidR="0096411A" w:rsidRDefault="0096411A" w:rsidP="009641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4BD7">
      <w:rPr>
        <w:rFonts w:ascii="FrankRuehl" w:hAnsi="FrankRuehl" w:cs="FrankRuehl"/>
        <w:noProof/>
        <w:rtl/>
      </w:rPr>
      <w:t>1</w:t>
    </w:r>
    <w:r>
      <w:rPr>
        <w:rFonts w:ascii="FrankRuehl" w:hAnsi="FrankRuehl" w:cs="FrankRuehl"/>
        <w:rtl/>
      </w:rPr>
      <w:fldChar w:fldCharType="end"/>
    </w:r>
  </w:p>
  <w:p w14:paraId="034A1466" w14:textId="77777777" w:rsidR="002F5BB9" w:rsidRPr="0096411A" w:rsidRDefault="0096411A" w:rsidP="0096411A">
    <w:pPr>
      <w:pStyle w:val="a5"/>
      <w:pBdr>
        <w:top w:val="single" w:sz="4" w:space="1" w:color="auto"/>
        <w:between w:val="single" w:sz="4" w:space="0" w:color="auto"/>
      </w:pBdr>
      <w:spacing w:after="60"/>
      <w:jc w:val="center"/>
      <w:rPr>
        <w:rFonts w:ascii="FrankRuehl" w:hAnsi="FrankRuehl" w:cs="FrankRuehl"/>
        <w:color w:val="000000"/>
      </w:rPr>
    </w:pPr>
    <w:r w:rsidRPr="0096411A">
      <w:rPr>
        <w:rFonts w:ascii="FrankRuehl" w:hAnsi="FrankRuehl" w:cs="FrankRuehl"/>
        <w:color w:val="000000"/>
      </w:rPr>
      <w:pict w14:anchorId="74E37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F1397" w14:textId="77777777" w:rsidR="00440B17" w:rsidRDefault="00440B17" w:rsidP="00070F40">
      <w:r>
        <w:separator/>
      </w:r>
    </w:p>
  </w:footnote>
  <w:footnote w:type="continuationSeparator" w:id="0">
    <w:p w14:paraId="436C4C4C" w14:textId="77777777" w:rsidR="00440B17" w:rsidRDefault="00440B17" w:rsidP="00070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6816C" w14:textId="77777777" w:rsidR="00E46066" w:rsidRPr="0096411A" w:rsidRDefault="0096411A" w:rsidP="009641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10095-08-22</w:t>
    </w:r>
    <w:r>
      <w:rPr>
        <w:rFonts w:ascii="David" w:hAnsi="David"/>
        <w:color w:val="000000"/>
        <w:sz w:val="22"/>
        <w:szCs w:val="22"/>
        <w:rtl/>
      </w:rPr>
      <w:tab/>
      <w:t xml:space="preserve"> מדינת ישראל נ' מאזן אבו חלף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B165F" w14:textId="77777777" w:rsidR="00E46066" w:rsidRPr="0096411A" w:rsidRDefault="0096411A" w:rsidP="009641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10095-08-22</w:t>
    </w:r>
    <w:r>
      <w:rPr>
        <w:rFonts w:ascii="David" w:hAnsi="David"/>
        <w:color w:val="000000"/>
        <w:sz w:val="22"/>
        <w:szCs w:val="22"/>
        <w:rtl/>
      </w:rPr>
      <w:tab/>
      <w:t xml:space="preserve"> מדינת ישראל נ' מאזן אבו חלף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4003BE"/>
    <w:multiLevelType w:val="hybridMultilevel"/>
    <w:tmpl w:val="7778CB5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61FA3"/>
    <w:multiLevelType w:val="hybridMultilevel"/>
    <w:tmpl w:val="CD1AE598"/>
    <w:lvl w:ilvl="0" w:tplc="04090013">
      <w:start w:val="1"/>
      <w:numFmt w:val="hebrew1"/>
      <w:lvlText w:val="%1."/>
      <w:lvlJc w:val="center"/>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753429989">
    <w:abstractNumId w:val="2"/>
  </w:num>
  <w:num w:numId="2" w16cid:durableId="1879134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562647">
    <w:abstractNumId w:val="0"/>
  </w:num>
  <w:num w:numId="4" w16cid:durableId="1696930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38B6"/>
    <w:rsid w:val="00070F40"/>
    <w:rsid w:val="001B5A3B"/>
    <w:rsid w:val="00254D7F"/>
    <w:rsid w:val="002F5BB9"/>
    <w:rsid w:val="003438B6"/>
    <w:rsid w:val="003F298F"/>
    <w:rsid w:val="00440B17"/>
    <w:rsid w:val="004E0700"/>
    <w:rsid w:val="005401DE"/>
    <w:rsid w:val="006D29D8"/>
    <w:rsid w:val="0076423A"/>
    <w:rsid w:val="0096411A"/>
    <w:rsid w:val="00993D88"/>
    <w:rsid w:val="00C64BD7"/>
    <w:rsid w:val="00D416D4"/>
    <w:rsid w:val="00D633E7"/>
    <w:rsid w:val="00E460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445D3D"/>
  <w15:chartTrackingRefBased/>
  <w15:docId w15:val="{0F578C27-D2CF-4659-95DF-6AC0BF4B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38B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38B6"/>
    <w:pPr>
      <w:tabs>
        <w:tab w:val="center" w:pos="4153"/>
        <w:tab w:val="right" w:pos="8306"/>
      </w:tabs>
    </w:pPr>
  </w:style>
  <w:style w:type="character" w:customStyle="1" w:styleId="a4">
    <w:name w:val="כותרת עליונה תו"/>
    <w:link w:val="a3"/>
    <w:rsid w:val="003438B6"/>
    <w:rPr>
      <w:rFonts w:ascii="Times New Roman" w:eastAsia="Times New Roman" w:hAnsi="Times New Roman" w:cs="David"/>
      <w:sz w:val="24"/>
      <w:szCs w:val="24"/>
    </w:rPr>
  </w:style>
  <w:style w:type="paragraph" w:styleId="a5">
    <w:name w:val="footer"/>
    <w:basedOn w:val="a"/>
    <w:link w:val="a6"/>
    <w:rsid w:val="003438B6"/>
    <w:pPr>
      <w:tabs>
        <w:tab w:val="center" w:pos="4153"/>
        <w:tab w:val="right" w:pos="8306"/>
      </w:tabs>
    </w:pPr>
  </w:style>
  <w:style w:type="character" w:customStyle="1" w:styleId="a6">
    <w:name w:val="כותרת תחתונה תו"/>
    <w:link w:val="a5"/>
    <w:rsid w:val="003438B6"/>
    <w:rPr>
      <w:rFonts w:ascii="Times New Roman" w:eastAsia="Times New Roman" w:hAnsi="Times New Roman" w:cs="David"/>
      <w:sz w:val="24"/>
      <w:szCs w:val="24"/>
    </w:rPr>
  </w:style>
  <w:style w:type="table" w:styleId="a7">
    <w:name w:val="Table Grid"/>
    <w:basedOn w:val="a1"/>
    <w:rsid w:val="003438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38B6"/>
  </w:style>
  <w:style w:type="character" w:styleId="Hyperlink">
    <w:name w:val="Hyperlink"/>
    <w:rsid w:val="003438B6"/>
    <w:rPr>
      <w:noProof w:val="0"/>
      <w:color w:val="0000FF"/>
      <w:u w:val="single"/>
    </w:rPr>
  </w:style>
  <w:style w:type="paragraph" w:styleId="a9">
    <w:name w:val="List Paragraph"/>
    <w:basedOn w:val="a"/>
    <w:qFormat/>
    <w:rsid w:val="00343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9a" TargetMode="External"/><Relationship Id="rId18" Type="http://schemas.openxmlformats.org/officeDocument/2006/relationships/hyperlink" Target="http://www.nevo.co.il/case/2736555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224242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497554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8190928" TargetMode="External"/><Relationship Id="rId20" Type="http://schemas.openxmlformats.org/officeDocument/2006/relationships/hyperlink" Target="http://www.nevo.co.il/case/1309372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eca.gov.il"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778290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29.a" TargetMode="External"/><Relationship Id="rId22" Type="http://schemas.openxmlformats.org/officeDocument/2006/relationships/hyperlink" Target="http://www.nevo.co.il/case/20832660"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1370</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8209</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7864368</vt:i4>
      </vt:variant>
      <vt:variant>
        <vt:i4>51</vt:i4>
      </vt:variant>
      <vt:variant>
        <vt:i4>0</vt:i4>
      </vt:variant>
      <vt:variant>
        <vt:i4>5</vt:i4>
      </vt:variant>
      <vt:variant>
        <vt:lpwstr>http://www.eca.gov.il/</vt:lpwstr>
      </vt:variant>
      <vt:variant>
        <vt:lpwstr/>
      </vt:variant>
      <vt:variant>
        <vt:i4>8257637</vt:i4>
      </vt:variant>
      <vt:variant>
        <vt:i4>48</vt:i4>
      </vt:variant>
      <vt:variant>
        <vt:i4>0</vt:i4>
      </vt:variant>
      <vt:variant>
        <vt:i4>5</vt:i4>
      </vt:variant>
      <vt:variant>
        <vt:lpwstr>http://www.nevo.co.il/law/4216</vt:lpwstr>
      </vt:variant>
      <vt:variant>
        <vt:lpwstr/>
      </vt:variant>
      <vt:variant>
        <vt:i4>4063345</vt:i4>
      </vt:variant>
      <vt:variant>
        <vt:i4>45</vt:i4>
      </vt:variant>
      <vt:variant>
        <vt:i4>0</vt:i4>
      </vt:variant>
      <vt:variant>
        <vt:i4>5</vt:i4>
      </vt:variant>
      <vt:variant>
        <vt:lpwstr>http://www.nevo.co.il/case/20832660</vt:lpwstr>
      </vt:variant>
      <vt:variant>
        <vt:lpwstr/>
      </vt:variant>
      <vt:variant>
        <vt:i4>3145846</vt:i4>
      </vt:variant>
      <vt:variant>
        <vt:i4>42</vt:i4>
      </vt:variant>
      <vt:variant>
        <vt:i4>0</vt:i4>
      </vt:variant>
      <vt:variant>
        <vt:i4>5</vt:i4>
      </vt:variant>
      <vt:variant>
        <vt:lpwstr>http://www.nevo.co.il/case/22242425</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3604594</vt:i4>
      </vt:variant>
      <vt:variant>
        <vt:i4>36</vt:i4>
      </vt:variant>
      <vt:variant>
        <vt:i4>0</vt:i4>
      </vt:variant>
      <vt:variant>
        <vt:i4>5</vt:i4>
      </vt:variant>
      <vt:variant>
        <vt:lpwstr>http://www.nevo.co.il/case/27782907</vt:lpwstr>
      </vt:variant>
      <vt:variant>
        <vt:lpwstr/>
      </vt:variant>
      <vt:variant>
        <vt:i4>3211376</vt:i4>
      </vt:variant>
      <vt:variant>
        <vt:i4>33</vt:i4>
      </vt:variant>
      <vt:variant>
        <vt:i4>0</vt:i4>
      </vt:variant>
      <vt:variant>
        <vt:i4>5</vt:i4>
      </vt:variant>
      <vt:variant>
        <vt:lpwstr>http://www.nevo.co.il/case/27365552</vt:lpwstr>
      </vt:variant>
      <vt:variant>
        <vt:lpwstr/>
      </vt:variant>
      <vt:variant>
        <vt:i4>3801202</vt:i4>
      </vt:variant>
      <vt:variant>
        <vt:i4>30</vt:i4>
      </vt:variant>
      <vt:variant>
        <vt:i4>0</vt:i4>
      </vt:variant>
      <vt:variant>
        <vt:i4>5</vt:i4>
      </vt:variant>
      <vt:variant>
        <vt:lpwstr>http://www.nevo.co.il/case/24975541</vt:lpwstr>
      </vt:variant>
      <vt:variant>
        <vt:lpwstr/>
      </vt:variant>
      <vt:variant>
        <vt:i4>3211388</vt:i4>
      </vt:variant>
      <vt:variant>
        <vt:i4>27</vt:i4>
      </vt:variant>
      <vt:variant>
        <vt:i4>0</vt:i4>
      </vt:variant>
      <vt:variant>
        <vt:i4>5</vt:i4>
      </vt:variant>
      <vt:variant>
        <vt:lpwstr>http://www.nevo.co.il/case/28190928</vt:lpwstr>
      </vt:variant>
      <vt:variant>
        <vt:lpwstr/>
      </vt:variant>
      <vt:variant>
        <vt:i4>7995492</vt:i4>
      </vt:variant>
      <vt:variant>
        <vt:i4>24</vt:i4>
      </vt:variant>
      <vt:variant>
        <vt:i4>0</vt:i4>
      </vt:variant>
      <vt:variant>
        <vt:i4>5</vt:i4>
      </vt:variant>
      <vt:variant>
        <vt:lpwstr>http://www.nevo.co.il/law/70301</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2025-04-23T01:32:00Z</dcterms:created>
  <dcterms:modified xsi:type="dcterms:W3CDTF">2025-04-23T01:32:00Z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10095</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מאזן אבו חלף</vt:lpwstr>
  </property>
  <property fmtid="{D5CDD505-2E9C-101B-9397-08002B2CF9AE}" pid="10" name="LAWYER">
    <vt:lpwstr>מחמוד רבאח</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20230625</vt:lpwstr>
  </property>
  <property fmtid="{D5CDD505-2E9C-101B-9397-08002B2CF9AE}" pid="14" name="TYPE_N_DATE">
    <vt:lpwstr>38020230625</vt:lpwstr>
  </property>
  <property fmtid="{D5CDD505-2E9C-101B-9397-08002B2CF9AE}" pid="15" name="WORDNUMPAGES">
    <vt:lpwstr>5</vt:lpwstr>
  </property>
  <property fmtid="{D5CDD505-2E9C-101B-9397-08002B2CF9AE}" pid="16" name="TYPE_ABS_DATE">
    <vt:lpwstr>380020230625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28190928;24975541;27365552;27782907;13093721;22242425;20832660</vt:lpwstr>
  </property>
  <property fmtid="{D5CDD505-2E9C-101B-9397-08002B2CF9AE}" pid="36" name="LAWLISTTMP1">
    <vt:lpwstr>4216/013;019a</vt:lpwstr>
  </property>
  <property fmtid="{D5CDD505-2E9C-101B-9397-08002B2CF9AE}" pid="37" name="LAWLISTTMP2">
    <vt:lpwstr>70301/029.a</vt:lpwstr>
  </property>
</Properties>
</file>