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5C5A70" w:rsidRPr="00C03D05" w14:paraId="4EEEBC0F" w14:textId="77777777" w:rsidTr="00260970">
        <w:trPr>
          <w:gridAfter w:val="1"/>
          <w:wAfter w:w="99" w:type="dxa"/>
          <w:trHeight w:hRule="exact" w:val="418"/>
          <w:jc w:val="center"/>
        </w:trPr>
        <w:tc>
          <w:tcPr>
            <w:tcW w:w="8721" w:type="dxa"/>
            <w:gridSpan w:val="4"/>
          </w:tcPr>
          <w:p w14:paraId="5C449AAD" w14:textId="77777777" w:rsidR="005C5A70" w:rsidRPr="00C03D05" w:rsidRDefault="005C5A70" w:rsidP="002109E6">
            <w:pPr>
              <w:pStyle w:val="a3"/>
              <w:jc w:val="center"/>
              <w:rPr>
                <w:rFonts w:ascii="Tahoma" w:hAnsi="Tahoma" w:cs="Tahoma"/>
                <w:color w:val="000080"/>
                <w:rtl/>
              </w:rPr>
            </w:pPr>
            <w:bookmarkStart w:id="0" w:name="LastJudge"/>
            <w:r w:rsidRPr="00C03D05">
              <w:rPr>
                <w:rFonts w:ascii="Tahoma" w:hAnsi="Tahoma" w:cs="Tahoma"/>
                <w:b/>
                <w:bCs/>
                <w:color w:val="000080"/>
                <w:rtl/>
              </w:rPr>
              <w:t>בית משפט השלום באילת</w:t>
            </w:r>
          </w:p>
        </w:tc>
      </w:tr>
      <w:tr w:rsidR="005C5A70" w:rsidRPr="00C03D05" w14:paraId="35CDC1FE" w14:textId="77777777" w:rsidTr="00260970">
        <w:trPr>
          <w:gridAfter w:val="1"/>
          <w:wAfter w:w="99" w:type="dxa"/>
          <w:trHeight w:val="337"/>
          <w:jc w:val="center"/>
        </w:trPr>
        <w:tc>
          <w:tcPr>
            <w:tcW w:w="5056" w:type="dxa"/>
            <w:gridSpan w:val="3"/>
          </w:tcPr>
          <w:p w14:paraId="37B163CA" w14:textId="77777777" w:rsidR="005C5A70" w:rsidRPr="00C03D05" w:rsidRDefault="005C5A70" w:rsidP="002109E6">
            <w:pPr>
              <w:rPr>
                <w:rFonts w:cs="FrankRuehl"/>
                <w:sz w:val="28"/>
                <w:szCs w:val="28"/>
                <w:rtl/>
              </w:rPr>
            </w:pPr>
            <w:r w:rsidRPr="00C03D05">
              <w:rPr>
                <w:rFonts w:cs="FrankRuehl"/>
                <w:sz w:val="28"/>
                <w:szCs w:val="28"/>
                <w:rtl/>
              </w:rPr>
              <w:t>ת"פ</w:t>
            </w:r>
            <w:r w:rsidRPr="00C03D05">
              <w:rPr>
                <w:rFonts w:cs="FrankRuehl" w:hint="cs"/>
                <w:sz w:val="28"/>
                <w:szCs w:val="28"/>
                <w:rtl/>
              </w:rPr>
              <w:t xml:space="preserve"> </w:t>
            </w:r>
            <w:r w:rsidRPr="00C03D05">
              <w:rPr>
                <w:rFonts w:cs="FrankRuehl"/>
                <w:sz w:val="28"/>
                <w:szCs w:val="28"/>
                <w:rtl/>
              </w:rPr>
              <w:t>1062-08-22</w:t>
            </w:r>
            <w:r w:rsidRPr="00C03D05">
              <w:rPr>
                <w:rFonts w:cs="FrankRuehl" w:hint="cs"/>
                <w:sz w:val="28"/>
                <w:szCs w:val="28"/>
                <w:rtl/>
              </w:rPr>
              <w:t xml:space="preserve"> </w:t>
            </w:r>
            <w:r w:rsidRPr="00C03D05">
              <w:rPr>
                <w:rFonts w:cs="FrankRuehl"/>
                <w:sz w:val="28"/>
                <w:szCs w:val="28"/>
                <w:rtl/>
              </w:rPr>
              <w:t>מדינת ישראל נ' דהן(עציר)</w:t>
            </w:r>
          </w:p>
          <w:p w14:paraId="2B4E1C25" w14:textId="77777777" w:rsidR="005C5A70" w:rsidRPr="00C03D05" w:rsidRDefault="005C5A70" w:rsidP="002109E6">
            <w:pPr>
              <w:pStyle w:val="a3"/>
              <w:rPr>
                <w:rFonts w:cs="FrankRuehl"/>
                <w:sz w:val="28"/>
                <w:szCs w:val="28"/>
                <w:rtl/>
              </w:rPr>
            </w:pPr>
          </w:p>
        </w:tc>
        <w:tc>
          <w:tcPr>
            <w:tcW w:w="3665" w:type="dxa"/>
          </w:tcPr>
          <w:p w14:paraId="6E9A7029" w14:textId="77777777" w:rsidR="005C5A70" w:rsidRPr="00C03D05" w:rsidRDefault="005C5A70" w:rsidP="002109E6">
            <w:pPr>
              <w:pStyle w:val="a3"/>
              <w:jc w:val="right"/>
              <w:rPr>
                <w:rFonts w:cs="FrankRuehl"/>
                <w:sz w:val="28"/>
                <w:szCs w:val="28"/>
                <w:rtl/>
              </w:rPr>
            </w:pPr>
          </w:p>
        </w:tc>
      </w:tr>
      <w:tr w:rsidR="005C5A70" w:rsidRPr="00C03D05" w14:paraId="6789F401" w14:textId="77777777"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197F2BC" w14:textId="77777777" w:rsidR="005C5A70" w:rsidRPr="00C03D05" w:rsidRDefault="005C5A70" w:rsidP="005C5A70">
            <w:pPr>
              <w:jc w:val="both"/>
              <w:rPr>
                <w:rFonts w:ascii="David" w:hAnsi="David"/>
                <w:sz w:val="26"/>
                <w:szCs w:val="26"/>
              </w:rPr>
            </w:pPr>
            <w:r w:rsidRPr="00C03D05">
              <w:rPr>
                <w:rFonts w:hint="cs"/>
                <w:rtl/>
              </w:rPr>
              <w:t xml:space="preserve"> </w:t>
            </w:r>
            <w:r w:rsidRPr="00C03D05">
              <w:rPr>
                <w:rFonts w:ascii="David" w:hAnsi="David" w:hint="cs"/>
                <w:sz w:val="26"/>
                <w:szCs w:val="26"/>
                <w:rtl/>
              </w:rPr>
              <w:t>ל</w:t>
            </w:r>
            <w:r w:rsidRPr="00C03D0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D47D863" w14:textId="77777777" w:rsidR="005C5A70" w:rsidRPr="00C03D05" w:rsidRDefault="005C5A70" w:rsidP="002109E6">
            <w:pPr>
              <w:rPr>
                <w:rFonts w:ascii="David" w:hAnsi="David"/>
                <w:b/>
                <w:bCs/>
                <w:sz w:val="26"/>
                <w:szCs w:val="26"/>
                <w:rtl/>
              </w:rPr>
            </w:pPr>
            <w:r w:rsidRPr="00C03D05">
              <w:rPr>
                <w:rFonts w:ascii="David" w:hAnsi="David"/>
                <w:b/>
                <w:bCs/>
                <w:sz w:val="26"/>
                <w:szCs w:val="26"/>
                <w:rtl/>
              </w:rPr>
              <w:t>כבוד השופט  גיל אדלמן</w:t>
            </w:r>
          </w:p>
          <w:p w14:paraId="38450962" w14:textId="77777777" w:rsidR="005C5A70" w:rsidRPr="00C03D05" w:rsidRDefault="005C5A70" w:rsidP="002109E6">
            <w:pPr>
              <w:rPr>
                <w:rFonts w:ascii="David" w:hAnsi="David"/>
                <w:sz w:val="26"/>
                <w:szCs w:val="26"/>
                <w:rtl/>
              </w:rPr>
            </w:pPr>
          </w:p>
          <w:p w14:paraId="4B85D004" w14:textId="77777777" w:rsidR="005C5A70" w:rsidRPr="00C03D05" w:rsidRDefault="005C5A70" w:rsidP="005C5A70">
            <w:pPr>
              <w:jc w:val="both"/>
              <w:rPr>
                <w:rFonts w:ascii="David" w:hAnsi="David"/>
                <w:sz w:val="26"/>
                <w:szCs w:val="26"/>
              </w:rPr>
            </w:pPr>
          </w:p>
        </w:tc>
      </w:tr>
      <w:tr w:rsidR="005C5A70" w:rsidRPr="00C03D05" w14:paraId="474E8AFC" w14:textId="77777777"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62C04D" w14:textId="77777777" w:rsidR="005C5A70" w:rsidRPr="00C03D05" w:rsidRDefault="005C5A70" w:rsidP="005C5A70">
            <w:pPr>
              <w:jc w:val="both"/>
              <w:rPr>
                <w:rFonts w:ascii="David" w:hAnsi="David"/>
                <w:sz w:val="26"/>
                <w:szCs w:val="26"/>
              </w:rPr>
            </w:pPr>
            <w:bookmarkStart w:id="1" w:name="FirstAppellant"/>
            <w:bookmarkStart w:id="2" w:name="FirstLawyer"/>
            <w:r w:rsidRPr="00C03D05">
              <w:rPr>
                <w:rFonts w:ascii="David" w:hAnsi="David"/>
                <w:sz w:val="26"/>
                <w:szCs w:val="26"/>
                <w:rtl/>
              </w:rPr>
              <w:t>בעניין:</w:t>
            </w:r>
          </w:p>
        </w:tc>
        <w:tc>
          <w:tcPr>
            <w:tcW w:w="3219" w:type="dxa"/>
            <w:tcBorders>
              <w:top w:val="nil"/>
              <w:left w:val="nil"/>
              <w:bottom w:val="nil"/>
              <w:right w:val="nil"/>
            </w:tcBorders>
            <w:shd w:val="clear" w:color="auto" w:fill="auto"/>
          </w:tcPr>
          <w:p w14:paraId="11782012" w14:textId="77777777" w:rsidR="005C5A70" w:rsidRPr="00C03D05" w:rsidRDefault="005C5A70" w:rsidP="005C5A70">
            <w:pPr>
              <w:suppressLineNumbers/>
            </w:pPr>
            <w:r w:rsidRPr="00C03D05">
              <w:rPr>
                <w:rFonts w:ascii="Arial" w:hAnsi="Arial" w:hint="cs"/>
                <w:b/>
                <w:bCs/>
                <w:sz w:val="26"/>
                <w:szCs w:val="26"/>
                <w:rtl/>
              </w:rPr>
              <w:t>ה</w:t>
            </w:r>
            <w:r w:rsidRPr="00C03D05">
              <w:rPr>
                <w:rFonts w:ascii="Arial" w:hAnsi="Arial"/>
                <w:b/>
                <w:bCs/>
                <w:sz w:val="26"/>
                <w:szCs w:val="26"/>
                <w:rtl/>
              </w:rPr>
              <w:t>מאשימה</w:t>
            </w:r>
          </w:p>
          <w:p w14:paraId="4872FAB3" w14:textId="77777777" w:rsidR="005C5A70" w:rsidRPr="00C03D05" w:rsidRDefault="005C5A70" w:rsidP="002109E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E088CA6" w14:textId="77777777" w:rsidR="005C5A70" w:rsidRPr="00C03D05" w:rsidRDefault="005C5A70" w:rsidP="005C5A70">
            <w:pPr>
              <w:suppressLineNumbers/>
              <w:rPr>
                <w:rFonts w:ascii="Arial" w:hAnsi="Arial"/>
                <w:b/>
                <w:bCs/>
                <w:sz w:val="26"/>
                <w:szCs w:val="26"/>
                <w:rtl/>
              </w:rPr>
            </w:pPr>
            <w:r w:rsidRPr="00C03D05">
              <w:rPr>
                <w:rFonts w:ascii="Arial" w:hAnsi="Arial"/>
                <w:b/>
                <w:bCs/>
                <w:sz w:val="26"/>
                <w:szCs w:val="26"/>
                <w:rtl/>
              </w:rPr>
              <w:t>מדינת ישראל</w:t>
            </w:r>
            <w:r w:rsidRPr="00C03D05">
              <w:rPr>
                <w:rFonts w:ascii="Arial" w:hAnsi="Arial" w:hint="cs"/>
                <w:b/>
                <w:bCs/>
                <w:sz w:val="26"/>
                <w:szCs w:val="26"/>
                <w:rtl/>
              </w:rPr>
              <w:t xml:space="preserve"> </w:t>
            </w:r>
          </w:p>
          <w:p w14:paraId="2908C487" w14:textId="77777777" w:rsidR="005C5A70" w:rsidRPr="00C03D05" w:rsidRDefault="005C5A70" w:rsidP="005C5A70">
            <w:pPr>
              <w:suppressLineNumbers/>
            </w:pPr>
            <w:r w:rsidRPr="00C03D05">
              <w:rPr>
                <w:rFonts w:ascii="Arial" w:hAnsi="Arial"/>
                <w:b/>
                <w:bCs/>
                <w:sz w:val="26"/>
                <w:szCs w:val="26"/>
                <w:rtl/>
              </w:rPr>
              <w:t>ע"י ב"כ עוה"ד</w:t>
            </w:r>
            <w:r w:rsidRPr="00C03D05">
              <w:rPr>
                <w:rFonts w:hint="cs"/>
                <w:rtl/>
              </w:rPr>
              <w:t xml:space="preserve"> </w:t>
            </w:r>
            <w:r w:rsidRPr="00C03D05">
              <w:rPr>
                <w:rFonts w:hint="cs"/>
                <w:b/>
                <w:bCs/>
                <w:sz w:val="26"/>
                <w:szCs w:val="26"/>
                <w:rtl/>
              </w:rPr>
              <w:t>שירלי הדר</w:t>
            </w:r>
          </w:p>
          <w:p w14:paraId="50682B36" w14:textId="77777777" w:rsidR="005C5A70" w:rsidRPr="00C03D05" w:rsidRDefault="005C5A70" w:rsidP="002109E6">
            <w:pPr>
              <w:rPr>
                <w:rFonts w:ascii="David" w:hAnsi="David"/>
                <w:sz w:val="26"/>
                <w:szCs w:val="26"/>
              </w:rPr>
            </w:pPr>
          </w:p>
        </w:tc>
      </w:tr>
      <w:bookmarkEnd w:id="1"/>
      <w:bookmarkEnd w:id="2"/>
      <w:tr w:rsidR="005C5A70" w:rsidRPr="00C03D05" w14:paraId="528D6905" w14:textId="77777777"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36D39E" w14:textId="77777777" w:rsidR="005C5A70" w:rsidRPr="00C03D05" w:rsidRDefault="005C5A70" w:rsidP="005C5A7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16127B7" w14:textId="77777777" w:rsidR="005C5A70" w:rsidRPr="00C03D05" w:rsidRDefault="005C5A70" w:rsidP="005C5A70">
            <w:pPr>
              <w:jc w:val="center"/>
              <w:rPr>
                <w:rFonts w:ascii="David" w:hAnsi="David"/>
                <w:b/>
                <w:bCs/>
                <w:sz w:val="26"/>
                <w:szCs w:val="26"/>
                <w:rtl/>
              </w:rPr>
            </w:pPr>
          </w:p>
          <w:p w14:paraId="373D9716" w14:textId="77777777" w:rsidR="005C5A70" w:rsidRPr="00C03D05" w:rsidRDefault="005C5A70" w:rsidP="005C5A70">
            <w:pPr>
              <w:jc w:val="center"/>
              <w:rPr>
                <w:rFonts w:ascii="David" w:hAnsi="David"/>
                <w:b/>
                <w:bCs/>
                <w:sz w:val="26"/>
                <w:szCs w:val="26"/>
                <w:rtl/>
              </w:rPr>
            </w:pPr>
            <w:r w:rsidRPr="00C03D05">
              <w:rPr>
                <w:rFonts w:ascii="David" w:hAnsi="David"/>
                <w:b/>
                <w:bCs/>
                <w:sz w:val="26"/>
                <w:szCs w:val="26"/>
                <w:rtl/>
              </w:rPr>
              <w:t>נגד</w:t>
            </w:r>
          </w:p>
          <w:p w14:paraId="50D9E75B" w14:textId="77777777" w:rsidR="005C5A70" w:rsidRPr="00C03D05" w:rsidRDefault="005C5A70" w:rsidP="005C5A70">
            <w:pPr>
              <w:jc w:val="both"/>
              <w:rPr>
                <w:rFonts w:ascii="David" w:hAnsi="David"/>
                <w:sz w:val="26"/>
                <w:szCs w:val="26"/>
              </w:rPr>
            </w:pPr>
          </w:p>
        </w:tc>
      </w:tr>
      <w:tr w:rsidR="005C5A70" w:rsidRPr="00C03D05" w14:paraId="18C25007" w14:textId="77777777"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02D24A" w14:textId="77777777" w:rsidR="005C5A70" w:rsidRPr="00C03D05" w:rsidRDefault="005C5A70" w:rsidP="002109E6">
            <w:pPr>
              <w:rPr>
                <w:rFonts w:ascii="David" w:hAnsi="David"/>
                <w:sz w:val="26"/>
                <w:szCs w:val="26"/>
                <w:rtl/>
              </w:rPr>
            </w:pPr>
          </w:p>
        </w:tc>
        <w:tc>
          <w:tcPr>
            <w:tcW w:w="3219" w:type="dxa"/>
            <w:tcBorders>
              <w:top w:val="nil"/>
              <w:left w:val="nil"/>
              <w:bottom w:val="nil"/>
              <w:right w:val="nil"/>
            </w:tcBorders>
            <w:shd w:val="clear" w:color="auto" w:fill="auto"/>
          </w:tcPr>
          <w:p w14:paraId="054A22D3" w14:textId="77777777" w:rsidR="005C5A70" w:rsidRPr="00C03D05" w:rsidRDefault="005C5A70" w:rsidP="002109E6">
            <w:pPr>
              <w:rPr>
                <w:rFonts w:ascii="Arial" w:hAnsi="Arial"/>
                <w:b/>
                <w:bCs/>
                <w:sz w:val="26"/>
                <w:szCs w:val="26"/>
                <w:rtl/>
              </w:rPr>
            </w:pPr>
            <w:r w:rsidRPr="00C03D05">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826A623" w14:textId="77777777" w:rsidR="005C5A70" w:rsidRPr="00C03D05" w:rsidRDefault="005C5A70" w:rsidP="005C5A70">
            <w:pPr>
              <w:suppressLineNumbers/>
              <w:rPr>
                <w:rFonts w:ascii="Arial" w:hAnsi="Arial"/>
                <w:b/>
                <w:bCs/>
                <w:sz w:val="26"/>
                <w:szCs w:val="26"/>
                <w:rtl/>
              </w:rPr>
            </w:pPr>
            <w:r w:rsidRPr="00C03D05">
              <w:rPr>
                <w:rFonts w:ascii="Arial" w:hAnsi="Arial"/>
                <w:b/>
                <w:bCs/>
                <w:sz w:val="26"/>
                <w:szCs w:val="26"/>
                <w:rtl/>
              </w:rPr>
              <w:t xml:space="preserve">ישעיה דהן </w:t>
            </w:r>
            <w:r w:rsidRPr="00C03D05">
              <w:rPr>
                <w:rFonts w:ascii="Arial" w:hAnsi="Arial" w:hint="cs"/>
                <w:b/>
                <w:bCs/>
                <w:sz w:val="26"/>
                <w:szCs w:val="26"/>
                <w:rtl/>
              </w:rPr>
              <w:t xml:space="preserve"> </w:t>
            </w:r>
          </w:p>
          <w:p w14:paraId="4DC04A01" w14:textId="77777777" w:rsidR="005C5A70" w:rsidRPr="00C03D05" w:rsidRDefault="005C5A70" w:rsidP="005C5A70">
            <w:pPr>
              <w:suppressLineNumbers/>
            </w:pPr>
            <w:r w:rsidRPr="00C03D05">
              <w:rPr>
                <w:rFonts w:ascii="Arial" w:hAnsi="Arial"/>
                <w:b/>
                <w:bCs/>
                <w:sz w:val="26"/>
                <w:szCs w:val="26"/>
                <w:rtl/>
              </w:rPr>
              <w:t>ע"י ב"כ עוה"ד</w:t>
            </w:r>
            <w:r w:rsidRPr="00C03D05">
              <w:rPr>
                <w:rFonts w:hint="cs"/>
                <w:rtl/>
              </w:rPr>
              <w:t xml:space="preserve"> </w:t>
            </w:r>
            <w:r w:rsidRPr="00C03D05">
              <w:rPr>
                <w:rFonts w:hint="cs"/>
                <w:b/>
                <w:bCs/>
                <w:sz w:val="26"/>
                <w:szCs w:val="26"/>
                <w:rtl/>
              </w:rPr>
              <w:t>ליז זמור</w:t>
            </w:r>
          </w:p>
          <w:p w14:paraId="64E3F887" w14:textId="77777777" w:rsidR="005C5A70" w:rsidRPr="00C03D05" w:rsidRDefault="005C5A70" w:rsidP="002109E6">
            <w:pPr>
              <w:rPr>
                <w:rFonts w:ascii="David" w:hAnsi="David"/>
                <w:sz w:val="26"/>
                <w:szCs w:val="26"/>
              </w:rPr>
            </w:pPr>
          </w:p>
        </w:tc>
      </w:tr>
    </w:tbl>
    <w:p w14:paraId="7184CF1E" w14:textId="77777777" w:rsidR="00C03D05" w:rsidRPr="00C03D05" w:rsidRDefault="00C03D05" w:rsidP="00C03D05">
      <w:pPr>
        <w:spacing w:before="120" w:after="120" w:line="240" w:lineRule="exact"/>
        <w:ind w:left="283" w:hanging="283"/>
        <w:jc w:val="both"/>
        <w:rPr>
          <w:rFonts w:ascii="FrankRuehl" w:hAnsi="FrankRuehl" w:cs="FrankRuehl"/>
          <w:rtl/>
        </w:rPr>
      </w:pPr>
    </w:p>
    <w:p w14:paraId="0F0AA30B" w14:textId="77777777" w:rsidR="00C03D05" w:rsidRPr="00C03D05" w:rsidRDefault="00C03D05" w:rsidP="00C03D05">
      <w:pPr>
        <w:rPr>
          <w:sz w:val="26"/>
          <w:szCs w:val="26"/>
          <w:rtl/>
        </w:rPr>
      </w:pPr>
    </w:p>
    <w:p w14:paraId="261D9B43" w14:textId="77777777" w:rsidR="00260970" w:rsidRPr="00260970" w:rsidRDefault="00260970" w:rsidP="00260970">
      <w:pPr>
        <w:spacing w:before="120" w:after="120" w:line="240" w:lineRule="exact"/>
        <w:ind w:left="283" w:hanging="283"/>
        <w:jc w:val="both"/>
        <w:rPr>
          <w:rFonts w:ascii="FrankRuehl" w:hAnsi="FrankRuehl" w:cs="FrankRuehl"/>
          <w:rtl/>
        </w:rPr>
      </w:pPr>
    </w:p>
    <w:p w14:paraId="58DA3101" w14:textId="77777777" w:rsidR="00821F54" w:rsidRPr="00821F54" w:rsidRDefault="00821F54" w:rsidP="00821F54">
      <w:pPr>
        <w:spacing w:before="120" w:after="120" w:line="240" w:lineRule="exact"/>
        <w:ind w:left="283" w:hanging="283"/>
        <w:jc w:val="both"/>
        <w:rPr>
          <w:rFonts w:ascii="FrankRuehl" w:hAnsi="FrankRuehl" w:cs="FrankRuehl"/>
          <w:rtl/>
        </w:rPr>
      </w:pPr>
    </w:p>
    <w:p w14:paraId="4596E122" w14:textId="77777777" w:rsidR="00C61957" w:rsidRDefault="00C61957" w:rsidP="00C61957">
      <w:pPr>
        <w:rPr>
          <w:sz w:val="26"/>
          <w:szCs w:val="26"/>
          <w:rtl/>
        </w:rPr>
      </w:pPr>
      <w:bookmarkStart w:id="3" w:name="LawTable"/>
      <w:bookmarkEnd w:id="3"/>
    </w:p>
    <w:p w14:paraId="4847B329" w14:textId="77777777" w:rsidR="00C61957" w:rsidRPr="00C61957" w:rsidRDefault="00C61957" w:rsidP="00C61957">
      <w:pPr>
        <w:spacing w:before="120" w:after="120" w:line="240" w:lineRule="exact"/>
        <w:ind w:left="283" w:hanging="283"/>
        <w:jc w:val="both"/>
        <w:rPr>
          <w:rFonts w:ascii="FrankRuehl" w:hAnsi="FrankRuehl" w:cs="FrankRuehl"/>
          <w:rtl/>
        </w:rPr>
      </w:pPr>
    </w:p>
    <w:p w14:paraId="01B1159F" w14:textId="77777777" w:rsidR="00C61957" w:rsidRPr="00C61957" w:rsidRDefault="00C61957" w:rsidP="00C61957">
      <w:pPr>
        <w:spacing w:before="120" w:after="120" w:line="240" w:lineRule="exact"/>
        <w:ind w:left="283" w:hanging="283"/>
        <w:jc w:val="both"/>
        <w:rPr>
          <w:rFonts w:ascii="FrankRuehl" w:hAnsi="FrankRuehl" w:cs="FrankRuehl"/>
          <w:rtl/>
        </w:rPr>
      </w:pPr>
    </w:p>
    <w:p w14:paraId="0197338E" w14:textId="77777777" w:rsidR="00C61957" w:rsidRPr="00C61957" w:rsidRDefault="00C61957" w:rsidP="00C61957">
      <w:pPr>
        <w:spacing w:before="120" w:after="120" w:line="240" w:lineRule="exact"/>
        <w:ind w:left="283" w:hanging="283"/>
        <w:jc w:val="both"/>
        <w:rPr>
          <w:rFonts w:ascii="FrankRuehl" w:hAnsi="FrankRuehl" w:cs="FrankRuehl"/>
          <w:rtl/>
        </w:rPr>
      </w:pPr>
      <w:r w:rsidRPr="00C61957">
        <w:rPr>
          <w:rFonts w:ascii="FrankRuehl" w:hAnsi="FrankRuehl" w:cs="FrankRuehl"/>
          <w:rtl/>
        </w:rPr>
        <w:t xml:space="preserve">חקיקה שאוזכרה: </w:t>
      </w:r>
    </w:p>
    <w:p w14:paraId="20A18A4F" w14:textId="77777777" w:rsidR="00C61957" w:rsidRPr="00C61957" w:rsidRDefault="00C61957" w:rsidP="00C61957">
      <w:pPr>
        <w:spacing w:before="120" w:after="120" w:line="240" w:lineRule="exact"/>
        <w:ind w:left="283" w:hanging="283"/>
        <w:jc w:val="both"/>
        <w:rPr>
          <w:rFonts w:ascii="FrankRuehl" w:hAnsi="FrankRuehl" w:cs="FrankRuehl"/>
          <w:rtl/>
        </w:rPr>
      </w:pPr>
      <w:hyperlink r:id="rId7" w:history="1">
        <w:r w:rsidRPr="00C61957">
          <w:rPr>
            <w:rFonts w:ascii="FrankRuehl" w:hAnsi="FrankRuehl" w:cs="FrankRuehl"/>
            <w:color w:val="0000FF"/>
            <w:rtl/>
          </w:rPr>
          <w:t>פקודת הסמים המסוכנים [נוסח חדש], תשל"ג-1973</w:t>
        </w:r>
      </w:hyperlink>
      <w:r w:rsidRPr="00C61957">
        <w:rPr>
          <w:rFonts w:ascii="FrankRuehl" w:hAnsi="FrankRuehl" w:cs="FrankRuehl"/>
          <w:rtl/>
        </w:rPr>
        <w:t xml:space="preserve">: סע'  </w:t>
      </w:r>
      <w:hyperlink r:id="rId8" w:history="1">
        <w:r w:rsidRPr="00C61957">
          <w:rPr>
            <w:rFonts w:ascii="FrankRuehl" w:hAnsi="FrankRuehl" w:cs="FrankRuehl"/>
            <w:color w:val="0000FF"/>
            <w:rtl/>
          </w:rPr>
          <w:t>7 (א)</w:t>
        </w:r>
      </w:hyperlink>
      <w:r w:rsidRPr="00C61957">
        <w:rPr>
          <w:rFonts w:ascii="FrankRuehl" w:hAnsi="FrankRuehl" w:cs="FrankRuehl"/>
          <w:rtl/>
        </w:rPr>
        <w:t xml:space="preserve">, </w:t>
      </w:r>
      <w:hyperlink r:id="rId9" w:history="1">
        <w:r w:rsidRPr="00C61957">
          <w:rPr>
            <w:rFonts w:ascii="FrankRuehl" w:hAnsi="FrankRuehl" w:cs="FrankRuehl"/>
            <w:color w:val="0000FF"/>
            <w:rtl/>
          </w:rPr>
          <w:t>7 (ג)</w:t>
        </w:r>
      </w:hyperlink>
      <w:r w:rsidRPr="00C61957">
        <w:rPr>
          <w:rFonts w:ascii="FrankRuehl" w:hAnsi="FrankRuehl" w:cs="FrankRuehl"/>
          <w:rtl/>
        </w:rPr>
        <w:t xml:space="preserve">, </w:t>
      </w:r>
      <w:hyperlink r:id="rId10" w:history="1">
        <w:r w:rsidRPr="00C61957">
          <w:rPr>
            <w:rFonts w:ascii="FrankRuehl" w:hAnsi="FrankRuehl" w:cs="FrankRuehl"/>
            <w:color w:val="0000FF"/>
            <w:rtl/>
          </w:rPr>
          <w:t>13</w:t>
        </w:r>
      </w:hyperlink>
      <w:r w:rsidRPr="00C61957">
        <w:rPr>
          <w:rFonts w:ascii="FrankRuehl" w:hAnsi="FrankRuehl" w:cs="FrankRuehl"/>
          <w:rtl/>
        </w:rPr>
        <w:t xml:space="preserve">, </w:t>
      </w:r>
      <w:hyperlink r:id="rId11" w:history="1">
        <w:r w:rsidRPr="00C61957">
          <w:rPr>
            <w:rFonts w:ascii="FrankRuehl" w:hAnsi="FrankRuehl" w:cs="FrankRuehl"/>
            <w:color w:val="0000FF"/>
            <w:rtl/>
          </w:rPr>
          <w:t>19א</w:t>
        </w:r>
      </w:hyperlink>
    </w:p>
    <w:p w14:paraId="7043BA41" w14:textId="77777777" w:rsidR="00C61957" w:rsidRPr="00C61957" w:rsidRDefault="00C61957" w:rsidP="00C61957">
      <w:pPr>
        <w:spacing w:before="120" w:after="120" w:line="240" w:lineRule="exact"/>
        <w:ind w:left="283" w:hanging="283"/>
        <w:jc w:val="both"/>
        <w:rPr>
          <w:rFonts w:ascii="FrankRuehl" w:hAnsi="FrankRuehl" w:cs="FrankRuehl"/>
          <w:rtl/>
        </w:rPr>
      </w:pPr>
      <w:hyperlink r:id="rId12" w:history="1">
        <w:r w:rsidRPr="00C61957">
          <w:rPr>
            <w:rFonts w:ascii="FrankRuehl" w:hAnsi="FrankRuehl" w:cs="FrankRuehl"/>
            <w:color w:val="0000FF"/>
            <w:rtl/>
          </w:rPr>
          <w:t>חוק העונשין, תשל"ז-1977</w:t>
        </w:r>
      </w:hyperlink>
      <w:r w:rsidRPr="00C61957">
        <w:rPr>
          <w:rFonts w:ascii="FrankRuehl" w:hAnsi="FrankRuehl" w:cs="FrankRuehl"/>
          <w:rtl/>
        </w:rPr>
        <w:t xml:space="preserve">: סע'  </w:t>
      </w:r>
      <w:hyperlink r:id="rId13" w:history="1">
        <w:r w:rsidRPr="00C61957">
          <w:rPr>
            <w:rFonts w:ascii="FrankRuehl" w:hAnsi="FrankRuehl" w:cs="FrankRuehl"/>
            <w:color w:val="0000FF"/>
            <w:rtl/>
          </w:rPr>
          <w:t>40ד</w:t>
        </w:r>
      </w:hyperlink>
      <w:r w:rsidRPr="00C61957">
        <w:rPr>
          <w:rFonts w:ascii="FrankRuehl" w:hAnsi="FrankRuehl" w:cs="FrankRuehl"/>
          <w:rtl/>
        </w:rPr>
        <w:t xml:space="preserve">, </w:t>
      </w:r>
      <w:hyperlink r:id="rId14" w:history="1">
        <w:r w:rsidRPr="00C61957">
          <w:rPr>
            <w:rFonts w:ascii="FrankRuehl" w:hAnsi="FrankRuehl" w:cs="FrankRuehl"/>
            <w:color w:val="0000FF"/>
            <w:rtl/>
          </w:rPr>
          <w:t>40ט</w:t>
        </w:r>
      </w:hyperlink>
      <w:r w:rsidRPr="00C61957">
        <w:rPr>
          <w:rFonts w:ascii="FrankRuehl" w:hAnsi="FrankRuehl" w:cs="FrankRuehl"/>
          <w:rtl/>
        </w:rPr>
        <w:t xml:space="preserve">, </w:t>
      </w:r>
      <w:hyperlink r:id="rId15" w:history="1">
        <w:r w:rsidRPr="00C61957">
          <w:rPr>
            <w:rFonts w:ascii="FrankRuehl" w:hAnsi="FrankRuehl" w:cs="FrankRuehl"/>
            <w:color w:val="0000FF"/>
            <w:rtl/>
          </w:rPr>
          <w:t>40יא</w:t>
        </w:r>
      </w:hyperlink>
    </w:p>
    <w:p w14:paraId="714D3A32" w14:textId="77777777" w:rsidR="00C61957" w:rsidRPr="00C61957" w:rsidRDefault="00C61957" w:rsidP="00C61957">
      <w:pPr>
        <w:rPr>
          <w:sz w:val="26"/>
          <w:szCs w:val="26"/>
          <w:rtl/>
        </w:rPr>
      </w:pPr>
      <w:bookmarkStart w:id="4" w:name="LawTable_End"/>
      <w:bookmarkEnd w:id="4"/>
    </w:p>
    <w:p w14:paraId="3ABE8C05" w14:textId="77777777" w:rsidR="005C5A70" w:rsidRPr="00821F54" w:rsidRDefault="005C5A70" w:rsidP="00821F5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5A70" w14:paraId="7125BB90" w14:textId="77777777" w:rsidTr="005C5A70">
        <w:trPr>
          <w:trHeight w:val="355"/>
          <w:jc w:val="center"/>
        </w:trPr>
        <w:tc>
          <w:tcPr>
            <w:tcW w:w="8820" w:type="dxa"/>
            <w:tcBorders>
              <w:top w:val="nil"/>
              <w:left w:val="nil"/>
              <w:bottom w:val="nil"/>
              <w:right w:val="nil"/>
            </w:tcBorders>
            <w:shd w:val="clear" w:color="auto" w:fill="auto"/>
          </w:tcPr>
          <w:p w14:paraId="3B0E7F66" w14:textId="77777777" w:rsidR="00C03D05" w:rsidRPr="00C03D05" w:rsidRDefault="00C03D05" w:rsidP="00C03D05">
            <w:pPr>
              <w:jc w:val="center"/>
              <w:rPr>
                <w:rFonts w:ascii="David" w:hAnsi="David"/>
                <w:b/>
                <w:bCs/>
                <w:sz w:val="32"/>
                <w:szCs w:val="32"/>
                <w:u w:val="single"/>
                <w:rtl/>
              </w:rPr>
            </w:pPr>
            <w:bookmarkStart w:id="5" w:name="PsakDin" w:colFirst="0" w:colLast="0"/>
            <w:bookmarkEnd w:id="0"/>
            <w:r w:rsidRPr="00C03D05">
              <w:rPr>
                <w:rFonts w:ascii="David" w:hAnsi="David"/>
                <w:b/>
                <w:bCs/>
                <w:sz w:val="32"/>
                <w:szCs w:val="32"/>
                <w:u w:val="single"/>
                <w:rtl/>
              </w:rPr>
              <w:t>גזר דין</w:t>
            </w:r>
          </w:p>
          <w:p w14:paraId="363A2EE4" w14:textId="77777777" w:rsidR="005C5A70" w:rsidRPr="00C03D05" w:rsidRDefault="005C5A70" w:rsidP="00C03D05">
            <w:pPr>
              <w:jc w:val="center"/>
              <w:rPr>
                <w:rFonts w:ascii="David" w:hAnsi="David"/>
                <w:bCs/>
                <w:sz w:val="32"/>
                <w:szCs w:val="32"/>
                <w:u w:val="single"/>
                <w:rtl/>
              </w:rPr>
            </w:pPr>
          </w:p>
        </w:tc>
      </w:tr>
    </w:tbl>
    <w:bookmarkEnd w:id="5"/>
    <w:p w14:paraId="4F99823E" w14:textId="77777777" w:rsidR="005C5A70" w:rsidRDefault="005C5A70" w:rsidP="005C5A70">
      <w:pPr>
        <w:spacing w:line="360" w:lineRule="auto"/>
        <w:jc w:val="both"/>
        <w:rPr>
          <w:rFonts w:ascii="David" w:hAnsi="David"/>
          <w:b/>
          <w:bCs/>
          <w:u w:val="single"/>
        </w:rPr>
      </w:pPr>
      <w:r>
        <w:rPr>
          <w:rFonts w:ascii="David" w:hAnsi="David"/>
          <w:b/>
          <w:bCs/>
          <w:u w:val="single"/>
          <w:rtl/>
        </w:rPr>
        <w:t xml:space="preserve">המסגרת העובדתית </w:t>
      </w:r>
    </w:p>
    <w:p w14:paraId="4F2652F9" w14:textId="77777777" w:rsidR="005C5A70" w:rsidRDefault="005C5A70" w:rsidP="005C5A70">
      <w:pPr>
        <w:pStyle w:val="aa"/>
        <w:spacing w:line="360" w:lineRule="auto"/>
        <w:ind w:left="360"/>
        <w:jc w:val="both"/>
        <w:rPr>
          <w:rFonts w:ascii="David" w:hAnsi="David" w:cs="David"/>
          <w:sz w:val="24"/>
          <w:szCs w:val="24"/>
        </w:rPr>
      </w:pPr>
    </w:p>
    <w:p w14:paraId="0C49FB1E" w14:textId="77777777" w:rsidR="005C5A70" w:rsidRDefault="005C5A70" w:rsidP="005C5A70">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ישעיה דהן (להלן: הנאשם), הורשע על פי הודאתו בעובדות כתב אישום מתוקן המייחס לו עבירות של החזקה/שימוש בסמים שלא לצריכה עצמית </w:t>
      </w:r>
      <w:r>
        <w:rPr>
          <w:rFonts w:ascii="David" w:eastAsia="David" w:hAnsi="David" w:cs="David"/>
          <w:sz w:val="24"/>
          <w:szCs w:val="24"/>
          <w:rtl/>
        </w:rPr>
        <w:t xml:space="preserve">לפי סעיף </w:t>
      </w:r>
      <w:hyperlink r:id="rId16" w:history="1">
        <w:r w:rsidR="00260970" w:rsidRPr="00260970">
          <w:rPr>
            <w:rStyle w:val="Hyperlink"/>
            <w:rFonts w:ascii="David" w:eastAsia="David" w:hAnsi="David" w:cs="David"/>
            <w:sz w:val="24"/>
            <w:szCs w:val="24"/>
            <w:rtl/>
          </w:rPr>
          <w:t>7 (א)</w:t>
        </w:r>
      </w:hyperlink>
      <w:r>
        <w:rPr>
          <w:rFonts w:ascii="David" w:eastAsia="David" w:hAnsi="David" w:cs="David"/>
          <w:sz w:val="24"/>
          <w:szCs w:val="24"/>
          <w:rtl/>
        </w:rPr>
        <w:t xml:space="preserve"> ו- </w:t>
      </w:r>
      <w:hyperlink r:id="rId17" w:history="1">
        <w:r w:rsidR="00260970" w:rsidRPr="00260970">
          <w:rPr>
            <w:rStyle w:val="Hyperlink"/>
            <w:rFonts w:ascii="David" w:eastAsia="David" w:hAnsi="David" w:cs="David"/>
            <w:sz w:val="24"/>
            <w:szCs w:val="24"/>
            <w:rtl/>
          </w:rPr>
          <w:t>7 (ג)</w:t>
        </w:r>
      </w:hyperlink>
      <w:r>
        <w:rPr>
          <w:rFonts w:ascii="David" w:eastAsia="David" w:hAnsi="David" w:cs="David"/>
          <w:sz w:val="24"/>
          <w:szCs w:val="24"/>
          <w:rtl/>
        </w:rPr>
        <w:t xml:space="preserve"> רישא ל</w:t>
      </w:r>
      <w:hyperlink r:id="rId18" w:history="1">
        <w:r w:rsidR="00C03D05" w:rsidRPr="00C03D05">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 1973 </w:t>
      </w:r>
      <w:r>
        <w:rPr>
          <w:rFonts w:ascii="David" w:hAnsi="David" w:cs="David"/>
          <w:sz w:val="24"/>
          <w:szCs w:val="24"/>
          <w:rtl/>
        </w:rPr>
        <w:t xml:space="preserve">(2 עבירות) </w:t>
      </w:r>
      <w:r>
        <w:rPr>
          <w:rFonts w:ascii="David" w:eastAsia="David" w:hAnsi="David" w:cs="David"/>
          <w:sz w:val="24"/>
          <w:szCs w:val="24"/>
          <w:rtl/>
        </w:rPr>
        <w:t xml:space="preserve">(להלן: פקודת הסמים) </w:t>
      </w:r>
      <w:r>
        <w:rPr>
          <w:rFonts w:ascii="David" w:hAnsi="David" w:cs="David"/>
          <w:sz w:val="24"/>
          <w:szCs w:val="24"/>
          <w:rtl/>
        </w:rPr>
        <w:t xml:space="preserve">ועבירות של </w:t>
      </w:r>
      <w:r>
        <w:rPr>
          <w:rFonts w:ascii="David" w:eastAsia="David" w:hAnsi="David" w:cs="David"/>
          <w:sz w:val="24"/>
          <w:szCs w:val="24"/>
          <w:rtl/>
        </w:rPr>
        <w:t xml:space="preserve">סחר בסמים מסוכנים לפי </w:t>
      </w:r>
      <w:hyperlink r:id="rId19" w:history="1">
        <w:r w:rsidR="00260970" w:rsidRPr="00260970">
          <w:rPr>
            <w:rStyle w:val="Hyperlink"/>
            <w:rFonts w:ascii="David" w:eastAsia="David" w:hAnsi="David" w:cs="David"/>
            <w:sz w:val="24"/>
            <w:szCs w:val="24"/>
            <w:rtl/>
          </w:rPr>
          <w:t>סעיפים 13</w:t>
        </w:r>
      </w:hyperlink>
      <w:r>
        <w:rPr>
          <w:rFonts w:ascii="David" w:eastAsia="David" w:hAnsi="David" w:cs="David"/>
          <w:sz w:val="24"/>
          <w:szCs w:val="24"/>
          <w:rtl/>
        </w:rPr>
        <w:t xml:space="preserve"> ו- </w:t>
      </w:r>
      <w:hyperlink r:id="rId20" w:history="1">
        <w:r w:rsidR="00260970" w:rsidRPr="00260970">
          <w:rPr>
            <w:rStyle w:val="Hyperlink"/>
            <w:rFonts w:ascii="David" w:eastAsia="David" w:hAnsi="David" w:cs="David"/>
            <w:sz w:val="24"/>
            <w:szCs w:val="24"/>
            <w:rtl/>
          </w:rPr>
          <w:t>19א</w:t>
        </w:r>
      </w:hyperlink>
      <w:r>
        <w:rPr>
          <w:rFonts w:ascii="David" w:eastAsia="David" w:hAnsi="David" w:cs="David"/>
          <w:sz w:val="24"/>
          <w:szCs w:val="24"/>
          <w:rtl/>
        </w:rPr>
        <w:t xml:space="preserve"> לפקודת הסמים</w:t>
      </w:r>
      <w:r>
        <w:rPr>
          <w:rFonts w:ascii="David" w:hAnsi="David" w:cs="David"/>
          <w:sz w:val="24"/>
          <w:szCs w:val="24"/>
          <w:rtl/>
        </w:rPr>
        <w:t xml:space="preserve"> (3 עבירות). </w:t>
      </w:r>
    </w:p>
    <w:p w14:paraId="0D336D84" w14:textId="77777777" w:rsidR="005C5A70" w:rsidRDefault="005C5A70" w:rsidP="005C5A70">
      <w:pPr>
        <w:pStyle w:val="aa"/>
        <w:spacing w:line="360" w:lineRule="auto"/>
        <w:ind w:left="360"/>
        <w:jc w:val="both"/>
        <w:rPr>
          <w:rFonts w:ascii="David" w:hAnsi="David" w:cs="David"/>
          <w:sz w:val="24"/>
          <w:szCs w:val="24"/>
        </w:rPr>
      </w:pPr>
      <w:bookmarkStart w:id="7" w:name="ABSTRACT_END"/>
      <w:bookmarkEnd w:id="7"/>
    </w:p>
    <w:p w14:paraId="08FD1C9A" w14:textId="77777777" w:rsidR="005C5A70" w:rsidRDefault="005C5A70" w:rsidP="005C5A7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על פי עובדות כתב האישום המתוקן, במועדים הרלוונטיים לכתב האישום התגורר הנאשם במבנה ארעי סמוך לדרך מצרים באילת (להלן: מגורי הנאשם). כתב האישום מספר כי בין הנאשם לבין אלינה טימופייב (להלן: טימופייב) ישנה הכרות ושררו ביניהם יחסי ידידות. עוד </w:t>
      </w:r>
      <w:r>
        <w:rPr>
          <w:rFonts w:ascii="David" w:hAnsi="David" w:cs="David"/>
          <w:sz w:val="24"/>
          <w:szCs w:val="24"/>
          <w:rtl/>
        </w:rPr>
        <w:lastRenderedPageBreak/>
        <w:t>ביאר כתב האישום כי בין טימופייב לבין אנסטסיה אילין (להלן: אילין) ישנה היכרות ושררו בין שתיהן יחסי חברות (להלן: אילין).  כתב האישום תאר בנוסף כי בין הנאשם לבין שרון ברילנט (ברילנט) ישנה היכרות מזה כ- 17 שנים על רקע מקום עבודתם המשותף.</w:t>
      </w:r>
    </w:p>
    <w:p w14:paraId="713EE389" w14:textId="77777777" w:rsidR="005C5A70" w:rsidRDefault="005C5A70" w:rsidP="005C5A70">
      <w:pPr>
        <w:pStyle w:val="aa"/>
        <w:rPr>
          <w:rFonts w:ascii="David" w:hAnsi="David" w:cs="David"/>
          <w:sz w:val="24"/>
          <w:szCs w:val="24"/>
        </w:rPr>
      </w:pPr>
    </w:p>
    <w:p w14:paraId="14ABE354"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הראשון</w:t>
      </w:r>
      <w:r>
        <w:rPr>
          <w:rFonts w:ascii="David" w:hAnsi="David" w:cs="David"/>
          <w:sz w:val="24"/>
          <w:szCs w:val="24"/>
          <w:rtl/>
        </w:rPr>
        <w:t>, ביום 18.7.2022 בשעה 18:39 לערך, החזיק הנאשם במגוריו סם מסוכן מסוג חשיש במשקל 36.35 גרם נטו, וסם מסוכן מסוג קוקאין במשקל 8 גרם נטו. עוד החזיק הנאשם כסף מזומן בסך 14,570 ₪, טלפון נייד באמצעותו סחר בסמים מסוכנים, ומשקל דיגיטלי.</w:t>
      </w:r>
      <w:r>
        <w:rPr>
          <w:rFonts w:ascii="David" w:hAnsi="David"/>
          <w:rtl/>
        </w:rPr>
        <w:t xml:space="preserve">  </w:t>
      </w:r>
    </w:p>
    <w:p w14:paraId="213CB801" w14:textId="77777777" w:rsidR="005C5A70" w:rsidRPr="005C5A70" w:rsidRDefault="005C5A70" w:rsidP="005C5A70">
      <w:pPr>
        <w:pStyle w:val="aa"/>
        <w:rPr>
          <w:rFonts w:ascii="David" w:hAnsi="David"/>
        </w:rPr>
      </w:pPr>
    </w:p>
    <w:p w14:paraId="316BB177"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השני</w:t>
      </w:r>
      <w:r>
        <w:rPr>
          <w:rFonts w:ascii="David" w:hAnsi="David" w:cs="David"/>
          <w:sz w:val="24"/>
          <w:szCs w:val="24"/>
          <w:rtl/>
        </w:rPr>
        <w:t>, החזיק הנאשם, במועד המתואר לעיל, גרם אחד שם סם מסוכן מסוג קוקאין; את הסם המסוכן צרכה אילין יחד עם הנאשם בתוך מבנה סמוך, שם נרדמה מיד לאחר שנטלה תרופות שהיו בחזקתה, עד אשר ניגשו שוטרים למקום והעירו אותה משנתה.</w:t>
      </w:r>
    </w:p>
    <w:p w14:paraId="0B83F76D" w14:textId="77777777" w:rsidR="005C5A70" w:rsidRDefault="005C5A70" w:rsidP="005C5A70">
      <w:pPr>
        <w:spacing w:line="360" w:lineRule="auto"/>
        <w:ind w:left="360"/>
        <w:jc w:val="both"/>
        <w:rPr>
          <w:rFonts w:ascii="David" w:hAnsi="David"/>
          <w:rtl/>
        </w:rPr>
      </w:pPr>
      <w:r>
        <w:rPr>
          <w:rFonts w:ascii="David" w:hAnsi="David"/>
          <w:rtl/>
        </w:rPr>
        <w:t xml:space="preserve">על פי עובדות </w:t>
      </w:r>
      <w:r>
        <w:rPr>
          <w:rFonts w:ascii="David" w:hAnsi="David"/>
          <w:b/>
          <w:bCs/>
          <w:rtl/>
        </w:rPr>
        <w:t xml:space="preserve">האישום השלישי, </w:t>
      </w:r>
      <w:r>
        <w:rPr>
          <w:rFonts w:ascii="David" w:hAnsi="David"/>
          <w:rtl/>
        </w:rPr>
        <w:t xml:space="preserve">ביום 10.2.2022 בשעה 13:46 התקשרה טימופייב אל הנאשם וביקשה לרכוש ממנו סם מסוכן: "אתה יכול להביא מאה לסבן דייז?" הנאשם השיב לה כי יגיע תוך 10 דקות. </w:t>
      </w:r>
    </w:p>
    <w:p w14:paraId="60B7D83A" w14:textId="77777777" w:rsidR="005C5A70" w:rsidRDefault="005C5A70" w:rsidP="005C5A70">
      <w:pPr>
        <w:spacing w:line="360" w:lineRule="auto"/>
        <w:ind w:left="360"/>
        <w:jc w:val="both"/>
        <w:rPr>
          <w:rFonts w:ascii="David" w:hAnsi="David"/>
          <w:rtl/>
        </w:rPr>
      </w:pPr>
    </w:p>
    <w:p w14:paraId="07EF1BCA" w14:textId="77777777" w:rsidR="005C5A70" w:rsidRDefault="005C5A70" w:rsidP="005C5A70">
      <w:pPr>
        <w:spacing w:line="360" w:lineRule="auto"/>
        <w:ind w:left="360"/>
        <w:jc w:val="both"/>
        <w:rPr>
          <w:rFonts w:ascii="David" w:hAnsi="David"/>
          <w:rtl/>
        </w:rPr>
      </w:pPr>
      <w:r>
        <w:rPr>
          <w:rFonts w:ascii="David" w:hAnsi="David"/>
          <w:rtl/>
        </w:rPr>
        <w:t xml:space="preserve">בהמשך, סמוך לשיחה האמורה, במינימרקט </w:t>
      </w:r>
      <w:r>
        <w:rPr>
          <w:rFonts w:ascii="David" w:hAnsi="David"/>
        </w:rPr>
        <w:t>Seven Days</w:t>
      </w:r>
      <w:r>
        <w:rPr>
          <w:rFonts w:ascii="David" w:hAnsi="David"/>
          <w:rtl/>
        </w:rPr>
        <w:t xml:space="preserve"> באילת, מכר הנאשם לטימופייב סם מסוכן מסוג קנבוס במשקל שאינו עולה על גרמים בודדים, בתמורה ל- 100 ₪. </w:t>
      </w:r>
    </w:p>
    <w:p w14:paraId="7B09CB60" w14:textId="77777777" w:rsidR="005C5A70" w:rsidRDefault="005C5A70" w:rsidP="005C5A70">
      <w:pPr>
        <w:spacing w:line="360" w:lineRule="auto"/>
        <w:ind w:left="360"/>
        <w:jc w:val="both"/>
        <w:rPr>
          <w:rFonts w:ascii="David" w:hAnsi="David"/>
          <w:rtl/>
        </w:rPr>
      </w:pPr>
    </w:p>
    <w:p w14:paraId="41CC2E84" w14:textId="77777777" w:rsidR="005C5A70" w:rsidRDefault="005C5A70" w:rsidP="005C5A70">
      <w:pPr>
        <w:spacing w:line="360" w:lineRule="auto"/>
        <w:ind w:left="360"/>
        <w:jc w:val="both"/>
        <w:rPr>
          <w:rFonts w:ascii="David" w:hAnsi="David"/>
          <w:rtl/>
        </w:rPr>
      </w:pPr>
      <w:r>
        <w:rPr>
          <w:rFonts w:ascii="David" w:hAnsi="David"/>
          <w:rtl/>
        </w:rPr>
        <w:t xml:space="preserve">על פי עובדות </w:t>
      </w:r>
      <w:r>
        <w:rPr>
          <w:rFonts w:ascii="David" w:hAnsi="David"/>
          <w:b/>
          <w:bCs/>
          <w:rtl/>
        </w:rPr>
        <w:t>האישום הרביעי</w:t>
      </w:r>
      <w:r>
        <w:rPr>
          <w:rFonts w:ascii="David" w:hAnsi="David"/>
          <w:rtl/>
        </w:rPr>
        <w:t xml:space="preserve">, ביום 21.6.2022 בשעה 20:21 התקשר ברילנט אל הנאשם וביקש לרכוש ממנו סם מסוכן מסוג קנבוס במשקל שאינו עולה על גרמים בודדים בתמורה לסך של 150 ₪ : "שייקה שניה אחי"; "יופי תקשיב יש סיכוי שאתה עובר אליי"; "סבבה אבל יש לי אחד וחצי לא שתיים"; כאשר התכוון כי יש ברשותו כסף מזומן סך של 200 ₪ אשר יכול הוא לשלם בתמורה לסם המסוכן. בתגובה השיב הנאשם כי הוא יגיע אליו בתוך 20 דקות ממועד שיחתם. </w:t>
      </w:r>
    </w:p>
    <w:p w14:paraId="5121558B" w14:textId="77777777" w:rsidR="005C5A70" w:rsidRDefault="005C5A70" w:rsidP="005C5A70">
      <w:pPr>
        <w:spacing w:line="360" w:lineRule="auto"/>
        <w:ind w:left="360"/>
        <w:jc w:val="both"/>
        <w:rPr>
          <w:rFonts w:ascii="David" w:hAnsi="David"/>
          <w:rtl/>
        </w:rPr>
      </w:pPr>
    </w:p>
    <w:p w14:paraId="06DB9C4D" w14:textId="77777777" w:rsidR="005C5A70" w:rsidRDefault="005C5A70" w:rsidP="005C5A70">
      <w:pPr>
        <w:spacing w:line="360" w:lineRule="auto"/>
        <w:ind w:left="360"/>
        <w:jc w:val="both"/>
        <w:rPr>
          <w:rFonts w:ascii="David" w:hAnsi="David"/>
          <w:rtl/>
        </w:rPr>
      </w:pPr>
      <w:r>
        <w:rPr>
          <w:rFonts w:ascii="David" w:hAnsi="David"/>
          <w:rtl/>
        </w:rPr>
        <w:t>בסמוך לתיאום המתואר לעיל,  הגיע הנאשם לביתו של ברילנט ומכר לו סם מסוכן מסוג קנבוס במשקל שאינו עולה על גרמים בודדים, בתמורה לסך של 150 ₪.</w:t>
      </w:r>
    </w:p>
    <w:p w14:paraId="3207F18B" w14:textId="77777777" w:rsidR="005C5A70" w:rsidRDefault="005C5A70" w:rsidP="005C5A70">
      <w:pPr>
        <w:spacing w:line="360" w:lineRule="auto"/>
        <w:ind w:left="360"/>
        <w:jc w:val="both"/>
        <w:rPr>
          <w:rFonts w:ascii="David" w:hAnsi="David"/>
          <w:rtl/>
        </w:rPr>
      </w:pPr>
    </w:p>
    <w:p w14:paraId="75CA247B" w14:textId="77777777" w:rsidR="005C5A70" w:rsidRDefault="005C5A70" w:rsidP="005C5A70">
      <w:pPr>
        <w:spacing w:line="360" w:lineRule="auto"/>
        <w:ind w:left="360"/>
        <w:jc w:val="both"/>
        <w:rPr>
          <w:rFonts w:ascii="David" w:hAnsi="David"/>
          <w:rtl/>
        </w:rPr>
      </w:pPr>
      <w:r>
        <w:rPr>
          <w:rFonts w:ascii="David" w:hAnsi="David"/>
          <w:rtl/>
        </w:rPr>
        <w:t xml:space="preserve">עוד מתאר האישום הרביעי, כי ביום 21.6.2022 בשעה 14:14 לערך, התקשר ברילנט אל הנאשם וביקש לרכוש ממנו סם מסוכן הנאשם השיב: "טוב נשמה אני מחכה לבן אדם אם אתה רוצה תבוא מאחורי הדלת אני אתן לך". </w:t>
      </w:r>
    </w:p>
    <w:p w14:paraId="66E66B5B" w14:textId="77777777" w:rsidR="005C5A70" w:rsidRDefault="005C5A70" w:rsidP="005C5A70">
      <w:pPr>
        <w:spacing w:line="360" w:lineRule="auto"/>
        <w:ind w:left="360"/>
        <w:jc w:val="both"/>
        <w:rPr>
          <w:rFonts w:ascii="David" w:hAnsi="David"/>
          <w:rtl/>
        </w:rPr>
      </w:pPr>
    </w:p>
    <w:p w14:paraId="30B178D2" w14:textId="77777777" w:rsidR="005C5A70" w:rsidRDefault="005C5A70" w:rsidP="005C5A70">
      <w:pPr>
        <w:spacing w:line="360" w:lineRule="auto"/>
        <w:ind w:left="360"/>
        <w:jc w:val="both"/>
        <w:rPr>
          <w:rFonts w:ascii="David" w:hAnsi="David"/>
          <w:rtl/>
        </w:rPr>
      </w:pPr>
      <w:r>
        <w:rPr>
          <w:rFonts w:ascii="David" w:hAnsi="David"/>
          <w:rtl/>
        </w:rPr>
        <w:t xml:space="preserve">בסמוך לכך, במגורי הנאשם, מכר הנאשם לברילנט סם מסוכן מסוג קנבוס במשקל שאינו עולה על גרמים בודדים, בתמורה לסך של 150 ₪. </w:t>
      </w:r>
    </w:p>
    <w:p w14:paraId="2374E64F" w14:textId="77777777" w:rsidR="005C5A70" w:rsidRDefault="005C5A70" w:rsidP="005C5A70">
      <w:pPr>
        <w:pStyle w:val="aa"/>
        <w:rPr>
          <w:rFonts w:ascii="David" w:hAnsi="David" w:cs="David"/>
          <w:sz w:val="24"/>
          <w:szCs w:val="24"/>
        </w:rPr>
      </w:pPr>
    </w:p>
    <w:p w14:paraId="56B42C41"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lastRenderedPageBreak/>
        <w:t xml:space="preserve">ביום 30.10.2022 הציגו הצדדים הסדר טיעון, במסגרתו הודה הנאשם בכתב האישום המתוקן, והורשע בעבירות המפורטות לעיל. ההסדר לא כלל הסכמה עונשית, והנאשם הופנה, בהסכמת הצדדים, לשירות המבחן על מנת שייערך תסקיר בעניינו. </w:t>
      </w:r>
    </w:p>
    <w:p w14:paraId="5912A55C" w14:textId="77777777" w:rsidR="005C5A70" w:rsidRDefault="005C5A70" w:rsidP="005C5A70">
      <w:pPr>
        <w:pStyle w:val="aa"/>
        <w:spacing w:line="360" w:lineRule="auto"/>
        <w:ind w:left="360"/>
        <w:jc w:val="both"/>
        <w:rPr>
          <w:rFonts w:ascii="David" w:hAnsi="David" w:cs="David"/>
          <w:sz w:val="24"/>
          <w:szCs w:val="24"/>
        </w:rPr>
      </w:pPr>
    </w:p>
    <w:p w14:paraId="3B5E9BE7" w14:textId="77777777" w:rsidR="005C5A70" w:rsidRDefault="005C5A70" w:rsidP="005C5A7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בדיון שהתקיים ביום 22.11.2022, ובהמלצת שירות המבחן, שוחרר הנאשם בתנאים מגבילים לקהילה טיפולית "רוח במדבר" כחלופת מעצר. </w:t>
      </w:r>
    </w:p>
    <w:p w14:paraId="378FD2D2" w14:textId="77777777" w:rsidR="005C5A70" w:rsidRDefault="005C5A70" w:rsidP="005C5A70">
      <w:pPr>
        <w:pStyle w:val="aa"/>
        <w:rPr>
          <w:rFonts w:ascii="David" w:hAnsi="David" w:cs="David"/>
          <w:sz w:val="24"/>
          <w:szCs w:val="24"/>
        </w:rPr>
      </w:pPr>
    </w:p>
    <w:p w14:paraId="23979D54"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בחלוף כעשרה חודשים, בדיון שהתקיים ביום 28.9.2023 הוסרו התנאים המגבילים, הנאשם שולב ב"בית חוסן" באילת, והטיעונים לעונש נדחו לטובת קבלת תסקיר משלים מטעם שירות המבחן.</w:t>
      </w:r>
    </w:p>
    <w:p w14:paraId="0A7B6D98" w14:textId="77777777" w:rsidR="005C5A70" w:rsidRDefault="005C5A70" w:rsidP="005C5A70">
      <w:pPr>
        <w:pStyle w:val="aa"/>
        <w:rPr>
          <w:rFonts w:ascii="David" w:hAnsi="David" w:cs="David"/>
          <w:sz w:val="24"/>
          <w:szCs w:val="24"/>
        </w:rPr>
      </w:pPr>
    </w:p>
    <w:p w14:paraId="3C281E09"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בדיון שהתקיים ביום 18.2.2024 טענו הצדדים לעונש.</w:t>
      </w:r>
    </w:p>
    <w:p w14:paraId="6A15137D" w14:textId="77777777" w:rsidR="005C5A70" w:rsidRDefault="005C5A70" w:rsidP="005C5A70">
      <w:pPr>
        <w:spacing w:line="360" w:lineRule="auto"/>
        <w:jc w:val="both"/>
        <w:rPr>
          <w:rFonts w:ascii="David" w:hAnsi="David"/>
        </w:rPr>
      </w:pPr>
    </w:p>
    <w:p w14:paraId="4599828B" w14:textId="77777777" w:rsidR="005C5A70" w:rsidRDefault="005C5A70" w:rsidP="005C5A70">
      <w:pPr>
        <w:spacing w:line="360" w:lineRule="auto"/>
        <w:jc w:val="both"/>
        <w:rPr>
          <w:rFonts w:ascii="David" w:hAnsi="David"/>
          <w:u w:val="single"/>
        </w:rPr>
      </w:pPr>
      <w:r>
        <w:rPr>
          <w:rFonts w:ascii="David" w:hAnsi="David"/>
          <w:u w:val="single"/>
          <w:rtl/>
        </w:rPr>
        <w:t>תסקירי שירות המבחן</w:t>
      </w:r>
    </w:p>
    <w:p w14:paraId="2D31EA0F" w14:textId="77777777" w:rsidR="005C5A70" w:rsidRDefault="005C5A70" w:rsidP="005C5A70">
      <w:pPr>
        <w:pStyle w:val="aa"/>
        <w:spacing w:line="360" w:lineRule="auto"/>
        <w:ind w:left="360"/>
        <w:jc w:val="both"/>
        <w:rPr>
          <w:rFonts w:ascii="David" w:hAnsi="David" w:cs="David"/>
          <w:sz w:val="24"/>
          <w:szCs w:val="24"/>
          <w:u w:val="single"/>
          <w:rtl/>
        </w:rPr>
      </w:pPr>
    </w:p>
    <w:p w14:paraId="6EED19F0"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בעניינו של הנאשם הוגשו חמישה תסקירים מטעם שירות המבחן. בתסקיר מיום </w:t>
      </w:r>
      <w:r>
        <w:rPr>
          <w:rFonts w:ascii="David" w:hAnsi="David" w:cs="David"/>
          <w:b/>
          <w:bCs/>
          <w:sz w:val="24"/>
          <w:szCs w:val="24"/>
          <w:rtl/>
        </w:rPr>
        <w:t xml:space="preserve">3.11.2022 </w:t>
      </w:r>
      <w:r>
        <w:rPr>
          <w:rFonts w:ascii="David" w:hAnsi="David" w:cs="David"/>
          <w:sz w:val="24"/>
          <w:szCs w:val="24"/>
          <w:rtl/>
        </w:rPr>
        <w:t xml:space="preserve">(להלן: התסקיר הראשון), פרט שירות המבחן את נתוניו האישיים של הנאשם, וכן את העובדה כי הנאשם מצוי בעיצומם של תהליכים לשילובו בקהילה טיפולית כחלופת מעצר. </w:t>
      </w:r>
    </w:p>
    <w:p w14:paraId="1908F9E3" w14:textId="77777777" w:rsidR="005C5A70" w:rsidRDefault="005C5A70" w:rsidP="005C5A70">
      <w:pPr>
        <w:pStyle w:val="aa"/>
        <w:spacing w:line="360" w:lineRule="auto"/>
        <w:ind w:left="360"/>
        <w:jc w:val="both"/>
        <w:rPr>
          <w:rFonts w:ascii="David" w:hAnsi="David" w:cs="David"/>
          <w:sz w:val="24"/>
          <w:szCs w:val="24"/>
        </w:rPr>
      </w:pPr>
    </w:p>
    <w:p w14:paraId="086729F2" w14:textId="77777777" w:rsidR="005C5A70" w:rsidRDefault="005C5A70" w:rsidP="005C5A70">
      <w:pPr>
        <w:pStyle w:val="aa"/>
        <w:spacing w:line="360" w:lineRule="auto"/>
        <w:ind w:left="360"/>
        <w:jc w:val="both"/>
        <w:rPr>
          <w:rFonts w:ascii="David" w:hAnsi="David" w:cs="David"/>
          <w:sz w:val="24"/>
          <w:szCs w:val="24"/>
        </w:rPr>
      </w:pPr>
      <w:r>
        <w:rPr>
          <w:rFonts w:ascii="David" w:hAnsi="David" w:cs="David"/>
          <w:sz w:val="24"/>
          <w:szCs w:val="24"/>
          <w:rtl/>
        </w:rPr>
        <w:t xml:space="preserve">בתסקיר מיום </w:t>
      </w:r>
      <w:r>
        <w:rPr>
          <w:rFonts w:ascii="David" w:hAnsi="David" w:cs="David"/>
          <w:b/>
          <w:bCs/>
          <w:sz w:val="24"/>
          <w:szCs w:val="24"/>
          <w:rtl/>
        </w:rPr>
        <w:t xml:space="preserve">13.11.2022 </w:t>
      </w:r>
      <w:r>
        <w:rPr>
          <w:rFonts w:ascii="David" w:hAnsi="David" w:cs="David"/>
          <w:sz w:val="24"/>
          <w:szCs w:val="24"/>
          <w:rtl/>
        </w:rPr>
        <w:t xml:space="preserve">(להלן: התסקיר השני), לאור המוטיבציה שהביע הנאשם, המליץ שירות המבחן על שחרורו לקהילה טיפולית "רוח במדבר" (ואכן, הנאשם שוחרר ושולב בקהילה הטיפולית).  </w:t>
      </w:r>
    </w:p>
    <w:p w14:paraId="78C0F064" w14:textId="77777777" w:rsidR="005C5A70" w:rsidRDefault="005C5A70" w:rsidP="005C5A70">
      <w:pPr>
        <w:pStyle w:val="aa"/>
        <w:spacing w:line="360" w:lineRule="auto"/>
        <w:ind w:left="360"/>
        <w:jc w:val="both"/>
        <w:rPr>
          <w:rFonts w:ascii="David" w:hAnsi="David" w:cs="David"/>
          <w:sz w:val="24"/>
          <w:szCs w:val="24"/>
          <w:rtl/>
        </w:rPr>
      </w:pPr>
    </w:p>
    <w:p w14:paraId="1CD33779" w14:textId="77777777" w:rsidR="005C5A70" w:rsidRPr="005C5A70" w:rsidRDefault="005C5A70" w:rsidP="005C5A70">
      <w:pPr>
        <w:pStyle w:val="aa"/>
        <w:spacing w:line="360" w:lineRule="auto"/>
        <w:ind w:left="360"/>
        <w:jc w:val="both"/>
        <w:rPr>
          <w:rFonts w:ascii="David" w:hAnsi="David"/>
        </w:rPr>
      </w:pPr>
      <w:r>
        <w:rPr>
          <w:rFonts w:ascii="David" w:hAnsi="David" w:cs="David"/>
          <w:sz w:val="24"/>
          <w:szCs w:val="24"/>
          <w:rtl/>
        </w:rPr>
        <w:t xml:space="preserve">בתסקיר מיום </w:t>
      </w:r>
      <w:r>
        <w:rPr>
          <w:rFonts w:ascii="David" w:hAnsi="David" w:cs="David"/>
          <w:b/>
          <w:bCs/>
          <w:sz w:val="24"/>
          <w:szCs w:val="24"/>
          <w:rtl/>
        </w:rPr>
        <w:t>28.5.2023</w:t>
      </w:r>
      <w:r>
        <w:rPr>
          <w:rFonts w:ascii="David" w:hAnsi="David" w:cs="David"/>
          <w:sz w:val="24"/>
          <w:szCs w:val="24"/>
          <w:rtl/>
        </w:rPr>
        <w:t xml:space="preserve"> (להלן: התסקיר השלישי), דווח שירות המבחן כי הנאשם השתלב ביום </w:t>
      </w:r>
      <w:r>
        <w:rPr>
          <w:rFonts w:ascii="David" w:hAnsi="David" w:cs="David"/>
          <w:b/>
          <w:bCs/>
          <w:sz w:val="24"/>
          <w:szCs w:val="24"/>
          <w:rtl/>
        </w:rPr>
        <w:t>24.11.2022</w:t>
      </w:r>
      <w:r>
        <w:rPr>
          <w:rFonts w:ascii="David" w:hAnsi="David" w:cs="David"/>
          <w:sz w:val="24"/>
          <w:szCs w:val="24"/>
          <w:rtl/>
        </w:rPr>
        <w:t xml:space="preserve"> בקהילה הטיפולית באופן חיובי, וכי שהותו בקהילה משמעותית עבורו. הנאשם גילה מוטיבציה ורצון כן לשינוי בחייו, ולפיכך המליץ שירות המבחן על דחייה נוספת של הטיעונים לעונש, על מנת שהנאשם יוכל להמשיך את הטיפול בקהילה.  </w:t>
      </w:r>
    </w:p>
    <w:p w14:paraId="6E03DC45" w14:textId="77777777" w:rsidR="005C5A70" w:rsidRDefault="005C5A70" w:rsidP="005C5A70">
      <w:pPr>
        <w:pStyle w:val="aa"/>
        <w:spacing w:line="360" w:lineRule="auto"/>
        <w:ind w:left="360"/>
        <w:jc w:val="both"/>
        <w:rPr>
          <w:rFonts w:ascii="David" w:hAnsi="David"/>
          <w:rtl/>
        </w:rPr>
      </w:pPr>
    </w:p>
    <w:p w14:paraId="25262F91"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בתסקיר מיום </w:t>
      </w:r>
      <w:r>
        <w:rPr>
          <w:rFonts w:ascii="David" w:hAnsi="David" w:cs="David"/>
          <w:b/>
          <w:bCs/>
          <w:sz w:val="24"/>
          <w:szCs w:val="24"/>
          <w:rtl/>
        </w:rPr>
        <w:t>29.9.2023</w:t>
      </w:r>
      <w:r>
        <w:rPr>
          <w:rFonts w:ascii="David" w:hAnsi="David" w:cs="David"/>
          <w:sz w:val="24"/>
          <w:szCs w:val="24"/>
          <w:rtl/>
        </w:rPr>
        <w:t xml:space="preserve"> (להלן: התסקיר הרביעי), פרט שירות המבחן כי הנאשם ערך מאמצים כבירים לעמוד בדרישות הטיפול בקהילה הטיפולית משך כ- 10 חודשים ועמד במרבית התנאים ודרישות הקהילה. עוד ציין שירות המבחן כי למרות שהוחלט להוציא את הנאשם מהקהילה מספר ימים טרם המועד המתוכנן, בשל חריגה מכללי הקהילה, הומלץ על הסרת התנאים המגבילים שהוטלו עליו, על מנת שיוכל להשתלב בטיפול המשכי ולשקם את חייו. שירות המבחן המליץ על  דחייה נוספת של הטיעונים לעונש על מנת לשלב את הנאשם להמשך טיפול מחוץ לקהילה במסגרת "בית חוסן" בעיר אילת, ועל מנת לאפשר לו להשתלב בעבודה. </w:t>
      </w:r>
    </w:p>
    <w:p w14:paraId="44FB81C0" w14:textId="77777777" w:rsidR="005C5A70" w:rsidRDefault="005C5A70" w:rsidP="005C5A70">
      <w:pPr>
        <w:pStyle w:val="aa"/>
        <w:spacing w:line="360" w:lineRule="auto"/>
        <w:ind w:left="360"/>
        <w:jc w:val="both"/>
        <w:rPr>
          <w:rFonts w:ascii="David" w:hAnsi="David" w:cs="David"/>
          <w:sz w:val="24"/>
          <w:szCs w:val="24"/>
          <w:rtl/>
        </w:rPr>
      </w:pPr>
    </w:p>
    <w:p w14:paraId="7FAD85CD" w14:textId="77777777" w:rsidR="005C5A70" w:rsidRDefault="005C5A70" w:rsidP="005C5A70">
      <w:pPr>
        <w:pStyle w:val="aa"/>
        <w:spacing w:line="360" w:lineRule="auto"/>
        <w:ind w:left="360"/>
        <w:jc w:val="both"/>
        <w:rPr>
          <w:rFonts w:ascii="David" w:hAnsi="David" w:cs="David"/>
          <w:sz w:val="24"/>
          <w:szCs w:val="24"/>
          <w:u w:val="single"/>
        </w:rPr>
      </w:pPr>
      <w:r>
        <w:rPr>
          <w:rFonts w:ascii="David" w:hAnsi="David" w:cs="David"/>
          <w:sz w:val="24"/>
          <w:szCs w:val="24"/>
          <w:rtl/>
        </w:rPr>
        <w:t xml:space="preserve">בתסקיר מיום </w:t>
      </w:r>
      <w:r>
        <w:rPr>
          <w:rFonts w:ascii="David" w:hAnsi="David" w:cs="David"/>
          <w:b/>
          <w:bCs/>
          <w:sz w:val="24"/>
          <w:szCs w:val="24"/>
          <w:rtl/>
        </w:rPr>
        <w:t>22.1.2024</w:t>
      </w:r>
      <w:r>
        <w:rPr>
          <w:rFonts w:ascii="David" w:hAnsi="David" w:cs="David"/>
          <w:sz w:val="24"/>
          <w:szCs w:val="24"/>
          <w:rtl/>
        </w:rPr>
        <w:t xml:space="preserve"> (להלן: התסקיר החמישי), פרט שירות המבחן כי במהלך תקופת הדחיה, שולב הנאשם בטיפול במסגרת "בית חוסן", מסר בדיקות נקיות משרידי סם, והגיע בהתמדה למפגשים הפרטניים והקבוצתיים. לאור גילו המבוגר (הנאשם קרוב לגיל 70), והמאמצים הרבים שערך במטרה לשקם את חייו, אשר נשאו פרי (הימנעותו מצריכת סמים כשנה וחצי), המליץ שירות המבחן על העדפת הפן השיקומי בעניינו של הנאשם, בדמות צו מבחן למשך 6 חודשים, צו של"צ בהיקף של 100 שעות, מאסר מותנה והתחייבות כספית להימנע מעבירה. בשל מצבו הכלכלי של הנאשם, המליץ שירות המבחן להימנע מהטלת קנס כספי. </w:t>
      </w:r>
    </w:p>
    <w:p w14:paraId="3EF30E9F" w14:textId="77777777" w:rsidR="005C5A70" w:rsidRDefault="005C5A70" w:rsidP="005C5A70">
      <w:pPr>
        <w:pStyle w:val="aa"/>
        <w:spacing w:line="360" w:lineRule="auto"/>
        <w:ind w:left="360"/>
        <w:jc w:val="both"/>
        <w:rPr>
          <w:rFonts w:ascii="David" w:hAnsi="David" w:cs="David"/>
          <w:sz w:val="24"/>
          <w:szCs w:val="24"/>
          <w:rtl/>
        </w:rPr>
      </w:pPr>
    </w:p>
    <w:p w14:paraId="0D84BB10" w14:textId="77777777" w:rsidR="005C5A70" w:rsidRDefault="005C5A70" w:rsidP="005C5A70">
      <w:pPr>
        <w:spacing w:line="360" w:lineRule="auto"/>
        <w:jc w:val="both"/>
        <w:rPr>
          <w:rFonts w:ascii="David" w:hAnsi="David"/>
          <w:u w:val="single"/>
          <w:rtl/>
        </w:rPr>
      </w:pPr>
      <w:r>
        <w:rPr>
          <w:rFonts w:ascii="David" w:hAnsi="David"/>
          <w:u w:val="single"/>
          <w:rtl/>
        </w:rPr>
        <w:t>טיעוני הצדדים לעונש</w:t>
      </w:r>
    </w:p>
    <w:p w14:paraId="38090B5C" w14:textId="77777777" w:rsidR="005C5A70" w:rsidRDefault="005C5A70" w:rsidP="005C5A70">
      <w:pPr>
        <w:pStyle w:val="aa"/>
        <w:spacing w:line="360" w:lineRule="auto"/>
        <w:ind w:left="360"/>
        <w:jc w:val="both"/>
        <w:rPr>
          <w:rFonts w:ascii="David" w:hAnsi="David" w:cs="David"/>
          <w:sz w:val="24"/>
          <w:szCs w:val="24"/>
          <w:u w:val="single"/>
          <w:rtl/>
        </w:rPr>
      </w:pPr>
    </w:p>
    <w:p w14:paraId="4E05AB40"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ביקשה לקבוע מתחם ענישה נפרד לכל אישום, בין היתר בשל שוני בזהות רוכשי הסמים ופערי הזמנים בין האירועים. ביחס לאישום הראשון שעניינו החזקת סם שלא לצריכה עצמית, ביקשה התביעה לקבוע מתחם הנע בין 18 ל- 38 חודשי מאסר; ביחס לאישום השני, אף הוא בעניין החזקת סם שלא לצריכה עצמית תוך עשיית שימוש בו בצוותא עם אחרת, ביקשה לקבוע מתחם הנע בין 8 ל- 18 חודשי מאסר; ביחס לאישום השלישי, שעניינו סחר בסם בהזדמנות אחת,  ביקשה לקבוע מתחם הנע בין 4 ל- 12 חודשי מאסר; ביחס לאישום הרביעי, הכולל שני מקרים של סחר בסם, ביקשה לקבוע מתחם הנע בין 10 ל- 24 חודשי מאסר. אם יקבע בית המשפט כי מדובר במתחם אחד, ביקשה המאשימה לקבעו בין  36 ועד 54 חודשי מאסר בפועל.   </w:t>
      </w:r>
    </w:p>
    <w:p w14:paraId="4A87A67E" w14:textId="77777777" w:rsidR="005C5A70" w:rsidRDefault="005C5A70" w:rsidP="005C5A70">
      <w:pPr>
        <w:pStyle w:val="aa"/>
        <w:spacing w:line="360" w:lineRule="auto"/>
        <w:ind w:left="360"/>
        <w:jc w:val="both"/>
        <w:rPr>
          <w:rFonts w:ascii="David" w:hAnsi="David" w:cs="David"/>
          <w:sz w:val="24"/>
          <w:szCs w:val="24"/>
        </w:rPr>
      </w:pPr>
    </w:p>
    <w:p w14:paraId="510B0D5C"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אשר לעונשו של הנאשם, עתרה המאשימה למקמו ברף הבינוני- גבוה של המתחם ולהשית עליו בנוסף למאסר בפועל, גם מאסרים מותנים משמעותיים, קנס כספי, התחייבות משמעותית, להכריז על הנאשם סוחר סמים ולחלט את הכסף והטלפונים שנתפסו בחזקתו.</w:t>
      </w:r>
    </w:p>
    <w:p w14:paraId="300C573E" w14:textId="77777777" w:rsidR="005C5A70" w:rsidRDefault="005C5A70" w:rsidP="005C5A70">
      <w:pPr>
        <w:pStyle w:val="aa"/>
        <w:spacing w:line="360" w:lineRule="auto"/>
        <w:ind w:left="360"/>
        <w:jc w:val="both"/>
        <w:rPr>
          <w:rFonts w:ascii="David" w:hAnsi="David" w:cs="David"/>
          <w:sz w:val="24"/>
          <w:szCs w:val="24"/>
        </w:rPr>
      </w:pPr>
    </w:p>
    <w:p w14:paraId="647BB0AD" w14:textId="77777777" w:rsidR="005C5A70" w:rsidRDefault="005C5A70" w:rsidP="005C5A70">
      <w:pPr>
        <w:pStyle w:val="aa"/>
        <w:spacing w:line="360" w:lineRule="auto"/>
        <w:ind w:left="360"/>
        <w:jc w:val="both"/>
        <w:rPr>
          <w:rFonts w:ascii="David" w:hAnsi="David" w:cs="David"/>
          <w:sz w:val="24"/>
          <w:szCs w:val="24"/>
        </w:rPr>
      </w:pPr>
      <w:r>
        <w:rPr>
          <w:rFonts w:ascii="David" w:hAnsi="David" w:cs="David"/>
          <w:sz w:val="24"/>
          <w:szCs w:val="24"/>
          <w:rtl/>
        </w:rPr>
        <w:t xml:space="preserve">המאשימה עמדה על הערכים המוגנים אשר נפגעו כתוצאה ממעשי הנאשם בהם הגנה על שלום הציבור מפני נגע הסמים בהיותו מחולל פשיעה על כל גווניה וכן הגנה על גופם של צרכני הסמים. </w:t>
      </w:r>
    </w:p>
    <w:p w14:paraId="7835BDCD"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לטענת המאשימה, "פגיעת הנאשם בערכים המוגנים לאור סוגי הסמים שנתפסו אצלו, סוגי הסמים בהם ביצע את העבירות, הזמינות, 10-20 דקות הוא מספק את הצורך, כל אלו ממקמים אותו ברף הבינוני גבוה של המתחם".  </w:t>
      </w:r>
    </w:p>
    <w:p w14:paraId="40BF6353" w14:textId="77777777" w:rsidR="005C5A70" w:rsidRDefault="005C5A70" w:rsidP="005C5A70">
      <w:pPr>
        <w:pStyle w:val="aa"/>
        <w:spacing w:line="360" w:lineRule="auto"/>
        <w:ind w:left="360"/>
        <w:jc w:val="both"/>
        <w:rPr>
          <w:rFonts w:ascii="David" w:hAnsi="David" w:cs="David"/>
          <w:sz w:val="24"/>
          <w:szCs w:val="24"/>
          <w:rtl/>
        </w:rPr>
      </w:pPr>
    </w:p>
    <w:p w14:paraId="095238C1"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אדגיש כבר כאן כי סוג הסם והזמינות של הנאשם לביצוע העבירות הן נסיבות הקשורות בביצוע העבירה ועל כן קובעות את מתחם הענישה – </w:t>
      </w:r>
      <w:r>
        <w:rPr>
          <w:rFonts w:ascii="David" w:hAnsi="David" w:cs="David"/>
          <w:b/>
          <w:bCs/>
          <w:sz w:val="24"/>
          <w:szCs w:val="24"/>
          <w:rtl/>
        </w:rPr>
        <w:t>ולא</w:t>
      </w:r>
      <w:r>
        <w:rPr>
          <w:rFonts w:ascii="David" w:hAnsi="David" w:cs="David"/>
          <w:sz w:val="24"/>
          <w:szCs w:val="24"/>
          <w:rtl/>
        </w:rPr>
        <w:t xml:space="preserve"> את מיקום העונש בגדרי המתחם, וזאת בהתאם </w:t>
      </w:r>
      <w:hyperlink r:id="rId21" w:history="1">
        <w:r w:rsidR="00260970" w:rsidRPr="00260970">
          <w:rPr>
            <w:rStyle w:val="Hyperlink"/>
            <w:rFonts w:ascii="David" w:hAnsi="David" w:cs="David"/>
            <w:sz w:val="24"/>
            <w:szCs w:val="24"/>
            <w:rtl/>
          </w:rPr>
          <w:t>לסעיף 40ט</w:t>
        </w:r>
      </w:hyperlink>
      <w:r>
        <w:rPr>
          <w:rFonts w:ascii="David" w:hAnsi="David" w:cs="David"/>
          <w:sz w:val="24"/>
          <w:szCs w:val="24"/>
          <w:rtl/>
        </w:rPr>
        <w:t xml:space="preserve"> ל</w:t>
      </w:r>
      <w:hyperlink r:id="rId22" w:history="1">
        <w:r w:rsidR="00C03D05" w:rsidRPr="00C03D05">
          <w:rPr>
            <w:rFonts w:ascii="David" w:hAnsi="David" w:cs="David"/>
            <w:color w:val="0000FF"/>
            <w:sz w:val="24"/>
            <w:szCs w:val="24"/>
            <w:u w:val="single"/>
            <w:rtl/>
          </w:rPr>
          <w:t>חוק העונשין</w:t>
        </w:r>
      </w:hyperlink>
      <w:r>
        <w:rPr>
          <w:rFonts w:ascii="David" w:hAnsi="David" w:cs="David"/>
          <w:sz w:val="24"/>
          <w:szCs w:val="24"/>
          <w:rtl/>
        </w:rPr>
        <w:t xml:space="preserve">. </w:t>
      </w:r>
    </w:p>
    <w:p w14:paraId="3257F02C" w14:textId="77777777" w:rsidR="005C5A70" w:rsidRDefault="005C5A70" w:rsidP="005C5A70">
      <w:pPr>
        <w:pStyle w:val="aa"/>
        <w:spacing w:line="360" w:lineRule="auto"/>
        <w:ind w:left="360"/>
        <w:jc w:val="both"/>
        <w:rPr>
          <w:rFonts w:ascii="David" w:hAnsi="David" w:cs="David"/>
          <w:sz w:val="24"/>
          <w:szCs w:val="24"/>
          <w:rtl/>
        </w:rPr>
      </w:pPr>
    </w:p>
    <w:p w14:paraId="72A59A54"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עוד טענה המאשימה כי על אף שהנאשם סבל מחסר כלכלי והתגורר במבנה אירעי, החזיק מלאי של סמים וסיפקם לכל דורש. המאשימה הפנתה לעברו הפלילי של הנאשם הכולל 22 הרשעות קודמת כשהאחרונה בהן משנת 2017. </w:t>
      </w:r>
    </w:p>
    <w:p w14:paraId="561E7A41" w14:textId="77777777" w:rsidR="005C5A70" w:rsidRDefault="005C5A70" w:rsidP="005C5A70">
      <w:pPr>
        <w:pStyle w:val="aa"/>
        <w:spacing w:line="360" w:lineRule="auto"/>
        <w:ind w:left="360"/>
        <w:jc w:val="both"/>
        <w:rPr>
          <w:rFonts w:ascii="David" w:hAnsi="David" w:cs="David"/>
          <w:sz w:val="24"/>
          <w:szCs w:val="24"/>
          <w:rtl/>
        </w:rPr>
      </w:pPr>
    </w:p>
    <w:p w14:paraId="6A4505A0"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אשר לאמור בתסקירי שירות המבחן אודות ההליך השיקומי המוצלח אותו עבר הנאשם, טענה המאשימה כי "המנדט שניתן לשירות המבחן הוא לבחון שיקול אחד ויחיד מכל השיקולים שמוטלים על בית המשפט לשקול, שיקולי הרתעה, שיקולי הגמול...". משכך,  עתרה התובעת לגלם את הליך השיקום של הנאשם באמצעות מיקומו במתחם, ולא כסטייה לקולא ממתחם הענישה. </w:t>
      </w:r>
    </w:p>
    <w:p w14:paraId="74F5A82F" w14:textId="77777777" w:rsidR="005C5A70" w:rsidRDefault="005C5A70" w:rsidP="005C5A70">
      <w:pPr>
        <w:spacing w:line="360" w:lineRule="auto"/>
        <w:ind w:firstLine="360"/>
        <w:jc w:val="both"/>
        <w:rPr>
          <w:rFonts w:ascii="David" w:hAnsi="David"/>
        </w:rPr>
      </w:pPr>
      <w:r>
        <w:rPr>
          <w:rFonts w:ascii="David" w:hAnsi="David"/>
          <w:rtl/>
        </w:rPr>
        <w:t xml:space="preserve">התובעת הפנתה לפסיקה מטעמה על מנת לתמוך בעתירתה העונשית. </w:t>
      </w:r>
    </w:p>
    <w:p w14:paraId="0F4203D8" w14:textId="77777777" w:rsidR="005C5A70" w:rsidRDefault="005C5A70" w:rsidP="005C5A70">
      <w:pPr>
        <w:spacing w:line="360" w:lineRule="auto"/>
        <w:jc w:val="both"/>
        <w:rPr>
          <w:rFonts w:ascii="David" w:hAnsi="David"/>
          <w:rtl/>
        </w:rPr>
      </w:pPr>
    </w:p>
    <w:p w14:paraId="729A372E"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טענה כי יש לקבוע מתחם ענישה יחיד לכל האישומים, בהתאם למבחנים שנקבעו במסגרת </w:t>
      </w:r>
      <w:hyperlink r:id="rId23" w:history="1">
        <w:r w:rsidR="00C03D05" w:rsidRPr="00C03D05">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(29.10.2014) (להלן: הלכת ג'אבר),  שכן מדובר במסכת עובדתית אחת; האישום הראשון והשני התרחשו באותו יום והאישומים האחרים ביחס לסחר בסמים אינם במרחק משמעותי מבחינת מועד ביצוע העבירות. </w:t>
      </w:r>
    </w:p>
    <w:p w14:paraId="2143C504" w14:textId="77777777" w:rsidR="005C5A70" w:rsidRDefault="005C5A70" w:rsidP="005C5A70">
      <w:pPr>
        <w:pStyle w:val="aa"/>
        <w:spacing w:line="360" w:lineRule="auto"/>
        <w:ind w:left="360"/>
        <w:jc w:val="both"/>
        <w:rPr>
          <w:rFonts w:ascii="David" w:hAnsi="David" w:cs="David"/>
          <w:sz w:val="24"/>
          <w:szCs w:val="24"/>
        </w:rPr>
      </w:pPr>
    </w:p>
    <w:p w14:paraId="3FE9F41C"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ההגנה עתרה  לקבוע מתחם הנע בין מספר חודשי מאסר לריצוי בדרך של עבודות שירות ועד 12 חודשי מאסר, וביקשה כי בית המשפט יסטה לקולא מהמתחם משיקולי שיקום, בציינה את הזמן בו שהה הנאשם במעצר (למעלה מארבעה חודשים) ושהותו הממושכת והמוצלחת בקהילה טיפולית סגורה. </w:t>
      </w:r>
    </w:p>
    <w:p w14:paraId="0D469EDB" w14:textId="77777777" w:rsidR="005C5A70" w:rsidRDefault="005C5A70" w:rsidP="005C5A70">
      <w:pPr>
        <w:pStyle w:val="aa"/>
        <w:spacing w:line="360" w:lineRule="auto"/>
        <w:ind w:left="360"/>
        <w:jc w:val="both"/>
        <w:rPr>
          <w:rFonts w:ascii="David" w:hAnsi="David" w:cs="David"/>
          <w:sz w:val="24"/>
          <w:szCs w:val="24"/>
          <w:rtl/>
        </w:rPr>
      </w:pPr>
    </w:p>
    <w:p w14:paraId="6948F260" w14:textId="77777777" w:rsidR="005C5A70" w:rsidRDefault="005C5A70" w:rsidP="005C5A70">
      <w:pPr>
        <w:pStyle w:val="aa"/>
        <w:spacing w:line="360" w:lineRule="auto"/>
        <w:ind w:left="360"/>
        <w:jc w:val="both"/>
        <w:rPr>
          <w:rFonts w:ascii="David" w:hAnsi="David" w:cs="David"/>
          <w:sz w:val="24"/>
          <w:szCs w:val="24"/>
        </w:rPr>
      </w:pPr>
      <w:r>
        <w:rPr>
          <w:rFonts w:ascii="David" w:hAnsi="David" w:cs="David"/>
          <w:sz w:val="24"/>
          <w:szCs w:val="24"/>
          <w:rtl/>
        </w:rPr>
        <w:t>הסניגורית הוסיפה כי הנאשם הוא דר רחוב, אשר סיפק ומכר סמים למכריו, ללא תחכום או שימוש באפליקציות לטובת כך. הנאשם הודה בהזדמנות ראשונה וחסך זמן שיפוטי, נטל אחריות על מעשיו והראיה היא ההליך הטיפולי המשמעותי והממושך אותו עבר, אשר עדיין נמצא בטיפולו של שירות המבחן, כמו גם העובדה שלא נפתחו כנגדו תיקים נוספים.</w:t>
      </w:r>
    </w:p>
    <w:p w14:paraId="2E873D45" w14:textId="77777777" w:rsidR="005C5A70" w:rsidRDefault="005C5A70" w:rsidP="005C5A70">
      <w:pPr>
        <w:pStyle w:val="aa"/>
        <w:spacing w:line="360" w:lineRule="auto"/>
        <w:ind w:left="360"/>
        <w:jc w:val="both"/>
        <w:rPr>
          <w:rFonts w:ascii="David" w:hAnsi="David" w:cs="David"/>
          <w:sz w:val="24"/>
          <w:szCs w:val="24"/>
          <w:rtl/>
        </w:rPr>
      </w:pPr>
    </w:p>
    <w:p w14:paraId="1546453A"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עוד הוסיפה ההגנה כי למרות שלחובתו של הנאשם 22 הרשעות, האחרונה בהן היא בגין עבירה שבוצעה לפני כ- 8 שנים. מכל מקום ניתן להתרשם כי בשנים האחרונות לא הורשע הנאשם בעבירות רכוש הקשורות בדרך כלל למי שעיסוקו הוא בסם. </w:t>
      </w:r>
    </w:p>
    <w:p w14:paraId="43DA8EA6" w14:textId="77777777" w:rsidR="005C5A70" w:rsidRDefault="005C5A70" w:rsidP="005C5A70">
      <w:pPr>
        <w:pStyle w:val="aa"/>
        <w:spacing w:line="360" w:lineRule="auto"/>
        <w:ind w:left="360"/>
        <w:jc w:val="both"/>
        <w:rPr>
          <w:rFonts w:ascii="David" w:hAnsi="David" w:cs="David"/>
          <w:sz w:val="24"/>
          <w:szCs w:val="24"/>
        </w:rPr>
      </w:pPr>
    </w:p>
    <w:p w14:paraId="329F4235"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הסניגורית הפנתה לפסיקה מטעמה על מנת לתמוך בעתירתה העונשית.</w:t>
      </w:r>
    </w:p>
    <w:p w14:paraId="22BBC52C" w14:textId="77777777" w:rsidR="005C5A70" w:rsidRPr="005C5A70" w:rsidRDefault="005C5A70" w:rsidP="005C5A70">
      <w:pPr>
        <w:pStyle w:val="aa"/>
        <w:spacing w:line="360" w:lineRule="auto"/>
        <w:ind w:left="360"/>
        <w:jc w:val="both"/>
        <w:rPr>
          <w:rFonts w:ascii="David" w:hAnsi="David" w:cs="David"/>
          <w:sz w:val="24"/>
          <w:szCs w:val="24"/>
          <w:highlight w:val="darkCyan"/>
          <w:rtl/>
        </w:rPr>
      </w:pPr>
    </w:p>
    <w:p w14:paraId="1887DB44"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בדברו האחרון אמר: </w:t>
      </w:r>
    </w:p>
    <w:p w14:paraId="2EF36E9C" w14:textId="77777777" w:rsidR="005C5A70" w:rsidRDefault="005C5A70" w:rsidP="005C5A70">
      <w:pPr>
        <w:pStyle w:val="aa"/>
        <w:spacing w:line="360" w:lineRule="auto"/>
        <w:ind w:left="360"/>
        <w:jc w:val="both"/>
        <w:rPr>
          <w:rFonts w:ascii="David" w:hAnsi="David" w:cs="David"/>
          <w:sz w:val="24"/>
          <w:szCs w:val="24"/>
        </w:rPr>
      </w:pPr>
    </w:p>
    <w:p w14:paraId="4BE72545" w14:textId="77777777" w:rsidR="005C5A70" w:rsidRDefault="005C5A70" w:rsidP="005C5A70">
      <w:pPr>
        <w:pStyle w:val="aa"/>
        <w:spacing w:line="360" w:lineRule="auto"/>
        <w:ind w:left="360"/>
        <w:jc w:val="both"/>
        <w:rPr>
          <w:rFonts w:ascii="David" w:hAnsi="David" w:cs="David"/>
          <w:sz w:val="24"/>
          <w:szCs w:val="24"/>
          <w:rtl/>
        </w:rPr>
      </w:pPr>
      <w:r>
        <w:rPr>
          <w:rFonts w:ascii="David" w:hAnsi="David" w:cs="David"/>
          <w:sz w:val="24"/>
          <w:szCs w:val="24"/>
          <w:rtl/>
        </w:rPr>
        <w:t xml:space="preserve">"עם יד על הלב אני מודה לשופט שחתם על מעצר עד תום הליכים כי בזכותו אני היום נקי. אמנם 4.5 חודשים טיפסתי על קירות שם, אבל משמה התגלגלתי לקהילה ובזכותם אני נקי, היום אני בריא ושלם אני בבית חוסן בדיקות שתן 3 פעמים בשבוע, קבוצות, עליתי על דרך. אני מודה לבורא עולם, אני שמח בחלקי, אני היום בריא ואני לא אוותר על זה אמשיך הלאה, אני יודע מה זה להיות חולה ומה זה להיות בריא. אני רוצה לשמור על זה. אני אמשיך הלאה". </w:t>
      </w:r>
    </w:p>
    <w:p w14:paraId="7D8DB6A8" w14:textId="77777777" w:rsidR="005C5A70" w:rsidRDefault="005C5A70" w:rsidP="005C5A70">
      <w:pPr>
        <w:pStyle w:val="aa"/>
        <w:spacing w:line="360" w:lineRule="auto"/>
        <w:ind w:left="0" w:firstLine="360"/>
        <w:jc w:val="both"/>
        <w:rPr>
          <w:rFonts w:ascii="David" w:hAnsi="David" w:cs="David"/>
          <w:b/>
          <w:bCs/>
          <w:color w:val="FF0000"/>
          <w:sz w:val="24"/>
          <w:szCs w:val="24"/>
          <w:u w:val="single"/>
          <w:rtl/>
        </w:rPr>
      </w:pPr>
    </w:p>
    <w:p w14:paraId="40A54F21" w14:textId="77777777" w:rsidR="005C5A70" w:rsidRDefault="005C5A70" w:rsidP="005C5A70">
      <w:pPr>
        <w:spacing w:line="360" w:lineRule="auto"/>
        <w:jc w:val="both"/>
        <w:rPr>
          <w:rFonts w:ascii="David" w:hAnsi="David"/>
          <w:b/>
          <w:bCs/>
          <w:u w:val="single"/>
        </w:rPr>
      </w:pPr>
      <w:r>
        <w:rPr>
          <w:rFonts w:ascii="David" w:hAnsi="David"/>
          <w:b/>
          <w:bCs/>
          <w:u w:val="single"/>
          <w:rtl/>
        </w:rPr>
        <w:t>דיון והכרעה</w:t>
      </w:r>
    </w:p>
    <w:p w14:paraId="20D987D2" w14:textId="77777777" w:rsidR="005C5A70" w:rsidRDefault="005C5A70" w:rsidP="005C5A70">
      <w:pPr>
        <w:pStyle w:val="aa"/>
        <w:spacing w:line="360" w:lineRule="auto"/>
        <w:ind w:left="0" w:firstLine="360"/>
        <w:jc w:val="both"/>
        <w:rPr>
          <w:rFonts w:ascii="David" w:hAnsi="David" w:cs="David"/>
          <w:b/>
          <w:bCs/>
          <w:sz w:val="24"/>
          <w:szCs w:val="24"/>
          <w:u w:val="single"/>
          <w:rtl/>
        </w:rPr>
      </w:pPr>
    </w:p>
    <w:p w14:paraId="543C4D2B" w14:textId="77777777" w:rsidR="005C5A70" w:rsidRDefault="005C5A70" w:rsidP="005C5A70">
      <w:pPr>
        <w:spacing w:line="360" w:lineRule="auto"/>
        <w:jc w:val="both"/>
        <w:rPr>
          <w:rFonts w:ascii="David" w:hAnsi="David"/>
          <w:u w:val="single"/>
          <w:rtl/>
        </w:rPr>
      </w:pPr>
      <w:r>
        <w:rPr>
          <w:rFonts w:ascii="David" w:hAnsi="David"/>
          <w:u w:val="single"/>
          <w:rtl/>
        </w:rPr>
        <w:t xml:space="preserve">מתחם העונש ההולם </w:t>
      </w:r>
    </w:p>
    <w:p w14:paraId="28694835" w14:textId="77777777" w:rsidR="005C5A70" w:rsidRDefault="005C5A70" w:rsidP="005C5A70">
      <w:pPr>
        <w:pStyle w:val="aa"/>
        <w:spacing w:line="360" w:lineRule="auto"/>
        <w:ind w:left="0" w:firstLine="360"/>
        <w:jc w:val="both"/>
        <w:rPr>
          <w:rFonts w:ascii="David" w:hAnsi="David" w:cs="David"/>
          <w:sz w:val="24"/>
          <w:szCs w:val="24"/>
          <w:u w:val="single"/>
          <w:rtl/>
        </w:rPr>
      </w:pPr>
    </w:p>
    <w:p w14:paraId="6A03EE12" w14:textId="77777777" w:rsidR="005C5A70" w:rsidRDefault="005C5A70" w:rsidP="005C5A70">
      <w:pPr>
        <w:numPr>
          <w:ilvl w:val="0"/>
          <w:numId w:val="1"/>
        </w:numPr>
        <w:spacing w:after="160" w:line="360" w:lineRule="auto"/>
        <w:contextualSpacing/>
        <w:jc w:val="both"/>
        <w:rPr>
          <w:rFonts w:ascii="David" w:hAnsi="David"/>
        </w:rPr>
      </w:pPr>
      <w:r>
        <w:rPr>
          <w:rFonts w:ascii="David" w:hAnsi="David"/>
          <w:rtl/>
        </w:rPr>
        <w:t xml:space="preserve">לאחר ששמעתי טיעוני הצדדים, אני סבור כי יש לראות בכל העבירות נושא כתב האישום המתוקן אירוע אחד, לצורך קביעת מתחם הענישה, בהתאם למבחן הקשר ההדוק שהותווה בהלכת ג'אבר. מדובר בעבירות שבוצעו בסמיכות זמנים, ונפרשו על פני תקופה של כחודש; הנאשם החזיק בסמים מסוכנים מסוג קוקאין וקנבוס שלא לצריכתו העצמית, וסחר בסם מסוכן מסוג קנבוס בשלוש הזדמנויות בכמות של גרמים בודדים בכל פעם, תמורת 100 עד 150 ₪. באישום הרביעי מדובר בשתי מכירות שנעשו באותו היום לאותו רוכש, חברו של הנאשם. משום כך אני סבור כי עסקינן בפרשה עבריינית אחת בגינה יש לקבוע מתחם ענישה יחיד. </w:t>
      </w:r>
    </w:p>
    <w:p w14:paraId="33D11A0E" w14:textId="77777777" w:rsidR="005C5A70" w:rsidRDefault="005C5A70" w:rsidP="005C5A70">
      <w:pPr>
        <w:spacing w:after="160" w:line="360" w:lineRule="auto"/>
        <w:ind w:left="360"/>
        <w:contextualSpacing/>
        <w:jc w:val="both"/>
        <w:rPr>
          <w:rFonts w:ascii="David" w:hAnsi="David"/>
        </w:rPr>
      </w:pPr>
    </w:p>
    <w:p w14:paraId="77E16C0A" w14:textId="77777777" w:rsidR="005C5A70" w:rsidRDefault="005C5A70" w:rsidP="005C5A70">
      <w:pPr>
        <w:numPr>
          <w:ilvl w:val="0"/>
          <w:numId w:val="1"/>
        </w:numPr>
        <w:spacing w:after="160" w:line="360" w:lineRule="auto"/>
        <w:contextualSpacing/>
        <w:jc w:val="both"/>
        <w:rPr>
          <w:rFonts w:ascii="David" w:hAnsi="David"/>
          <w:rtl/>
        </w:rPr>
      </w:pPr>
      <w:r>
        <w:rPr>
          <w:rFonts w:ascii="David" w:hAnsi="David"/>
          <w:rtl/>
        </w:rPr>
        <w:t xml:space="preserve">הערכים המוגנים בהם פגע הנאשם, הם שמירה על בריאות הציבור, וההגנה מפני נגע הסמים, על כל הכרוך בכך (ראו למשל את </w:t>
      </w:r>
      <w:hyperlink r:id="rId24" w:history="1">
        <w:r w:rsidR="00C03D05" w:rsidRPr="00C03D05">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 </w:t>
      </w:r>
    </w:p>
    <w:p w14:paraId="1DFABD7C" w14:textId="77777777" w:rsidR="005C5A70" w:rsidRDefault="005C5A70" w:rsidP="005C5A70">
      <w:pPr>
        <w:spacing w:after="160" w:line="360" w:lineRule="auto"/>
        <w:ind w:left="360"/>
        <w:contextualSpacing/>
        <w:jc w:val="both"/>
        <w:rPr>
          <w:rFonts w:ascii="David" w:hAnsi="David"/>
          <w:color w:val="FF0000"/>
          <w:rtl/>
        </w:rPr>
      </w:pPr>
    </w:p>
    <w:p w14:paraId="37440FA5" w14:textId="77777777" w:rsidR="005C5A70" w:rsidRDefault="005C5A70" w:rsidP="005C5A70">
      <w:pPr>
        <w:spacing w:after="160" w:line="360" w:lineRule="auto"/>
        <w:ind w:left="360"/>
        <w:contextualSpacing/>
        <w:jc w:val="both"/>
        <w:rPr>
          <w:rFonts w:ascii="David" w:hAnsi="David"/>
        </w:rPr>
      </w:pPr>
      <w:r>
        <w:rPr>
          <w:rFonts w:ascii="David" w:hAnsi="David"/>
          <w:rtl/>
        </w:rPr>
        <w:t xml:space="preserve">מידת הפגיעה בערכים המוגנים במקרה דנא היא בינונית - נמוכה; הנאשם ביצע 3 עבירות של סחר בסמים מסוכנים מסוג קנבוס, במשך כחודש, אל מול שני צרכני סמים שונים. כמות הסמים המסוכנים שנכללו בכל מכירה היתה, כאמור, גרמים בודדים, תמורת סכום כספי לא גבוה.  </w:t>
      </w:r>
    </w:p>
    <w:p w14:paraId="4918FF5D" w14:textId="77777777" w:rsidR="005C5A70" w:rsidRDefault="005C5A70" w:rsidP="005C5A70">
      <w:pPr>
        <w:spacing w:after="160" w:line="360" w:lineRule="auto"/>
        <w:ind w:left="360"/>
        <w:contextualSpacing/>
        <w:jc w:val="both"/>
        <w:rPr>
          <w:rFonts w:ascii="David" w:hAnsi="David"/>
          <w:rtl/>
        </w:rPr>
      </w:pPr>
    </w:p>
    <w:p w14:paraId="5F096521" w14:textId="77777777" w:rsidR="005C5A70" w:rsidRDefault="005C5A70" w:rsidP="005C5A70">
      <w:pPr>
        <w:spacing w:after="160" w:line="360" w:lineRule="auto"/>
        <w:ind w:left="360"/>
        <w:contextualSpacing/>
        <w:jc w:val="both"/>
        <w:rPr>
          <w:rFonts w:ascii="David" w:hAnsi="David"/>
          <w:rtl/>
        </w:rPr>
      </w:pPr>
      <w:r>
        <w:rPr>
          <w:rFonts w:ascii="David" w:hAnsi="David"/>
          <w:rtl/>
        </w:rPr>
        <w:t xml:space="preserve">הנאשם החזיק במבנה הארעי בו התגורר, כמות סמים מסוכנים שלא לצריכתו העצמית, הכוללת סם מסוכן מסוג חשיש במשקל 36.35 גרם נטו וכן סם מסוכן מסוג קוקאין, במשקל 8 גרם נטו, משקל אלקטרוני וכסף מזומן. אכן, מיוחסת מידת חומרה להחזקת סם מסוכן מסוג קוקאין שפגיעתו הרעה ידועה זה מכבר ואף פורטה כאמור בפסיקה. עם זאת, הבאתי בחשבון גם את העובדה כי לא יוחסו לנאשם עבירות של סחר בסם זה.  </w:t>
      </w:r>
    </w:p>
    <w:p w14:paraId="067994BC"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מדיניות הענישה הנהוגה, מתחמי ענישה במקרים הדומים לעניינו של הנאשם נעים בין מספר דו סיפרתי נמוך של חודשי מאסר, ועד עונשי מאסר ארוכים, ראו לדוגמא: </w:t>
      </w:r>
      <w:hyperlink r:id="rId25" w:history="1">
        <w:r w:rsidR="00C03D05" w:rsidRPr="00C03D05">
          <w:rPr>
            <w:rFonts w:ascii="David" w:hAnsi="David" w:cs="David"/>
            <w:color w:val="0000FF"/>
            <w:sz w:val="24"/>
            <w:szCs w:val="24"/>
            <w:u w:val="single"/>
            <w:rtl/>
          </w:rPr>
          <w:t>רע"פ 5712/16</w:t>
        </w:r>
      </w:hyperlink>
      <w:r>
        <w:rPr>
          <w:rFonts w:ascii="David" w:hAnsi="David" w:cs="David"/>
          <w:sz w:val="24"/>
          <w:szCs w:val="24"/>
          <w:rtl/>
        </w:rPr>
        <w:t xml:space="preserve"> </w:t>
      </w:r>
      <w:r>
        <w:rPr>
          <w:rFonts w:ascii="David" w:hAnsi="David" w:cs="David"/>
          <w:b/>
          <w:bCs/>
          <w:sz w:val="24"/>
          <w:szCs w:val="24"/>
          <w:rtl/>
        </w:rPr>
        <w:t>אייזנבאך נ' מדינת ישראל</w:t>
      </w:r>
      <w:r>
        <w:rPr>
          <w:rFonts w:ascii="David" w:hAnsi="David" w:cs="David"/>
          <w:sz w:val="24"/>
          <w:szCs w:val="24"/>
          <w:rtl/>
        </w:rPr>
        <w:t xml:space="preserve"> (17.8.2016); </w:t>
      </w:r>
      <w:hyperlink r:id="rId26" w:history="1">
        <w:r w:rsidR="00C03D05" w:rsidRPr="00C03D05">
          <w:rPr>
            <w:rFonts w:ascii="David" w:hAnsi="David" w:cs="David"/>
            <w:color w:val="0000FF"/>
            <w:sz w:val="24"/>
            <w:szCs w:val="24"/>
            <w:u w:val="single"/>
            <w:rtl/>
          </w:rPr>
          <w:t>רע"פ 126/15</w:t>
        </w:r>
      </w:hyperlink>
      <w:r>
        <w:rPr>
          <w:rFonts w:ascii="David" w:hAnsi="David" w:cs="David"/>
          <w:sz w:val="24"/>
          <w:szCs w:val="24"/>
          <w:rtl/>
        </w:rPr>
        <w:t xml:space="preserve"> </w:t>
      </w:r>
      <w:r>
        <w:rPr>
          <w:rFonts w:ascii="David" w:hAnsi="David" w:cs="David"/>
          <w:b/>
          <w:bCs/>
          <w:sz w:val="24"/>
          <w:szCs w:val="24"/>
          <w:rtl/>
        </w:rPr>
        <w:t>חביף נ' מדינת ישראל</w:t>
      </w:r>
      <w:r>
        <w:rPr>
          <w:rFonts w:ascii="David" w:hAnsi="David" w:cs="David"/>
          <w:sz w:val="24"/>
          <w:szCs w:val="24"/>
          <w:rtl/>
        </w:rPr>
        <w:t xml:space="preserve"> (13.1.2015); </w:t>
      </w:r>
      <w:hyperlink r:id="rId27" w:history="1">
        <w:r w:rsidR="00C03D05" w:rsidRPr="00C03D05">
          <w:rPr>
            <w:rFonts w:ascii="David" w:hAnsi="David" w:cs="David"/>
            <w:color w:val="0000FF"/>
            <w:sz w:val="24"/>
            <w:szCs w:val="24"/>
            <w:u w:val="single"/>
            <w:rtl/>
          </w:rPr>
          <w:t>עפ"ג (ב"ש) 1902-03-20</w:t>
        </w:r>
      </w:hyperlink>
      <w:r>
        <w:rPr>
          <w:rFonts w:ascii="David" w:hAnsi="David" w:cs="David"/>
          <w:sz w:val="24"/>
          <w:szCs w:val="24"/>
          <w:rtl/>
        </w:rPr>
        <w:t xml:space="preserve"> </w:t>
      </w:r>
      <w:r>
        <w:rPr>
          <w:rFonts w:ascii="David" w:hAnsi="David" w:cs="David"/>
          <w:b/>
          <w:bCs/>
          <w:sz w:val="24"/>
          <w:szCs w:val="24"/>
          <w:rtl/>
        </w:rPr>
        <w:t>גית נ' מדינת ישראל</w:t>
      </w:r>
      <w:r>
        <w:rPr>
          <w:rFonts w:ascii="David" w:hAnsi="David" w:cs="David"/>
          <w:sz w:val="24"/>
          <w:szCs w:val="24"/>
          <w:rtl/>
        </w:rPr>
        <w:t xml:space="preserve"> (20.5.2020);  </w:t>
      </w:r>
      <w:hyperlink r:id="rId28" w:history="1">
        <w:r w:rsidR="00C03D05" w:rsidRPr="00C03D05">
          <w:rPr>
            <w:rFonts w:ascii="David" w:hAnsi="David" w:cs="David"/>
            <w:color w:val="0000FF"/>
            <w:sz w:val="24"/>
            <w:szCs w:val="24"/>
            <w:u w:val="single"/>
            <w:rtl/>
          </w:rPr>
          <w:t>ע"פ (י-ם) 11045-09-18</w:t>
        </w:r>
      </w:hyperlink>
      <w:r>
        <w:rPr>
          <w:rFonts w:ascii="David" w:hAnsi="David" w:cs="David"/>
          <w:sz w:val="24"/>
          <w:szCs w:val="24"/>
          <w:rtl/>
        </w:rPr>
        <w:t xml:space="preserve"> </w:t>
      </w:r>
      <w:r>
        <w:rPr>
          <w:rFonts w:ascii="David" w:hAnsi="David" w:cs="David"/>
          <w:b/>
          <w:bCs/>
          <w:sz w:val="24"/>
          <w:szCs w:val="24"/>
          <w:rtl/>
        </w:rPr>
        <w:t>אליאסיאן נ' מדינת ישראל</w:t>
      </w:r>
      <w:r>
        <w:rPr>
          <w:rFonts w:ascii="David" w:hAnsi="David" w:cs="David"/>
          <w:sz w:val="24"/>
          <w:szCs w:val="24"/>
          <w:rtl/>
        </w:rPr>
        <w:t xml:space="preserve"> (3.3.2019); </w:t>
      </w:r>
      <w:hyperlink r:id="rId29" w:history="1">
        <w:r w:rsidR="00C03D05" w:rsidRPr="00C03D05">
          <w:rPr>
            <w:rFonts w:ascii="David" w:hAnsi="David" w:cs="David"/>
            <w:color w:val="0000FF"/>
            <w:sz w:val="24"/>
            <w:szCs w:val="24"/>
            <w:u w:val="single"/>
            <w:rtl/>
          </w:rPr>
          <w:t>ת"פ (אי') 66114-01-23</w:t>
        </w:r>
      </w:hyperlink>
      <w:r>
        <w:rPr>
          <w:rFonts w:ascii="David" w:hAnsi="David" w:cs="David"/>
          <w:sz w:val="24"/>
          <w:szCs w:val="24"/>
          <w:rtl/>
        </w:rPr>
        <w:t xml:space="preserve"> </w:t>
      </w:r>
      <w:r>
        <w:rPr>
          <w:rFonts w:ascii="David" w:hAnsi="David" w:cs="David"/>
          <w:b/>
          <w:bCs/>
          <w:sz w:val="24"/>
          <w:szCs w:val="24"/>
          <w:rtl/>
        </w:rPr>
        <w:t>מדינת ישראל נ' מסראוה</w:t>
      </w:r>
      <w:r>
        <w:rPr>
          <w:rFonts w:ascii="David" w:hAnsi="David" w:cs="David"/>
          <w:sz w:val="24"/>
          <w:szCs w:val="24"/>
          <w:rtl/>
        </w:rPr>
        <w:t xml:space="preserve"> (2.7.2023); </w:t>
      </w:r>
      <w:hyperlink r:id="rId30" w:history="1">
        <w:r w:rsidR="00C03D05" w:rsidRPr="00C03D05">
          <w:rPr>
            <w:rFonts w:ascii="David" w:hAnsi="David" w:cs="David"/>
            <w:color w:val="0000FF"/>
            <w:sz w:val="24"/>
            <w:szCs w:val="24"/>
            <w:u w:val="single"/>
            <w:rtl/>
          </w:rPr>
          <w:t>ת"פ (ת"א) 8486-02-18</w:t>
        </w:r>
      </w:hyperlink>
      <w:r>
        <w:rPr>
          <w:rFonts w:ascii="David" w:hAnsi="David" w:cs="David"/>
          <w:sz w:val="24"/>
          <w:szCs w:val="24"/>
          <w:rtl/>
        </w:rPr>
        <w:t xml:space="preserve"> </w:t>
      </w:r>
      <w:r>
        <w:rPr>
          <w:rFonts w:ascii="David" w:hAnsi="David" w:cs="David"/>
          <w:b/>
          <w:bCs/>
          <w:sz w:val="24"/>
          <w:szCs w:val="24"/>
          <w:rtl/>
        </w:rPr>
        <w:t>מדינת ישראל נ' בן שלום</w:t>
      </w:r>
      <w:r>
        <w:rPr>
          <w:rFonts w:ascii="David" w:hAnsi="David" w:cs="David"/>
          <w:sz w:val="24"/>
          <w:szCs w:val="24"/>
          <w:rtl/>
        </w:rPr>
        <w:t xml:space="preserve"> (16.12.2020).  </w:t>
      </w:r>
    </w:p>
    <w:p w14:paraId="014B9970" w14:textId="77777777" w:rsidR="005C5A70" w:rsidRDefault="005C5A70" w:rsidP="005C5A70">
      <w:pPr>
        <w:pStyle w:val="aa"/>
        <w:spacing w:line="360" w:lineRule="auto"/>
        <w:ind w:left="360"/>
        <w:jc w:val="both"/>
        <w:rPr>
          <w:rFonts w:ascii="David" w:hAnsi="David" w:cs="David"/>
          <w:sz w:val="24"/>
          <w:szCs w:val="24"/>
        </w:rPr>
      </w:pPr>
    </w:p>
    <w:p w14:paraId="4C4A0673" w14:textId="77777777" w:rsidR="005C5A70" w:rsidRDefault="005C5A70" w:rsidP="005C5A7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בנסיבות המקרה דנא, נוכח הערכים המוגנים שנפגעו ומידת הפגיעה בהם, טיב הסם שהחזיק הנאשם וכמותו, מספר עסקאות הסם שבצע ונסיבותיהן, ולאור מדיניות הענישה הנהוגה, אני קובע כי מתחם העונש ההולם נע בין שנת מאסר, ועד שנתיים של מאסר בפועל. </w:t>
      </w:r>
    </w:p>
    <w:p w14:paraId="4EE63C6D" w14:textId="77777777" w:rsidR="005C5A70" w:rsidRDefault="005C5A70" w:rsidP="005C5A70">
      <w:pPr>
        <w:pStyle w:val="aa"/>
        <w:spacing w:after="0" w:line="360" w:lineRule="auto"/>
        <w:ind w:left="360"/>
        <w:jc w:val="both"/>
        <w:rPr>
          <w:rFonts w:ascii="David" w:hAnsi="David" w:cs="David"/>
          <w:color w:val="FF0000"/>
          <w:sz w:val="24"/>
          <w:szCs w:val="24"/>
          <w:lang w:eastAsia="he-IL"/>
        </w:rPr>
      </w:pPr>
    </w:p>
    <w:p w14:paraId="71A8EDF2" w14:textId="77777777" w:rsidR="005C5A70" w:rsidRDefault="005C5A70" w:rsidP="005C5A70">
      <w:pPr>
        <w:spacing w:line="360" w:lineRule="auto"/>
        <w:jc w:val="both"/>
        <w:rPr>
          <w:rFonts w:ascii="David" w:hAnsi="David"/>
          <w:color w:val="FF0000"/>
        </w:rPr>
      </w:pPr>
      <w:r>
        <w:rPr>
          <w:rFonts w:ascii="David" w:hAnsi="David"/>
          <w:u w:val="single"/>
          <w:rtl/>
        </w:rPr>
        <w:t xml:space="preserve">העונש המתאים לנאשם – חריגה לקולא ממתחם העונש ההולם </w:t>
      </w:r>
    </w:p>
    <w:p w14:paraId="78BD60A3" w14:textId="77777777" w:rsidR="005C5A70" w:rsidRDefault="005C5A70" w:rsidP="005C5A70">
      <w:pPr>
        <w:pStyle w:val="aa"/>
        <w:spacing w:line="360" w:lineRule="auto"/>
        <w:ind w:left="360"/>
        <w:jc w:val="both"/>
        <w:rPr>
          <w:rFonts w:ascii="David" w:hAnsi="David" w:cs="David"/>
          <w:sz w:val="24"/>
          <w:szCs w:val="24"/>
          <w:rtl/>
        </w:rPr>
      </w:pPr>
    </w:p>
    <w:p w14:paraId="143133A5" w14:textId="77777777" w:rsidR="005C5A70" w:rsidRDefault="005C5A70" w:rsidP="005C5A7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w:t>
      </w:r>
      <w:hyperlink r:id="rId31" w:history="1">
        <w:r w:rsidR="00260970" w:rsidRPr="00260970">
          <w:rPr>
            <w:rStyle w:val="Hyperlink"/>
            <w:rFonts w:ascii="David" w:hAnsi="David" w:cs="David"/>
            <w:sz w:val="24"/>
            <w:szCs w:val="24"/>
            <w:rtl/>
          </w:rPr>
          <w:t>סעיף 40ד</w:t>
        </w:r>
      </w:hyperlink>
      <w:r>
        <w:rPr>
          <w:rFonts w:ascii="David" w:hAnsi="David" w:cs="David"/>
          <w:sz w:val="24"/>
          <w:szCs w:val="24"/>
          <w:rtl/>
        </w:rPr>
        <w:t xml:space="preserve"> ל</w:t>
      </w:r>
      <w:hyperlink r:id="rId32" w:history="1">
        <w:r w:rsidR="00C03D05" w:rsidRPr="00C03D05">
          <w:rPr>
            <w:rFonts w:ascii="David" w:hAnsi="David" w:cs="David"/>
            <w:color w:val="0000FF"/>
            <w:sz w:val="24"/>
            <w:szCs w:val="24"/>
            <w:u w:val="single"/>
            <w:rtl/>
          </w:rPr>
          <w:t>חוק העונשין</w:t>
        </w:r>
      </w:hyperlink>
      <w:r>
        <w:rPr>
          <w:rFonts w:ascii="David" w:hAnsi="David" w:cs="David"/>
          <w:sz w:val="24"/>
          <w:szCs w:val="24"/>
          <w:rtl/>
        </w:rPr>
        <w:t xml:space="preserve">, בית המשפט רשאי לחרוג לקולא ממתחם העונש ההולם, משיקולי שיקום הנאשם. זאת, אם הנאשם השתקם, או יש סיכוי של ממש שהוא ישתקם. </w:t>
      </w:r>
    </w:p>
    <w:p w14:paraId="3E97001B" w14:textId="77777777" w:rsidR="005C5A70" w:rsidRDefault="005C5A70" w:rsidP="005C5A70">
      <w:pPr>
        <w:pStyle w:val="aa"/>
        <w:spacing w:line="360" w:lineRule="auto"/>
        <w:ind w:left="360"/>
        <w:jc w:val="both"/>
        <w:rPr>
          <w:rFonts w:ascii="David" w:hAnsi="David" w:cs="David"/>
          <w:sz w:val="24"/>
          <w:szCs w:val="24"/>
        </w:rPr>
      </w:pPr>
    </w:p>
    <w:p w14:paraId="41EBEA5E" w14:textId="77777777" w:rsidR="005C5A70" w:rsidRDefault="005C5A70" w:rsidP="005C5A70">
      <w:pPr>
        <w:pStyle w:val="aa"/>
        <w:spacing w:line="360" w:lineRule="auto"/>
        <w:ind w:left="360"/>
        <w:jc w:val="both"/>
        <w:rPr>
          <w:rFonts w:ascii="David" w:hAnsi="David" w:cs="David"/>
          <w:color w:val="000000"/>
          <w:sz w:val="24"/>
          <w:szCs w:val="24"/>
        </w:rPr>
      </w:pPr>
      <w:r>
        <w:rPr>
          <w:rFonts w:ascii="David" w:hAnsi="David" w:cs="David"/>
          <w:sz w:val="24"/>
          <w:szCs w:val="24"/>
          <w:rtl/>
        </w:rPr>
        <w:t>במסגרת</w:t>
      </w:r>
      <w:r w:rsidR="00C03D05">
        <w:rPr>
          <w:rFonts w:ascii="David" w:hAnsi="David" w:cs="David"/>
          <w:sz w:val="24"/>
          <w:szCs w:val="24"/>
          <w:rtl/>
        </w:rPr>
        <w:t xml:space="preserve"> </w:t>
      </w:r>
      <w:hyperlink r:id="rId33" w:history="1">
        <w:r w:rsidR="00C03D05" w:rsidRPr="00C03D05">
          <w:rPr>
            <w:rFonts w:ascii="David" w:hAnsi="David" w:cs="David"/>
            <w:color w:val="0000FF"/>
            <w:sz w:val="24"/>
            <w:szCs w:val="24"/>
            <w:u w:val="single"/>
            <w:rtl/>
          </w:rPr>
          <w:t>ע"פ 6637/17</w:t>
        </w:r>
      </w:hyperlink>
      <w:r w:rsidR="00C03D05">
        <w:rPr>
          <w:rFonts w:ascii="David" w:hAnsi="David" w:cs="David"/>
          <w:sz w:val="24"/>
          <w:szCs w:val="24"/>
        </w:rPr>
        <w:t xml:space="preserve"> </w:t>
      </w:r>
      <w:r>
        <w:rPr>
          <w:rFonts w:ascii="David" w:hAnsi="David" w:cs="David"/>
          <w:b/>
          <w:bCs/>
          <w:sz w:val="24"/>
          <w:szCs w:val="24"/>
          <w:rtl/>
        </w:rPr>
        <w:t>קרנדל נ' מדינת ישראל</w:t>
      </w:r>
      <w:r w:rsidR="00C03D05">
        <w:rPr>
          <w:rFonts w:ascii="David" w:hAnsi="David" w:cs="David"/>
          <w:sz w:val="24"/>
          <w:szCs w:val="24"/>
          <w:rtl/>
        </w:rPr>
        <w:t xml:space="preserve"> </w:t>
      </w:r>
      <w:r>
        <w:rPr>
          <w:rFonts w:ascii="David" w:hAnsi="David" w:cs="David"/>
          <w:sz w:val="24"/>
          <w:szCs w:val="24"/>
          <w:rtl/>
        </w:rPr>
        <w:t xml:space="preserve">(18.4.2018)  קבע בית המשפט העליון כי את התשתית העובדתית להוכחת סיכויי השיקום ניתן לגבש באמצעים ראייתיים שונים, ובראשם תסקיר שירות המבחן; </w:t>
      </w:r>
      <w:r>
        <w:rPr>
          <w:rFonts w:ascii="David" w:hAnsi="David" w:cs="David"/>
          <w:color w:val="000000"/>
          <w:sz w:val="24"/>
          <w:szCs w:val="24"/>
          <w:rtl/>
        </w:rPr>
        <w:t>בית המשפט קבע, ביחס לשיקולים המנחים בהערכת שיקומו של הנאשם, בין היתר, כך:</w:t>
      </w:r>
    </w:p>
    <w:p w14:paraId="128AFAD5" w14:textId="77777777" w:rsidR="005C5A70" w:rsidRDefault="005C5A70" w:rsidP="005C5A70">
      <w:pPr>
        <w:pStyle w:val="aa"/>
        <w:spacing w:line="360" w:lineRule="auto"/>
        <w:ind w:left="360"/>
        <w:jc w:val="both"/>
        <w:rPr>
          <w:rFonts w:ascii="David" w:hAnsi="David" w:cs="David"/>
          <w:color w:val="000000"/>
          <w:sz w:val="24"/>
          <w:szCs w:val="24"/>
        </w:rPr>
      </w:pPr>
    </w:p>
    <w:p w14:paraId="78C57952" w14:textId="77777777" w:rsidR="005C5A70" w:rsidRDefault="005C5A70" w:rsidP="005C5A70">
      <w:pPr>
        <w:pStyle w:val="aa"/>
        <w:spacing w:line="360" w:lineRule="auto"/>
        <w:ind w:left="360"/>
        <w:jc w:val="both"/>
        <w:rPr>
          <w:rFonts w:ascii="David" w:hAnsi="David" w:cs="David"/>
          <w:color w:val="000000"/>
          <w:sz w:val="24"/>
          <w:szCs w:val="24"/>
          <w:rtl/>
        </w:rPr>
      </w:pPr>
      <w:r>
        <w:rPr>
          <w:rFonts w:ascii="David" w:hAnsi="David" w:cs="David"/>
          <w:color w:val="000000"/>
          <w:sz w:val="24"/>
          <w:szCs w:val="24"/>
          <w:rtl/>
        </w:rPr>
        <w:t>"...בקווים כלליים ניתן להצביע על כך ש</w:t>
      </w:r>
      <w:r>
        <w:rPr>
          <w:rFonts w:ascii="David" w:hAnsi="David" w:cs="David"/>
          <w:b/>
          <w:bCs/>
          <w:color w:val="000000"/>
          <w:sz w:val="24"/>
          <w:szCs w:val="24"/>
          <w:rtl/>
        </w:rPr>
        <w:t xml:space="preserve">הפעלת הסמכות בסעיף 40ד אינה מוגבלת לעבירות קלות בלבד </w:t>
      </w:r>
      <w:r>
        <w:rPr>
          <w:rFonts w:ascii="David" w:hAnsi="David" w:cs="David"/>
          <w:color w:val="000000"/>
          <w:sz w:val="24"/>
          <w:szCs w:val="24"/>
          <w:rtl/>
        </w:rPr>
        <w:t xml:space="preserve">(ראו למשל: </w:t>
      </w:r>
      <w:hyperlink r:id="rId34" w:history="1">
        <w:r w:rsidR="00C03D05" w:rsidRPr="00C03D05">
          <w:rPr>
            <w:rFonts w:ascii="David" w:hAnsi="David" w:cs="David"/>
            <w:color w:val="0000FF"/>
            <w:sz w:val="24"/>
            <w:szCs w:val="24"/>
            <w:u w:val="single"/>
            <w:rtl/>
          </w:rPr>
          <w:t>ע"פ 779/15</w:t>
        </w:r>
      </w:hyperlink>
      <w:r>
        <w:rPr>
          <w:rFonts w:ascii="David" w:hAnsi="David" w:cs="David"/>
          <w:color w:val="000000"/>
          <w:sz w:val="24"/>
          <w:szCs w:val="24"/>
          <w:rtl/>
        </w:rPr>
        <w:t xml:space="preserve"> פלוני נ' מדינת ישראל [פורסם בנבו] (12.4.2015) (להלן: </w:t>
      </w:r>
      <w:hyperlink r:id="rId35" w:history="1">
        <w:r w:rsidR="00C03D05" w:rsidRPr="00C03D05">
          <w:rPr>
            <w:rFonts w:ascii="David" w:hAnsi="David" w:cs="David"/>
            <w:color w:val="0000FF"/>
            <w:sz w:val="24"/>
            <w:szCs w:val="24"/>
            <w:u w:val="single"/>
            <w:rtl/>
          </w:rPr>
          <w:t>ע"פ 779/15</w:t>
        </w:r>
      </w:hyperlink>
      <w:r>
        <w:rPr>
          <w:rFonts w:ascii="David" w:hAnsi="David" w:cs="David"/>
          <w:color w:val="000000"/>
          <w:sz w:val="24"/>
          <w:szCs w:val="24"/>
          <w:rtl/>
        </w:rPr>
        <w:t xml:space="preserve">); </w:t>
      </w:r>
      <w:hyperlink r:id="rId36" w:history="1">
        <w:r w:rsidR="00C03D05" w:rsidRPr="00C03D05">
          <w:rPr>
            <w:rFonts w:ascii="David" w:hAnsi="David" w:cs="David"/>
            <w:color w:val="0000FF"/>
            <w:sz w:val="24"/>
            <w:szCs w:val="24"/>
            <w:u w:val="single"/>
            <w:rtl/>
          </w:rPr>
          <w:t>ע"פ 3381/16</w:t>
        </w:r>
      </w:hyperlink>
      <w:r>
        <w:rPr>
          <w:rFonts w:ascii="David" w:hAnsi="David" w:cs="David"/>
          <w:color w:val="000000"/>
          <w:sz w:val="24"/>
          <w:szCs w:val="24"/>
          <w:rtl/>
        </w:rPr>
        <w:t xml:space="preserve"> אלקרינאוי נ' מדינת ישראל [פורסם בנבו] (10.7.2016) (להלן: עניין אלקרינאוי); </w:t>
      </w:r>
      <w:hyperlink r:id="rId37" w:history="1">
        <w:r w:rsidR="00C03D05" w:rsidRPr="00C03D05">
          <w:rPr>
            <w:rFonts w:ascii="David" w:hAnsi="David" w:cs="David"/>
            <w:color w:val="0000FF"/>
            <w:sz w:val="24"/>
            <w:szCs w:val="24"/>
            <w:u w:val="single"/>
            <w:rtl/>
          </w:rPr>
          <w:t>ע"פ 5611/16</w:t>
        </w:r>
      </w:hyperlink>
      <w:r>
        <w:rPr>
          <w:rFonts w:ascii="David" w:hAnsi="David" w:cs="David"/>
          <w:color w:val="000000"/>
          <w:sz w:val="24"/>
          <w:szCs w:val="24"/>
          <w:rtl/>
        </w:rPr>
        <w:t xml:space="preserve"> סלב נ' מדינת ישראל [פורסם בנבו] (14.9.2017) (להלן: עניין סלב); </w:t>
      </w:r>
      <w:hyperlink r:id="rId38" w:history="1">
        <w:r w:rsidR="00C03D05" w:rsidRPr="00C03D05">
          <w:rPr>
            <w:rFonts w:ascii="David" w:hAnsi="David" w:cs="David"/>
            <w:color w:val="0000FF"/>
            <w:sz w:val="24"/>
            <w:szCs w:val="24"/>
            <w:u w:val="single"/>
            <w:rtl/>
          </w:rPr>
          <w:t>ע"פ 1288/17</w:t>
        </w:r>
      </w:hyperlink>
      <w:r>
        <w:rPr>
          <w:rFonts w:ascii="David" w:hAnsi="David" w:cs="David"/>
          <w:color w:val="000000"/>
          <w:sz w:val="24"/>
          <w:szCs w:val="24"/>
          <w:rtl/>
        </w:rPr>
        <w:t xml:space="preserve"> מדינת ישראל נ' שנהר [פורסם בנבו] (3.10.2017) (להלן: עניין שנהר)). במקרים קודמים שבהם נדרש בית המשפט להעריך את סיכויי השיקום במסגרת </w:t>
      </w:r>
      <w:hyperlink r:id="rId39" w:history="1">
        <w:r w:rsidR="00260970" w:rsidRPr="00260970">
          <w:rPr>
            <w:rStyle w:val="Hyperlink"/>
            <w:rFonts w:ascii="David" w:hAnsi="David" w:cs="David"/>
            <w:sz w:val="24"/>
            <w:szCs w:val="24"/>
            <w:rtl/>
          </w:rPr>
          <w:t>סעיף 40ד</w:t>
        </w:r>
      </w:hyperlink>
      <w:r>
        <w:rPr>
          <w:rFonts w:ascii="David" w:hAnsi="David" w:cs="David"/>
          <w:color w:val="000000"/>
          <w:sz w:val="24"/>
          <w:szCs w:val="24"/>
          <w:rtl/>
        </w:rPr>
        <w:t xml:space="preserve"> ל</w:t>
      </w:r>
      <w:hyperlink r:id="rId40" w:history="1">
        <w:r w:rsidR="00C03D05" w:rsidRPr="00C03D05">
          <w:rPr>
            <w:rFonts w:ascii="David" w:hAnsi="David" w:cs="David"/>
            <w:color w:val="0000FF"/>
            <w:sz w:val="24"/>
            <w:szCs w:val="24"/>
            <w:u w:val="single"/>
            <w:rtl/>
          </w:rPr>
          <w:t>חוק העונשין</w:t>
        </w:r>
      </w:hyperlink>
      <w:r>
        <w:rPr>
          <w:rFonts w:ascii="David" w:hAnsi="David" w:cs="David"/>
          <w:color w:val="000000"/>
          <w:sz w:val="24"/>
          <w:szCs w:val="24"/>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41" w:history="1">
        <w:r w:rsidR="00C03D05" w:rsidRPr="00C03D05">
          <w:rPr>
            <w:rFonts w:ascii="David" w:hAnsi="David" w:cs="David"/>
            <w:color w:val="0000FF"/>
            <w:sz w:val="24"/>
            <w:szCs w:val="24"/>
            <w:u w:val="single"/>
            <w:rtl/>
          </w:rPr>
          <w:t>ע"פ 7459/12</w:t>
        </w:r>
      </w:hyperlink>
      <w:r>
        <w:rPr>
          <w:rFonts w:ascii="David" w:hAnsi="David" w:cs="David"/>
          <w:color w:val="000000"/>
          <w:sz w:val="24"/>
          <w:szCs w:val="24"/>
          <w:rtl/>
        </w:rPr>
        <w:t xml:space="preserve"> שיבר נ' מדינת ישראל, [פורסם בנבו] פסקה 6 (20.6.2013); </w:t>
      </w:r>
      <w:hyperlink r:id="rId42" w:history="1">
        <w:r w:rsidR="00C03D05" w:rsidRPr="00C03D05">
          <w:rPr>
            <w:rFonts w:ascii="David" w:hAnsi="David" w:cs="David"/>
            <w:color w:val="0000FF"/>
            <w:sz w:val="24"/>
            <w:szCs w:val="24"/>
            <w:u w:val="single"/>
            <w:rtl/>
          </w:rPr>
          <w:t>ע"פ 779/15</w:t>
        </w:r>
      </w:hyperlink>
      <w:r>
        <w:rPr>
          <w:rFonts w:ascii="David" w:hAnsi="David" w:cs="David"/>
          <w:color w:val="000000"/>
          <w:sz w:val="24"/>
          <w:szCs w:val="24"/>
          <w:rtl/>
        </w:rPr>
        <w:t>, בפסקה 11; עניין אלקרינאוי, בפסקה 12; עניין סלב, בפסקאות 17-16; עניין שנהר, בפסקה 24).</w:t>
      </w:r>
    </w:p>
    <w:p w14:paraId="4ACC249E" w14:textId="77777777" w:rsidR="005C5A70" w:rsidRDefault="005C5A70" w:rsidP="005C5A70">
      <w:pPr>
        <w:pStyle w:val="aa"/>
        <w:spacing w:line="360" w:lineRule="auto"/>
        <w:ind w:left="360"/>
        <w:jc w:val="both"/>
        <w:rPr>
          <w:rFonts w:ascii="David" w:hAnsi="David" w:cs="David"/>
          <w:color w:val="000000"/>
          <w:sz w:val="24"/>
          <w:szCs w:val="24"/>
          <w:rtl/>
        </w:rPr>
      </w:pPr>
    </w:p>
    <w:p w14:paraId="14A5958C" w14:textId="77777777" w:rsidR="005C5A70" w:rsidRDefault="005C5A70" w:rsidP="005C5A70">
      <w:pPr>
        <w:pStyle w:val="aa"/>
        <w:spacing w:line="360" w:lineRule="auto"/>
        <w:ind w:left="360"/>
        <w:jc w:val="both"/>
        <w:rPr>
          <w:rFonts w:ascii="David" w:hAnsi="David" w:cs="David"/>
          <w:color w:val="000000"/>
          <w:sz w:val="24"/>
          <w:szCs w:val="24"/>
          <w:rtl/>
        </w:rPr>
      </w:pPr>
      <w:r>
        <w:rPr>
          <w:rFonts w:ascii="David" w:hAnsi="David" w:cs="David"/>
          <w:color w:val="000000"/>
          <w:sz w:val="24"/>
          <w:szCs w:val="24"/>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43" w:history="1">
        <w:r w:rsidR="00260970" w:rsidRPr="00260970">
          <w:rPr>
            <w:rStyle w:val="Hyperlink"/>
            <w:rFonts w:ascii="David" w:hAnsi="David" w:cs="David"/>
            <w:sz w:val="24"/>
            <w:szCs w:val="24"/>
            <w:rtl/>
          </w:rPr>
          <w:t>סעיף 40יא</w:t>
        </w:r>
      </w:hyperlink>
      <w:r>
        <w:rPr>
          <w:rFonts w:ascii="David" w:hAnsi="David" w:cs="David"/>
          <w:color w:val="000000"/>
          <w:sz w:val="24"/>
          <w:szCs w:val="24"/>
          <w:rtl/>
        </w:rPr>
        <w:t xml:space="preserve"> ל</w:t>
      </w:r>
      <w:hyperlink r:id="rId44" w:history="1">
        <w:r w:rsidR="00C03D05" w:rsidRPr="00C03D05">
          <w:rPr>
            <w:rFonts w:ascii="David" w:hAnsi="David" w:cs="David"/>
            <w:color w:val="0000FF"/>
            <w:sz w:val="24"/>
            <w:szCs w:val="24"/>
            <w:u w:val="single"/>
            <w:rtl/>
          </w:rPr>
          <w:t>חוק העונשין</w:t>
        </w:r>
      </w:hyperlink>
      <w:r>
        <w:rPr>
          <w:rFonts w:ascii="David" w:hAnsi="David" w:cs="David"/>
          <w:color w:val="000000"/>
          <w:sz w:val="24"/>
          <w:szCs w:val="24"/>
          <w:rtl/>
        </w:rPr>
        <w:t xml:space="preserve">). </w:t>
      </w:r>
    </w:p>
    <w:p w14:paraId="2F66CEA9" w14:textId="77777777" w:rsidR="005C5A70" w:rsidRDefault="005C5A70" w:rsidP="005C5A70">
      <w:pPr>
        <w:pStyle w:val="aa"/>
        <w:spacing w:line="360" w:lineRule="auto"/>
        <w:ind w:left="360"/>
        <w:jc w:val="both"/>
        <w:rPr>
          <w:rFonts w:ascii="David" w:hAnsi="David" w:cs="David"/>
          <w:color w:val="000000"/>
          <w:sz w:val="24"/>
          <w:szCs w:val="24"/>
          <w:rtl/>
        </w:rPr>
      </w:pPr>
    </w:p>
    <w:p w14:paraId="16130915"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במקרה דנא, שוכנעתי כי הנאשם  השתקם, ועל כן יש להשית עליו עונש החורג לקולא ממתחם הענישה שנקבע לעיל. </w:t>
      </w:r>
    </w:p>
    <w:p w14:paraId="73501C61" w14:textId="77777777" w:rsidR="005C5A70" w:rsidRDefault="005C5A70" w:rsidP="005C5A70">
      <w:pPr>
        <w:pStyle w:val="aa"/>
        <w:spacing w:line="360" w:lineRule="auto"/>
        <w:ind w:left="360"/>
        <w:jc w:val="both"/>
        <w:rPr>
          <w:rFonts w:ascii="David" w:hAnsi="David" w:cs="David"/>
          <w:color w:val="000000"/>
          <w:sz w:val="24"/>
          <w:szCs w:val="24"/>
          <w:rtl/>
        </w:rPr>
      </w:pPr>
    </w:p>
    <w:p w14:paraId="635DA674" w14:textId="77777777" w:rsidR="005C5A70" w:rsidRDefault="005C5A70" w:rsidP="005C5A70">
      <w:pPr>
        <w:pStyle w:val="aa"/>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 xml:space="preserve">הנאשם הוא אדם הקרוב לגיל 70, באמתחתו עבר פלילי עשיר הכולל לא פחות מ- 22 הרשעות קודמות, בעבירות המאפיינות שימוש אינטנסיבי של אדם המכור באופן קשה לסמים מסוכנים. כך למשל, בשנת 1993 – לפני כ- 30 שנים, הורשע הנאשם בצריכת סמים ולאורך שנות ה- 90 של המאה הקודמת ביצע הנאשם עבירות סמים, רכוש, "שוטטות", ועוד. כך חי הנאשם, אורח חיים שולי ועברייני לאורך עשרות שנים, והכל נוכח התמכרותו לסמים  מסוכנים. </w:t>
      </w:r>
    </w:p>
    <w:p w14:paraId="1AC79BAA" w14:textId="77777777" w:rsidR="005C5A70" w:rsidRDefault="005C5A70" w:rsidP="005C5A70">
      <w:pPr>
        <w:pStyle w:val="aa"/>
        <w:rPr>
          <w:rFonts w:ascii="David" w:hAnsi="David" w:cs="David"/>
          <w:color w:val="000000"/>
          <w:sz w:val="24"/>
          <w:szCs w:val="24"/>
        </w:rPr>
      </w:pPr>
    </w:p>
    <w:p w14:paraId="76AB9555"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והנה, בתיק דנא, החליט הנאשם שמאס באורך החיים שהיה מנת חלקו רוב חייו, והוא החליט להיגמל מסמים, ולנסות לתעל את חייו לאפיק נורמטיבי. לטעמי, בגילו של הנאשם, ונוכח נסיבותיו ועברו, היה עליו לעבור משוכה גבוהה ביותר, אולי כמעט בלתי עבירה.  </w:t>
      </w:r>
    </w:p>
    <w:p w14:paraId="2F8CD025" w14:textId="77777777" w:rsidR="005C5A70" w:rsidRDefault="005C5A70" w:rsidP="005C5A70">
      <w:pPr>
        <w:pStyle w:val="aa"/>
        <w:rPr>
          <w:rFonts w:ascii="David" w:hAnsi="David" w:cs="David"/>
          <w:color w:val="000000"/>
          <w:sz w:val="24"/>
          <w:szCs w:val="24"/>
        </w:rPr>
      </w:pPr>
    </w:p>
    <w:p w14:paraId="4819F56E"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עוד אציין כי תסקיר שירות המבחן לימד שהנאשם הוא דר רחוב, התגורר שנים רבות במבנה נטוש באילת, שם סבל ממעגל העוני, ההתמכרות, והסמים. </w:t>
      </w:r>
    </w:p>
    <w:p w14:paraId="26E95C92" w14:textId="77777777" w:rsidR="005C5A70" w:rsidRDefault="005C5A70" w:rsidP="005C5A70">
      <w:pPr>
        <w:pStyle w:val="aa"/>
        <w:rPr>
          <w:rFonts w:ascii="David" w:hAnsi="David" w:cs="David"/>
          <w:color w:val="000000"/>
          <w:sz w:val="24"/>
          <w:szCs w:val="24"/>
        </w:rPr>
      </w:pPr>
    </w:p>
    <w:p w14:paraId="61911E2F"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הנאשם עשה מאמץ, שלטעמי מדובר במאמץ אדיר, והצליח להשתלב בקהילה טיפולית סגורה – ולהשלים שם את הטיפול עד תום (!!) לאחר 10 חודשים של שהות מוצלחת שם. גורמי הטיפול בקהילה מסרו כי הנאשם "מכבד את הכללים, מבצע משימות ומשתתף בפעילויות הקהילה...."; ובהמשך "לאורך תקופת שהותו בקהילה, מבחינה תפקודית ישעיהו כיבד את הצוות הטיפולי, עמד בכללי הקהילה ועשה את המוטל עליו.... היה אסיר תודה על שילובו בהליך טיפולי ויחד עם זאת בשל גילו וכוחות דלים, הוא התקשה להיפתח לאחרים בקהילה ויצר עמם קשרים שטחיים. לצד אלו צוין כי ישעיהו היה בעל מוטיבציה לטיפול, והיתה בו רוח חיובית ותקווה..."</w:t>
      </w:r>
    </w:p>
    <w:p w14:paraId="173FE66A" w14:textId="77777777" w:rsidR="005C5A70" w:rsidRDefault="005C5A70" w:rsidP="005C5A70">
      <w:pPr>
        <w:pStyle w:val="aa"/>
        <w:rPr>
          <w:rFonts w:ascii="David" w:hAnsi="David" w:cs="David"/>
          <w:color w:val="000000"/>
          <w:sz w:val="24"/>
          <w:szCs w:val="24"/>
        </w:rPr>
      </w:pPr>
    </w:p>
    <w:p w14:paraId="09773539"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שירות המבחן הוסיף "... מדובר בהליך טיפולי ארוך ומשמעותי, במסגרת סגורה, בעלת כללים נוקשים, אותו עבר לראשונה בחייו וזאת לאחר שנים רבות של אורח חיים התמכרותי. למרות הקשיים שנובעים מגילו, העדר תובנה מעמיקה של הטיפול המנטלי והעדר יכולת לערוך תהליכים מעמיקים, הוא הצליח לסיים את הטיפול.... ישעיהו ערך מאמצים כבירים לעמוד בדרישות הטיפול שארך כ 10 חודשים ועמד במרבית התנאים ודרישות הקהילה. עוד התרשמנו כי הנו מצליח לראות את התועלת מהטיפול ובצורך משמעותי לשימור הישגיו"</w:t>
      </w:r>
    </w:p>
    <w:p w14:paraId="3D416E79" w14:textId="77777777" w:rsidR="005C5A70" w:rsidRDefault="005C5A70" w:rsidP="005C5A70">
      <w:pPr>
        <w:pStyle w:val="aa"/>
        <w:rPr>
          <w:rFonts w:ascii="David" w:hAnsi="David" w:cs="David"/>
          <w:color w:val="000000"/>
          <w:sz w:val="24"/>
          <w:szCs w:val="24"/>
        </w:rPr>
      </w:pPr>
    </w:p>
    <w:p w14:paraId="1237FC97"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הנה כי כן, הנאשם, שהיה מכור עשרות שנים, הצליח, קרוב לגיל 70, לסיים טיפול בהצלחה בקהילה טיפולית סגורה – עניין שהוא קשה גם למי שאינו נושא עמו את נתוניו של הנאשם. שירות המבחן תאר כי סוכם עם הנאשם כי דרכו הטיפולית לאחר השהות בקהילה היא חזרה למגורים באילת, ושילובו בטיפול בבית חוסן לצד השתלבות בעבודה. </w:t>
      </w:r>
    </w:p>
    <w:p w14:paraId="08E1DE29" w14:textId="77777777" w:rsidR="005C5A70" w:rsidRDefault="005C5A70" w:rsidP="005C5A70">
      <w:pPr>
        <w:pStyle w:val="aa"/>
        <w:rPr>
          <w:rFonts w:ascii="David" w:hAnsi="David" w:cs="David"/>
          <w:color w:val="000000"/>
          <w:sz w:val="24"/>
          <w:szCs w:val="24"/>
        </w:rPr>
      </w:pPr>
    </w:p>
    <w:p w14:paraId="5C14924D"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ואכן, הנאשם שב לאילת, שולב בבית חוסן, מסר בדיקות שתן נקיות, ו- "לאורך תקופה מגלה אחריות, משתף פעולה עם התכנים בקבוצה (הטיפולית בה שולב, ג.א.), לוקח חלק פעיל באופן כנה ותורם לשיח הקבוצתי... ניכר שישעיהו הנו בעל מוטיבציה לשינוי התנהלות בחייו".</w:t>
      </w:r>
    </w:p>
    <w:p w14:paraId="1C3D71C9" w14:textId="77777777" w:rsidR="005C5A70" w:rsidRDefault="005C5A70" w:rsidP="005C5A70">
      <w:pPr>
        <w:pStyle w:val="aa"/>
        <w:rPr>
          <w:rFonts w:ascii="David" w:hAnsi="David" w:cs="David"/>
          <w:color w:val="000000"/>
          <w:sz w:val="24"/>
          <w:szCs w:val="24"/>
        </w:rPr>
      </w:pPr>
    </w:p>
    <w:p w14:paraId="7C42EF60"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שירות המבחן סיכם – " ... עמדה לנגד עינינו מחד, חומרת העבירה והשלכותיה על הסביבה. מנגד, לקחנו בחשבון מאדם מבוגר אשר עבר כברת דרך טיפולית שיקומית משמעותית לראשונה בחייו, לאחר שנים רבות של ניהול אורך חיים התמכרותי, אשר סיים בהצלחה רבה את הטיפול בקהילה ומבטא נכונות להמשיך לשמר את הישגיו באמצעות המשך טיפול במסגרת היחידה העירונית להתמכרויות. כן, לקחנו בחשבון את התייחסותו לעבירות, נטילת אחריות למעשיו, החרטה שביטא ואת העובדה כי לא נפתחו תיקי מב"ד חדשים מזה למעלה משנה". שירות המבחן הוסיף כי הטלת עונש מאסר על הנאשם, ולו בדרך של עבודות שירות עלולה "לפגוע בהליך השינוי והשיקום בו הוא מצוי". </w:t>
      </w:r>
    </w:p>
    <w:p w14:paraId="2EE64165" w14:textId="77777777" w:rsidR="005C5A70" w:rsidRDefault="005C5A70" w:rsidP="005C5A70">
      <w:pPr>
        <w:pStyle w:val="aa"/>
        <w:rPr>
          <w:rFonts w:ascii="David" w:hAnsi="David" w:cs="David"/>
          <w:color w:val="000000"/>
          <w:sz w:val="24"/>
          <w:szCs w:val="24"/>
        </w:rPr>
      </w:pPr>
    </w:p>
    <w:p w14:paraId="52677B8F"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לא נעלמו מעיני גם קשייו של הנאשם לאורך הדרך; למשל, הנאשם התקשה ליצור קשרים אישיים בקהילה, והתקשה לעבור שינוי "מעמיק", תוך ביטוי קשיים. עוד ראיתי את העובדה שהקהילה החליטה לסיים את הטיפול בנאשם זמן קצר לפני שעתיד היה לעזוב, וזאת נוכח התנהלות שחרגה מכללי הקהילה (לא פורט בדיוק מה קרה) "שכללה יציאה מהקהילה בניגוד להוראות הצוות". </w:t>
      </w:r>
    </w:p>
    <w:p w14:paraId="66FBFBCE" w14:textId="77777777" w:rsidR="005C5A70" w:rsidRDefault="005C5A70" w:rsidP="005C5A70">
      <w:pPr>
        <w:pStyle w:val="aa"/>
        <w:rPr>
          <w:rFonts w:ascii="David" w:hAnsi="David" w:cs="David"/>
          <w:color w:val="000000"/>
          <w:sz w:val="24"/>
          <w:szCs w:val="24"/>
        </w:rPr>
      </w:pPr>
    </w:p>
    <w:p w14:paraId="6BF80C63"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אכן, כל תהליך, קל וחומר מסוג זה שעבר הנאשם, מחייב עליות וגם מורדות; לטעמי, הקשיים שנלוו להליך השיקומי של הנאשם, לא חיבלו בו, ולא הפחיתו מהצלחתו. כאמור לעיל, אף שירות המבחן סבר כך. </w:t>
      </w:r>
    </w:p>
    <w:p w14:paraId="26002A27" w14:textId="77777777" w:rsidR="005C5A70" w:rsidRDefault="005C5A70" w:rsidP="005C5A70">
      <w:pPr>
        <w:pStyle w:val="aa"/>
        <w:rPr>
          <w:rFonts w:ascii="David" w:hAnsi="David" w:cs="David"/>
          <w:color w:val="000000"/>
          <w:sz w:val="24"/>
          <w:szCs w:val="24"/>
        </w:rPr>
      </w:pPr>
    </w:p>
    <w:p w14:paraId="6F5DDB21"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עוד הבאתי בחשבון את דבריו האחרונים של הנאשם, לעונש, במסגרתם הודה על כך שהיה עצור עד תום ההליכים נגדו, מה שאפשר לו להיגמל פיזית מהסמים המסוכנים. הנאשם שיתף את בית המשפט שהוא עלה על דרך, וכיום הוא בריא, ורוצה לשמור על הדרך אותה החל. </w:t>
      </w:r>
    </w:p>
    <w:p w14:paraId="7EAC6D55" w14:textId="77777777" w:rsidR="005C5A70" w:rsidRDefault="005C5A70" w:rsidP="005C5A70">
      <w:pPr>
        <w:pStyle w:val="aa"/>
        <w:rPr>
          <w:rFonts w:ascii="David" w:hAnsi="David" w:cs="David"/>
          <w:color w:val="000000"/>
          <w:sz w:val="24"/>
          <w:szCs w:val="24"/>
        </w:rPr>
      </w:pPr>
    </w:p>
    <w:p w14:paraId="37EB48E5"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דבריו של הנאשם השתלבו גם עם עמדת שירות המבחן, אשר תמכה בהמשך הליך שיקומו. </w:t>
      </w:r>
    </w:p>
    <w:p w14:paraId="58584C23" w14:textId="77777777" w:rsidR="005C5A70" w:rsidRDefault="005C5A70" w:rsidP="005C5A70">
      <w:pPr>
        <w:pStyle w:val="aa"/>
        <w:rPr>
          <w:rFonts w:ascii="David" w:hAnsi="David" w:cs="David"/>
          <w:color w:val="000000"/>
          <w:sz w:val="24"/>
          <w:szCs w:val="24"/>
        </w:rPr>
      </w:pPr>
    </w:p>
    <w:p w14:paraId="4E6DB77A" w14:textId="77777777" w:rsidR="005C5A70" w:rsidRDefault="005C5A70" w:rsidP="005C5A7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לא למותר לציין כי הענקתי משקל לקולא גם ללקיחת האחריות של הנאשם על מעשיו, והעובדה שמאז ועד היום, לא נפתחו לחובתו תיקים פליליים. </w:t>
      </w:r>
    </w:p>
    <w:p w14:paraId="62249836" w14:textId="77777777" w:rsidR="005C5A70" w:rsidRDefault="005C5A70" w:rsidP="005C5A70">
      <w:pPr>
        <w:pStyle w:val="aa"/>
        <w:rPr>
          <w:rFonts w:ascii="David" w:hAnsi="David" w:cs="David"/>
          <w:color w:val="000000"/>
          <w:sz w:val="24"/>
          <w:szCs w:val="24"/>
        </w:rPr>
      </w:pPr>
    </w:p>
    <w:p w14:paraId="30F0481A" w14:textId="77777777" w:rsidR="005C5A70" w:rsidRDefault="005C5A70" w:rsidP="005C5A70">
      <w:pPr>
        <w:pStyle w:val="aa"/>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 xml:space="preserve">ולבסוף, הנאשם שהה במעצר למעלה מארבעה חודשים (מיום 18.7.2022 ועד ליום 24.11.2022) ומשם כאמור עבר לקהילה הטיפולית "רוח במדבר" שם שהה כ- 10 חודשים. יש להתחשב אף בתקופת מעצרו בה המתין לשילובו בקהילה במהלכה לא אמר הנאשם נואש ובהחלט הצדיק את האמון שבית המשפט נתן בו.  </w:t>
      </w:r>
    </w:p>
    <w:p w14:paraId="0D0AEA49" w14:textId="77777777" w:rsidR="005C5A70" w:rsidRDefault="005C5A70" w:rsidP="005C5A70">
      <w:pPr>
        <w:pStyle w:val="aa"/>
        <w:rPr>
          <w:rFonts w:ascii="David" w:hAnsi="David" w:cs="David"/>
          <w:b/>
          <w:bCs/>
          <w:sz w:val="24"/>
          <w:szCs w:val="24"/>
          <w:u w:val="single"/>
          <w:lang w:eastAsia="he-IL"/>
        </w:rPr>
      </w:pPr>
    </w:p>
    <w:p w14:paraId="76CAA804" w14:textId="77777777" w:rsidR="005C5A70" w:rsidRDefault="005C5A70" w:rsidP="005C5A70">
      <w:pPr>
        <w:pStyle w:val="aa"/>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החלטתי שלא להשית על הנאשם מאסר, גם לאור עמדת שירות המבחן, כי עונש זה עלול לחבל במאמצי השיקום של הנאשם; סבורני כי המשך שיקומו של הנאשם יתרום גם לו, וגם לחברה ולאינטרס הציבורי.</w:t>
      </w:r>
      <w:r>
        <w:rPr>
          <w:rFonts w:ascii="David" w:hAnsi="David" w:cs="David"/>
          <w:b/>
          <w:bCs/>
          <w:sz w:val="24"/>
          <w:szCs w:val="24"/>
          <w:rtl/>
          <w:lang w:eastAsia="he-IL"/>
        </w:rPr>
        <w:t xml:space="preserve"> </w:t>
      </w:r>
      <w:r>
        <w:rPr>
          <w:rFonts w:ascii="David" w:hAnsi="David" w:cs="David"/>
          <w:sz w:val="24"/>
          <w:szCs w:val="24"/>
          <w:rtl/>
          <w:lang w:eastAsia="he-IL"/>
        </w:rPr>
        <w:t xml:space="preserve">עם זאת, מצאתי להטיל צו של"צ בהיקף נרחב יותר מהמומלץ שיהיה בו בכדי להעביר מסר חינוכי. </w:t>
      </w:r>
    </w:p>
    <w:p w14:paraId="579C95D1" w14:textId="77777777" w:rsidR="005C5A70" w:rsidRDefault="005C5A70" w:rsidP="005C5A70">
      <w:pPr>
        <w:pStyle w:val="aa"/>
        <w:rPr>
          <w:rFonts w:ascii="David" w:hAnsi="David" w:cs="David"/>
          <w:b/>
          <w:bCs/>
          <w:sz w:val="24"/>
          <w:szCs w:val="24"/>
          <w:u w:val="single"/>
          <w:lang w:eastAsia="he-IL"/>
        </w:rPr>
      </w:pPr>
    </w:p>
    <w:p w14:paraId="2D2C5037" w14:textId="77777777" w:rsidR="005C5A70" w:rsidRDefault="005C5A70" w:rsidP="005C5A70">
      <w:pPr>
        <w:pStyle w:val="aa"/>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 xml:space="preserve">אני מאחל לנאשם בהצלחה בדרכו השיקומית, ומעודד אותו להמשיכה. </w:t>
      </w:r>
    </w:p>
    <w:p w14:paraId="180E06EE" w14:textId="77777777" w:rsidR="005C5A70" w:rsidRDefault="005C5A70" w:rsidP="005C5A70">
      <w:pPr>
        <w:pStyle w:val="aa"/>
        <w:rPr>
          <w:rFonts w:ascii="David" w:hAnsi="David" w:cs="David"/>
          <w:b/>
          <w:bCs/>
          <w:sz w:val="24"/>
          <w:szCs w:val="24"/>
          <w:u w:val="single"/>
          <w:lang w:eastAsia="he-IL"/>
        </w:rPr>
      </w:pPr>
    </w:p>
    <w:p w14:paraId="6D2C8DBC" w14:textId="77777777" w:rsidR="005C5A70" w:rsidRDefault="005C5A70" w:rsidP="005C5A70">
      <w:pPr>
        <w:pStyle w:val="aa"/>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אשר על כן, אני משית על הנאשם את העונשים הבאים:</w:t>
      </w:r>
      <w:r>
        <w:rPr>
          <w:rFonts w:ascii="David" w:hAnsi="David" w:cs="David"/>
          <w:sz w:val="24"/>
          <w:szCs w:val="24"/>
          <w:lang w:eastAsia="he-IL"/>
        </w:rPr>
        <w:t xml:space="preserve"> </w:t>
      </w:r>
    </w:p>
    <w:p w14:paraId="614644C1" w14:textId="77777777" w:rsidR="005C5A70" w:rsidRDefault="005C5A70" w:rsidP="005C5A70">
      <w:pPr>
        <w:pStyle w:val="aa"/>
        <w:rPr>
          <w:rFonts w:ascii="David" w:hAnsi="David" w:cs="David"/>
          <w:b/>
          <w:bCs/>
          <w:sz w:val="24"/>
          <w:szCs w:val="24"/>
          <w:u w:val="single"/>
          <w:lang w:eastAsia="he-IL"/>
        </w:rPr>
      </w:pPr>
    </w:p>
    <w:p w14:paraId="5FC889D6" w14:textId="77777777" w:rsidR="005C5A70" w:rsidRPr="005C5A70" w:rsidRDefault="005C5A70" w:rsidP="005C5A70">
      <w:pPr>
        <w:numPr>
          <w:ilvl w:val="0"/>
          <w:numId w:val="2"/>
        </w:numPr>
        <w:spacing w:after="160" w:line="360" w:lineRule="auto"/>
        <w:contextualSpacing/>
        <w:jc w:val="both"/>
        <w:rPr>
          <w:rFonts w:ascii="David" w:eastAsia="Calibri" w:hAnsi="David"/>
          <w:color w:val="000000"/>
          <w:rtl/>
        </w:rPr>
      </w:pPr>
      <w:r w:rsidRPr="005C5A70">
        <w:rPr>
          <w:rFonts w:ascii="David" w:eastAsia="Calibri" w:hAnsi="David"/>
          <w:color w:val="000000"/>
          <w:rtl/>
        </w:rPr>
        <w:t xml:space="preserve">הנאשם יועמד בפיקוח שירות המבחן במסגרת צו מבחן למשך 6 חודשים, במהלכם ימשיך בטיפול ביחידה העירונית "בית חוסן" באילת. </w:t>
      </w:r>
    </w:p>
    <w:p w14:paraId="2B5CBBE6" w14:textId="77777777" w:rsidR="005C5A70" w:rsidRPr="005C5A70" w:rsidRDefault="005C5A70" w:rsidP="005C5A70">
      <w:pPr>
        <w:spacing w:after="160" w:line="256" w:lineRule="auto"/>
        <w:ind w:left="720"/>
        <w:contextualSpacing/>
        <w:rPr>
          <w:rFonts w:ascii="David" w:eastAsia="Calibri" w:hAnsi="David"/>
          <w:color w:val="000000"/>
        </w:rPr>
      </w:pPr>
    </w:p>
    <w:p w14:paraId="1FA12246" w14:textId="77777777" w:rsidR="005C5A70" w:rsidRPr="005C5A70" w:rsidRDefault="005C5A70" w:rsidP="005C5A70">
      <w:pPr>
        <w:numPr>
          <w:ilvl w:val="0"/>
          <w:numId w:val="2"/>
        </w:numPr>
        <w:spacing w:after="160" w:line="360" w:lineRule="auto"/>
        <w:contextualSpacing/>
        <w:jc w:val="both"/>
        <w:rPr>
          <w:rFonts w:ascii="David" w:eastAsia="Calibri" w:hAnsi="David"/>
          <w:color w:val="000000"/>
          <w:rtl/>
        </w:rPr>
      </w:pPr>
      <w:r w:rsidRPr="005C5A70">
        <w:rPr>
          <w:rFonts w:ascii="David" w:eastAsia="Calibri" w:hAnsi="David"/>
          <w:color w:val="000000"/>
          <w:rtl/>
        </w:rPr>
        <w:t>הנאשם יבצע צו שרות לתועלת הציבור בהיקף של 200 שעות, במסגרת מתנ"ס קולייר  באילת. אני מזהיר את הנאשם שאם לא ימלא אחר צו הפיקוח וצו השל"צ– יוחזר עניינו לבית המשפט, אז יוטל עליו עונש חלופי.</w:t>
      </w:r>
    </w:p>
    <w:p w14:paraId="03ACA85B" w14:textId="77777777" w:rsidR="005C5A70" w:rsidRPr="005C5A70" w:rsidRDefault="005C5A70" w:rsidP="005C5A70">
      <w:pPr>
        <w:spacing w:after="160" w:line="256" w:lineRule="auto"/>
        <w:ind w:left="720"/>
        <w:contextualSpacing/>
        <w:rPr>
          <w:rFonts w:ascii="David" w:eastAsia="Calibri" w:hAnsi="David"/>
          <w:color w:val="000000"/>
        </w:rPr>
      </w:pPr>
    </w:p>
    <w:p w14:paraId="11C36522" w14:textId="77777777" w:rsidR="005C5A70" w:rsidRPr="005C5A70" w:rsidRDefault="005C5A70" w:rsidP="005C5A70">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מאסר למשך 6 חודשים ואולם הנאשם לא ישא בעונש זה אלא אם יעבור על עבירת סמים מסוג פשע וזאת למשך 3 שנים מהיום. </w:t>
      </w:r>
    </w:p>
    <w:p w14:paraId="100B7410" w14:textId="77777777" w:rsidR="005C5A70" w:rsidRDefault="005C5A70" w:rsidP="005C5A70">
      <w:pPr>
        <w:pStyle w:val="aa"/>
        <w:spacing w:after="0" w:line="360" w:lineRule="auto"/>
        <w:jc w:val="both"/>
        <w:rPr>
          <w:rFonts w:ascii="David" w:hAnsi="David" w:cs="David"/>
          <w:sz w:val="24"/>
          <w:szCs w:val="24"/>
        </w:rPr>
      </w:pPr>
    </w:p>
    <w:p w14:paraId="227051D2" w14:textId="77777777" w:rsidR="005C5A70" w:rsidRDefault="005C5A70" w:rsidP="005C5A70">
      <w:pPr>
        <w:pStyle w:val="aa"/>
        <w:numPr>
          <w:ilvl w:val="0"/>
          <w:numId w:val="2"/>
        </w:numPr>
        <w:spacing w:after="0" w:line="360" w:lineRule="auto"/>
        <w:jc w:val="both"/>
        <w:rPr>
          <w:rFonts w:ascii="David" w:hAnsi="David" w:cs="David"/>
          <w:sz w:val="24"/>
          <w:szCs w:val="24"/>
        </w:rPr>
      </w:pPr>
      <w:r>
        <w:rPr>
          <w:rFonts w:ascii="David" w:hAnsi="David" w:cs="David"/>
          <w:sz w:val="24"/>
          <w:szCs w:val="24"/>
          <w:rtl/>
        </w:rPr>
        <w:t>מאסר למשך 2 חודשים ואולם הנאשם לא ישא בעונש זה אלא אם יעבור על עבירת סמים מסוג עוון וזאת למשך 3 שנים מהיום.</w:t>
      </w:r>
    </w:p>
    <w:p w14:paraId="49FFAE1E" w14:textId="77777777" w:rsidR="005C5A70" w:rsidRPr="007A3B71" w:rsidRDefault="005C5A70" w:rsidP="005C5A70">
      <w:pPr>
        <w:pStyle w:val="aa"/>
        <w:rPr>
          <w:rFonts w:ascii="David" w:hAnsi="David" w:cs="David"/>
          <w:sz w:val="24"/>
          <w:szCs w:val="24"/>
          <w:rtl/>
        </w:rPr>
      </w:pPr>
    </w:p>
    <w:p w14:paraId="70C7A404" w14:textId="77777777" w:rsidR="005C5A70" w:rsidRDefault="005C5A70" w:rsidP="005C5A70">
      <w:pPr>
        <w:pStyle w:val="aa"/>
        <w:numPr>
          <w:ilvl w:val="0"/>
          <w:numId w:val="2"/>
        </w:numPr>
        <w:spacing w:after="0" w:line="360" w:lineRule="auto"/>
        <w:jc w:val="both"/>
        <w:rPr>
          <w:rFonts w:ascii="David" w:hAnsi="David" w:cs="David"/>
          <w:sz w:val="24"/>
          <w:szCs w:val="24"/>
        </w:rPr>
      </w:pPr>
      <w:r>
        <w:rPr>
          <w:rFonts w:ascii="David" w:hAnsi="David" w:cs="David" w:hint="cs"/>
          <w:sz w:val="24"/>
          <w:szCs w:val="24"/>
          <w:rtl/>
        </w:rPr>
        <w:t xml:space="preserve">התחייבות להימנע מעבירה </w:t>
      </w:r>
      <w:r>
        <w:rPr>
          <w:rFonts w:ascii="David" w:hAnsi="David" w:cs="David"/>
          <w:sz w:val="24"/>
          <w:szCs w:val="24"/>
          <w:rtl/>
        </w:rPr>
        <w:t>–</w:t>
      </w:r>
      <w:r>
        <w:rPr>
          <w:rFonts w:ascii="David" w:hAnsi="David" w:cs="David" w:hint="cs"/>
          <w:sz w:val="24"/>
          <w:szCs w:val="24"/>
          <w:rtl/>
        </w:rPr>
        <w:t xml:space="preserve"> הנאשם יחתום על התחייבות בסך 2,000 ש"ח להימנע משך 3 שנים מעבירות בניגוד ל</w:t>
      </w:r>
      <w:hyperlink r:id="rId45" w:history="1">
        <w:r w:rsidR="00C03D05" w:rsidRPr="00C03D05">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p>
    <w:p w14:paraId="35EC159B" w14:textId="77777777" w:rsidR="005C5A70" w:rsidRDefault="005C5A70" w:rsidP="005C5A70">
      <w:pPr>
        <w:pStyle w:val="aa"/>
        <w:rPr>
          <w:rFonts w:ascii="David" w:hAnsi="David" w:cs="David"/>
          <w:sz w:val="24"/>
          <w:szCs w:val="24"/>
        </w:rPr>
      </w:pPr>
    </w:p>
    <w:p w14:paraId="3D05A15E" w14:textId="77777777" w:rsidR="005C5A70" w:rsidRPr="00737324" w:rsidRDefault="005C5A70" w:rsidP="005C5A70">
      <w:pPr>
        <w:pStyle w:val="aa"/>
        <w:numPr>
          <w:ilvl w:val="0"/>
          <w:numId w:val="2"/>
        </w:numPr>
        <w:spacing w:before="240" w:line="360" w:lineRule="auto"/>
        <w:jc w:val="both"/>
        <w:rPr>
          <w:rFonts w:ascii="David" w:hAnsi="David" w:cs="David"/>
          <w:sz w:val="24"/>
          <w:szCs w:val="24"/>
          <w:lang w:eastAsia="he-IL"/>
        </w:rPr>
      </w:pPr>
      <w:r w:rsidRPr="00737324">
        <w:rPr>
          <w:rFonts w:ascii="David" w:hAnsi="David" w:cs="David"/>
          <w:sz w:val="24"/>
          <w:szCs w:val="24"/>
          <w:rtl/>
        </w:rPr>
        <w:t xml:space="preserve">אני מכריז על הנאשם סוחר סמים ומורה על חילוט סך של 14,570 ₪ אשר נתפסו ברשותו וכן מכשיר טלפון סלולרי, ומשקל אלקטרוני. יתר המוצגים יושמדו/יוחזרו לבעליהם בהתאם לשיקול דעת המאשימה. </w:t>
      </w:r>
    </w:p>
    <w:p w14:paraId="1C0C669F" w14:textId="77777777" w:rsidR="005C5A70" w:rsidRDefault="005C5A70" w:rsidP="005C5A70">
      <w:pPr>
        <w:pStyle w:val="aa"/>
        <w:spacing w:before="240" w:line="360" w:lineRule="auto"/>
        <w:ind w:left="1080"/>
        <w:jc w:val="both"/>
        <w:rPr>
          <w:rFonts w:ascii="David" w:hAnsi="David" w:cs="David"/>
          <w:sz w:val="24"/>
          <w:szCs w:val="24"/>
          <w:rtl/>
          <w:lang w:eastAsia="he-IL"/>
        </w:rPr>
      </w:pPr>
    </w:p>
    <w:p w14:paraId="22C9A294" w14:textId="77777777" w:rsidR="005C5A70" w:rsidRDefault="005C5A70" w:rsidP="005C5A70">
      <w:r>
        <w:rPr>
          <w:rtl/>
        </w:rPr>
        <w:t xml:space="preserve">זכות ערעור לבית המשפט המחוזי בבאר שבע בתוך 45 ימים. </w:t>
      </w:r>
    </w:p>
    <w:p w14:paraId="2C6EBFD0" w14:textId="77777777" w:rsidR="005C5A70" w:rsidRPr="007E31B4" w:rsidRDefault="005C5A70" w:rsidP="005C5A70">
      <w:pPr>
        <w:rPr>
          <w:rFonts w:ascii="Arial" w:hAnsi="Arial"/>
          <w:b/>
          <w:bCs/>
          <w:sz w:val="26"/>
          <w:szCs w:val="26"/>
          <w:rtl/>
        </w:rPr>
      </w:pPr>
    </w:p>
    <w:p w14:paraId="2FC1634F" w14:textId="77777777" w:rsidR="005C5A70" w:rsidRPr="00C03D05" w:rsidRDefault="00C03D05" w:rsidP="005C5A70">
      <w:pPr>
        <w:rPr>
          <w:rFonts w:ascii="Arial" w:hAnsi="Arial"/>
          <w:b/>
          <w:bCs/>
          <w:color w:val="FFFFFF"/>
          <w:sz w:val="2"/>
          <w:szCs w:val="2"/>
          <w:rtl/>
        </w:rPr>
      </w:pPr>
      <w:r w:rsidRPr="00C03D05">
        <w:rPr>
          <w:rFonts w:ascii="Arial" w:hAnsi="Arial"/>
          <w:b/>
          <w:bCs/>
          <w:color w:val="FFFFFF"/>
          <w:sz w:val="2"/>
          <w:szCs w:val="2"/>
          <w:rtl/>
        </w:rPr>
        <w:t>5129371</w:t>
      </w:r>
    </w:p>
    <w:p w14:paraId="290B91E3" w14:textId="77777777" w:rsidR="005C5A70" w:rsidRPr="00C03D05" w:rsidRDefault="00C03D05" w:rsidP="005C5A70">
      <w:pPr>
        <w:rPr>
          <w:rFonts w:ascii="Arial" w:hAnsi="Arial"/>
          <w:b/>
          <w:bCs/>
          <w:color w:val="FFFFFF"/>
          <w:sz w:val="2"/>
          <w:szCs w:val="2"/>
          <w:rtl/>
        </w:rPr>
      </w:pPr>
      <w:r w:rsidRPr="00C03D05">
        <w:rPr>
          <w:rFonts w:ascii="Arial" w:hAnsi="Arial"/>
          <w:b/>
          <w:bCs/>
          <w:color w:val="FFFFFF"/>
          <w:sz w:val="2"/>
          <w:szCs w:val="2"/>
          <w:rtl/>
        </w:rPr>
        <w:t>54678313</w:t>
      </w:r>
    </w:p>
    <w:p w14:paraId="3BE8702E" w14:textId="77777777" w:rsidR="005C5A70" w:rsidRPr="000F2247" w:rsidRDefault="005C5A70" w:rsidP="005C5A70">
      <w:pPr>
        <w:rPr>
          <w:rFonts w:ascii="Arial" w:hAnsi="Arial"/>
          <w:b/>
          <w:bCs/>
          <w:sz w:val="26"/>
          <w:szCs w:val="26"/>
          <w:rtl/>
        </w:rPr>
      </w:pPr>
    </w:p>
    <w:p w14:paraId="5F246FD2" w14:textId="77777777" w:rsidR="005C5A70" w:rsidRPr="000F2247" w:rsidRDefault="00C03D05" w:rsidP="005C5A7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ב' תשפ"ד, 02 אפריל 2024, בנוכחות הצדדים. </w:t>
      </w:r>
      <w:bookmarkEnd w:id="8"/>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hint="cs"/>
          <w:b/>
          <w:bCs/>
          <w:sz w:val="26"/>
          <w:szCs w:val="26"/>
          <w:rtl/>
        </w:rPr>
        <w:t xml:space="preserve">         </w:t>
      </w:r>
    </w:p>
    <w:p w14:paraId="13E2C6B3" w14:textId="77777777" w:rsidR="005C5A70" w:rsidRPr="000F2247" w:rsidRDefault="005C5A70" w:rsidP="00C03D0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DED7AB8" w14:textId="77777777" w:rsidR="005C5A70" w:rsidRPr="000F2247" w:rsidRDefault="005C5A70" w:rsidP="005C5A70">
      <w:pPr>
        <w:jc w:val="center"/>
        <w:rPr>
          <w:rFonts w:ascii="Arial" w:hAnsi="Arial"/>
          <w:b/>
          <w:bCs/>
          <w:sz w:val="26"/>
          <w:szCs w:val="26"/>
          <w:rtl/>
        </w:rPr>
      </w:pPr>
    </w:p>
    <w:p w14:paraId="1A89DFCE" w14:textId="77777777" w:rsidR="00322241" w:rsidRPr="00C03D05" w:rsidRDefault="00322241" w:rsidP="00C03D05">
      <w:pPr>
        <w:keepNext/>
        <w:rPr>
          <w:rFonts w:ascii="David" w:hAnsi="David"/>
          <w:color w:val="000000"/>
          <w:sz w:val="22"/>
          <w:szCs w:val="22"/>
          <w:rtl/>
        </w:rPr>
      </w:pPr>
    </w:p>
    <w:p w14:paraId="365B9829" w14:textId="77777777" w:rsidR="00C03D05" w:rsidRPr="00C03D05" w:rsidRDefault="00C03D05" w:rsidP="00C03D05">
      <w:pPr>
        <w:keepNext/>
        <w:rPr>
          <w:rFonts w:ascii="David" w:hAnsi="David"/>
          <w:color w:val="000000"/>
          <w:sz w:val="22"/>
          <w:szCs w:val="22"/>
          <w:rtl/>
        </w:rPr>
      </w:pPr>
      <w:r w:rsidRPr="00C03D05">
        <w:rPr>
          <w:rFonts w:ascii="David" w:hAnsi="David"/>
          <w:color w:val="000000"/>
          <w:sz w:val="22"/>
          <w:szCs w:val="22"/>
          <w:rtl/>
        </w:rPr>
        <w:t>גיל אדלמן 54678313</w:t>
      </w:r>
    </w:p>
    <w:p w14:paraId="72E92AD1" w14:textId="77777777" w:rsidR="00C03D05" w:rsidRDefault="00C03D05" w:rsidP="00C03D05">
      <w:r w:rsidRPr="00C03D05">
        <w:rPr>
          <w:color w:val="000000"/>
          <w:rtl/>
        </w:rPr>
        <w:t>נוסח מסמך זה כפוף לשינויי ניסוח ועריכה</w:t>
      </w:r>
    </w:p>
    <w:p w14:paraId="761C9087" w14:textId="77777777" w:rsidR="00C03D05" w:rsidRDefault="00C03D05" w:rsidP="00C03D05">
      <w:pPr>
        <w:rPr>
          <w:rtl/>
        </w:rPr>
      </w:pPr>
    </w:p>
    <w:p w14:paraId="40E18DF1" w14:textId="77777777" w:rsidR="00C03D05" w:rsidRDefault="00C03D05" w:rsidP="00C03D0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80F3CFB" w14:textId="77777777" w:rsidR="00C03D05" w:rsidRPr="00C03D05" w:rsidRDefault="00C03D05" w:rsidP="00C03D05">
      <w:pPr>
        <w:jc w:val="center"/>
        <w:rPr>
          <w:color w:val="0000FF"/>
          <w:u w:val="single"/>
        </w:rPr>
      </w:pPr>
    </w:p>
    <w:sectPr w:rsidR="00C03D05" w:rsidRPr="00C03D05" w:rsidSect="00C03D0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4D60D" w14:textId="77777777" w:rsidR="005A04DC" w:rsidRDefault="005A04DC" w:rsidP="00676A34">
      <w:r>
        <w:separator/>
      </w:r>
    </w:p>
  </w:endnote>
  <w:endnote w:type="continuationSeparator" w:id="0">
    <w:p w14:paraId="2B2E7BC7" w14:textId="77777777" w:rsidR="005A04DC" w:rsidRDefault="005A04DC" w:rsidP="0067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C2C27" w14:textId="77777777" w:rsidR="00C03D05" w:rsidRDefault="00C03D05" w:rsidP="00C03D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C6A77D" w14:textId="77777777" w:rsidR="002109E6" w:rsidRPr="00C03D05" w:rsidRDefault="00C03D05" w:rsidP="00C03D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AA9F5" w14:textId="77777777" w:rsidR="00C03D05" w:rsidRDefault="00C03D05" w:rsidP="00C03D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6790">
      <w:rPr>
        <w:rFonts w:ascii="FrankRuehl" w:hAnsi="FrankRuehl" w:cs="FrankRuehl"/>
        <w:noProof/>
        <w:rtl/>
      </w:rPr>
      <w:t>1</w:t>
    </w:r>
    <w:r>
      <w:rPr>
        <w:rFonts w:ascii="FrankRuehl" w:hAnsi="FrankRuehl" w:cs="FrankRuehl"/>
        <w:rtl/>
      </w:rPr>
      <w:fldChar w:fldCharType="end"/>
    </w:r>
  </w:p>
  <w:p w14:paraId="45B6F000" w14:textId="77777777" w:rsidR="002109E6" w:rsidRPr="00C03D05" w:rsidRDefault="00C03D05" w:rsidP="00C03D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2985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CDD05" w14:textId="77777777" w:rsidR="005A04DC" w:rsidRDefault="005A04DC" w:rsidP="00676A34">
      <w:r>
        <w:separator/>
      </w:r>
    </w:p>
  </w:footnote>
  <w:footnote w:type="continuationSeparator" w:id="0">
    <w:p w14:paraId="69434246" w14:textId="77777777" w:rsidR="005A04DC" w:rsidRDefault="005A04DC" w:rsidP="00676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0B9BE" w14:textId="77777777" w:rsidR="00C03D05" w:rsidRPr="00C03D05" w:rsidRDefault="00C03D05" w:rsidP="00C03D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1062-08-22</w:t>
    </w:r>
    <w:r>
      <w:rPr>
        <w:rFonts w:ascii="David" w:hAnsi="David"/>
        <w:color w:val="000000"/>
        <w:sz w:val="22"/>
        <w:szCs w:val="22"/>
        <w:rtl/>
      </w:rPr>
      <w:tab/>
      <w:t xml:space="preserve"> מדינת ישראל נ' ישעיה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74FF7" w14:textId="77777777" w:rsidR="00C03D05" w:rsidRPr="00C03D05" w:rsidRDefault="00C03D05" w:rsidP="00C03D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1062-08-22</w:t>
    </w:r>
    <w:r>
      <w:rPr>
        <w:rFonts w:ascii="David" w:hAnsi="David"/>
        <w:color w:val="000000"/>
        <w:sz w:val="22"/>
        <w:szCs w:val="22"/>
        <w:rtl/>
      </w:rPr>
      <w:tab/>
      <w:t xml:space="preserve"> מדינת ישראל נ' ישעיה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AA7"/>
    <w:multiLevelType w:val="hybridMultilevel"/>
    <w:tmpl w:val="C80E74C4"/>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1FE5FFA"/>
    <w:multiLevelType w:val="hybridMultilevel"/>
    <w:tmpl w:val="794AADCC"/>
    <w:lvl w:ilvl="0" w:tplc="412EFA12">
      <w:start w:val="1"/>
      <w:numFmt w:val="decimal"/>
      <w:lvlText w:val="%1."/>
      <w:lvlJc w:val="left"/>
      <w:pPr>
        <w:ind w:left="360" w:hanging="360"/>
      </w:pPr>
      <w:rPr>
        <w:rFonts w:ascii="David" w:hAnsi="David" w:cs="David" w:hint="default"/>
        <w:b w:val="0"/>
        <w:bCs w:val="0"/>
        <w:color w:val="auto"/>
        <w:sz w:val="24"/>
        <w:szCs w:val="24"/>
      </w:rPr>
    </w:lvl>
    <w:lvl w:ilvl="1" w:tplc="1E1A24C4">
      <w:start w:val="1"/>
      <w:numFmt w:val="hebrew1"/>
      <w:lvlText w:val="%2."/>
      <w:lvlJc w:val="center"/>
      <w:pPr>
        <w:ind w:left="1080" w:hanging="360"/>
      </w:pPr>
    </w:lvl>
    <w:lvl w:ilvl="2" w:tplc="F9CA3E62">
      <w:start w:val="1"/>
      <w:numFmt w:val="lowerRoman"/>
      <w:lvlText w:val="%3."/>
      <w:lvlJc w:val="right"/>
      <w:pPr>
        <w:ind w:left="1800" w:hanging="180"/>
      </w:pPr>
    </w:lvl>
    <w:lvl w:ilvl="3" w:tplc="81505B2A">
      <w:start w:val="1"/>
      <w:numFmt w:val="decimal"/>
      <w:lvlText w:val="%4."/>
      <w:lvlJc w:val="left"/>
      <w:pPr>
        <w:ind w:left="2520" w:hanging="360"/>
      </w:pPr>
    </w:lvl>
    <w:lvl w:ilvl="4" w:tplc="E2A436AC">
      <w:start w:val="1"/>
      <w:numFmt w:val="lowerLetter"/>
      <w:lvlText w:val="%5."/>
      <w:lvlJc w:val="left"/>
      <w:pPr>
        <w:ind w:left="3240" w:hanging="360"/>
      </w:pPr>
    </w:lvl>
    <w:lvl w:ilvl="5" w:tplc="C5CA5A9A">
      <w:start w:val="1"/>
      <w:numFmt w:val="lowerRoman"/>
      <w:lvlText w:val="%6."/>
      <w:lvlJc w:val="right"/>
      <w:pPr>
        <w:ind w:left="3960" w:hanging="180"/>
      </w:pPr>
    </w:lvl>
    <w:lvl w:ilvl="6" w:tplc="2A30CDCC">
      <w:start w:val="1"/>
      <w:numFmt w:val="decimal"/>
      <w:lvlText w:val="%7."/>
      <w:lvlJc w:val="left"/>
      <w:pPr>
        <w:ind w:left="4680" w:hanging="360"/>
      </w:pPr>
    </w:lvl>
    <w:lvl w:ilvl="7" w:tplc="A6627644">
      <w:start w:val="1"/>
      <w:numFmt w:val="lowerLetter"/>
      <w:lvlText w:val="%8."/>
      <w:lvlJc w:val="left"/>
      <w:pPr>
        <w:ind w:left="5400" w:hanging="360"/>
      </w:pPr>
    </w:lvl>
    <w:lvl w:ilvl="8" w:tplc="6954396E">
      <w:start w:val="1"/>
      <w:numFmt w:val="lowerRoman"/>
      <w:lvlText w:val="%9."/>
      <w:lvlJc w:val="right"/>
      <w:pPr>
        <w:ind w:left="6120" w:hanging="180"/>
      </w:pPr>
    </w:lvl>
  </w:abstractNum>
  <w:num w:numId="1" w16cid:durableId="725615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05616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5A70"/>
    <w:rsid w:val="000F2747"/>
    <w:rsid w:val="001B5A3B"/>
    <w:rsid w:val="002109E6"/>
    <w:rsid w:val="00260970"/>
    <w:rsid w:val="002E6901"/>
    <w:rsid w:val="00322241"/>
    <w:rsid w:val="00474743"/>
    <w:rsid w:val="005021F0"/>
    <w:rsid w:val="005A04DC"/>
    <w:rsid w:val="005C5A70"/>
    <w:rsid w:val="006607D9"/>
    <w:rsid w:val="00676A34"/>
    <w:rsid w:val="00821F54"/>
    <w:rsid w:val="00936790"/>
    <w:rsid w:val="00C03D05"/>
    <w:rsid w:val="00C619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EFCB46"/>
  <w15:chartTrackingRefBased/>
  <w15:docId w15:val="{0DFE889A-32EF-4893-B3C9-85D047F6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5A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5A70"/>
    <w:pPr>
      <w:tabs>
        <w:tab w:val="center" w:pos="4153"/>
        <w:tab w:val="right" w:pos="8306"/>
      </w:tabs>
    </w:pPr>
  </w:style>
  <w:style w:type="character" w:customStyle="1" w:styleId="a4">
    <w:name w:val="כותרת עליונה תו"/>
    <w:link w:val="a3"/>
    <w:rsid w:val="005C5A70"/>
    <w:rPr>
      <w:rFonts w:ascii="Times New Roman" w:eastAsia="Times New Roman" w:hAnsi="Times New Roman" w:cs="David"/>
      <w:sz w:val="24"/>
      <w:szCs w:val="24"/>
    </w:rPr>
  </w:style>
  <w:style w:type="paragraph" w:styleId="a5">
    <w:name w:val="footer"/>
    <w:basedOn w:val="a"/>
    <w:link w:val="a6"/>
    <w:rsid w:val="005C5A70"/>
    <w:pPr>
      <w:tabs>
        <w:tab w:val="center" w:pos="4153"/>
        <w:tab w:val="right" w:pos="8306"/>
      </w:tabs>
    </w:pPr>
  </w:style>
  <w:style w:type="character" w:customStyle="1" w:styleId="a6">
    <w:name w:val="כותרת תחתונה תו"/>
    <w:link w:val="a5"/>
    <w:rsid w:val="005C5A70"/>
    <w:rPr>
      <w:rFonts w:ascii="Times New Roman" w:eastAsia="Times New Roman" w:hAnsi="Times New Roman" w:cs="David"/>
      <w:sz w:val="24"/>
      <w:szCs w:val="24"/>
    </w:rPr>
  </w:style>
  <w:style w:type="table" w:styleId="a7">
    <w:name w:val="Table Grid"/>
    <w:basedOn w:val="a1"/>
    <w:rsid w:val="005C5A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5A70"/>
  </w:style>
  <w:style w:type="character" w:customStyle="1" w:styleId="a9">
    <w:name w:val="פיסקת רשימה תו"/>
    <w:link w:val="aa"/>
    <w:locked/>
    <w:rsid w:val="005C5A70"/>
  </w:style>
  <w:style w:type="paragraph" w:styleId="aa">
    <w:name w:val="List Paragraph"/>
    <w:basedOn w:val="a"/>
    <w:link w:val="a9"/>
    <w:qFormat/>
    <w:rsid w:val="005C5A70"/>
    <w:pPr>
      <w:spacing w:after="160" w:line="254" w:lineRule="auto"/>
      <w:ind w:left="720"/>
      <w:contextualSpacing/>
    </w:pPr>
    <w:rPr>
      <w:rFonts w:ascii="Calibri" w:eastAsia="Calibri" w:hAnsi="Calibri" w:cs="Arial"/>
      <w:sz w:val="22"/>
      <w:szCs w:val="22"/>
    </w:rPr>
  </w:style>
  <w:style w:type="character" w:styleId="Hyperlink">
    <w:name w:val="Hyperlink"/>
    <w:rsid w:val="00C03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793360"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0009419" TargetMode="External"/><Relationship Id="rId42" Type="http://schemas.openxmlformats.org/officeDocument/2006/relationships/hyperlink" Target="http://www.nevo.co.il/case/2000941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9345893"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738608"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47633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4971234" TargetMode="External"/><Relationship Id="rId36" Type="http://schemas.openxmlformats.org/officeDocument/2006/relationships/hyperlink" Target="http://www.nevo.co.il/case/21473565"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70301/40d"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504856" TargetMode="External"/><Relationship Id="rId30" Type="http://schemas.openxmlformats.org/officeDocument/2006/relationships/hyperlink" Target="http://www.nevo.co.il/case/23607236" TargetMode="External"/><Relationship Id="rId35" Type="http://schemas.openxmlformats.org/officeDocument/2006/relationships/hyperlink" Target="http://www.nevo.co.il/case/20009419" TargetMode="External"/><Relationship Id="rId43" Type="http://schemas.openxmlformats.org/officeDocument/2006/relationships/hyperlink" Target="http://www.nevo.co.il/law/70301/40ja"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case/22938500" TargetMode="External"/><Relationship Id="rId38" Type="http://schemas.openxmlformats.org/officeDocument/2006/relationships/hyperlink" Target="http://www.nevo.co.il/case/23129184"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560139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3369</Words>
  <Characters>16849</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20178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3801200</vt:i4>
      </vt:variant>
      <vt:variant>
        <vt:i4>105</vt:i4>
      </vt:variant>
      <vt:variant>
        <vt:i4>0</vt:i4>
      </vt:variant>
      <vt:variant>
        <vt:i4>5</vt:i4>
      </vt:variant>
      <vt:variant>
        <vt:lpwstr>http://www.nevo.co.il/case/20009419</vt:lpwstr>
      </vt:variant>
      <vt:variant>
        <vt:lpwstr/>
      </vt:variant>
      <vt:variant>
        <vt:i4>3276922</vt:i4>
      </vt:variant>
      <vt:variant>
        <vt:i4>102</vt:i4>
      </vt:variant>
      <vt:variant>
        <vt:i4>0</vt:i4>
      </vt:variant>
      <vt:variant>
        <vt:i4>5</vt:i4>
      </vt:variant>
      <vt:variant>
        <vt:lpwstr>http://www.nevo.co.il/case/5601394</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3276916</vt:i4>
      </vt:variant>
      <vt:variant>
        <vt:i4>93</vt:i4>
      </vt:variant>
      <vt:variant>
        <vt:i4>0</vt:i4>
      </vt:variant>
      <vt:variant>
        <vt:i4>5</vt:i4>
      </vt:variant>
      <vt:variant>
        <vt:lpwstr>http://www.nevo.co.il/case/23129184</vt:lpwstr>
      </vt:variant>
      <vt:variant>
        <vt:lpwstr/>
      </vt:variant>
      <vt:variant>
        <vt:i4>3342449</vt:i4>
      </vt:variant>
      <vt:variant>
        <vt:i4>90</vt:i4>
      </vt:variant>
      <vt:variant>
        <vt:i4>0</vt:i4>
      </vt:variant>
      <vt:variant>
        <vt:i4>5</vt:i4>
      </vt:variant>
      <vt:variant>
        <vt:lpwstr>http://www.nevo.co.il/case/21476337</vt:lpwstr>
      </vt:variant>
      <vt:variant>
        <vt:lpwstr/>
      </vt:variant>
      <vt:variant>
        <vt:i4>3342455</vt:i4>
      </vt:variant>
      <vt:variant>
        <vt:i4>87</vt:i4>
      </vt:variant>
      <vt:variant>
        <vt:i4>0</vt:i4>
      </vt:variant>
      <vt:variant>
        <vt:i4>5</vt:i4>
      </vt:variant>
      <vt:variant>
        <vt:lpwstr>http://www.nevo.co.il/case/21473565</vt:lpwstr>
      </vt:variant>
      <vt:variant>
        <vt:lpwstr/>
      </vt:variant>
      <vt:variant>
        <vt:i4>3801200</vt:i4>
      </vt:variant>
      <vt:variant>
        <vt:i4>84</vt:i4>
      </vt:variant>
      <vt:variant>
        <vt:i4>0</vt:i4>
      </vt:variant>
      <vt:variant>
        <vt:i4>5</vt:i4>
      </vt:variant>
      <vt:variant>
        <vt:lpwstr>http://www.nevo.co.il/case/20009419</vt:lpwstr>
      </vt:variant>
      <vt:variant>
        <vt:lpwstr/>
      </vt:variant>
      <vt:variant>
        <vt:i4>3801200</vt:i4>
      </vt:variant>
      <vt:variant>
        <vt:i4>81</vt:i4>
      </vt:variant>
      <vt:variant>
        <vt:i4>0</vt:i4>
      </vt:variant>
      <vt:variant>
        <vt:i4>5</vt:i4>
      </vt:variant>
      <vt:variant>
        <vt:lpwstr>http://www.nevo.co.il/case/20009419</vt:lpwstr>
      </vt:variant>
      <vt:variant>
        <vt:lpwstr/>
      </vt:variant>
      <vt:variant>
        <vt:i4>3342448</vt:i4>
      </vt:variant>
      <vt:variant>
        <vt:i4>78</vt:i4>
      </vt:variant>
      <vt:variant>
        <vt:i4>0</vt:i4>
      </vt:variant>
      <vt:variant>
        <vt:i4>5</vt:i4>
      </vt:variant>
      <vt:variant>
        <vt:lpwstr>http://www.nevo.co.il/case/22938500</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3145845</vt:i4>
      </vt:variant>
      <vt:variant>
        <vt:i4>69</vt:i4>
      </vt:variant>
      <vt:variant>
        <vt:i4>0</vt:i4>
      </vt:variant>
      <vt:variant>
        <vt:i4>5</vt:i4>
      </vt:variant>
      <vt:variant>
        <vt:lpwstr>http://www.nevo.co.il/case/23607236</vt:lpwstr>
      </vt:variant>
      <vt:variant>
        <vt:lpwstr/>
      </vt:variant>
      <vt:variant>
        <vt:i4>3997809</vt:i4>
      </vt:variant>
      <vt:variant>
        <vt:i4>66</vt:i4>
      </vt:variant>
      <vt:variant>
        <vt:i4>0</vt:i4>
      </vt:variant>
      <vt:variant>
        <vt:i4>5</vt:i4>
      </vt:variant>
      <vt:variant>
        <vt:lpwstr>http://www.nevo.co.il/case/29345893</vt:lpwstr>
      </vt:variant>
      <vt:variant>
        <vt:lpwstr/>
      </vt:variant>
      <vt:variant>
        <vt:i4>3735669</vt:i4>
      </vt:variant>
      <vt:variant>
        <vt:i4>63</vt:i4>
      </vt:variant>
      <vt:variant>
        <vt:i4>0</vt:i4>
      </vt:variant>
      <vt:variant>
        <vt:i4>5</vt:i4>
      </vt:variant>
      <vt:variant>
        <vt:lpwstr>http://www.nevo.co.il/case/24971234</vt:lpwstr>
      </vt:variant>
      <vt:variant>
        <vt:lpwstr/>
      </vt:variant>
      <vt:variant>
        <vt:i4>3539066</vt:i4>
      </vt:variant>
      <vt:variant>
        <vt:i4>60</vt:i4>
      </vt:variant>
      <vt:variant>
        <vt:i4>0</vt:i4>
      </vt:variant>
      <vt:variant>
        <vt:i4>5</vt:i4>
      </vt:variant>
      <vt:variant>
        <vt:lpwstr>http://www.nevo.co.il/case/26504856</vt:lpwstr>
      </vt:variant>
      <vt:variant>
        <vt:lpwstr/>
      </vt:variant>
      <vt:variant>
        <vt:i4>3342454</vt:i4>
      </vt:variant>
      <vt:variant>
        <vt:i4>57</vt:i4>
      </vt:variant>
      <vt:variant>
        <vt:i4>0</vt:i4>
      </vt:variant>
      <vt:variant>
        <vt:i4>5</vt:i4>
      </vt:variant>
      <vt:variant>
        <vt:lpwstr>http://www.nevo.co.il/case/18793360</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1062</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ישעיה דהן</vt:lpwstr>
  </property>
  <property fmtid="{D5CDD505-2E9C-101B-9397-08002B2CF9AE}" pid="10" name="LAWYER">
    <vt:lpwstr>שירלי הדר;ליז זמור</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20240402</vt:lpwstr>
  </property>
  <property fmtid="{D5CDD505-2E9C-101B-9397-08002B2CF9AE}" pid="14" name="TYPE_N_DATE">
    <vt:lpwstr>38020240402</vt:lpwstr>
  </property>
  <property fmtid="{D5CDD505-2E9C-101B-9397-08002B2CF9AE}" pid="15" name="WORDNUMPAGES">
    <vt:lpwstr>11</vt:lpwstr>
  </property>
  <property fmtid="{D5CDD505-2E9C-101B-9397-08002B2CF9AE}" pid="16" name="TYPE_ABS_DATE">
    <vt:lpwstr>380020240402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13093721;5738608;21477472;18793360;26504856;24971234;29345893;23607236;22938500;20009419:3;21473565;21476337;23129184;5601394</vt:lpwstr>
  </property>
  <property fmtid="{D5CDD505-2E9C-101B-9397-08002B2CF9AE}" pid="36" name="LAWLISTTMP1">
    <vt:lpwstr>4216/007.a;007.c;013;019a</vt:lpwstr>
  </property>
  <property fmtid="{D5CDD505-2E9C-101B-9397-08002B2CF9AE}" pid="37" name="LAWLISTTMP2">
    <vt:lpwstr>70301/040i;040d:2;40ja</vt:lpwstr>
  </property>
</Properties>
</file>