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5"/>
        <w:gridCol w:w="3578"/>
      </w:tblGrid>
      <w:tr w:rsidR="003955CC" w:rsidRPr="00445B07" w14:paraId="11F68C4E" w14:textId="77777777" w:rsidTr="001C0673">
        <w:trPr>
          <w:trHeight w:hRule="exact" w:val="418"/>
          <w:jc w:val="center"/>
        </w:trPr>
        <w:tc>
          <w:tcPr>
            <w:tcW w:w="8523" w:type="dxa"/>
            <w:gridSpan w:val="2"/>
          </w:tcPr>
          <w:p w14:paraId="6E92D4B1" w14:textId="77777777" w:rsidR="003955CC" w:rsidRPr="00445B07" w:rsidRDefault="003955CC" w:rsidP="002B29D5">
            <w:pPr>
              <w:pStyle w:val="a3"/>
              <w:jc w:val="center"/>
              <w:rPr>
                <w:rFonts w:ascii="Tahoma" w:hAnsi="Tahoma"/>
                <w:color w:val="000080"/>
                <w:sz w:val="32"/>
                <w:szCs w:val="32"/>
                <w:rtl/>
              </w:rPr>
            </w:pPr>
            <w:r w:rsidRPr="00445B07">
              <w:rPr>
                <w:rFonts w:ascii="Tahoma" w:hAnsi="Tahoma"/>
                <w:b/>
                <w:bCs/>
                <w:color w:val="000080"/>
                <w:sz w:val="32"/>
                <w:szCs w:val="32"/>
                <w:rtl/>
              </w:rPr>
              <w:t>בית משפט השלום בתל אביב -יפו</w:t>
            </w:r>
          </w:p>
        </w:tc>
      </w:tr>
      <w:tr w:rsidR="003955CC" w:rsidRPr="00445B07" w14:paraId="3DF3A6E1" w14:textId="77777777" w:rsidTr="001C0673">
        <w:trPr>
          <w:trHeight w:val="337"/>
          <w:jc w:val="center"/>
        </w:trPr>
        <w:tc>
          <w:tcPr>
            <w:tcW w:w="4945" w:type="dxa"/>
          </w:tcPr>
          <w:p w14:paraId="3A714582" w14:textId="77777777" w:rsidR="003955CC" w:rsidRPr="00445B07" w:rsidRDefault="003955CC" w:rsidP="002B29D5">
            <w:pPr>
              <w:rPr>
                <w:sz w:val="26"/>
                <w:szCs w:val="26"/>
                <w:rtl/>
              </w:rPr>
            </w:pPr>
            <w:r w:rsidRPr="00445B07">
              <w:rPr>
                <w:sz w:val="26"/>
                <w:szCs w:val="26"/>
                <w:rtl/>
              </w:rPr>
              <w:t>ת"פ</w:t>
            </w:r>
            <w:r w:rsidRPr="00445B07">
              <w:rPr>
                <w:rFonts w:hint="cs"/>
                <w:sz w:val="26"/>
                <w:szCs w:val="26"/>
                <w:rtl/>
              </w:rPr>
              <w:t xml:space="preserve"> </w:t>
            </w:r>
            <w:r w:rsidRPr="00445B07">
              <w:rPr>
                <w:sz w:val="26"/>
                <w:szCs w:val="26"/>
                <w:rtl/>
              </w:rPr>
              <w:t>21724-08-22</w:t>
            </w:r>
            <w:r w:rsidRPr="00445B07">
              <w:rPr>
                <w:rFonts w:hint="cs"/>
                <w:sz w:val="26"/>
                <w:szCs w:val="26"/>
                <w:rtl/>
              </w:rPr>
              <w:t xml:space="preserve"> </w:t>
            </w:r>
            <w:r w:rsidRPr="00445B07">
              <w:rPr>
                <w:sz w:val="26"/>
                <w:szCs w:val="26"/>
                <w:rtl/>
              </w:rPr>
              <w:t>מדינת ישראל נ' ראובן</w:t>
            </w:r>
          </w:p>
        </w:tc>
        <w:tc>
          <w:tcPr>
            <w:tcW w:w="3578" w:type="dxa"/>
          </w:tcPr>
          <w:p w14:paraId="26845668" w14:textId="77777777" w:rsidR="003955CC" w:rsidRPr="00445B07" w:rsidRDefault="003955CC" w:rsidP="002B29D5">
            <w:pPr>
              <w:pStyle w:val="a3"/>
              <w:jc w:val="right"/>
              <w:rPr>
                <w:rFonts w:cs="FrankRuehl"/>
                <w:sz w:val="28"/>
                <w:szCs w:val="28"/>
                <w:rtl/>
              </w:rPr>
            </w:pPr>
          </w:p>
        </w:tc>
      </w:tr>
    </w:tbl>
    <w:p w14:paraId="4755CA13" w14:textId="77777777" w:rsidR="003955CC" w:rsidRPr="00445B07" w:rsidRDefault="003955CC" w:rsidP="001C0673">
      <w:pPr>
        <w:pStyle w:val="a3"/>
        <w:rPr>
          <w:rtl/>
        </w:rPr>
      </w:pPr>
      <w:r w:rsidRPr="00445B07">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4224"/>
        <w:gridCol w:w="3401"/>
      </w:tblGrid>
      <w:tr w:rsidR="003955CC" w:rsidRPr="00445B07" w14:paraId="50CCA575" w14:textId="77777777" w:rsidTr="003955CC">
        <w:trPr>
          <w:trHeight w:val="295"/>
          <w:jc w:val="center"/>
        </w:trPr>
        <w:tc>
          <w:tcPr>
            <w:tcW w:w="8820" w:type="dxa"/>
            <w:gridSpan w:val="3"/>
            <w:tcBorders>
              <w:top w:val="nil"/>
              <w:left w:val="nil"/>
              <w:bottom w:val="nil"/>
              <w:right w:val="nil"/>
            </w:tcBorders>
            <w:shd w:val="clear" w:color="auto" w:fill="auto"/>
          </w:tcPr>
          <w:p w14:paraId="4136078E" w14:textId="77777777" w:rsidR="003955CC" w:rsidRPr="00445B07" w:rsidRDefault="003955CC" w:rsidP="003955CC">
            <w:pPr>
              <w:jc w:val="both"/>
              <w:rPr>
                <w:rFonts w:ascii="Arial" w:hAnsi="Arial"/>
                <w:b/>
                <w:bCs/>
                <w:sz w:val="26"/>
                <w:szCs w:val="26"/>
              </w:rPr>
            </w:pPr>
            <w:r w:rsidRPr="00445B07">
              <w:rPr>
                <w:rFonts w:ascii="Arial" w:hAnsi="Arial" w:hint="cs"/>
                <w:b/>
                <w:bCs/>
                <w:sz w:val="26"/>
                <w:szCs w:val="26"/>
                <w:rtl/>
              </w:rPr>
              <w:t>ל</w:t>
            </w:r>
            <w:r w:rsidRPr="00445B07">
              <w:rPr>
                <w:rFonts w:ascii="Arial" w:hAnsi="Arial"/>
                <w:b/>
                <w:bCs/>
                <w:sz w:val="26"/>
                <w:szCs w:val="26"/>
                <w:rtl/>
              </w:rPr>
              <w:t xml:space="preserve">פני </w:t>
            </w:r>
            <w:r w:rsidRPr="00445B07">
              <w:rPr>
                <w:b/>
                <w:bCs/>
                <w:sz w:val="26"/>
                <w:szCs w:val="26"/>
                <w:rtl/>
              </w:rPr>
              <w:t>כב' השופטת נעה תבור, סגנית הנשיא</w:t>
            </w:r>
          </w:p>
        </w:tc>
      </w:tr>
      <w:tr w:rsidR="003955CC" w:rsidRPr="00445B07" w14:paraId="0B67539F" w14:textId="77777777" w:rsidTr="003955CC">
        <w:trPr>
          <w:trHeight w:val="355"/>
          <w:jc w:val="center"/>
        </w:trPr>
        <w:tc>
          <w:tcPr>
            <w:tcW w:w="885" w:type="dxa"/>
            <w:tcBorders>
              <w:top w:val="nil"/>
              <w:left w:val="nil"/>
              <w:bottom w:val="nil"/>
              <w:right w:val="nil"/>
            </w:tcBorders>
            <w:shd w:val="clear" w:color="auto" w:fill="auto"/>
          </w:tcPr>
          <w:p w14:paraId="55F44F4C" w14:textId="77777777" w:rsidR="003955CC" w:rsidRPr="00445B07" w:rsidRDefault="003955CC" w:rsidP="003955CC">
            <w:pPr>
              <w:jc w:val="both"/>
              <w:rPr>
                <w:rFonts w:ascii="Arial" w:hAnsi="Arial"/>
                <w:b/>
                <w:bCs/>
                <w:sz w:val="26"/>
                <w:szCs w:val="26"/>
              </w:rPr>
            </w:pPr>
            <w:bookmarkStart w:id="0" w:name="FirstAppellant"/>
            <w:bookmarkStart w:id="1" w:name="LastJudge"/>
            <w:bookmarkEnd w:id="1"/>
            <w:r w:rsidRPr="00445B07">
              <w:rPr>
                <w:rFonts w:ascii="Arial" w:hAnsi="Arial" w:hint="cs"/>
                <w:sz w:val="26"/>
                <w:szCs w:val="26"/>
                <w:rtl/>
              </w:rPr>
              <w:t>ה</w:t>
            </w:r>
            <w:r w:rsidRPr="00445B07">
              <w:rPr>
                <w:rFonts w:ascii="Arial" w:hAnsi="Arial"/>
                <w:sz w:val="26"/>
                <w:szCs w:val="26"/>
                <w:rtl/>
              </w:rPr>
              <w:t>מאשימה</w:t>
            </w:r>
          </w:p>
        </w:tc>
        <w:tc>
          <w:tcPr>
            <w:tcW w:w="4384" w:type="dxa"/>
            <w:tcBorders>
              <w:top w:val="nil"/>
              <w:left w:val="nil"/>
              <w:bottom w:val="nil"/>
              <w:right w:val="nil"/>
            </w:tcBorders>
            <w:shd w:val="clear" w:color="auto" w:fill="auto"/>
          </w:tcPr>
          <w:p w14:paraId="1892EFA0" w14:textId="77777777" w:rsidR="003955CC" w:rsidRPr="00445B07" w:rsidRDefault="003955CC" w:rsidP="002B29D5">
            <w:pPr>
              <w:rPr>
                <w:sz w:val="26"/>
                <w:szCs w:val="26"/>
                <w:rtl/>
              </w:rPr>
            </w:pPr>
            <w:r w:rsidRPr="00445B07">
              <w:rPr>
                <w:rFonts w:ascii="Arial" w:hAnsi="Arial"/>
                <w:sz w:val="26"/>
                <w:szCs w:val="26"/>
                <w:rtl/>
              </w:rPr>
              <w:t>מדינת ישראל</w:t>
            </w:r>
          </w:p>
          <w:p w14:paraId="57FF9EDF" w14:textId="77777777" w:rsidR="003955CC" w:rsidRPr="00445B07" w:rsidRDefault="003955CC" w:rsidP="002B29D5">
            <w:pPr>
              <w:rPr>
                <w:sz w:val="26"/>
                <w:szCs w:val="26"/>
              </w:rPr>
            </w:pPr>
          </w:p>
        </w:tc>
        <w:tc>
          <w:tcPr>
            <w:tcW w:w="3551" w:type="dxa"/>
            <w:tcBorders>
              <w:top w:val="nil"/>
              <w:left w:val="nil"/>
              <w:bottom w:val="nil"/>
              <w:right w:val="nil"/>
            </w:tcBorders>
            <w:shd w:val="clear" w:color="auto" w:fill="auto"/>
          </w:tcPr>
          <w:p w14:paraId="047EB160" w14:textId="77777777" w:rsidR="003955CC" w:rsidRPr="00445B07" w:rsidRDefault="003955CC" w:rsidP="003955CC">
            <w:pPr>
              <w:jc w:val="both"/>
              <w:rPr>
                <w:rFonts w:ascii="Arial" w:hAnsi="Arial"/>
                <w:sz w:val="26"/>
                <w:szCs w:val="26"/>
              </w:rPr>
            </w:pPr>
          </w:p>
        </w:tc>
      </w:tr>
      <w:bookmarkEnd w:id="0"/>
      <w:tr w:rsidR="003955CC" w:rsidRPr="00445B07" w14:paraId="565224F9" w14:textId="77777777" w:rsidTr="003955CC">
        <w:trPr>
          <w:trHeight w:val="373"/>
          <w:jc w:val="center"/>
        </w:trPr>
        <w:tc>
          <w:tcPr>
            <w:tcW w:w="885" w:type="dxa"/>
            <w:tcBorders>
              <w:top w:val="nil"/>
              <w:left w:val="nil"/>
              <w:bottom w:val="nil"/>
              <w:right w:val="nil"/>
            </w:tcBorders>
            <w:shd w:val="clear" w:color="auto" w:fill="auto"/>
          </w:tcPr>
          <w:p w14:paraId="15FFA087" w14:textId="77777777" w:rsidR="003955CC" w:rsidRPr="00445B07" w:rsidRDefault="003955CC" w:rsidP="003955CC">
            <w:pPr>
              <w:jc w:val="both"/>
              <w:rPr>
                <w:rFonts w:ascii="Arial" w:hAnsi="Arial"/>
                <w:sz w:val="26"/>
                <w:szCs w:val="26"/>
                <w:rtl/>
              </w:rPr>
            </w:pPr>
          </w:p>
        </w:tc>
        <w:tc>
          <w:tcPr>
            <w:tcW w:w="7935" w:type="dxa"/>
            <w:gridSpan w:val="2"/>
            <w:tcBorders>
              <w:top w:val="nil"/>
              <w:left w:val="nil"/>
              <w:bottom w:val="nil"/>
              <w:right w:val="nil"/>
            </w:tcBorders>
            <w:shd w:val="clear" w:color="auto" w:fill="auto"/>
          </w:tcPr>
          <w:p w14:paraId="0ABE2381" w14:textId="77777777" w:rsidR="003955CC" w:rsidRPr="00445B07" w:rsidRDefault="003955CC" w:rsidP="003955CC">
            <w:pPr>
              <w:jc w:val="center"/>
              <w:rPr>
                <w:rFonts w:ascii="Arial" w:hAnsi="Arial"/>
                <w:b/>
                <w:bCs/>
                <w:sz w:val="26"/>
                <w:szCs w:val="26"/>
                <w:rtl/>
              </w:rPr>
            </w:pPr>
          </w:p>
          <w:p w14:paraId="3B64B1C7" w14:textId="77777777" w:rsidR="003955CC" w:rsidRPr="00445B07" w:rsidRDefault="003955CC" w:rsidP="003955CC">
            <w:pPr>
              <w:jc w:val="center"/>
              <w:rPr>
                <w:rFonts w:ascii="Arial" w:hAnsi="Arial"/>
                <w:b/>
                <w:bCs/>
                <w:sz w:val="26"/>
                <w:szCs w:val="26"/>
                <w:rtl/>
              </w:rPr>
            </w:pPr>
            <w:r w:rsidRPr="00445B07">
              <w:rPr>
                <w:rFonts w:ascii="Arial" w:hAnsi="Arial"/>
                <w:b/>
                <w:bCs/>
                <w:sz w:val="26"/>
                <w:szCs w:val="26"/>
                <w:rtl/>
              </w:rPr>
              <w:t>נגד</w:t>
            </w:r>
          </w:p>
          <w:p w14:paraId="2104F5B0" w14:textId="77777777" w:rsidR="003955CC" w:rsidRPr="00445B07" w:rsidRDefault="003955CC" w:rsidP="003955CC">
            <w:pPr>
              <w:jc w:val="both"/>
              <w:rPr>
                <w:rFonts w:ascii="Arial" w:hAnsi="Arial"/>
                <w:sz w:val="26"/>
                <w:szCs w:val="26"/>
              </w:rPr>
            </w:pPr>
          </w:p>
        </w:tc>
      </w:tr>
      <w:tr w:rsidR="003955CC" w:rsidRPr="00445B07" w14:paraId="58AA7576" w14:textId="77777777" w:rsidTr="003955CC">
        <w:trPr>
          <w:trHeight w:val="355"/>
          <w:jc w:val="center"/>
        </w:trPr>
        <w:tc>
          <w:tcPr>
            <w:tcW w:w="885" w:type="dxa"/>
            <w:tcBorders>
              <w:top w:val="nil"/>
              <w:left w:val="nil"/>
              <w:bottom w:val="nil"/>
              <w:right w:val="nil"/>
            </w:tcBorders>
            <w:shd w:val="clear" w:color="auto" w:fill="auto"/>
          </w:tcPr>
          <w:p w14:paraId="28613B9A" w14:textId="77777777" w:rsidR="003955CC" w:rsidRPr="00445B07" w:rsidRDefault="003955CC" w:rsidP="002B29D5">
            <w:pPr>
              <w:rPr>
                <w:rFonts w:ascii="Arial" w:hAnsi="Arial"/>
                <w:sz w:val="26"/>
                <w:szCs w:val="26"/>
                <w:rtl/>
              </w:rPr>
            </w:pPr>
            <w:r w:rsidRPr="00445B07">
              <w:rPr>
                <w:rFonts w:ascii="Arial" w:hAnsi="Arial" w:hint="cs"/>
                <w:sz w:val="26"/>
                <w:szCs w:val="26"/>
                <w:rtl/>
              </w:rPr>
              <w:t>ה</w:t>
            </w:r>
            <w:r w:rsidRPr="00445B07">
              <w:rPr>
                <w:rFonts w:ascii="Arial" w:hAnsi="Arial"/>
                <w:sz w:val="26"/>
                <w:szCs w:val="26"/>
                <w:rtl/>
              </w:rPr>
              <w:t>נאשם</w:t>
            </w:r>
          </w:p>
        </w:tc>
        <w:tc>
          <w:tcPr>
            <w:tcW w:w="4384" w:type="dxa"/>
            <w:tcBorders>
              <w:top w:val="nil"/>
              <w:left w:val="nil"/>
              <w:bottom w:val="nil"/>
              <w:right w:val="nil"/>
            </w:tcBorders>
            <w:shd w:val="clear" w:color="auto" w:fill="auto"/>
          </w:tcPr>
          <w:p w14:paraId="35383FF0" w14:textId="77777777" w:rsidR="003955CC" w:rsidRPr="00445B07" w:rsidRDefault="003955CC" w:rsidP="002B29D5">
            <w:pPr>
              <w:rPr>
                <w:sz w:val="26"/>
                <w:szCs w:val="26"/>
                <w:rtl/>
              </w:rPr>
            </w:pPr>
            <w:r w:rsidRPr="00445B07">
              <w:rPr>
                <w:rFonts w:ascii="Arial" w:hAnsi="Arial"/>
                <w:sz w:val="26"/>
                <w:szCs w:val="26"/>
                <w:rtl/>
              </w:rPr>
              <w:t>בן ראובן</w:t>
            </w:r>
          </w:p>
          <w:p w14:paraId="49F9AE7B" w14:textId="77777777" w:rsidR="003955CC" w:rsidRPr="00445B07" w:rsidRDefault="003955CC" w:rsidP="002B29D5">
            <w:pPr>
              <w:rPr>
                <w:sz w:val="26"/>
                <w:szCs w:val="26"/>
                <w:rtl/>
              </w:rPr>
            </w:pPr>
          </w:p>
        </w:tc>
        <w:tc>
          <w:tcPr>
            <w:tcW w:w="3551" w:type="dxa"/>
            <w:tcBorders>
              <w:top w:val="nil"/>
              <w:left w:val="nil"/>
              <w:bottom w:val="nil"/>
              <w:right w:val="nil"/>
            </w:tcBorders>
            <w:shd w:val="clear" w:color="auto" w:fill="auto"/>
          </w:tcPr>
          <w:p w14:paraId="0AA78BCA" w14:textId="77777777" w:rsidR="003955CC" w:rsidRPr="00445B07" w:rsidRDefault="003955CC" w:rsidP="003955CC">
            <w:pPr>
              <w:jc w:val="right"/>
              <w:rPr>
                <w:rFonts w:ascii="Arial" w:hAnsi="Arial"/>
                <w:sz w:val="26"/>
                <w:szCs w:val="26"/>
              </w:rPr>
            </w:pPr>
          </w:p>
        </w:tc>
      </w:tr>
    </w:tbl>
    <w:p w14:paraId="1E6908BC" w14:textId="77777777" w:rsidR="003955CC" w:rsidRPr="00445B07" w:rsidRDefault="003955CC" w:rsidP="003955CC">
      <w:pPr>
        <w:rPr>
          <w:rtl/>
        </w:rPr>
      </w:pPr>
    </w:p>
    <w:p w14:paraId="3E80D81B" w14:textId="77777777" w:rsidR="003955CC" w:rsidRPr="00445B07" w:rsidRDefault="003955CC" w:rsidP="003955CC">
      <w:pPr>
        <w:rPr>
          <w:rFonts w:ascii="David" w:hAnsi="David"/>
          <w:rtl/>
        </w:rPr>
      </w:pPr>
      <w:r w:rsidRPr="00445B07">
        <w:rPr>
          <w:rFonts w:ascii="David" w:hAnsi="David"/>
          <w:b/>
          <w:bCs/>
          <w:rtl/>
        </w:rPr>
        <w:t>נוכחים</w:t>
      </w:r>
      <w:r w:rsidRPr="00445B07">
        <w:rPr>
          <w:rFonts w:ascii="David" w:hAnsi="David"/>
          <w:rtl/>
        </w:rPr>
        <w:t>:</w:t>
      </w:r>
    </w:p>
    <w:p w14:paraId="6FEF6C68" w14:textId="77777777" w:rsidR="003955CC" w:rsidRPr="00445B07" w:rsidRDefault="003955CC" w:rsidP="003955CC">
      <w:pPr>
        <w:rPr>
          <w:rFonts w:ascii="David" w:hAnsi="David"/>
          <w:rtl/>
        </w:rPr>
      </w:pPr>
      <w:bookmarkStart w:id="2" w:name="FirstLawyer"/>
      <w:r w:rsidRPr="00445B07">
        <w:rPr>
          <w:rFonts w:ascii="David" w:hAnsi="David"/>
          <w:rtl/>
        </w:rPr>
        <w:t>ב"כ</w:t>
      </w:r>
      <w:bookmarkEnd w:id="2"/>
      <w:r w:rsidRPr="00445B07">
        <w:rPr>
          <w:rFonts w:ascii="David" w:hAnsi="David"/>
          <w:rtl/>
        </w:rPr>
        <w:t xml:space="preserve"> המאשימה: עו"ד לילך גולן, עו"ד מיכל כהן ומתמחה, מר פינחס סנדיק</w:t>
      </w:r>
    </w:p>
    <w:p w14:paraId="4F1EC180" w14:textId="77777777" w:rsidR="003955CC" w:rsidRPr="00445B07" w:rsidRDefault="003955CC" w:rsidP="003955CC">
      <w:pPr>
        <w:rPr>
          <w:rFonts w:ascii="David" w:hAnsi="David"/>
          <w:rtl/>
        </w:rPr>
      </w:pPr>
      <w:r w:rsidRPr="00445B07">
        <w:rPr>
          <w:rFonts w:ascii="David" w:hAnsi="David"/>
          <w:rtl/>
        </w:rPr>
        <w:t xml:space="preserve">ב"כ הנאשם: עו"ד </w:t>
      </w:r>
      <w:r w:rsidRPr="00445B07">
        <w:rPr>
          <w:rFonts w:ascii="David" w:hAnsi="David" w:hint="cs"/>
          <w:rtl/>
        </w:rPr>
        <w:t>משה זכות</w:t>
      </w:r>
    </w:p>
    <w:p w14:paraId="69F21EBE" w14:textId="77777777" w:rsidR="003955CC" w:rsidRPr="00445B07" w:rsidRDefault="003955CC" w:rsidP="003955CC">
      <w:pPr>
        <w:rPr>
          <w:rFonts w:ascii="David" w:hAnsi="David"/>
          <w:rtl/>
        </w:rPr>
      </w:pPr>
      <w:r w:rsidRPr="00445B07">
        <w:rPr>
          <w:rFonts w:ascii="David" w:hAnsi="David"/>
          <w:rtl/>
        </w:rPr>
        <w:t xml:space="preserve">הנאשם בעצמו </w:t>
      </w:r>
      <w:r w:rsidRPr="00445B07">
        <w:rPr>
          <w:rFonts w:ascii="David" w:hAnsi="David" w:hint="cs"/>
          <w:rtl/>
        </w:rPr>
        <w:t xml:space="preserve"> </w:t>
      </w:r>
    </w:p>
    <w:p w14:paraId="089257A9" w14:textId="77777777" w:rsidR="00445B07" w:rsidRPr="00445B07" w:rsidRDefault="003955CC" w:rsidP="00445B07">
      <w:pPr>
        <w:spacing w:before="120" w:after="120" w:line="240" w:lineRule="exact"/>
        <w:ind w:left="283" w:hanging="283"/>
        <w:jc w:val="both"/>
        <w:rPr>
          <w:rFonts w:ascii="FrankRuehl" w:hAnsi="FrankRuehl" w:cs="FrankRuehl"/>
          <w:rtl/>
        </w:rPr>
      </w:pPr>
      <w:r w:rsidRPr="00445B07">
        <w:rPr>
          <w:rFonts w:ascii="David" w:hAnsi="David" w:hint="cs"/>
          <w:rtl/>
        </w:rPr>
        <w:t xml:space="preserve"> </w:t>
      </w:r>
    </w:p>
    <w:p w14:paraId="7139B2CD" w14:textId="77777777" w:rsidR="00445B07" w:rsidRPr="00445B07" w:rsidRDefault="00445B07" w:rsidP="00445B07">
      <w:pPr>
        <w:rPr>
          <w:rtl/>
        </w:rPr>
      </w:pPr>
    </w:p>
    <w:p w14:paraId="4D8D5C75" w14:textId="77777777" w:rsidR="001C0673" w:rsidRPr="001C0673" w:rsidRDefault="001C0673" w:rsidP="001C0673">
      <w:pPr>
        <w:spacing w:before="120" w:after="120" w:line="240" w:lineRule="exact"/>
        <w:ind w:left="283" w:hanging="283"/>
        <w:jc w:val="both"/>
        <w:rPr>
          <w:rFonts w:ascii="FrankRuehl" w:hAnsi="FrankRuehl" w:cs="FrankRuehl"/>
          <w:rtl/>
        </w:rPr>
      </w:pPr>
    </w:p>
    <w:p w14:paraId="4320C341" w14:textId="77777777" w:rsidR="003337D9" w:rsidRPr="003337D9" w:rsidRDefault="003337D9" w:rsidP="003337D9">
      <w:pPr>
        <w:spacing w:before="120" w:after="120" w:line="240" w:lineRule="exact"/>
        <w:ind w:left="283" w:hanging="283"/>
        <w:jc w:val="both"/>
        <w:rPr>
          <w:rFonts w:ascii="FrankRuehl" w:hAnsi="FrankRuehl" w:cs="FrankRuehl"/>
          <w:rtl/>
        </w:rPr>
      </w:pPr>
    </w:p>
    <w:p w14:paraId="5AEF6AC8" w14:textId="77777777" w:rsidR="00656DB5" w:rsidRDefault="00656DB5" w:rsidP="00656DB5">
      <w:pPr>
        <w:rPr>
          <w:rtl/>
        </w:rPr>
      </w:pPr>
      <w:bookmarkStart w:id="3" w:name="LawTable"/>
      <w:bookmarkEnd w:id="3"/>
    </w:p>
    <w:p w14:paraId="2DE05027" w14:textId="77777777" w:rsidR="00656DB5" w:rsidRPr="00656DB5" w:rsidRDefault="00656DB5" w:rsidP="00656DB5">
      <w:pPr>
        <w:spacing w:before="120" w:after="120" w:line="240" w:lineRule="exact"/>
        <w:ind w:left="283" w:hanging="283"/>
        <w:jc w:val="both"/>
        <w:rPr>
          <w:rFonts w:ascii="FrankRuehl" w:hAnsi="FrankRuehl" w:cs="FrankRuehl"/>
          <w:rtl/>
        </w:rPr>
      </w:pPr>
    </w:p>
    <w:p w14:paraId="116FA550" w14:textId="77777777" w:rsidR="00656DB5" w:rsidRPr="00656DB5" w:rsidRDefault="00656DB5" w:rsidP="00656DB5">
      <w:pPr>
        <w:spacing w:before="120" w:after="120" w:line="240" w:lineRule="exact"/>
        <w:ind w:left="283" w:hanging="283"/>
        <w:jc w:val="both"/>
        <w:rPr>
          <w:rFonts w:ascii="FrankRuehl" w:hAnsi="FrankRuehl" w:cs="FrankRuehl"/>
          <w:rtl/>
        </w:rPr>
      </w:pPr>
    </w:p>
    <w:p w14:paraId="0325A9EF" w14:textId="77777777" w:rsidR="00656DB5" w:rsidRPr="00656DB5" w:rsidRDefault="00656DB5" w:rsidP="00656DB5">
      <w:pPr>
        <w:spacing w:before="120" w:after="120" w:line="240" w:lineRule="exact"/>
        <w:ind w:left="283" w:hanging="283"/>
        <w:jc w:val="both"/>
        <w:rPr>
          <w:rFonts w:ascii="FrankRuehl" w:hAnsi="FrankRuehl" w:cs="FrankRuehl"/>
          <w:rtl/>
        </w:rPr>
      </w:pPr>
      <w:r w:rsidRPr="00656DB5">
        <w:rPr>
          <w:rFonts w:ascii="FrankRuehl" w:hAnsi="FrankRuehl" w:cs="FrankRuehl"/>
          <w:rtl/>
        </w:rPr>
        <w:t xml:space="preserve">חקיקה שאוזכרה: </w:t>
      </w:r>
    </w:p>
    <w:p w14:paraId="56F4EE52" w14:textId="77777777" w:rsidR="00656DB5" w:rsidRPr="00656DB5" w:rsidRDefault="00656DB5" w:rsidP="00656DB5">
      <w:pPr>
        <w:spacing w:before="120" w:after="120" w:line="240" w:lineRule="exact"/>
        <w:ind w:left="283" w:hanging="283"/>
        <w:jc w:val="both"/>
        <w:rPr>
          <w:rFonts w:ascii="FrankRuehl" w:hAnsi="FrankRuehl" w:cs="FrankRuehl"/>
          <w:rtl/>
        </w:rPr>
      </w:pPr>
      <w:hyperlink r:id="rId7" w:history="1">
        <w:r w:rsidRPr="00656DB5">
          <w:rPr>
            <w:rFonts w:ascii="FrankRuehl" w:hAnsi="FrankRuehl" w:cs="FrankRuehl"/>
            <w:color w:val="0000FF"/>
            <w:rtl/>
          </w:rPr>
          <w:t>פקודת הסמים המסוכנים [נוסח חדש], תשל"ג-1973</w:t>
        </w:r>
      </w:hyperlink>
      <w:r w:rsidRPr="00656DB5">
        <w:rPr>
          <w:rFonts w:ascii="FrankRuehl" w:hAnsi="FrankRuehl" w:cs="FrankRuehl"/>
          <w:rtl/>
        </w:rPr>
        <w:t xml:space="preserve">: סע'  </w:t>
      </w:r>
      <w:hyperlink r:id="rId8" w:history="1">
        <w:r w:rsidRPr="00656DB5">
          <w:rPr>
            <w:rFonts w:ascii="FrankRuehl" w:hAnsi="FrankRuehl" w:cs="FrankRuehl"/>
            <w:color w:val="0000FF"/>
            <w:rtl/>
          </w:rPr>
          <w:t>7.א.</w:t>
        </w:r>
      </w:hyperlink>
      <w:r w:rsidRPr="00656DB5">
        <w:rPr>
          <w:rFonts w:ascii="FrankRuehl" w:hAnsi="FrankRuehl" w:cs="FrankRuehl"/>
          <w:rtl/>
        </w:rPr>
        <w:t xml:space="preserve">, </w:t>
      </w:r>
      <w:hyperlink r:id="rId9" w:history="1">
        <w:r w:rsidRPr="00656DB5">
          <w:rPr>
            <w:rFonts w:ascii="FrankRuehl" w:hAnsi="FrankRuehl" w:cs="FrankRuehl"/>
            <w:color w:val="0000FF"/>
            <w:rtl/>
          </w:rPr>
          <w:t>7.ג</w:t>
        </w:r>
      </w:hyperlink>
      <w:r w:rsidRPr="00656DB5">
        <w:rPr>
          <w:rFonts w:ascii="FrankRuehl" w:hAnsi="FrankRuehl" w:cs="FrankRuehl"/>
          <w:rtl/>
        </w:rPr>
        <w:t xml:space="preserve">, </w:t>
      </w:r>
      <w:hyperlink r:id="rId10" w:history="1">
        <w:r w:rsidRPr="00656DB5">
          <w:rPr>
            <w:rFonts w:ascii="FrankRuehl" w:hAnsi="FrankRuehl" w:cs="FrankRuehl"/>
            <w:color w:val="0000FF"/>
            <w:rtl/>
          </w:rPr>
          <w:t>13</w:t>
        </w:r>
      </w:hyperlink>
      <w:r w:rsidRPr="00656DB5">
        <w:rPr>
          <w:rFonts w:ascii="FrankRuehl" w:hAnsi="FrankRuehl" w:cs="FrankRuehl"/>
          <w:rtl/>
        </w:rPr>
        <w:t xml:space="preserve">, </w:t>
      </w:r>
      <w:hyperlink r:id="rId11" w:history="1">
        <w:r w:rsidRPr="00656DB5">
          <w:rPr>
            <w:rFonts w:ascii="FrankRuehl" w:hAnsi="FrankRuehl" w:cs="FrankRuehl"/>
            <w:color w:val="0000FF"/>
            <w:rtl/>
          </w:rPr>
          <w:t>19א</w:t>
        </w:r>
      </w:hyperlink>
    </w:p>
    <w:p w14:paraId="0D6797FC" w14:textId="77777777" w:rsidR="00656DB5" w:rsidRPr="00656DB5" w:rsidRDefault="00656DB5" w:rsidP="00656DB5">
      <w:pPr>
        <w:spacing w:before="120" w:after="120" w:line="240" w:lineRule="exact"/>
        <w:ind w:left="283" w:hanging="283"/>
        <w:jc w:val="both"/>
        <w:rPr>
          <w:rFonts w:ascii="FrankRuehl" w:hAnsi="FrankRuehl" w:cs="FrankRuehl"/>
          <w:rtl/>
        </w:rPr>
      </w:pPr>
      <w:hyperlink r:id="rId12" w:history="1">
        <w:r w:rsidRPr="00656DB5">
          <w:rPr>
            <w:rFonts w:ascii="FrankRuehl" w:hAnsi="FrankRuehl" w:cs="FrankRuehl"/>
            <w:color w:val="0000FF"/>
            <w:rtl/>
          </w:rPr>
          <w:t>חוק המרשם הפלילי ותקנת השבים, תשמ"א-1981</w:t>
        </w:r>
      </w:hyperlink>
    </w:p>
    <w:p w14:paraId="5A3E6102" w14:textId="77777777" w:rsidR="00656DB5" w:rsidRPr="00656DB5" w:rsidRDefault="00656DB5" w:rsidP="00656DB5">
      <w:pPr>
        <w:rPr>
          <w:rtl/>
        </w:rPr>
      </w:pPr>
      <w:bookmarkStart w:id="4" w:name="LawTable_End"/>
      <w:bookmarkEnd w:id="4"/>
    </w:p>
    <w:p w14:paraId="261C67FD" w14:textId="77777777" w:rsidR="003955CC" w:rsidRPr="003337D9" w:rsidRDefault="003955CC" w:rsidP="003337D9"/>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955CC" w14:paraId="619DF165" w14:textId="77777777" w:rsidTr="003955CC">
        <w:trPr>
          <w:trHeight w:val="355"/>
          <w:jc w:val="center"/>
        </w:trPr>
        <w:tc>
          <w:tcPr>
            <w:tcW w:w="8820" w:type="dxa"/>
            <w:tcBorders>
              <w:top w:val="nil"/>
              <w:left w:val="nil"/>
              <w:bottom w:val="nil"/>
              <w:right w:val="nil"/>
            </w:tcBorders>
            <w:shd w:val="clear" w:color="auto" w:fill="auto"/>
          </w:tcPr>
          <w:p w14:paraId="2ACE1BB8" w14:textId="77777777" w:rsidR="00445B07" w:rsidRPr="00445B07" w:rsidRDefault="00445B07" w:rsidP="00445B07">
            <w:pPr>
              <w:jc w:val="center"/>
              <w:rPr>
                <w:rFonts w:ascii="Arial" w:hAnsi="Arial"/>
                <w:b/>
                <w:bCs/>
                <w:sz w:val="28"/>
                <w:szCs w:val="28"/>
                <w:u w:val="single"/>
                <w:rtl/>
              </w:rPr>
            </w:pPr>
            <w:bookmarkStart w:id="5" w:name="PsakDin" w:colFirst="0" w:colLast="0"/>
            <w:r w:rsidRPr="00445B07">
              <w:rPr>
                <w:rFonts w:ascii="Arial" w:hAnsi="Arial"/>
                <w:b/>
                <w:bCs/>
                <w:sz w:val="28"/>
                <w:szCs w:val="28"/>
                <w:u w:val="single"/>
                <w:rtl/>
              </w:rPr>
              <w:t>גזר דין</w:t>
            </w:r>
          </w:p>
          <w:p w14:paraId="400A2E45" w14:textId="77777777" w:rsidR="003955CC" w:rsidRPr="00445B07" w:rsidRDefault="003955CC" w:rsidP="00445B07">
            <w:pPr>
              <w:jc w:val="center"/>
              <w:rPr>
                <w:rFonts w:ascii="Arial" w:hAnsi="Arial"/>
                <w:bCs/>
                <w:sz w:val="28"/>
                <w:szCs w:val="28"/>
                <w:u w:val="single"/>
                <w:rtl/>
              </w:rPr>
            </w:pPr>
          </w:p>
        </w:tc>
      </w:tr>
      <w:bookmarkEnd w:id="5"/>
    </w:tbl>
    <w:p w14:paraId="034291DA" w14:textId="77777777" w:rsidR="003955CC" w:rsidRPr="00B05847" w:rsidRDefault="003955CC" w:rsidP="003955CC">
      <w:pPr>
        <w:rPr>
          <w:rFonts w:ascii="Arial" w:hAnsi="Arial"/>
          <w:rtl/>
        </w:rPr>
      </w:pPr>
    </w:p>
    <w:p w14:paraId="2BE209B9" w14:textId="77777777" w:rsidR="003955CC" w:rsidRDefault="003955CC" w:rsidP="003955CC">
      <w:pPr>
        <w:spacing w:line="360" w:lineRule="auto"/>
        <w:jc w:val="both"/>
        <w:rPr>
          <w:rtl/>
        </w:rPr>
      </w:pPr>
      <w:r>
        <w:rPr>
          <w:b/>
          <w:bCs/>
          <w:u w:val="single"/>
          <w:rtl/>
        </w:rPr>
        <w:t>כללי</w:t>
      </w:r>
    </w:p>
    <w:p w14:paraId="199BDA86" w14:textId="77777777" w:rsidR="003955CC" w:rsidRDefault="003955CC" w:rsidP="003955CC">
      <w:pPr>
        <w:pStyle w:val="aa"/>
        <w:numPr>
          <w:ilvl w:val="0"/>
          <w:numId w:val="1"/>
        </w:numPr>
        <w:spacing w:line="360" w:lineRule="auto"/>
        <w:jc w:val="both"/>
        <w:rPr>
          <w:rFonts w:ascii="David" w:hAnsi="David" w:cs="David"/>
          <w:sz w:val="24"/>
          <w:szCs w:val="24"/>
          <w:rtl/>
        </w:rPr>
      </w:pPr>
      <w:bookmarkStart w:id="6" w:name="ABSTRACT_START"/>
      <w:bookmarkEnd w:id="6"/>
      <w:r>
        <w:rPr>
          <w:rFonts w:ascii="David" w:hAnsi="David" w:cs="David"/>
          <w:sz w:val="24"/>
          <w:szCs w:val="24"/>
          <w:rtl/>
        </w:rPr>
        <w:t xml:space="preserve">הנאשם, יליד 1994, הורשע על בסיס הודאתו ובמסגרת הסכמה דיונית, בעבירת </w:t>
      </w:r>
      <w:r>
        <w:rPr>
          <w:rFonts w:ascii="David" w:hAnsi="David" w:cs="David"/>
          <w:b/>
          <w:bCs/>
          <w:sz w:val="24"/>
          <w:szCs w:val="24"/>
          <w:rtl/>
        </w:rPr>
        <w:t xml:space="preserve">יצוא, יבוא, מסחר, הספקה סמים מסוכנים – </w:t>
      </w:r>
      <w:r>
        <w:rPr>
          <w:rFonts w:ascii="David" w:hAnsi="David" w:cs="David"/>
          <w:sz w:val="24"/>
          <w:szCs w:val="24"/>
          <w:rtl/>
        </w:rPr>
        <w:t xml:space="preserve">עבירה לפי </w:t>
      </w:r>
      <w:hyperlink r:id="rId13" w:history="1">
        <w:r w:rsidR="001C0673" w:rsidRPr="001C0673">
          <w:rPr>
            <w:rStyle w:val="Hyperlink"/>
            <w:rFonts w:ascii="David" w:hAnsi="David" w:cs="David"/>
            <w:sz w:val="24"/>
            <w:szCs w:val="24"/>
            <w:rtl/>
          </w:rPr>
          <w:t>סעיף 13</w:t>
        </w:r>
      </w:hyperlink>
      <w:r>
        <w:rPr>
          <w:rFonts w:ascii="David" w:hAnsi="David" w:cs="David"/>
          <w:sz w:val="24"/>
          <w:szCs w:val="24"/>
          <w:rtl/>
        </w:rPr>
        <w:t xml:space="preserve"> + </w:t>
      </w:r>
      <w:hyperlink r:id="rId14" w:history="1">
        <w:r w:rsidR="001C0673" w:rsidRPr="001C0673">
          <w:rPr>
            <w:rStyle w:val="Hyperlink"/>
            <w:rFonts w:ascii="David" w:hAnsi="David" w:cs="David"/>
            <w:sz w:val="24"/>
            <w:szCs w:val="24"/>
            <w:rtl/>
          </w:rPr>
          <w:t>19א</w:t>
        </w:r>
      </w:hyperlink>
      <w:r>
        <w:rPr>
          <w:rFonts w:ascii="David" w:hAnsi="David" w:cs="David"/>
          <w:sz w:val="24"/>
          <w:szCs w:val="24"/>
          <w:rtl/>
        </w:rPr>
        <w:t xml:space="preserve"> ל</w:t>
      </w:r>
      <w:hyperlink r:id="rId15" w:history="1">
        <w:r w:rsidR="00445B07" w:rsidRPr="00445B07">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התשל"ג-1973, ועבירה של </w:t>
      </w:r>
      <w:r>
        <w:rPr>
          <w:rFonts w:ascii="David" w:hAnsi="David" w:cs="David"/>
          <w:b/>
          <w:bCs/>
          <w:sz w:val="24"/>
          <w:szCs w:val="24"/>
          <w:rtl/>
        </w:rPr>
        <w:t xml:space="preserve">החזקה/ שימוש בסמים שלא לצריכה עצמית – </w:t>
      </w:r>
      <w:r>
        <w:rPr>
          <w:rFonts w:ascii="David" w:hAnsi="David" w:cs="David"/>
          <w:sz w:val="24"/>
          <w:szCs w:val="24"/>
          <w:rtl/>
        </w:rPr>
        <w:t xml:space="preserve">עבירה לפי </w:t>
      </w:r>
      <w:hyperlink r:id="rId16" w:history="1">
        <w:r w:rsidR="001C0673" w:rsidRPr="001C0673">
          <w:rPr>
            <w:rStyle w:val="Hyperlink"/>
            <w:rFonts w:ascii="David" w:hAnsi="David" w:cs="David"/>
            <w:sz w:val="24"/>
            <w:szCs w:val="24"/>
            <w:rtl/>
          </w:rPr>
          <w:t>סעיף 7(א)+7(ג).</w:t>
        </w:r>
      </w:hyperlink>
    </w:p>
    <w:p w14:paraId="0B1B08C5" w14:textId="77777777" w:rsidR="003955CC" w:rsidRDefault="003955CC" w:rsidP="003955CC">
      <w:pPr>
        <w:pStyle w:val="aa"/>
        <w:spacing w:line="360" w:lineRule="auto"/>
        <w:ind w:left="360"/>
        <w:jc w:val="both"/>
        <w:rPr>
          <w:rFonts w:ascii="David" w:hAnsi="David" w:cs="David"/>
          <w:sz w:val="24"/>
          <w:szCs w:val="24"/>
        </w:rPr>
      </w:pPr>
      <w:bookmarkStart w:id="7" w:name="ABSTRACT_END"/>
      <w:bookmarkEnd w:id="7"/>
    </w:p>
    <w:p w14:paraId="272C28FD" w14:textId="77777777" w:rsidR="003955CC" w:rsidRDefault="003955CC" w:rsidP="003955CC">
      <w:pPr>
        <w:pStyle w:val="aa"/>
        <w:numPr>
          <w:ilvl w:val="0"/>
          <w:numId w:val="1"/>
        </w:numPr>
        <w:spacing w:line="360" w:lineRule="auto"/>
        <w:jc w:val="both"/>
        <w:rPr>
          <w:rFonts w:ascii="David" w:hAnsi="David" w:cs="David"/>
          <w:sz w:val="24"/>
          <w:szCs w:val="24"/>
        </w:rPr>
      </w:pPr>
      <w:r>
        <w:rPr>
          <w:rFonts w:cs="David"/>
          <w:sz w:val="24"/>
          <w:szCs w:val="24"/>
          <w:rtl/>
        </w:rPr>
        <w:t>בהתאם לעובדות</w:t>
      </w:r>
      <w:r>
        <w:rPr>
          <w:rFonts w:ascii="David" w:hAnsi="David" w:cs="David"/>
          <w:sz w:val="24"/>
          <w:szCs w:val="24"/>
          <w:rtl/>
        </w:rPr>
        <w:t xml:space="preserve"> כתב האישום המתוקן, ביום 2.8.22, בשעה 19:00, הזמינה מ.פ דרך אפליקציית "טלגרם" סם מסוכן מסוג קנאביס. ביום 2.8.22 בשעה 22:40, הגיע הנאשם על רכבו מסוג "סיטוראן", לרחוב סוקולוב 94 בת"א וחסם את נתיב הנסיעה. מ.פ. ניגשה במהירות לעבר חלון הרכב שלצד הנוסע והנאשם מכר לה סם מסוכן מסוג </w:t>
      </w:r>
      <w:r>
        <w:rPr>
          <w:rFonts w:ascii="David" w:hAnsi="David" w:cs="David"/>
          <w:b/>
          <w:bCs/>
          <w:sz w:val="24"/>
          <w:szCs w:val="24"/>
          <w:rtl/>
        </w:rPr>
        <w:t>קנאביס</w:t>
      </w:r>
      <w:r>
        <w:rPr>
          <w:rFonts w:ascii="David" w:hAnsi="David" w:cs="David"/>
          <w:sz w:val="24"/>
          <w:szCs w:val="24"/>
          <w:rtl/>
        </w:rPr>
        <w:t xml:space="preserve"> במשקל </w:t>
      </w:r>
      <w:r>
        <w:rPr>
          <w:rFonts w:ascii="David" w:hAnsi="David" w:cs="David"/>
          <w:b/>
          <w:bCs/>
          <w:sz w:val="24"/>
          <w:szCs w:val="24"/>
          <w:rtl/>
        </w:rPr>
        <w:t>4.62 גרם</w:t>
      </w:r>
      <w:r>
        <w:rPr>
          <w:rFonts w:ascii="David" w:hAnsi="David" w:cs="David"/>
          <w:sz w:val="24"/>
          <w:szCs w:val="24"/>
          <w:rtl/>
        </w:rPr>
        <w:t xml:space="preserve"> נטו, בתמורה ל-300 ₪. באותן נסיבות, החזיק הנאשם ברכב ברצפה שמתחת למושב הנוסע הקדמי שקית לבנה ובתוכה 92 שקיות ובתוכן סם מסוכן מסוג </w:t>
      </w:r>
      <w:r>
        <w:rPr>
          <w:rFonts w:ascii="David" w:hAnsi="David" w:cs="David"/>
          <w:b/>
          <w:bCs/>
          <w:sz w:val="24"/>
          <w:szCs w:val="24"/>
          <w:rtl/>
        </w:rPr>
        <w:t>קנאביס</w:t>
      </w:r>
      <w:r>
        <w:rPr>
          <w:rFonts w:ascii="David" w:hAnsi="David" w:cs="David"/>
          <w:sz w:val="24"/>
          <w:szCs w:val="24"/>
          <w:rtl/>
        </w:rPr>
        <w:t xml:space="preserve"> במשקל כולל </w:t>
      </w:r>
      <w:r>
        <w:rPr>
          <w:rFonts w:ascii="David" w:hAnsi="David" w:cs="David"/>
          <w:sz w:val="24"/>
          <w:szCs w:val="24"/>
          <w:rtl/>
        </w:rPr>
        <w:lastRenderedPageBreak/>
        <w:t xml:space="preserve">של </w:t>
      </w:r>
      <w:r>
        <w:rPr>
          <w:rFonts w:ascii="David" w:hAnsi="David" w:cs="David"/>
          <w:b/>
          <w:bCs/>
          <w:sz w:val="24"/>
          <w:szCs w:val="24"/>
          <w:rtl/>
        </w:rPr>
        <w:t>כ-300 גרם</w:t>
      </w:r>
      <w:r>
        <w:rPr>
          <w:rFonts w:ascii="David" w:hAnsi="David" w:cs="David"/>
          <w:sz w:val="24"/>
          <w:szCs w:val="24"/>
          <w:rtl/>
        </w:rPr>
        <w:t xml:space="preserve"> נטו, וזאת שלא לצריכתו העצמית. כמו כן, החזיק הנאשם בתוך הרכב על מושב הנוסע 300 ₪ וכן על גופו 1,440 ₪. </w:t>
      </w:r>
    </w:p>
    <w:p w14:paraId="642D26F5" w14:textId="77777777" w:rsidR="003955CC" w:rsidRDefault="003955CC" w:rsidP="003955CC">
      <w:pPr>
        <w:pStyle w:val="aa"/>
        <w:rPr>
          <w:rFonts w:ascii="David" w:hAnsi="David" w:cs="David"/>
          <w:sz w:val="24"/>
          <w:szCs w:val="24"/>
        </w:rPr>
      </w:pPr>
    </w:p>
    <w:p w14:paraId="333C75EC" w14:textId="77777777" w:rsidR="003955CC" w:rsidRDefault="003955CC" w:rsidP="003955CC">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ההסדר לא כלל הסכמות לעניין העונש. הוסכם כי בטרם טיעונים לעונש יופנה הנאשם לשירות המבחן לקבלת תסקיר אשר יבחן, בין היתר, אפשרות לבטל את ההרשעה. התביעה הבהירה כי עמדתה תהיה להותרת ההרשעה. </w:t>
      </w:r>
    </w:p>
    <w:p w14:paraId="3184AE4F" w14:textId="77777777" w:rsidR="003955CC" w:rsidRDefault="003955CC" w:rsidP="003955CC">
      <w:pPr>
        <w:pStyle w:val="aa"/>
        <w:spacing w:line="360" w:lineRule="auto"/>
        <w:ind w:left="360"/>
        <w:jc w:val="both"/>
        <w:rPr>
          <w:rFonts w:ascii="David" w:hAnsi="David" w:cs="David"/>
          <w:sz w:val="24"/>
          <w:szCs w:val="24"/>
        </w:rPr>
      </w:pPr>
    </w:p>
    <w:p w14:paraId="4A1FE2CB" w14:textId="77777777" w:rsidR="003955CC" w:rsidRDefault="003955CC" w:rsidP="003955CC">
      <w:pPr>
        <w:spacing w:line="360" w:lineRule="auto"/>
        <w:rPr>
          <w:rFonts w:ascii="David" w:hAnsi="David"/>
          <w:b/>
          <w:bCs/>
          <w:u w:val="single"/>
          <w:rtl/>
        </w:rPr>
      </w:pPr>
      <w:r>
        <w:rPr>
          <w:rFonts w:ascii="David" w:hAnsi="David"/>
          <w:b/>
          <w:bCs/>
          <w:u w:val="single"/>
          <w:rtl/>
        </w:rPr>
        <w:t>תסקירי שירות מבחן וחוות דעת הממונה על עבודות שירות</w:t>
      </w:r>
    </w:p>
    <w:p w14:paraId="444C5445" w14:textId="77777777" w:rsidR="003955CC" w:rsidRDefault="003955CC" w:rsidP="003955CC">
      <w:pPr>
        <w:pStyle w:val="aa"/>
        <w:numPr>
          <w:ilvl w:val="0"/>
          <w:numId w:val="1"/>
        </w:numPr>
        <w:spacing w:line="360" w:lineRule="auto"/>
        <w:jc w:val="both"/>
        <w:rPr>
          <w:rFonts w:ascii="David" w:hAnsi="David" w:cs="David"/>
          <w:sz w:val="24"/>
          <w:szCs w:val="24"/>
          <w:rtl/>
        </w:rPr>
      </w:pPr>
      <w:r>
        <w:rPr>
          <w:rFonts w:ascii="David" w:hAnsi="David" w:cs="David"/>
          <w:sz w:val="24"/>
          <w:szCs w:val="24"/>
          <w:u w:val="single"/>
          <w:rtl/>
        </w:rPr>
        <w:t>מתסקיר שירות המבחן מיום 10.7.23</w:t>
      </w:r>
      <w:r>
        <w:rPr>
          <w:rFonts w:ascii="David" w:hAnsi="David" w:cs="David"/>
          <w:sz w:val="24"/>
          <w:szCs w:val="24"/>
          <w:rtl/>
        </w:rPr>
        <w:t xml:space="preserve"> עולה כי הנאשם בן 29, רווק, מתגורר בבית הוריו ועובד בעבודות מזדמנות בנגרות ושיפוצים וכן בעסק של הוריו. בגיל 10 נפגע ברגלו, עבר ניתוח וסובל מאז מכאבי גב. הנאשם נעדר עבר פלילי, השלים 12 שנות לימוד ובעל תעודת בגרות מלאה, התגייס לצה"ל ושירת בתפקידי הדרכה בפיקוד העורף ואף זכה להערכה רבה ממפקדיו. מאז עסק בתחומים שונים, בהם אבטחת מידע בחברת הייטק, בעל נגרייה עצמאי וכן שותף עם אחרים בתחום זה. כיום גם לומד בקורס "משיטים", מתעתד לשפר ציוני בגרות ולעבור הבחינה הפסיכומטרית, כאשר היעד בהמשך הוא להשתלב בלימודי משפטים. עוד נמסר כי מזה מספר שנים מחזיק ברשיון לשימוש בקאנביס רפואי. בחינה כללית וראשונית של נסיבות ההסתבכות הנוכחית עם החוק העלתה כי הנאשם מודה במיוחס לו וכי באותה תקופה כבר החזיק ברישיון שימוש בקאנביס רפואי, אולם לדבריו הכמויות שאושרו לו לא ענו על צרכיו, ועל כן גם קנה סם באופן לא חוקי והיה מעורב בקשר עם גורמי סחר. שירות המבחן ביקש דחייה של מספר חודשים לצורך השלמת התמונה האבחונית, הערכת מצבו וצרכיו של הנאשם וכן גיבוש ההמלצה בשאלת ההרשעה והעונש.</w:t>
      </w:r>
    </w:p>
    <w:p w14:paraId="3F49C2B1" w14:textId="77777777" w:rsidR="003955CC" w:rsidRDefault="003955CC" w:rsidP="003955CC">
      <w:pPr>
        <w:pStyle w:val="aa"/>
        <w:numPr>
          <w:ilvl w:val="0"/>
          <w:numId w:val="1"/>
        </w:numPr>
        <w:spacing w:line="360" w:lineRule="auto"/>
        <w:jc w:val="both"/>
        <w:rPr>
          <w:rFonts w:ascii="David" w:hAnsi="David" w:cs="David"/>
          <w:sz w:val="24"/>
          <w:szCs w:val="24"/>
        </w:rPr>
      </w:pPr>
      <w:r>
        <w:rPr>
          <w:rFonts w:ascii="David" w:hAnsi="David" w:cs="David"/>
          <w:sz w:val="24"/>
          <w:szCs w:val="24"/>
          <w:u w:val="single"/>
          <w:rtl/>
        </w:rPr>
        <w:t xml:space="preserve">בתסקיר שירות מבחן מיום 14.1.24 </w:t>
      </w:r>
      <w:r>
        <w:rPr>
          <w:rFonts w:ascii="David" w:hAnsi="David" w:cs="David"/>
          <w:sz w:val="24"/>
          <w:szCs w:val="24"/>
          <w:rtl/>
        </w:rPr>
        <w:t xml:space="preserve">דיווח שירות המבחן כי בתקופת הדחייה נשמרה שגרה חיובית בחייו, הוא מתגורר בבית הוריו, עובד באופן חלקי כמורה מחליף בבי"ס יסודי וכן מסיע בעסק של הוריו ומפעיל יזמויות שונות על מנת להגדיל את הכנסותיו. לדבריו, שוקל גם לימודים גבוהים בהמשך. התרשמו כי עבר תהליך עצמי של בחינת מהלכיו באירוע, הורתע, מבין את החומרה העולה ממעשיו וכן מסוגל לזהות את הקשיים שעמדו ברקע. </w:t>
      </w:r>
      <w:r>
        <w:rPr>
          <w:rFonts w:ascii="David" w:hAnsi="David" w:cs="David"/>
          <w:sz w:val="24"/>
          <w:szCs w:val="24"/>
          <w:u w:val="single"/>
          <w:rtl/>
        </w:rPr>
        <w:t>באשר לסוגיית ההרשעה</w:t>
      </w:r>
      <w:r>
        <w:rPr>
          <w:rFonts w:ascii="David" w:hAnsi="David" w:cs="David"/>
          <w:sz w:val="24"/>
          <w:szCs w:val="24"/>
          <w:rtl/>
        </w:rPr>
        <w:t>, לא היה בידי הנאשם להציג אסמכתאות לפגיעה ישירה בשל הרשעה. עם זאת הוערך כי יהיה בכך לפגוע בדימויו העצמי, ובאמון שלו ביכולותיו, ובהמשך גם בסיכוייו להתבסס בשוק העבודה, כאשר ההרשעה תהווה אבן נגף בפני מעסיקים שונים, ובפרט באם יקדם תוכנותיו ללימודים גבוהים. הומלץ</w:t>
      </w:r>
      <w:r>
        <w:rPr>
          <w:rFonts w:ascii="David" w:hAnsi="David" w:cs="David"/>
          <w:sz w:val="24"/>
          <w:szCs w:val="24"/>
          <w:u w:val="single"/>
          <w:rtl/>
        </w:rPr>
        <w:t xml:space="preserve"> לשקול בחיוב לבטל ההרשעה ולהסתפק בענישה שיקומית, כך שהוא יועמד בפיקוח שירות המבחן למשך שנה, לצו צו של"צ משמעותי בן 500 שעות.</w:t>
      </w:r>
      <w:r>
        <w:rPr>
          <w:rFonts w:ascii="David" w:hAnsi="David" w:cs="David"/>
          <w:sz w:val="24"/>
          <w:szCs w:val="24"/>
          <w:rtl/>
        </w:rPr>
        <w:t xml:space="preserve"> </w:t>
      </w:r>
    </w:p>
    <w:p w14:paraId="0BBEE229" w14:textId="77777777" w:rsidR="003955CC" w:rsidRDefault="003955CC" w:rsidP="003955CC">
      <w:pPr>
        <w:pStyle w:val="aa"/>
        <w:numPr>
          <w:ilvl w:val="0"/>
          <w:numId w:val="1"/>
        </w:numPr>
        <w:spacing w:line="360" w:lineRule="auto"/>
        <w:jc w:val="both"/>
        <w:rPr>
          <w:rFonts w:ascii="David" w:hAnsi="David" w:cs="David"/>
          <w:sz w:val="24"/>
          <w:szCs w:val="24"/>
        </w:rPr>
      </w:pPr>
      <w:r>
        <w:rPr>
          <w:rFonts w:ascii="David" w:hAnsi="David" w:cs="David"/>
          <w:sz w:val="24"/>
          <w:szCs w:val="24"/>
          <w:u w:val="single"/>
          <w:rtl/>
        </w:rPr>
        <w:t>מחוות דעת ממונה מיום 30.10.23</w:t>
      </w:r>
      <w:r>
        <w:rPr>
          <w:rFonts w:ascii="David" w:hAnsi="David" w:cs="David"/>
          <w:sz w:val="24"/>
          <w:szCs w:val="24"/>
          <w:rtl/>
        </w:rPr>
        <w:t xml:space="preserve"> עולה שהנאשם כשיר לריצוי מאסר בדרך של עבודות שירות. </w:t>
      </w:r>
    </w:p>
    <w:p w14:paraId="34F6FAEA" w14:textId="77777777" w:rsidR="003955CC" w:rsidRDefault="003955CC" w:rsidP="003955CC">
      <w:pPr>
        <w:pStyle w:val="aa"/>
        <w:spacing w:line="360" w:lineRule="auto"/>
        <w:ind w:left="360"/>
        <w:rPr>
          <w:rFonts w:ascii="David" w:hAnsi="David" w:cs="David"/>
          <w:b/>
          <w:bCs/>
          <w:sz w:val="24"/>
          <w:szCs w:val="24"/>
          <w:u w:val="single"/>
        </w:rPr>
      </w:pPr>
    </w:p>
    <w:p w14:paraId="0204A972" w14:textId="77777777" w:rsidR="003955CC" w:rsidRPr="003955CC" w:rsidRDefault="003955CC" w:rsidP="003955CC">
      <w:pPr>
        <w:spacing w:line="360" w:lineRule="auto"/>
        <w:jc w:val="both"/>
        <w:rPr>
          <w:rFonts w:ascii="Calibri" w:hAnsi="Calibri"/>
          <w:b/>
          <w:bCs/>
          <w:u w:val="single"/>
          <w:rtl/>
        </w:rPr>
      </w:pPr>
      <w:r>
        <w:rPr>
          <w:b/>
          <w:bCs/>
          <w:u w:val="single"/>
          <w:rtl/>
        </w:rPr>
        <w:t>טיעוני הצדדים</w:t>
      </w:r>
    </w:p>
    <w:p w14:paraId="07E52401" w14:textId="77777777" w:rsidR="003955CC" w:rsidRDefault="003955CC" w:rsidP="003955CC">
      <w:pPr>
        <w:pStyle w:val="aa"/>
        <w:numPr>
          <w:ilvl w:val="0"/>
          <w:numId w:val="1"/>
        </w:numPr>
        <w:spacing w:line="360" w:lineRule="auto"/>
        <w:jc w:val="both"/>
        <w:rPr>
          <w:rFonts w:cs="David"/>
          <w:b/>
          <w:bCs/>
          <w:sz w:val="24"/>
          <w:szCs w:val="24"/>
          <w:u w:val="single"/>
          <w:rtl/>
        </w:rPr>
      </w:pPr>
      <w:r>
        <w:rPr>
          <w:rFonts w:cs="David"/>
          <w:b/>
          <w:bCs/>
          <w:sz w:val="24"/>
          <w:szCs w:val="24"/>
          <w:u w:val="single"/>
          <w:rtl/>
        </w:rPr>
        <w:t>ב"כ המאשימה</w:t>
      </w:r>
      <w:r>
        <w:rPr>
          <w:rFonts w:cs="David"/>
          <w:b/>
          <w:bCs/>
          <w:sz w:val="24"/>
          <w:szCs w:val="24"/>
          <w:rtl/>
        </w:rPr>
        <w:t xml:space="preserve"> </w:t>
      </w:r>
      <w:r>
        <w:rPr>
          <w:rFonts w:cs="David"/>
          <w:sz w:val="24"/>
          <w:szCs w:val="24"/>
          <w:rtl/>
        </w:rPr>
        <w:t xml:space="preserve">חזר על נסיבות ביצוע העבירה והתייחס לנזקים הישירים והעקיפים הנגרמים כתוצאה מתופעת השימוש בסמים. התובע התייחס לפוטנציאל הפצה העולה מן העבירות ולפיכך לעוצמת פגיעה גבוהה בערכים המוגנים. המאשימה עתרה לקביעת מתחם שבין 8 ל-18 </w:t>
      </w:r>
      <w:r>
        <w:rPr>
          <w:rFonts w:cs="David"/>
          <w:sz w:val="24"/>
          <w:szCs w:val="24"/>
          <w:rtl/>
        </w:rPr>
        <w:lastRenderedPageBreak/>
        <w:t>חודשי מאסר בפועל ולתמיכה בעמדה זו הוגשה פסיקה. באשר לשאלת ביטול ההרשעה המאשימה סבורה שבהעדר נזק קונקרטי יש להותיר ההרשעה על כנה. ב"כ המאשימה ביקש למקם את הנאשם בתחתית המתחם ולהטיל עליו 8 חודשי מאסר בעבודות שירות לצד רכיבים נלווים. בנוסף הוסכם על חילוט סכום הכסף שנתפס בסך 1,740 ₪.</w:t>
      </w:r>
    </w:p>
    <w:p w14:paraId="7CA2E692" w14:textId="77777777" w:rsidR="003955CC" w:rsidRDefault="003955CC" w:rsidP="003955CC">
      <w:pPr>
        <w:pStyle w:val="aa"/>
        <w:numPr>
          <w:ilvl w:val="0"/>
          <w:numId w:val="1"/>
        </w:numPr>
        <w:spacing w:line="360" w:lineRule="auto"/>
        <w:jc w:val="both"/>
        <w:rPr>
          <w:rFonts w:cs="David"/>
          <w:b/>
          <w:bCs/>
          <w:sz w:val="24"/>
          <w:szCs w:val="24"/>
          <w:u w:val="single"/>
        </w:rPr>
      </w:pPr>
      <w:r>
        <w:rPr>
          <w:rFonts w:cs="David"/>
          <w:b/>
          <w:bCs/>
          <w:sz w:val="24"/>
          <w:szCs w:val="24"/>
          <w:u w:val="single"/>
          <w:rtl/>
        </w:rPr>
        <w:t>ב"כ הנאשם</w:t>
      </w:r>
      <w:r>
        <w:rPr>
          <w:rFonts w:cs="David"/>
          <w:b/>
          <w:bCs/>
          <w:sz w:val="24"/>
          <w:szCs w:val="24"/>
          <w:rtl/>
        </w:rPr>
        <w:t xml:space="preserve"> </w:t>
      </w:r>
      <w:r>
        <w:rPr>
          <w:rFonts w:cs="David"/>
          <w:sz w:val="24"/>
          <w:szCs w:val="24"/>
          <w:rtl/>
        </w:rPr>
        <w:t>אבחן את הפסיקה שהוגשה והתנגד לטיעון לגבי פוטנציאל הנזק בשל שימוש בסמים כאשר המדינה עצמה מתירה שימוש בסמים. בנוסף, הנאשם בן 29, התארס לאחרונה, לקח אחריות באופן מיידי כבר בישיבה הראשונה. לדברי הסנגור הנאשם נמצא כמעט שנתיים בטיפול בפיקוח שירות המבחן (אם כי הנאשם עצמו סיפר שהגיע לשתי פגישות בלבד לשם הכנת התסקירים). עוד הוסיף הסנגור כי הנאשם נכה, בעל 42% נכות, מחזיק ברישיון לקנביס והעבירה זרה לאורח חייו. כן הוסיף את הרקע בו גדל הנאשם והכוחות שנדרשו לו לבנות חיים נורמטיביים. הסנגור ביקש לתת לנאשם הזדמנות. לגבי ההרשעה הוסיף שהנאשם עובד כמורה מחליף בבית ספר והוא בעל רשיון תיווך ואלו עלולים להיפגע כתוצאה מהרשעה. הסנגור ביקש להימנע מהרשעה ולחילופין לגזור על מרשו 500 שעות של"צ.</w:t>
      </w:r>
      <w:r>
        <w:rPr>
          <w:rFonts w:cs="David"/>
          <w:b/>
          <w:bCs/>
          <w:sz w:val="24"/>
          <w:szCs w:val="24"/>
          <w:u w:val="single"/>
          <w:rtl/>
        </w:rPr>
        <w:t xml:space="preserve"> </w:t>
      </w:r>
    </w:p>
    <w:p w14:paraId="10746652" w14:textId="77777777" w:rsidR="003955CC" w:rsidRDefault="003955CC" w:rsidP="003955CC">
      <w:pPr>
        <w:pStyle w:val="aa"/>
        <w:numPr>
          <w:ilvl w:val="0"/>
          <w:numId w:val="1"/>
        </w:numPr>
        <w:spacing w:line="360" w:lineRule="auto"/>
        <w:jc w:val="both"/>
        <w:rPr>
          <w:rFonts w:cs="David"/>
          <w:b/>
          <w:bCs/>
          <w:sz w:val="24"/>
          <w:szCs w:val="24"/>
          <w:u w:val="single"/>
        </w:rPr>
      </w:pPr>
      <w:r>
        <w:rPr>
          <w:rFonts w:cs="David"/>
          <w:b/>
          <w:bCs/>
          <w:sz w:val="24"/>
          <w:szCs w:val="24"/>
          <w:u w:val="single"/>
          <w:rtl/>
        </w:rPr>
        <w:t>הנאשם בדבריו</w:t>
      </w:r>
      <w:r>
        <w:rPr>
          <w:rFonts w:cs="David"/>
          <w:b/>
          <w:bCs/>
          <w:sz w:val="24"/>
          <w:szCs w:val="24"/>
          <w:rtl/>
        </w:rPr>
        <w:t xml:space="preserve"> </w:t>
      </w:r>
      <w:r>
        <w:rPr>
          <w:rFonts w:cs="David"/>
          <w:sz w:val="24"/>
          <w:szCs w:val="24"/>
          <w:rtl/>
        </w:rPr>
        <w:t>מסר כי נפגש פעמיים עם קצינת המבחן ועשה מה שהתבקש ממנו. סיפר על רצונו לנהל אורח חיים תקין. סיפר שביצע תפקידי הדרכה בצבא וכיום הוא מורה ובעל רשיון תיווך ובעתיד הוא מעונין לגשת לבחינה הפסיכומטרית וללמוד לימודי משפטים. הנאשם ביקש מבית המשפט הזדמנות.</w:t>
      </w:r>
      <w:r>
        <w:rPr>
          <w:rFonts w:cs="David"/>
          <w:b/>
          <w:bCs/>
          <w:sz w:val="24"/>
          <w:szCs w:val="24"/>
          <w:u w:val="single"/>
          <w:rtl/>
        </w:rPr>
        <w:t xml:space="preserve"> </w:t>
      </w:r>
    </w:p>
    <w:p w14:paraId="5C8602B9" w14:textId="77777777" w:rsidR="003955CC" w:rsidRDefault="003955CC" w:rsidP="003955CC">
      <w:pPr>
        <w:pStyle w:val="aa"/>
        <w:spacing w:line="360" w:lineRule="auto"/>
        <w:ind w:left="360"/>
        <w:jc w:val="both"/>
        <w:rPr>
          <w:rFonts w:cs="David"/>
          <w:b/>
          <w:bCs/>
          <w:sz w:val="24"/>
          <w:szCs w:val="24"/>
          <w:u w:val="single"/>
        </w:rPr>
      </w:pPr>
    </w:p>
    <w:p w14:paraId="1C23501F" w14:textId="77777777" w:rsidR="003955CC" w:rsidRDefault="003955CC" w:rsidP="003955CC">
      <w:pPr>
        <w:spacing w:line="360" w:lineRule="auto"/>
        <w:jc w:val="both"/>
        <w:rPr>
          <w:rFonts w:ascii="David" w:hAnsi="David"/>
          <w:rtl/>
        </w:rPr>
      </w:pPr>
      <w:r>
        <w:rPr>
          <w:rFonts w:ascii="David" w:hAnsi="David"/>
          <w:b/>
          <w:bCs/>
          <w:u w:val="single"/>
          <w:rtl/>
        </w:rPr>
        <w:t>דיון והכרעה</w:t>
      </w:r>
    </w:p>
    <w:p w14:paraId="11C571BB" w14:textId="77777777" w:rsidR="003955CC" w:rsidRDefault="003955CC" w:rsidP="003955CC">
      <w:pPr>
        <w:pStyle w:val="aa"/>
        <w:numPr>
          <w:ilvl w:val="0"/>
          <w:numId w:val="1"/>
        </w:numPr>
        <w:spacing w:line="360" w:lineRule="auto"/>
        <w:jc w:val="both"/>
        <w:rPr>
          <w:rFonts w:ascii="David" w:hAnsi="David" w:cs="David"/>
          <w:sz w:val="24"/>
          <w:szCs w:val="24"/>
          <w:rtl/>
        </w:rPr>
      </w:pPr>
      <w:r>
        <w:rPr>
          <w:rFonts w:ascii="David" w:hAnsi="David" w:cs="David"/>
          <w:b/>
          <w:bCs/>
          <w:sz w:val="24"/>
          <w:szCs w:val="24"/>
          <w:rtl/>
        </w:rPr>
        <w:t>הערכים המוגנים שנפגעו-</w:t>
      </w:r>
      <w:r>
        <w:rPr>
          <w:rFonts w:ascii="David" w:hAnsi="David" w:cs="David"/>
          <w:sz w:val="24"/>
          <w:szCs w:val="24"/>
          <w:rtl/>
        </w:rPr>
        <w:t xml:space="preserve"> להפצת סמים נזקים רחבים והשפעה הרסנית ברבדים חברתיים רבים. פגיעת הסמים רחבת היקף וכוללת גם את המשתמש הבודד, משפחתו והמעגל הקרוב אליו וגם את החברה כולה בשל פעילות פלילית של הצרכן המבקש לספק את הדחף לסם ומבצע לשם כך עבירות נוספות. מעבר לאלו מייצרים ייצרני הסמים ומעגלי השיווק שלהם, פעילות עבריינית נרחבת. אני דוחה את טיעוני הסנגור לפיהם המדינה מנועה מלטעון לפוטנציאל הנזק הכרוך בשימוש בקנביס נוכח הכרתה באפשרות שימוש בסם זה. טענות דומות הועלו ונדחו בבית המשפט העליון וראו למשל </w:t>
      </w:r>
      <w:hyperlink r:id="rId17" w:history="1">
        <w:r w:rsidR="00445B07" w:rsidRPr="00445B07">
          <w:rPr>
            <w:rFonts w:ascii="David" w:hAnsi="David" w:cs="David"/>
            <w:color w:val="0000FF"/>
            <w:sz w:val="24"/>
            <w:szCs w:val="24"/>
            <w:u w:val="single"/>
            <w:rtl/>
          </w:rPr>
          <w:t>רע"פ 8759/21</w:t>
        </w:r>
      </w:hyperlink>
      <w:r>
        <w:rPr>
          <w:rFonts w:ascii="David" w:hAnsi="David" w:cs="David"/>
          <w:sz w:val="24"/>
          <w:szCs w:val="24"/>
          <w:rtl/>
        </w:rPr>
        <w:t xml:space="preserve"> </w:t>
      </w:r>
      <w:r>
        <w:rPr>
          <w:rFonts w:ascii="David" w:hAnsi="David" w:cs="David"/>
          <w:b/>
          <w:bCs/>
          <w:sz w:val="24"/>
          <w:szCs w:val="24"/>
          <w:rtl/>
        </w:rPr>
        <w:t>קסלר נ' מדינת ישראל</w:t>
      </w:r>
      <w:r>
        <w:rPr>
          <w:rFonts w:ascii="David" w:hAnsi="David" w:cs="David"/>
          <w:sz w:val="24"/>
          <w:szCs w:val="24"/>
          <w:rtl/>
        </w:rPr>
        <w:t xml:space="preserve"> (23.12.21) בפסקה 11:</w:t>
      </w:r>
    </w:p>
    <w:p w14:paraId="5EA8DCD0" w14:textId="77777777" w:rsidR="003955CC" w:rsidRDefault="003955CC" w:rsidP="003955CC">
      <w:pPr>
        <w:pStyle w:val="aa"/>
        <w:spacing w:line="360" w:lineRule="auto"/>
        <w:ind w:left="360"/>
        <w:jc w:val="both"/>
        <w:rPr>
          <w:rFonts w:ascii="David" w:hAnsi="David" w:cs="David"/>
          <w:sz w:val="24"/>
          <w:szCs w:val="24"/>
        </w:rPr>
      </w:pPr>
      <w:r>
        <w:rPr>
          <w:rFonts w:ascii="David" w:hAnsi="David" w:cs="David"/>
          <w:sz w:val="24"/>
          <w:szCs w:val="24"/>
          <w:rtl/>
        </w:rPr>
        <w:t>"</w:t>
      </w:r>
      <w:r>
        <w:rPr>
          <w:rFonts w:ascii="David" w:hAnsi="David" w:cs="David"/>
          <w:b/>
          <w:bCs/>
          <w:sz w:val="24"/>
          <w:szCs w:val="24"/>
          <w:rtl/>
        </w:rPr>
        <w:t>ויודגש, כי אף לאחר ההחלטה אליה מפנה בא כוח המבקש, שב בית משפט זה על הקביעה כי כפי שמוגדר בפקודה, סם הקנבוס הוא סם מסוכן, והוראת המחוקק לעניין זה היא הדין הנוהג והמחייב. כל עוד לא נקבע אחרת, התפיסה לפיה קנבוס הוא בגדר</w:t>
      </w:r>
      <w:r>
        <w:rPr>
          <w:rFonts w:ascii="David" w:hAnsi="David" w:cs="David"/>
          <w:b/>
          <w:bCs/>
          <w:sz w:val="24"/>
          <w:szCs w:val="24"/>
        </w:rPr>
        <w:t xml:space="preserve"> </w:t>
      </w:r>
      <w:r>
        <w:rPr>
          <w:rFonts w:ascii="David" w:hAnsi="David" w:cs="David"/>
          <w:b/>
          <w:bCs/>
          <w:sz w:val="24"/>
          <w:szCs w:val="24"/>
          <w:rtl/>
        </w:rPr>
        <w:t>"סם קל" ודינו שונה מדינם של סמים אחרים נעדרת אחיזה בדין, ואין בה כדי לבטל את החזקה הקבועה בפקודה</w:t>
      </w:r>
      <w:r>
        <w:rPr>
          <w:rFonts w:ascii="David" w:hAnsi="David" w:cs="David"/>
          <w:sz w:val="24"/>
          <w:szCs w:val="24"/>
          <w:rtl/>
        </w:rPr>
        <w:t xml:space="preserve">" (ראו </w:t>
      </w:r>
      <w:hyperlink r:id="rId18" w:history="1">
        <w:r w:rsidR="00445B07" w:rsidRPr="00445B07">
          <w:rPr>
            <w:rFonts w:ascii="David" w:hAnsi="David" w:cs="David"/>
            <w:color w:val="0000FF"/>
            <w:sz w:val="24"/>
            <w:szCs w:val="24"/>
            <w:u w:val="single"/>
            <w:rtl/>
          </w:rPr>
          <w:t>ע"פ 6299/20</w:t>
        </w:r>
      </w:hyperlink>
      <w:r>
        <w:rPr>
          <w:rFonts w:ascii="David" w:hAnsi="David" w:cs="David"/>
          <w:sz w:val="24"/>
          <w:szCs w:val="24"/>
          <w:rtl/>
        </w:rPr>
        <w:t xml:space="preserve"> </w:t>
      </w:r>
      <w:r>
        <w:rPr>
          <w:rFonts w:ascii="David" w:hAnsi="David" w:cs="David" w:hint="cs"/>
          <w:b/>
          <w:bCs/>
          <w:sz w:val="24"/>
          <w:szCs w:val="24"/>
          <w:rtl/>
        </w:rPr>
        <w:t>חן נ' מדינת ישראל</w:t>
      </w:r>
      <w:r>
        <w:rPr>
          <w:rFonts w:ascii="David" w:hAnsi="David" w:cs="David" w:hint="cs"/>
          <w:sz w:val="24"/>
          <w:szCs w:val="24"/>
          <w:rtl/>
        </w:rPr>
        <w:t xml:space="preserve"> [פורסם בנבו] (4.2.2021); </w:t>
      </w:r>
      <w:hyperlink r:id="rId19" w:history="1">
        <w:r w:rsidR="00445B07" w:rsidRPr="00445B07">
          <w:rPr>
            <w:rFonts w:ascii="David" w:hAnsi="David" w:cs="David"/>
            <w:color w:val="0000FF"/>
            <w:sz w:val="24"/>
            <w:szCs w:val="24"/>
            <w:u w:val="single"/>
            <w:rtl/>
          </w:rPr>
          <w:t>בש"פ 6789/21</w:t>
        </w:r>
      </w:hyperlink>
      <w:r>
        <w:rPr>
          <w:rFonts w:ascii="David" w:hAnsi="David" w:cs="David"/>
          <w:sz w:val="24"/>
          <w:szCs w:val="24"/>
          <w:rtl/>
        </w:rPr>
        <w:t xml:space="preserve"> </w:t>
      </w:r>
      <w:r>
        <w:rPr>
          <w:rFonts w:ascii="David" w:hAnsi="David" w:cs="David" w:hint="cs"/>
          <w:b/>
          <w:bCs/>
          <w:sz w:val="24"/>
          <w:szCs w:val="24"/>
          <w:rtl/>
        </w:rPr>
        <w:t>מדינת ישראל נ' שצ'רבקוב</w:t>
      </w:r>
      <w:r>
        <w:rPr>
          <w:rFonts w:ascii="David" w:hAnsi="David" w:cs="David" w:hint="cs"/>
          <w:sz w:val="24"/>
          <w:szCs w:val="24"/>
          <w:rtl/>
        </w:rPr>
        <w:t xml:space="preserve"> [פורסם בנבו] (17.10.2021); </w:t>
      </w:r>
      <w:hyperlink r:id="rId20" w:history="1">
        <w:r w:rsidR="00445B07" w:rsidRPr="00445B07">
          <w:rPr>
            <w:rFonts w:ascii="David" w:hAnsi="David" w:cs="David"/>
            <w:color w:val="0000FF"/>
            <w:sz w:val="24"/>
            <w:szCs w:val="24"/>
            <w:u w:val="single"/>
            <w:rtl/>
          </w:rPr>
          <w:t>רע"פ 174/21</w:t>
        </w:r>
      </w:hyperlink>
      <w:r>
        <w:rPr>
          <w:rFonts w:ascii="David" w:hAnsi="David" w:cs="David"/>
          <w:sz w:val="24"/>
          <w:szCs w:val="24"/>
          <w:rtl/>
        </w:rPr>
        <w:t xml:space="preserve"> </w:t>
      </w:r>
      <w:r>
        <w:rPr>
          <w:rFonts w:ascii="David" w:hAnsi="David" w:cs="David" w:hint="cs"/>
          <w:b/>
          <w:bCs/>
          <w:sz w:val="24"/>
          <w:szCs w:val="24"/>
          <w:rtl/>
        </w:rPr>
        <w:t>סויסה נ' מדינת ישראל</w:t>
      </w:r>
      <w:r>
        <w:rPr>
          <w:rFonts w:ascii="David" w:hAnsi="David" w:cs="David" w:hint="cs"/>
          <w:sz w:val="24"/>
          <w:szCs w:val="24"/>
          <w:rtl/>
        </w:rPr>
        <w:t xml:space="preserve"> [פורסם בנבו] (25.2.2021)).</w:t>
      </w:r>
    </w:p>
    <w:p w14:paraId="0F2BF527" w14:textId="77777777" w:rsidR="003955CC" w:rsidRDefault="003955CC" w:rsidP="003955CC">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דברים אלו נאמרו לגבי החזקה של 229 גר' קנביס והם נכונים מקל וחומר מקום שמדובר בסחר שבוצע באמצעות טלגרם כמו במקרה שלפני. סוחרי הסמים מגדילים כל העת את מעגל המכורים, גורמים לכך שהסמים זמינים לכל דורש לרבות קטינים ומסייעים להפצת הנזקים בקלות ובמהירות בקרב הציבור. </w:t>
      </w:r>
    </w:p>
    <w:p w14:paraId="246887A0" w14:textId="77777777" w:rsidR="003955CC" w:rsidRDefault="003955CC" w:rsidP="003955CC">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בענייננו הנאשם סחר בסם באמצעות אפליקציית "טלגרם" כאשר מכר לאחרת סם מסוכן מסוג </w:t>
      </w:r>
      <w:r>
        <w:rPr>
          <w:rFonts w:ascii="David" w:hAnsi="David" w:cs="David"/>
          <w:b/>
          <w:bCs/>
          <w:sz w:val="24"/>
          <w:szCs w:val="24"/>
          <w:rtl/>
        </w:rPr>
        <w:t>קנאביס</w:t>
      </w:r>
      <w:r>
        <w:rPr>
          <w:rFonts w:ascii="David" w:hAnsi="David" w:cs="David"/>
          <w:sz w:val="24"/>
          <w:szCs w:val="24"/>
          <w:rtl/>
        </w:rPr>
        <w:t xml:space="preserve"> במשקל </w:t>
      </w:r>
      <w:r>
        <w:rPr>
          <w:rFonts w:ascii="David" w:hAnsi="David" w:cs="David"/>
          <w:b/>
          <w:bCs/>
          <w:sz w:val="24"/>
          <w:szCs w:val="24"/>
          <w:rtl/>
        </w:rPr>
        <w:t>4.62 גרם</w:t>
      </w:r>
      <w:r>
        <w:rPr>
          <w:rFonts w:ascii="David" w:hAnsi="David" w:cs="David"/>
          <w:sz w:val="24"/>
          <w:szCs w:val="24"/>
          <w:rtl/>
        </w:rPr>
        <w:t xml:space="preserve"> נטו, וזאת בתמורה ל-300 ₪ ובנוסף החזיק ברכבו 92 שקיות ובתוכן סם מסוג </w:t>
      </w:r>
      <w:r>
        <w:rPr>
          <w:rFonts w:ascii="David" w:hAnsi="David" w:cs="David"/>
          <w:b/>
          <w:bCs/>
          <w:sz w:val="24"/>
          <w:szCs w:val="24"/>
          <w:rtl/>
        </w:rPr>
        <w:t>קנאביס</w:t>
      </w:r>
      <w:r>
        <w:rPr>
          <w:rFonts w:ascii="David" w:hAnsi="David" w:cs="David"/>
          <w:sz w:val="24"/>
          <w:szCs w:val="24"/>
          <w:rtl/>
        </w:rPr>
        <w:t xml:space="preserve"> במשקל כולל של </w:t>
      </w:r>
      <w:r>
        <w:rPr>
          <w:rFonts w:ascii="David" w:hAnsi="David" w:cs="David"/>
          <w:b/>
          <w:bCs/>
          <w:sz w:val="24"/>
          <w:szCs w:val="24"/>
          <w:rtl/>
        </w:rPr>
        <w:t>כ-300 גרם</w:t>
      </w:r>
      <w:r>
        <w:rPr>
          <w:rFonts w:ascii="David" w:hAnsi="David" w:cs="David"/>
          <w:sz w:val="24"/>
          <w:szCs w:val="24"/>
          <w:rtl/>
        </w:rPr>
        <w:t xml:space="preserve"> נטו. עוצמת הפגיעה בערכים המוגנים אינה נמוכה ופוטנציאל הנזק בלתי מבוטל אף שהמכירה שבוצעה בפועל בכמות קטנה ובסכום נמוך. </w:t>
      </w:r>
    </w:p>
    <w:p w14:paraId="5927D047" w14:textId="77777777" w:rsidR="003955CC" w:rsidRDefault="003955CC" w:rsidP="003955CC">
      <w:pPr>
        <w:spacing w:line="360" w:lineRule="auto"/>
        <w:jc w:val="both"/>
        <w:rPr>
          <w:rFonts w:ascii="David" w:hAnsi="David"/>
          <w:b/>
          <w:bCs/>
          <w:u w:val="single"/>
          <w:rtl/>
        </w:rPr>
      </w:pPr>
      <w:r>
        <w:rPr>
          <w:rFonts w:ascii="David" w:hAnsi="David"/>
          <w:b/>
          <w:bCs/>
          <w:u w:val="single"/>
          <w:rtl/>
        </w:rPr>
        <w:t xml:space="preserve">שאלת ביטול ההרשעה </w:t>
      </w:r>
    </w:p>
    <w:p w14:paraId="676E14C0" w14:textId="77777777" w:rsidR="003955CC" w:rsidRDefault="003955CC" w:rsidP="003955CC">
      <w:pPr>
        <w:pStyle w:val="aa"/>
        <w:numPr>
          <w:ilvl w:val="0"/>
          <w:numId w:val="1"/>
        </w:numPr>
        <w:spacing w:after="160" w:line="360" w:lineRule="auto"/>
        <w:jc w:val="both"/>
        <w:rPr>
          <w:rFonts w:cs="David"/>
          <w:sz w:val="24"/>
          <w:szCs w:val="24"/>
        </w:rPr>
      </w:pPr>
      <w:r>
        <w:rPr>
          <w:rFonts w:cs="David"/>
          <w:sz w:val="24"/>
          <w:szCs w:val="24"/>
          <w:rtl/>
        </w:rPr>
        <w:t xml:space="preserve">הערכים המוגנים ועוצמת הפגיעה בהם הם מרכיב מרכזי בבחינת עניינו של נאשם העותר לביטול הרשעה. בבוא בית המשפט לשקול אפשרות זו שומה עליו לאזן בין שני ערכים מתנגשים. האינטרס הציבורי מול נסיבותיו האישיות של הנאשם. רק בהתקיים שני תנאים מצטברים ניתן לסיים הליך ללא הרשעה: האחד - נסיבות העבירה מאפשרות להימנע מהרשעה מבלי לפגוע יתר על המידה באינטרס הציבורי ובשיקולי הענישה האחרים; השני - </w:t>
      </w:r>
      <w:r>
        <w:rPr>
          <w:rFonts w:ascii="Arial" w:hAnsi="Arial" w:cs="David"/>
          <w:sz w:val="24"/>
          <w:szCs w:val="24"/>
          <w:rtl/>
        </w:rPr>
        <w:t xml:space="preserve">ההרשעה תסב נזק בלתי מידתי, קונקרטי וממשי לסיכוי שיקומו של הנאשם (ראו </w:t>
      </w:r>
      <w:hyperlink r:id="rId21" w:history="1">
        <w:r w:rsidR="00445B07" w:rsidRPr="00445B07">
          <w:rPr>
            <w:rFonts w:ascii="Arial" w:hAnsi="Arial" w:cs="David"/>
            <w:color w:val="0000FF"/>
            <w:sz w:val="24"/>
            <w:szCs w:val="24"/>
            <w:u w:val="single"/>
            <w:rtl/>
          </w:rPr>
          <w:t>רע"פ 8453/15</w:t>
        </w:r>
      </w:hyperlink>
      <w:r>
        <w:rPr>
          <w:rFonts w:ascii="Arial" w:hAnsi="Arial" w:cs="David"/>
          <w:sz w:val="24"/>
          <w:szCs w:val="24"/>
          <w:rtl/>
        </w:rPr>
        <w:t xml:space="preserve"> </w:t>
      </w:r>
      <w:r>
        <w:rPr>
          <w:rFonts w:ascii="Arial" w:hAnsi="Arial" w:cs="David"/>
          <w:b/>
          <w:bCs/>
          <w:sz w:val="24"/>
          <w:szCs w:val="24"/>
          <w:rtl/>
        </w:rPr>
        <w:t>פלוני</w:t>
      </w:r>
      <w:r>
        <w:rPr>
          <w:rFonts w:ascii="Arial" w:hAnsi="Arial" w:cs="David"/>
          <w:b/>
          <w:bCs/>
          <w:sz w:val="24"/>
          <w:szCs w:val="24"/>
        </w:rPr>
        <w:t xml:space="preserve"> </w:t>
      </w:r>
      <w:r>
        <w:rPr>
          <w:rFonts w:ascii="Arial" w:hAnsi="Arial" w:cs="David"/>
          <w:b/>
          <w:bCs/>
          <w:sz w:val="24"/>
          <w:szCs w:val="24"/>
          <w:rtl/>
        </w:rPr>
        <w:t>נ' מדינת</w:t>
      </w:r>
      <w:r>
        <w:rPr>
          <w:rFonts w:ascii="Arial" w:hAnsi="Arial" w:cs="David"/>
          <w:b/>
          <w:bCs/>
          <w:sz w:val="24"/>
          <w:szCs w:val="24"/>
        </w:rPr>
        <w:t xml:space="preserve"> </w:t>
      </w:r>
      <w:r>
        <w:rPr>
          <w:rFonts w:ascii="Arial" w:hAnsi="Arial" w:cs="David"/>
          <w:b/>
          <w:bCs/>
          <w:sz w:val="24"/>
          <w:szCs w:val="24"/>
          <w:rtl/>
        </w:rPr>
        <w:t xml:space="preserve">ישראל </w:t>
      </w:r>
      <w:r>
        <w:rPr>
          <w:rFonts w:cs="David"/>
          <w:sz w:val="24"/>
          <w:szCs w:val="24"/>
          <w:rtl/>
        </w:rPr>
        <w:t>(03.01.16),</w:t>
      </w:r>
      <w:r>
        <w:rPr>
          <w:rFonts w:ascii="Arial" w:hAnsi="Arial" w:cs="David"/>
          <w:sz w:val="24"/>
          <w:szCs w:val="24"/>
          <w:rtl/>
        </w:rPr>
        <w:t xml:space="preserve"> </w:t>
      </w:r>
      <w:hyperlink r:id="rId22" w:history="1">
        <w:r w:rsidR="00445B07" w:rsidRPr="00445B07">
          <w:rPr>
            <w:rFonts w:ascii="Arial" w:hAnsi="Arial" w:cs="David"/>
            <w:color w:val="0000FF"/>
            <w:sz w:val="24"/>
            <w:szCs w:val="24"/>
            <w:u w:val="single"/>
            <w:rtl/>
          </w:rPr>
          <w:t>רע"פ 8663/15</w:t>
        </w:r>
      </w:hyperlink>
      <w:r>
        <w:rPr>
          <w:rFonts w:ascii="Arial" w:hAnsi="Arial" w:cs="David"/>
          <w:sz w:val="24"/>
          <w:szCs w:val="24"/>
        </w:rPr>
        <w:t xml:space="preserve"> </w:t>
      </w:r>
      <w:r>
        <w:rPr>
          <w:rFonts w:ascii="Arial" w:hAnsi="Arial" w:cs="David"/>
          <w:b/>
          <w:bCs/>
          <w:sz w:val="24"/>
          <w:szCs w:val="24"/>
          <w:rtl/>
        </w:rPr>
        <w:t>‏</w:t>
      </w:r>
      <w:r>
        <w:rPr>
          <w:rFonts w:ascii="Arial" w:hAnsi="Arial" w:cs="David"/>
          <w:b/>
          <w:bCs/>
          <w:sz w:val="24"/>
          <w:szCs w:val="24"/>
        </w:rPr>
        <w:t xml:space="preserve"> </w:t>
      </w:r>
      <w:r>
        <w:rPr>
          <w:rFonts w:ascii="Arial" w:hAnsi="Arial" w:cs="David"/>
          <w:b/>
          <w:bCs/>
          <w:sz w:val="24"/>
          <w:szCs w:val="24"/>
          <w:rtl/>
        </w:rPr>
        <w:t>‏לוזנאנו</w:t>
      </w:r>
      <w:r>
        <w:rPr>
          <w:rFonts w:ascii="Arial" w:hAnsi="Arial" w:cs="David"/>
          <w:b/>
          <w:bCs/>
          <w:sz w:val="24"/>
          <w:szCs w:val="24"/>
        </w:rPr>
        <w:t xml:space="preserve"> </w:t>
      </w:r>
      <w:r>
        <w:rPr>
          <w:rFonts w:ascii="Arial" w:hAnsi="Arial" w:cs="David"/>
          <w:b/>
          <w:bCs/>
          <w:sz w:val="24"/>
          <w:szCs w:val="24"/>
          <w:rtl/>
        </w:rPr>
        <w:t xml:space="preserve">נ' </w:t>
      </w:r>
      <w:r>
        <w:rPr>
          <w:rFonts w:ascii="Arial" w:hAnsi="Arial" w:cs="David"/>
          <w:b/>
          <w:bCs/>
          <w:sz w:val="24"/>
          <w:szCs w:val="24"/>
        </w:rPr>
        <w:t xml:space="preserve"> </w:t>
      </w:r>
      <w:r>
        <w:rPr>
          <w:rFonts w:ascii="Arial" w:hAnsi="Arial" w:cs="David"/>
          <w:b/>
          <w:bCs/>
          <w:sz w:val="24"/>
          <w:szCs w:val="24"/>
          <w:rtl/>
        </w:rPr>
        <w:t>מדינת</w:t>
      </w:r>
      <w:r>
        <w:rPr>
          <w:rFonts w:ascii="Arial" w:hAnsi="Arial" w:cs="David"/>
          <w:b/>
          <w:bCs/>
          <w:sz w:val="24"/>
          <w:szCs w:val="24"/>
        </w:rPr>
        <w:t xml:space="preserve"> </w:t>
      </w:r>
      <w:r>
        <w:rPr>
          <w:rFonts w:ascii="Arial" w:hAnsi="Arial" w:cs="David"/>
          <w:b/>
          <w:bCs/>
          <w:sz w:val="24"/>
          <w:szCs w:val="24"/>
          <w:rtl/>
        </w:rPr>
        <w:t xml:space="preserve">ישראל </w:t>
      </w:r>
      <w:r>
        <w:rPr>
          <w:rFonts w:cs="David"/>
          <w:sz w:val="24"/>
          <w:szCs w:val="24"/>
          <w:rtl/>
        </w:rPr>
        <w:t xml:space="preserve"> </w:t>
      </w:r>
      <w:r>
        <w:rPr>
          <w:rFonts w:ascii="Arial" w:hAnsi="Arial" w:cs="David"/>
          <w:sz w:val="24"/>
          <w:szCs w:val="24"/>
          <w:rtl/>
        </w:rPr>
        <w:t>(22.12.15)).</w:t>
      </w:r>
      <w:r>
        <w:rPr>
          <w:rFonts w:ascii="David" w:hAnsi="David" w:cs="David"/>
          <w:sz w:val="24"/>
          <w:szCs w:val="24"/>
          <w:rtl/>
        </w:rPr>
        <w:t xml:space="preserve"> בין שני השיקולים מתקיימת </w:t>
      </w:r>
      <w:r>
        <w:rPr>
          <w:rFonts w:ascii="David" w:hAnsi="David" w:cs="David"/>
          <w:b/>
          <w:bCs/>
          <w:sz w:val="24"/>
          <w:szCs w:val="24"/>
          <w:rtl/>
        </w:rPr>
        <w:t>"מקבילית כוחות"</w:t>
      </w:r>
      <w:r>
        <w:rPr>
          <w:rFonts w:ascii="David" w:hAnsi="David" w:cs="David"/>
          <w:sz w:val="24"/>
          <w:szCs w:val="24"/>
          <w:rtl/>
        </w:rPr>
        <w:t xml:space="preserve">  - ככל שחומרת העבירות פחותה יותר קטנה הדרישה להוכחת נזק קונקרטי  (ראו</w:t>
      </w:r>
      <w:r>
        <w:rPr>
          <w:rtl/>
        </w:rPr>
        <w:t xml:space="preserve"> </w:t>
      </w:r>
      <w:hyperlink r:id="rId23" w:history="1">
        <w:r w:rsidR="00445B07" w:rsidRPr="00445B07">
          <w:rPr>
            <w:rFonts w:ascii="David" w:hAnsi="David" w:cs="David"/>
            <w:color w:val="0000FF"/>
            <w:sz w:val="24"/>
            <w:szCs w:val="24"/>
            <w:u w:val="single"/>
            <w:rtl/>
          </w:rPr>
          <w:t>ע"פ (מחוזי מרכז) 24457-03-15</w:t>
        </w:r>
      </w:hyperlink>
      <w:r>
        <w:rPr>
          <w:rFonts w:ascii="David" w:hAnsi="David" w:cs="David"/>
          <w:sz w:val="24"/>
          <w:szCs w:val="24"/>
          <w:rtl/>
        </w:rPr>
        <w:t xml:space="preserve"> </w:t>
      </w:r>
      <w:r>
        <w:rPr>
          <w:rFonts w:ascii="David" w:hAnsi="David" w:cs="David" w:hint="cs"/>
          <w:b/>
          <w:bCs/>
          <w:sz w:val="24"/>
          <w:szCs w:val="24"/>
          <w:rtl/>
        </w:rPr>
        <w:t>פבל גוטרמן נ' מדינת ישראל</w:t>
      </w:r>
      <w:r>
        <w:rPr>
          <w:rFonts w:ascii="David" w:hAnsi="David" w:cs="David" w:hint="cs"/>
          <w:sz w:val="24"/>
          <w:szCs w:val="24"/>
          <w:rtl/>
        </w:rPr>
        <w:t>, (30.08.2015) בסעיף 69.</w:t>
      </w:r>
    </w:p>
    <w:p w14:paraId="051EE53E" w14:textId="77777777" w:rsidR="003955CC" w:rsidRDefault="003955CC" w:rsidP="003955CC">
      <w:pPr>
        <w:pStyle w:val="aa"/>
        <w:numPr>
          <w:ilvl w:val="0"/>
          <w:numId w:val="1"/>
        </w:numPr>
        <w:spacing w:after="160" w:line="360" w:lineRule="auto"/>
        <w:jc w:val="both"/>
        <w:rPr>
          <w:rFonts w:ascii="David" w:hAnsi="David" w:cs="David"/>
          <w:sz w:val="24"/>
          <w:szCs w:val="24"/>
        </w:rPr>
      </w:pPr>
      <w:r>
        <w:rPr>
          <w:rFonts w:ascii="David" w:hAnsi="David" w:cs="David"/>
          <w:color w:val="000000"/>
          <w:sz w:val="24"/>
          <w:szCs w:val="24"/>
          <w:rtl/>
        </w:rPr>
        <w:t xml:space="preserve">סיום הליך ללא הרשעה הוא תוצאה חריגה וכאשר מדובר בעבירות סחר בסמים והחזקת סם שלא לצריכה עצמית תוצאה חריגה ונדירה עוד יותר. בביצוע עבירות אלה הנאשם חוטא ומחטיא ומשכך יש מקום ליתן משקל ממשי לשיקולי הרתעה, ראו בהקשר זה </w:t>
      </w:r>
      <w:hyperlink r:id="rId24" w:history="1">
        <w:r w:rsidR="00445B07" w:rsidRPr="00445B07">
          <w:rPr>
            <w:rFonts w:ascii="David" w:hAnsi="David" w:cs="David"/>
            <w:color w:val="0000FF"/>
            <w:sz w:val="24"/>
            <w:szCs w:val="24"/>
            <w:u w:val="single"/>
            <w:rtl/>
          </w:rPr>
          <w:t>רע"פ 873/12</w:t>
        </w:r>
      </w:hyperlink>
      <w:r>
        <w:rPr>
          <w:rFonts w:ascii="David" w:hAnsi="David" w:cs="David"/>
          <w:sz w:val="24"/>
          <w:szCs w:val="24"/>
          <w:rtl/>
        </w:rPr>
        <w:t xml:space="preserve"> </w:t>
      </w:r>
      <w:r>
        <w:rPr>
          <w:rFonts w:ascii="David" w:hAnsi="David" w:cs="David"/>
          <w:b/>
          <w:bCs/>
          <w:sz w:val="24"/>
          <w:szCs w:val="24"/>
          <w:rtl/>
        </w:rPr>
        <w:t>פלוני נ' מדינת ישראל</w:t>
      </w:r>
      <w:r>
        <w:rPr>
          <w:rFonts w:ascii="David" w:hAnsi="David" w:cs="David"/>
          <w:sz w:val="24"/>
          <w:szCs w:val="24"/>
          <w:rtl/>
        </w:rPr>
        <w:t xml:space="preserve"> (2.2.12). וראו גם: </w:t>
      </w:r>
      <w:hyperlink r:id="rId25" w:history="1">
        <w:r w:rsidR="00445B07" w:rsidRPr="00445B07">
          <w:rPr>
            <w:rFonts w:ascii="David" w:hAnsi="David" w:cs="David"/>
            <w:color w:val="0000FF"/>
            <w:sz w:val="24"/>
            <w:szCs w:val="24"/>
            <w:u w:val="single"/>
            <w:rtl/>
          </w:rPr>
          <w:t>רע"פ 5478/19</w:t>
        </w:r>
      </w:hyperlink>
      <w:r>
        <w:rPr>
          <w:rFonts w:ascii="David" w:hAnsi="David" w:cs="David"/>
          <w:sz w:val="24"/>
          <w:szCs w:val="24"/>
          <w:rtl/>
        </w:rPr>
        <w:t xml:space="preserve"> </w:t>
      </w:r>
      <w:r>
        <w:rPr>
          <w:rFonts w:ascii="David" w:hAnsi="David" w:cs="David"/>
          <w:b/>
          <w:bCs/>
          <w:sz w:val="24"/>
          <w:szCs w:val="24"/>
          <w:rtl/>
        </w:rPr>
        <w:t>נטע לוין נ' מדינת ישראל</w:t>
      </w:r>
      <w:r>
        <w:rPr>
          <w:rFonts w:ascii="David" w:hAnsi="David" w:cs="David"/>
          <w:sz w:val="24"/>
          <w:szCs w:val="24"/>
          <w:rtl/>
        </w:rPr>
        <w:t xml:space="preserve">  (25.08.19). ניתן למצוא מקרים בפסיקה שבהם הסתיים הליך ללא הרשעה בעבירות סחר בסם אולם באותם מקרים יוצאי דופן הוכח קיומו של נזק קונקרטי או דובר בנאשם שעבר הליך שיקומי משמעותי, ראו למשל </w:t>
      </w:r>
      <w:hyperlink r:id="rId26" w:history="1">
        <w:r w:rsidR="00445B07" w:rsidRPr="00445B07">
          <w:rPr>
            <w:rFonts w:ascii="David" w:hAnsi="David" w:cs="David"/>
            <w:color w:val="0000FF"/>
            <w:sz w:val="24"/>
            <w:szCs w:val="24"/>
            <w:u w:val="single"/>
            <w:rtl/>
          </w:rPr>
          <w:t>עפ"ג (מחוזי י-ם) 67452-12-18</w:t>
        </w:r>
      </w:hyperlink>
      <w:r>
        <w:rPr>
          <w:rFonts w:ascii="David" w:hAnsi="David" w:cs="David"/>
          <w:sz w:val="24"/>
          <w:szCs w:val="24"/>
          <w:rtl/>
        </w:rPr>
        <w:t xml:space="preserve"> </w:t>
      </w:r>
      <w:r>
        <w:rPr>
          <w:rFonts w:ascii="David" w:hAnsi="David" w:cs="David"/>
          <w:b/>
          <w:bCs/>
          <w:sz w:val="24"/>
          <w:szCs w:val="24"/>
          <w:rtl/>
        </w:rPr>
        <w:t>מדינת ישראל נ' בוזגלו</w:t>
      </w:r>
      <w:r>
        <w:rPr>
          <w:rFonts w:ascii="David" w:hAnsi="David" w:cs="David"/>
          <w:sz w:val="24"/>
          <w:szCs w:val="24"/>
          <w:rtl/>
        </w:rPr>
        <w:t xml:space="preserve"> מיום (7.4.19), וכן </w:t>
      </w:r>
      <w:hyperlink r:id="rId27" w:history="1">
        <w:r w:rsidR="00445B07" w:rsidRPr="00445B07">
          <w:rPr>
            <w:rFonts w:ascii="David" w:hAnsi="David" w:cs="David"/>
            <w:color w:val="0000FF"/>
            <w:sz w:val="24"/>
            <w:szCs w:val="24"/>
            <w:u w:val="single"/>
            <w:rtl/>
          </w:rPr>
          <w:t>ת"פ (שלום ירושלים) 54750-01-19</w:t>
        </w:r>
      </w:hyperlink>
      <w:r>
        <w:rPr>
          <w:rFonts w:ascii="David" w:hAnsi="David" w:cs="David"/>
          <w:sz w:val="24"/>
          <w:szCs w:val="24"/>
          <w:rtl/>
        </w:rPr>
        <w:t xml:space="preserve"> </w:t>
      </w:r>
      <w:r>
        <w:rPr>
          <w:rFonts w:ascii="David" w:hAnsi="David" w:cs="David"/>
          <w:b/>
          <w:bCs/>
          <w:sz w:val="24"/>
          <w:szCs w:val="24"/>
          <w:rtl/>
        </w:rPr>
        <w:t>בעניין בן שבת</w:t>
      </w:r>
      <w:r>
        <w:rPr>
          <w:rFonts w:ascii="David" w:hAnsi="David" w:cs="David"/>
          <w:sz w:val="24"/>
          <w:szCs w:val="24"/>
          <w:rtl/>
        </w:rPr>
        <w:t xml:space="preserve">, החלטה מיום (2.4.23). </w:t>
      </w:r>
    </w:p>
    <w:p w14:paraId="0D4D26B0" w14:textId="77777777" w:rsidR="003955CC" w:rsidRDefault="003955CC" w:rsidP="003955CC">
      <w:pPr>
        <w:pStyle w:val="aa"/>
        <w:numPr>
          <w:ilvl w:val="0"/>
          <w:numId w:val="1"/>
        </w:numPr>
        <w:spacing w:after="160" w:line="360" w:lineRule="auto"/>
        <w:jc w:val="both"/>
        <w:rPr>
          <w:rFonts w:ascii="David" w:hAnsi="David" w:cs="David"/>
          <w:sz w:val="24"/>
          <w:szCs w:val="24"/>
          <w:highlight w:val="yellow"/>
        </w:rPr>
      </w:pPr>
      <w:r>
        <w:rPr>
          <w:rFonts w:ascii="David" w:hAnsi="David" w:cs="David"/>
          <w:color w:val="000000"/>
          <w:sz w:val="24"/>
          <w:szCs w:val="24"/>
          <w:rtl/>
        </w:rPr>
        <w:t xml:space="preserve">יתר על כן, וזה העיקר במקרה שלפני, לא הוכח כי הרשעה תפגע באופן מיידי וקונקרטי בנאשם. הנאשם הביע התעניינות בתואר מתקדם ויש לברך על כך אולם מדובר בתכנית כללית שעדיין לא התגבשה לכלל מציאות והעולם האקדמי מלא ופתוח למקצועות רבים כך שהקשר בינם לבין הרשעה מרוחק בשלב זה. </w:t>
      </w:r>
      <w:r>
        <w:rPr>
          <w:rFonts w:ascii="David" w:hAnsi="David" w:cs="David"/>
          <w:sz w:val="24"/>
          <w:szCs w:val="24"/>
          <w:rtl/>
        </w:rPr>
        <w:t>שירות המבחן המליץ לבטל את הרשעת הנאשם על מנת שלא לפגוע בדימוי העצמי של הנאשם ועל מנת לא לפגוע באפשרויות העסקה שבהם ישתלב בעתיד. מובן החשש לפגיעה בדימוי העצמי וביתר שאת כאשר הנאשם הצליח להימנע מהסתבכות עד כה אולם על בית המשפט לשקול גם שיקולי שוויון. החשש לפגיעה בדימוי העצמי אינו מספיק כדי להבחין בין הנאשם לבין כל נאשם אחר שהורשע באותה עבירה כמוהו. פגיעה בעקרון השוויון לפיה מי שביצע עבירה יורשע מחייבת הצדקה של ממש על פי הכללים שנקבעו בפסיקה עקבית וארוכת שנים והצדקה כזו לא קיימת במקרה שלפני. אינני מפחיתה דבר מהתרשמותו החיובית של שירות המבחן ואף לא ממאמצי הנאשם לשמור על אורח חיים נורמטיבי אך אלו יבואו בחשבון בשלב גזירת הדין ולא לביטול הרשעה.  כמו כן לא הוצגה ראיה כלשהיא ולא הוגש כל מסמך מאת הסנגור שיהיה בו להוכיח שהרשעה תפגע בעיסוקו הנוכחי של הנאשם. לא הוצג רישיון תיווך ולא הוצג אישור העסקה כמורה מחליף.</w:t>
      </w:r>
    </w:p>
    <w:p w14:paraId="63D1D306" w14:textId="77777777" w:rsidR="003955CC" w:rsidRDefault="003955CC" w:rsidP="003955CC">
      <w:pPr>
        <w:pStyle w:val="aa"/>
        <w:numPr>
          <w:ilvl w:val="0"/>
          <w:numId w:val="1"/>
        </w:numPr>
        <w:spacing w:after="160" w:line="360" w:lineRule="auto"/>
        <w:jc w:val="both"/>
        <w:rPr>
          <w:rFonts w:ascii="David" w:hAnsi="David" w:cs="David"/>
          <w:sz w:val="24"/>
          <w:szCs w:val="24"/>
        </w:rPr>
      </w:pPr>
      <w:r>
        <w:rPr>
          <w:rFonts w:cs="David"/>
          <w:sz w:val="24"/>
          <w:szCs w:val="24"/>
          <w:rtl/>
        </w:rPr>
        <w:t>בהקשר זה ובטרם</w:t>
      </w:r>
      <w:r>
        <w:rPr>
          <w:rFonts w:ascii="Arial" w:hAnsi="Arial" w:cs="David"/>
          <w:sz w:val="24"/>
          <w:szCs w:val="24"/>
          <w:rtl/>
        </w:rPr>
        <w:t xml:space="preserve"> גזירת הדין מצאתי להוסיף כי במידה ובעתיד הרשעתו בפלילים תפגע בתפקודו או קידומו של הנאשם במקצוע שירכוש לעצמו בדין מצויות "דרכים שונות" למחיקת הרשעה, כדברי כבוד השופט גרוניס ב</w:t>
      </w:r>
      <w:hyperlink r:id="rId28" w:history="1">
        <w:r w:rsidR="00445B07" w:rsidRPr="00445B07">
          <w:rPr>
            <w:rFonts w:ascii="Arial" w:hAnsi="Arial" w:cs="David"/>
            <w:color w:val="0000FF"/>
            <w:sz w:val="24"/>
            <w:szCs w:val="24"/>
            <w:u w:val="single"/>
            <w:rtl/>
          </w:rPr>
          <w:t>ע"פ 4947/05</w:t>
        </w:r>
      </w:hyperlink>
      <w:r>
        <w:rPr>
          <w:rFonts w:ascii="Arial" w:hAnsi="Arial" w:cs="David"/>
          <w:sz w:val="24"/>
          <w:szCs w:val="24"/>
          <w:rtl/>
        </w:rPr>
        <w:t xml:space="preserve"> </w:t>
      </w:r>
      <w:r>
        <w:rPr>
          <w:rFonts w:ascii="Arial" w:hAnsi="Arial" w:cs="David" w:hint="cs"/>
          <w:b/>
          <w:bCs/>
          <w:sz w:val="24"/>
          <w:szCs w:val="24"/>
          <w:rtl/>
        </w:rPr>
        <w:t>פלוני נ' מדינת ישראל</w:t>
      </w:r>
      <w:r>
        <w:rPr>
          <w:rFonts w:ascii="Arial" w:hAnsi="Arial" w:cs="David" w:hint="cs"/>
          <w:sz w:val="24"/>
          <w:szCs w:val="24"/>
          <w:rtl/>
        </w:rPr>
        <w:t xml:space="preserve"> (תק-על 2006(3), 3532 , 3533 (2006):</w:t>
      </w:r>
    </w:p>
    <w:p w14:paraId="03998A04" w14:textId="77777777" w:rsidR="003955CC" w:rsidRDefault="003955CC" w:rsidP="003955CC">
      <w:pPr>
        <w:spacing w:line="360" w:lineRule="auto"/>
        <w:ind w:left="1366" w:right="567"/>
        <w:jc w:val="both"/>
        <w:rPr>
          <w:rFonts w:ascii="Arial" w:eastAsia="Arial Unicode MS" w:hAnsi="Arial"/>
          <w:rtl/>
        </w:rPr>
      </w:pPr>
      <w:r>
        <w:rPr>
          <w:rFonts w:ascii="Arial" w:hAnsi="Arial"/>
          <w:rtl/>
        </w:rPr>
        <w:t>"</w:t>
      </w:r>
      <w:r>
        <w:rPr>
          <w:rFonts w:ascii="Arial" w:hAnsi="Arial"/>
          <w:b/>
          <w:bCs/>
          <w:rtl/>
        </w:rPr>
        <w:t xml:space="preserve">נציין, כי הדין כולל הסדר להביא למחיקה של הרשעות, אף מחוץ לגדרו של </w:t>
      </w:r>
      <w:hyperlink r:id="rId29" w:history="1">
        <w:r w:rsidR="00445B07" w:rsidRPr="00445B07">
          <w:rPr>
            <w:rFonts w:ascii="Arial" w:hAnsi="Arial"/>
            <w:b/>
            <w:bCs/>
            <w:color w:val="0000FF"/>
            <w:u w:val="single"/>
            <w:rtl/>
          </w:rPr>
          <w:t>חוק המרשם הפלילי ותקנת השבים</w:t>
        </w:r>
      </w:hyperlink>
      <w:r>
        <w:rPr>
          <w:rFonts w:ascii="Arial" w:hAnsi="Arial"/>
          <w:b/>
          <w:bCs/>
          <w:rtl/>
        </w:rPr>
        <w:t>, התשמ"א-1981. לכן, בבוא היום ובהנחה כי המערערים לא יחזרו לבצע עבירות, יוכלו הם לפנות, כמובן, על מנת שיוסר הכתם שהביאו הם על עצמם</w:t>
      </w:r>
      <w:r>
        <w:rPr>
          <w:rFonts w:ascii="Arial" w:hAnsi="Arial"/>
          <w:rtl/>
        </w:rPr>
        <w:t>".</w:t>
      </w:r>
    </w:p>
    <w:p w14:paraId="34506018" w14:textId="77777777" w:rsidR="003955CC" w:rsidRPr="003955CC" w:rsidRDefault="003955CC" w:rsidP="003955CC">
      <w:pPr>
        <w:spacing w:line="360" w:lineRule="auto"/>
        <w:ind w:left="720"/>
        <w:rPr>
          <w:rFonts w:ascii="Arial" w:eastAsia="Calibri" w:hAnsi="Arial"/>
          <w:rtl/>
        </w:rPr>
      </w:pPr>
      <w:r>
        <w:rPr>
          <w:rFonts w:ascii="Arial" w:eastAsia="Arial Unicode MS" w:hAnsi="Arial"/>
          <w:rtl/>
        </w:rPr>
        <w:t>ע</w:t>
      </w:r>
      <w:r>
        <w:rPr>
          <w:rFonts w:ascii="Arial" w:hAnsi="Arial"/>
          <w:rtl/>
        </w:rPr>
        <w:t>ל דברים אלה חזר כבוד השופט רובינשטיין</w:t>
      </w:r>
      <w:r>
        <w:rPr>
          <w:rFonts w:ascii="Arial" w:hAnsi="Arial"/>
        </w:rPr>
        <w:t xml:space="preserve"> </w:t>
      </w:r>
      <w:r>
        <w:rPr>
          <w:rFonts w:ascii="Arial" w:hAnsi="Arial"/>
          <w:rtl/>
        </w:rPr>
        <w:t>ב</w:t>
      </w:r>
      <w:hyperlink r:id="rId30" w:history="1">
        <w:r w:rsidR="00445B07" w:rsidRPr="00445B07">
          <w:rPr>
            <w:rFonts w:ascii="Arial" w:eastAsia="Calibri" w:hAnsi="Arial"/>
            <w:color w:val="0000FF"/>
            <w:u w:val="single"/>
            <w:rtl/>
          </w:rPr>
          <w:t>ע"פ 8927/06</w:t>
        </w:r>
      </w:hyperlink>
      <w:r>
        <w:rPr>
          <w:rFonts w:ascii="Arial" w:hAnsi="Arial"/>
          <w:rtl/>
        </w:rPr>
        <w:t xml:space="preserve">, </w:t>
      </w:r>
      <w:r>
        <w:rPr>
          <w:rFonts w:ascii="Arial" w:hAnsi="Arial"/>
          <w:b/>
          <w:bCs/>
          <w:rtl/>
        </w:rPr>
        <w:t>שלומציון אלפסי נ' מדינת ישראל</w:t>
      </w:r>
      <w:r>
        <w:rPr>
          <w:rFonts w:ascii="Arial" w:hAnsi="Arial"/>
          <w:rtl/>
        </w:rPr>
        <w:t xml:space="preserve">, תק-על 2007(4), 240 , 244 (2007). </w:t>
      </w:r>
    </w:p>
    <w:p w14:paraId="0A834BBE" w14:textId="77777777" w:rsidR="003955CC" w:rsidRDefault="003955CC" w:rsidP="003955CC">
      <w:pPr>
        <w:spacing w:line="360" w:lineRule="auto"/>
        <w:jc w:val="both"/>
        <w:rPr>
          <w:rFonts w:ascii="David" w:hAnsi="David"/>
          <w:b/>
          <w:bCs/>
          <w:u w:val="single"/>
          <w:rtl/>
        </w:rPr>
      </w:pPr>
      <w:r>
        <w:rPr>
          <w:rFonts w:ascii="David" w:hAnsi="David"/>
          <w:b/>
          <w:bCs/>
          <w:u w:val="single"/>
          <w:rtl/>
        </w:rPr>
        <w:t>גזר דין</w:t>
      </w:r>
    </w:p>
    <w:p w14:paraId="69FD7563" w14:textId="77777777" w:rsidR="003955CC" w:rsidRDefault="003955CC" w:rsidP="003955CC">
      <w:pPr>
        <w:pStyle w:val="aa"/>
        <w:numPr>
          <w:ilvl w:val="0"/>
          <w:numId w:val="1"/>
        </w:numPr>
        <w:spacing w:after="160" w:line="360" w:lineRule="auto"/>
        <w:jc w:val="both"/>
        <w:rPr>
          <w:rFonts w:ascii="David" w:hAnsi="David" w:cs="David"/>
          <w:sz w:val="24"/>
          <w:szCs w:val="24"/>
        </w:rPr>
      </w:pPr>
      <w:r>
        <w:rPr>
          <w:rFonts w:ascii="David" w:hAnsi="David" w:cs="David"/>
          <w:b/>
          <w:bCs/>
          <w:sz w:val="24"/>
          <w:szCs w:val="24"/>
          <w:rtl/>
        </w:rPr>
        <w:t>מדיניות הענישה</w:t>
      </w:r>
      <w:r>
        <w:rPr>
          <w:rFonts w:ascii="David" w:hAnsi="David" w:cs="David"/>
          <w:sz w:val="24"/>
          <w:szCs w:val="24"/>
          <w:rtl/>
        </w:rPr>
        <w:t xml:space="preserve"> הנוהגת בעבירות של סחר בסם והחזקתו, משקללת את סוג הסם, הכמויות, התארגנות עסקית והמיקום בשרשרת הפצת הסמים.  ראו למשל: </w:t>
      </w:r>
    </w:p>
    <w:p w14:paraId="3B8D4E1A" w14:textId="77777777" w:rsidR="003955CC" w:rsidRDefault="003955CC" w:rsidP="003955CC">
      <w:pPr>
        <w:pStyle w:val="aa"/>
        <w:rPr>
          <w:rFonts w:ascii="David" w:hAnsi="David" w:cs="David"/>
          <w:sz w:val="24"/>
          <w:szCs w:val="24"/>
        </w:rPr>
      </w:pPr>
    </w:p>
    <w:p w14:paraId="36FA0DF1" w14:textId="77777777" w:rsidR="003955CC" w:rsidRDefault="003955CC" w:rsidP="003955CC">
      <w:pPr>
        <w:pStyle w:val="aa"/>
        <w:numPr>
          <w:ilvl w:val="0"/>
          <w:numId w:val="2"/>
        </w:numPr>
        <w:spacing w:after="160" w:line="360" w:lineRule="auto"/>
        <w:ind w:left="793"/>
        <w:jc w:val="both"/>
        <w:rPr>
          <w:rFonts w:ascii="David" w:hAnsi="David" w:cs="David"/>
          <w:sz w:val="24"/>
          <w:szCs w:val="24"/>
        </w:rPr>
      </w:pPr>
      <w:r>
        <w:rPr>
          <w:rFonts w:ascii="David" w:hAnsi="David" w:cs="David"/>
          <w:sz w:val="24"/>
          <w:szCs w:val="24"/>
          <w:rtl/>
        </w:rPr>
        <w:t xml:space="preserve">ראו מקרה דומה לענייננו </w:t>
      </w:r>
      <w:hyperlink r:id="rId31" w:history="1">
        <w:r>
          <w:rPr>
            <w:rStyle w:val="Hyperlink"/>
            <w:rFonts w:ascii="David" w:hAnsi="David" w:cs="David"/>
            <w:sz w:val="24"/>
            <w:szCs w:val="24"/>
            <w:rtl/>
          </w:rPr>
          <w:t>עפ"ג (מחוזי ב"ש) 10519-09-22</w:t>
        </w:r>
        <w:r w:rsidR="00445B07">
          <w:rPr>
            <w:rStyle w:val="Hyperlink"/>
            <w:rFonts w:ascii="David" w:hAnsi="David" w:cs="David"/>
            <w:sz w:val="24"/>
            <w:szCs w:val="24"/>
            <w:rtl/>
          </w:rPr>
          <w:t xml:space="preserve"> </w:t>
        </w:r>
        <w:r>
          <w:rPr>
            <w:rStyle w:val="Hyperlink"/>
            <w:rFonts w:ascii="David" w:hAnsi="David" w:cs="David"/>
            <w:b/>
            <w:bCs/>
            <w:sz w:val="24"/>
            <w:szCs w:val="24"/>
            <w:rtl/>
          </w:rPr>
          <w:t>מדינת ישראל נ' מיקי מיכאל סוויסה</w:t>
        </w:r>
        <w:r w:rsidR="00445B07">
          <w:rPr>
            <w:rStyle w:val="Hyperlink"/>
            <w:rFonts w:ascii="David" w:hAnsi="David" w:cs="David"/>
            <w:sz w:val="24"/>
            <w:szCs w:val="24"/>
            <w:rtl/>
          </w:rPr>
          <w:t xml:space="preserve"> </w:t>
        </w:r>
        <w:r>
          <w:rPr>
            <w:rStyle w:val="Hyperlink"/>
            <w:rFonts w:ascii="David" w:hAnsi="David" w:cs="David"/>
            <w:sz w:val="24"/>
            <w:szCs w:val="24"/>
            <w:rtl/>
          </w:rPr>
          <w:t>(נבו 02.04.2023)‏</w:t>
        </w:r>
      </w:hyperlink>
      <w:r>
        <w:rPr>
          <w:rFonts w:ascii="David" w:hAnsi="David" w:cs="David"/>
          <w:color w:val="000000"/>
          <w:sz w:val="24"/>
          <w:szCs w:val="24"/>
          <w:rtl/>
        </w:rPr>
        <w:t>‏ - הנאשם בענין זה הורשע על פי הודאתו בעבירות של החזקת סמים מסוכנים שלא לצריכה עצמית וניסיון לסחר בסמים מסוכנים. הנאשם תיאם עם אדם אחר מכירת סם מסוג קנבוס במשקל של כ-20 גרם תמורת 900 ₪. בהתאם לסיכום נפגשו השניים בחניית ביתו של הנאשם. באותו מעמד החזיק הנאשם בסם מסוג קנבוס במשקל כולל של כ-378 גרם נטו וכן החזיק בשני משקלים. הנאשם ניסה לסחור בסם מסוכן מסוג קנבוס אולם בעת שהלך להביא את הסם, נתפס בכף על ידי צוות השוטרים.</w:t>
      </w:r>
      <w:r>
        <w:rPr>
          <w:rFonts w:ascii="David" w:hAnsi="David" w:cs="David"/>
          <w:sz w:val="24"/>
          <w:szCs w:val="24"/>
          <w:rtl/>
        </w:rPr>
        <w:t xml:space="preserve"> בית משפט קמא קבע כי מתחם העונש ההולם בין ענישה טיפולית ומאסר מותנה ועד 8 חודשי מאסר וגזר את עונשו של הנאשם בתחתית מתחם זה בשים לב לגילו הצעיר, עברו הנקי ומאמציו הטיפוליים לחזרה למוטב. </w:t>
      </w:r>
      <w:r>
        <w:rPr>
          <w:rFonts w:ascii="David" w:hAnsi="David" w:cs="David"/>
          <w:b/>
          <w:bCs/>
          <w:sz w:val="24"/>
          <w:szCs w:val="24"/>
          <w:rtl/>
        </w:rPr>
        <w:t>המדינה ערערה על גזר הדין ועתרה להעלות את מתחם הענישה ולקבוע מתחם שנע מ-6 ל-12 חודשי מאסר. בית המשפט המחוזי קיבל את הערעור ופסק באלו המילים</w:t>
      </w:r>
      <w:r>
        <w:rPr>
          <w:rFonts w:ascii="David" w:hAnsi="David" w:cs="David"/>
          <w:sz w:val="24"/>
          <w:szCs w:val="24"/>
          <w:rtl/>
        </w:rPr>
        <w:t xml:space="preserve"> (שם בפסקה 13): </w:t>
      </w:r>
      <w:r>
        <w:rPr>
          <w:rFonts w:ascii="David" w:hAnsi="David" w:cs="David"/>
          <w:color w:val="000000"/>
          <w:sz w:val="24"/>
          <w:szCs w:val="24"/>
          <w:rtl/>
        </w:rPr>
        <w:t>"</w:t>
      </w:r>
      <w:r>
        <w:rPr>
          <w:rFonts w:ascii="David" w:hAnsi="David" w:cs="David"/>
          <w:b/>
          <w:bCs/>
          <w:color w:val="000000"/>
          <w:sz w:val="24"/>
          <w:szCs w:val="24"/>
          <w:rtl/>
        </w:rPr>
        <w:t>מתחם העונש ההולם צריך להיות מחמיר יותר, הן ברף התחתון והן ברף העליון, בהינתן העבירות ונסיבות ביצוען, ואולם, בהינתן מכלול השיקולים והתוצאה להלן, נצא מהבסיס של מתחם עונש הולם כפי עתירת המאשימה</w:t>
      </w:r>
      <w:r>
        <w:rPr>
          <w:rFonts w:ascii="David" w:hAnsi="David" w:cs="David"/>
          <w:color w:val="000000"/>
          <w:sz w:val="24"/>
          <w:szCs w:val="24"/>
        </w:rPr>
        <w:t>."</w:t>
      </w:r>
      <w:r>
        <w:rPr>
          <w:rFonts w:ascii="David" w:hAnsi="David" w:cs="David"/>
          <w:sz w:val="24"/>
          <w:szCs w:val="24"/>
          <w:rtl/>
        </w:rPr>
        <w:t xml:space="preserve"> בסופו של יום וגם לאור השיקולים לקולה שעמדו לזכות הנאשם מצא בית המשפט שלערעור לגזור עליו 6 חודשי מאסר בעבודות שירות תוך שציין שגם עונש זה מאפשר הליך טיפולי שיקומי. </w:t>
      </w:r>
    </w:p>
    <w:p w14:paraId="31F5AFDE" w14:textId="77777777" w:rsidR="003955CC" w:rsidRDefault="003955CC" w:rsidP="003955CC">
      <w:pPr>
        <w:pStyle w:val="aa"/>
        <w:numPr>
          <w:ilvl w:val="0"/>
          <w:numId w:val="2"/>
        </w:numPr>
        <w:spacing w:after="160" w:line="360" w:lineRule="auto"/>
        <w:ind w:left="793"/>
        <w:jc w:val="both"/>
        <w:rPr>
          <w:rFonts w:ascii="David" w:hAnsi="David" w:cs="David"/>
          <w:sz w:val="24"/>
          <w:szCs w:val="24"/>
        </w:rPr>
      </w:pPr>
      <w:r>
        <w:rPr>
          <w:rFonts w:ascii="David" w:hAnsi="David" w:cs="David"/>
          <w:sz w:val="24"/>
          <w:szCs w:val="24"/>
          <w:rtl/>
        </w:rPr>
        <w:t>ראו מקרה דומה ב</w:t>
      </w:r>
      <w:hyperlink r:id="rId32" w:history="1">
        <w:r w:rsidR="00445B07" w:rsidRPr="00445B07">
          <w:rPr>
            <w:rFonts w:ascii="David" w:hAnsi="David" w:cs="David"/>
            <w:color w:val="0000FF"/>
            <w:sz w:val="24"/>
            <w:szCs w:val="24"/>
            <w:u w:val="single"/>
            <w:rtl/>
          </w:rPr>
          <w:t>ת"פ (ת"א) 3603-12-19</w:t>
        </w:r>
      </w:hyperlink>
      <w:r>
        <w:rPr>
          <w:rFonts w:ascii="David" w:hAnsi="David" w:cs="David"/>
          <w:sz w:val="24"/>
          <w:szCs w:val="24"/>
          <w:rtl/>
        </w:rPr>
        <w:t xml:space="preserve"> </w:t>
      </w:r>
      <w:r>
        <w:rPr>
          <w:rFonts w:ascii="David" w:hAnsi="David" w:cs="David"/>
          <w:b/>
          <w:bCs/>
          <w:sz w:val="24"/>
          <w:szCs w:val="24"/>
          <w:rtl/>
        </w:rPr>
        <w:t>מדינת ישראל נ' שוורצברג</w:t>
      </w:r>
      <w:r>
        <w:rPr>
          <w:rFonts w:ascii="David" w:hAnsi="David" w:cs="David"/>
          <w:sz w:val="24"/>
          <w:szCs w:val="24"/>
          <w:rtl/>
        </w:rPr>
        <w:t xml:space="preserve"> (27.3.2022)- הנאשם הגיע רכוב על קטנוע ובהיותו שליח שנשלח על ידי אחר. הנאשם מכר לאדם אחר קנבוס במשקל של </w:t>
      </w:r>
      <w:r>
        <w:rPr>
          <w:rFonts w:ascii="David" w:hAnsi="David" w:cs="David"/>
          <w:b/>
          <w:bCs/>
          <w:sz w:val="24"/>
          <w:szCs w:val="24"/>
          <w:rtl/>
        </w:rPr>
        <w:t>5.07</w:t>
      </w:r>
      <w:r>
        <w:rPr>
          <w:rFonts w:ascii="David" w:hAnsi="David" w:cs="David"/>
          <w:sz w:val="24"/>
          <w:szCs w:val="24"/>
          <w:rtl/>
        </w:rPr>
        <w:t xml:space="preserve"> </w:t>
      </w:r>
      <w:r>
        <w:rPr>
          <w:rFonts w:ascii="David" w:hAnsi="David" w:cs="David"/>
          <w:b/>
          <w:bCs/>
          <w:sz w:val="24"/>
          <w:szCs w:val="24"/>
          <w:rtl/>
        </w:rPr>
        <w:t>גרם</w:t>
      </w:r>
      <w:r>
        <w:rPr>
          <w:rFonts w:ascii="David" w:hAnsi="David" w:cs="David"/>
          <w:sz w:val="24"/>
          <w:szCs w:val="24"/>
          <w:rtl/>
        </w:rPr>
        <w:t xml:space="preserve"> נטו בתמורה לסכום לא ידוע. בנוסף, החזיק בידו שקית ובה קנבוס במשקל 5.06 גרם ועוד 11.38 גרם נטו קנבוס החזיק בקטנוע (בשתי שקיות ובתפזורת). </w:t>
      </w:r>
      <w:r>
        <w:rPr>
          <w:rFonts w:ascii="David" w:hAnsi="David" w:cs="David"/>
          <w:b/>
          <w:bCs/>
          <w:sz w:val="24"/>
          <w:szCs w:val="24"/>
          <w:rtl/>
        </w:rPr>
        <w:t>בית המשפט קבע מתחם שבין מספר חודשי מאסר לבין 12 חודשי מאסר בפועל.</w:t>
      </w:r>
      <w:r>
        <w:rPr>
          <w:rFonts w:ascii="David" w:hAnsi="David" w:cs="David"/>
          <w:sz w:val="24"/>
          <w:szCs w:val="24"/>
          <w:rtl/>
        </w:rPr>
        <w:t xml:space="preserve"> </w:t>
      </w:r>
    </w:p>
    <w:p w14:paraId="39689EE8" w14:textId="77777777" w:rsidR="003955CC" w:rsidRDefault="003955CC" w:rsidP="003955CC">
      <w:pPr>
        <w:pStyle w:val="aa"/>
        <w:spacing w:after="160" w:line="360" w:lineRule="auto"/>
        <w:ind w:left="793"/>
        <w:jc w:val="both"/>
        <w:rPr>
          <w:rFonts w:ascii="David" w:hAnsi="David" w:cs="David"/>
          <w:sz w:val="24"/>
          <w:szCs w:val="24"/>
        </w:rPr>
      </w:pPr>
      <w:r>
        <w:rPr>
          <w:rFonts w:ascii="David" w:hAnsi="David" w:cs="David"/>
          <w:sz w:val="24"/>
          <w:szCs w:val="24"/>
          <w:rtl/>
        </w:rPr>
        <w:t>בית המשפט חרג מן המתחם מטעמי שיקום והסתפק בענישה צופה פני עתיד לצד רכיבים נלווים.</w:t>
      </w:r>
    </w:p>
    <w:p w14:paraId="7DA4FA27" w14:textId="77777777" w:rsidR="003955CC" w:rsidRDefault="003955CC" w:rsidP="003955CC">
      <w:pPr>
        <w:pStyle w:val="aa"/>
        <w:numPr>
          <w:ilvl w:val="0"/>
          <w:numId w:val="2"/>
        </w:numPr>
        <w:spacing w:line="360" w:lineRule="auto"/>
        <w:ind w:left="793"/>
        <w:jc w:val="both"/>
        <w:rPr>
          <w:rFonts w:ascii="David" w:hAnsi="David" w:cs="David"/>
          <w:sz w:val="24"/>
          <w:szCs w:val="24"/>
          <w:rtl/>
        </w:rPr>
      </w:pPr>
      <w:r>
        <w:rPr>
          <w:rFonts w:ascii="David" w:hAnsi="David" w:cs="David"/>
          <w:sz w:val="24"/>
          <w:szCs w:val="24"/>
          <w:rtl/>
        </w:rPr>
        <w:t xml:space="preserve">ראו מקרה בו מדובר על סחר בכמות כפולה לצד החזקת סם שלא לצריכה עצמית: </w:t>
      </w:r>
      <w:hyperlink r:id="rId33" w:history="1">
        <w:r w:rsidR="00445B07" w:rsidRPr="00445B07">
          <w:rPr>
            <w:rFonts w:ascii="David" w:hAnsi="David" w:cs="David"/>
            <w:color w:val="0000FF"/>
            <w:sz w:val="24"/>
            <w:szCs w:val="24"/>
            <w:u w:val="single"/>
            <w:rtl/>
          </w:rPr>
          <w:t>ת"פ (תל-אביב) 12807-02-20</w:t>
        </w:r>
      </w:hyperlink>
      <w:r>
        <w:rPr>
          <w:rFonts w:ascii="David" w:hAnsi="David" w:cs="David"/>
          <w:sz w:val="24"/>
          <w:szCs w:val="24"/>
          <w:rtl/>
        </w:rPr>
        <w:t xml:space="preserve"> </w:t>
      </w:r>
      <w:r>
        <w:rPr>
          <w:rFonts w:ascii="David" w:hAnsi="David" w:cs="David"/>
          <w:b/>
          <w:bCs/>
          <w:sz w:val="24"/>
          <w:szCs w:val="24"/>
          <w:rtl/>
        </w:rPr>
        <w:t>מדינת ישראל נ' אביתן</w:t>
      </w:r>
      <w:r>
        <w:rPr>
          <w:rFonts w:ascii="David" w:hAnsi="David" w:cs="David"/>
          <w:sz w:val="24"/>
          <w:szCs w:val="24"/>
          <w:rtl/>
        </w:rPr>
        <w:t xml:space="preserve"> (4.10.21)- הנאשם מכר לאחר סם מסוכן מסוג קנבוס במשקל 10 גרם בתמורה ל- 500 ₪. באותן הנסיבות, החזיק באופנועו סם מסוכן מסוג קנבוס במשקל של כ-130 גרם מחולק לשקיות.</w:t>
      </w:r>
      <w:r>
        <w:rPr>
          <w:rFonts w:ascii="David" w:hAnsi="David" w:cs="David"/>
          <w:b/>
          <w:bCs/>
          <w:sz w:val="24"/>
          <w:szCs w:val="24"/>
          <w:rtl/>
        </w:rPr>
        <w:t xml:space="preserve"> בית המשפט קבע מתחם עונשי הולם הנע בין מספר חודשי מאסר שיכול וירוצו בעבודות שירות ועד ל-12 חודשי מאסר לריצוי בפועל, לצד ענישה נלווית</w:t>
      </w:r>
      <w:r>
        <w:rPr>
          <w:rFonts w:ascii="David" w:hAnsi="David" w:cs="David"/>
          <w:sz w:val="24"/>
          <w:szCs w:val="24"/>
          <w:rtl/>
        </w:rPr>
        <w:t xml:space="preserve">. </w:t>
      </w:r>
    </w:p>
    <w:p w14:paraId="3D1D9C22" w14:textId="77777777" w:rsidR="003955CC" w:rsidRDefault="003955CC" w:rsidP="003955CC">
      <w:pPr>
        <w:pStyle w:val="aa"/>
        <w:numPr>
          <w:ilvl w:val="0"/>
          <w:numId w:val="2"/>
        </w:numPr>
        <w:spacing w:line="360" w:lineRule="auto"/>
        <w:ind w:left="793"/>
        <w:jc w:val="both"/>
        <w:rPr>
          <w:rFonts w:ascii="David" w:hAnsi="David" w:cs="David"/>
          <w:sz w:val="24"/>
          <w:szCs w:val="24"/>
          <w:u w:val="single"/>
        </w:rPr>
      </w:pPr>
      <w:r>
        <w:rPr>
          <w:rFonts w:ascii="David" w:hAnsi="David" w:cs="David"/>
          <w:sz w:val="24"/>
          <w:szCs w:val="24"/>
          <w:rtl/>
        </w:rPr>
        <w:t xml:space="preserve">ראו מקרה בו מדובר על שתי עבירות סחר ללא החזקת סם: </w:t>
      </w:r>
      <w:hyperlink r:id="rId34" w:history="1">
        <w:r w:rsidR="00445B07" w:rsidRPr="00445B07">
          <w:rPr>
            <w:rFonts w:ascii="David" w:hAnsi="David" w:cs="David"/>
            <w:color w:val="0000FF"/>
            <w:sz w:val="24"/>
            <w:szCs w:val="24"/>
            <w:u w:val="single"/>
            <w:rtl/>
          </w:rPr>
          <w:t>רע"פ 7858/19</w:t>
        </w:r>
      </w:hyperlink>
      <w:r>
        <w:rPr>
          <w:rFonts w:ascii="David" w:hAnsi="David" w:cs="David"/>
          <w:sz w:val="24"/>
          <w:szCs w:val="24"/>
          <w:rtl/>
        </w:rPr>
        <w:t xml:space="preserve"> </w:t>
      </w:r>
      <w:r>
        <w:rPr>
          <w:rFonts w:ascii="David" w:hAnsi="David" w:cs="David"/>
          <w:b/>
          <w:bCs/>
          <w:sz w:val="24"/>
          <w:szCs w:val="24"/>
          <w:rtl/>
        </w:rPr>
        <w:t xml:space="preserve">וקנין נ' מדינת ישראל </w:t>
      </w:r>
      <w:r>
        <w:rPr>
          <w:rFonts w:ascii="David" w:hAnsi="David" w:cs="David"/>
          <w:sz w:val="24"/>
          <w:szCs w:val="24"/>
          <w:rtl/>
        </w:rPr>
        <w:t xml:space="preserve">(28.11.19)- הנאשם מכר 2 גר' חשיש בתמורה ל- 100 ₪ וכעבור חודש מכר לאחר 3.8 גר' קנבוס בתמורה ל- 200 ₪. בית המשפט קבע כי בהתחשב שמדובר בכמויות סם קטנות ובסכומי כסף זעומים </w:t>
      </w:r>
      <w:r>
        <w:rPr>
          <w:rFonts w:ascii="David" w:hAnsi="David" w:cs="David"/>
          <w:b/>
          <w:bCs/>
          <w:sz w:val="24"/>
          <w:szCs w:val="24"/>
          <w:rtl/>
        </w:rPr>
        <w:t>מתחם העונש ההולם נע ממאסר בפועל למספר חודשים ועד ל-8 חודשי מאסר שיכול וירוצו בדרך של עבודות שירות</w:t>
      </w:r>
      <w:r>
        <w:rPr>
          <w:rFonts w:ascii="David" w:hAnsi="David" w:cs="David"/>
          <w:sz w:val="24"/>
          <w:szCs w:val="24"/>
          <w:rtl/>
        </w:rPr>
        <w:t>.</w:t>
      </w:r>
    </w:p>
    <w:p w14:paraId="33FBA8D5" w14:textId="77777777" w:rsidR="003955CC" w:rsidRDefault="003955CC" w:rsidP="003955CC">
      <w:pPr>
        <w:pStyle w:val="aa"/>
        <w:rPr>
          <w:rFonts w:ascii="David" w:hAnsi="David" w:cs="David"/>
          <w:sz w:val="24"/>
          <w:szCs w:val="24"/>
          <w:u w:val="single"/>
        </w:rPr>
      </w:pPr>
    </w:p>
    <w:p w14:paraId="5888BD1B" w14:textId="77777777" w:rsidR="003955CC" w:rsidRDefault="003955CC" w:rsidP="003955CC">
      <w:pPr>
        <w:pStyle w:val="aa"/>
        <w:numPr>
          <w:ilvl w:val="0"/>
          <w:numId w:val="1"/>
        </w:numPr>
        <w:spacing w:line="360" w:lineRule="auto"/>
        <w:jc w:val="both"/>
        <w:rPr>
          <w:rFonts w:ascii="David" w:hAnsi="David" w:cs="David"/>
          <w:sz w:val="24"/>
          <w:szCs w:val="24"/>
          <w:u w:val="single"/>
          <w:rtl/>
        </w:rPr>
      </w:pPr>
      <w:r>
        <w:rPr>
          <w:rFonts w:ascii="David" w:hAnsi="David" w:cs="David"/>
          <w:b/>
          <w:bCs/>
          <w:sz w:val="24"/>
          <w:szCs w:val="24"/>
          <w:rtl/>
        </w:rPr>
        <w:t>מתחם העונש ההולם</w:t>
      </w:r>
      <w:r>
        <w:rPr>
          <w:rFonts w:ascii="David" w:hAnsi="David" w:cs="David"/>
          <w:sz w:val="24"/>
          <w:szCs w:val="24"/>
          <w:rtl/>
        </w:rPr>
        <w:t xml:space="preserve"> –מדובר בעבירת סחר בודדת לצד החזקת סמים לצריכה עצמית בכמות ובנסיבות שמתיישבות עם הפצת סמים. המעשים כללו תכנון והיערכות מראש בשל שימוש באפליקציית טלגרם. מנגד סוג הסם, הכמות ומכירה אחת בודדת מציבים את הנאשם שלא בין המקרים החמורים. אני קובעת כי </w:t>
      </w:r>
      <w:r>
        <w:rPr>
          <w:rFonts w:ascii="David" w:hAnsi="David" w:cs="David"/>
          <w:b/>
          <w:bCs/>
          <w:sz w:val="24"/>
          <w:szCs w:val="24"/>
          <w:rtl/>
        </w:rPr>
        <w:t xml:space="preserve">מתחם העונש ההולם נע ממספר חודשי מאסר שיכול וירוצו בעבודות שירות ועד 12 חודשי מאסר בפועל. </w:t>
      </w:r>
    </w:p>
    <w:p w14:paraId="10CBAAD3" w14:textId="77777777" w:rsidR="003955CC" w:rsidRDefault="003955CC" w:rsidP="003955CC">
      <w:pPr>
        <w:pStyle w:val="aa"/>
        <w:spacing w:line="360" w:lineRule="auto"/>
        <w:ind w:left="360"/>
        <w:jc w:val="both"/>
        <w:rPr>
          <w:b/>
          <w:bCs/>
        </w:rPr>
      </w:pPr>
    </w:p>
    <w:p w14:paraId="70651759" w14:textId="77777777" w:rsidR="003955CC" w:rsidRDefault="003955CC" w:rsidP="003955CC">
      <w:pPr>
        <w:pStyle w:val="aa"/>
        <w:numPr>
          <w:ilvl w:val="0"/>
          <w:numId w:val="1"/>
        </w:numPr>
        <w:spacing w:line="360" w:lineRule="auto"/>
        <w:jc w:val="both"/>
        <w:rPr>
          <w:rFonts w:ascii="David" w:hAnsi="David" w:cs="David"/>
          <w:b/>
          <w:bCs/>
          <w:sz w:val="24"/>
          <w:szCs w:val="24"/>
        </w:rPr>
      </w:pPr>
      <w:r>
        <w:rPr>
          <w:rFonts w:ascii="David" w:hAnsi="David" w:cs="David"/>
          <w:b/>
          <w:bCs/>
          <w:sz w:val="24"/>
          <w:szCs w:val="24"/>
          <w:rtl/>
        </w:rPr>
        <w:t xml:space="preserve">העונש המתאים לנאשם – </w:t>
      </w:r>
      <w:r>
        <w:rPr>
          <w:rFonts w:ascii="David" w:hAnsi="David" w:cs="David"/>
          <w:sz w:val="24"/>
          <w:szCs w:val="24"/>
          <w:rtl/>
        </w:rPr>
        <w:t xml:space="preserve">השאלה המרכזית היא האם יש מקום לסטות לקולה ממתחם העונש ההולם מטעמי שיקום ולהסתפק בענישה במאסר מותנה לצד רכיבי ענישה נלווים ביניהם צו של"צ. הנאשם צעיר שעברו נקי ותפקודו נורמטיבי לפני ביצוע העבירה ואחריה. הנאשם הודה וקיבל אחריות למעשים ולזכותו התרשמותו החיובית של שירות המבחן. כל אלו מצדיקים סטיה קלה מן המתחם אך לא עד כדי הסתפקות בענישה צופה פני עתיד. לשם סטיה כה משמעותית ממתחם העונש ההולם על הנאשם להציג סיכוי ממשי לשיקום. על פי רוב ערובה לסיכויים כאלה הם הליך שיקומי משמעותי וטיפול מוצלח ומרשים. גם במקרים אלה בית המשפט העליון חוזר ומבהיר כי </w:t>
      </w:r>
      <w:r>
        <w:rPr>
          <w:rFonts w:ascii="David" w:hAnsi="David" w:cs="David"/>
          <w:color w:val="000000"/>
          <w:sz w:val="24"/>
          <w:szCs w:val="24"/>
          <w:rtl/>
        </w:rPr>
        <w:t xml:space="preserve">בירידה אל מתחת למתחם העונש ההולם יש לנקוט זהירות, ויש ליתן את הדעת לשיקולי הענישה האחרים, ראו למשל </w:t>
      </w:r>
      <w:hyperlink r:id="rId35" w:history="1">
        <w:r w:rsidR="00445B07" w:rsidRPr="00445B07">
          <w:rPr>
            <w:rFonts w:ascii="David" w:hAnsi="David" w:cs="David"/>
            <w:color w:val="0000FF"/>
            <w:sz w:val="24"/>
            <w:szCs w:val="24"/>
            <w:u w:val="single"/>
            <w:rtl/>
          </w:rPr>
          <w:t>רע"פ 4512/17</w:t>
        </w:r>
      </w:hyperlink>
      <w:r>
        <w:rPr>
          <w:rFonts w:ascii="David" w:hAnsi="David" w:cs="David"/>
          <w:color w:val="000000"/>
          <w:sz w:val="24"/>
          <w:szCs w:val="24"/>
          <w:rtl/>
        </w:rPr>
        <w:t xml:space="preserve"> </w:t>
      </w:r>
      <w:r>
        <w:rPr>
          <w:rFonts w:ascii="David" w:hAnsi="David" w:cs="David"/>
          <w:b/>
          <w:bCs/>
          <w:color w:val="000000"/>
          <w:sz w:val="24"/>
          <w:szCs w:val="24"/>
          <w:rtl/>
        </w:rPr>
        <w:t>הרוש נ' מדינת ישראל</w:t>
      </w:r>
      <w:r>
        <w:rPr>
          <w:rFonts w:ascii="David" w:hAnsi="David" w:cs="David"/>
          <w:color w:val="000000"/>
          <w:sz w:val="24"/>
          <w:szCs w:val="24"/>
          <w:rtl/>
        </w:rPr>
        <w:t>, [פורסם בנבו] (6.7.2015)</w:t>
      </w:r>
      <w:r>
        <w:rPr>
          <w:rFonts w:ascii="David" w:hAnsi="David" w:cs="David"/>
          <w:b/>
          <w:bCs/>
          <w:sz w:val="24"/>
          <w:szCs w:val="24"/>
          <w:rtl/>
        </w:rPr>
        <w:t xml:space="preserve">. </w:t>
      </w:r>
      <w:r>
        <w:rPr>
          <w:rFonts w:ascii="David" w:hAnsi="David" w:cs="David"/>
          <w:sz w:val="24"/>
          <w:szCs w:val="24"/>
          <w:rtl/>
        </w:rPr>
        <w:t>עוד פסק בית המשפט העליון פעם אחר פעם כי</w:t>
      </w:r>
      <w:r>
        <w:rPr>
          <w:rFonts w:ascii="David" w:hAnsi="David" w:cs="David"/>
          <w:b/>
          <w:bCs/>
          <w:sz w:val="24"/>
          <w:szCs w:val="24"/>
          <w:rtl/>
        </w:rPr>
        <w:t xml:space="preserve"> </w:t>
      </w:r>
      <w:r>
        <w:rPr>
          <w:rFonts w:ascii="David" w:hAnsi="David" w:cs="David"/>
          <w:color w:val="000000"/>
          <w:sz w:val="24"/>
          <w:szCs w:val="24"/>
          <w:rtl/>
        </w:rPr>
        <w:t xml:space="preserve">המלצת שירות המבחן היא שיקול אחד ממכלול השיקולים שעל בית המשפט לשקול בגוזרו את הדין, ראו למשל </w:t>
      </w:r>
      <w:hyperlink r:id="rId36" w:history="1">
        <w:r w:rsidR="00445B07" w:rsidRPr="00445B07">
          <w:rPr>
            <w:rFonts w:ascii="David" w:hAnsi="David" w:cs="David"/>
            <w:color w:val="0000FF"/>
            <w:sz w:val="24"/>
            <w:szCs w:val="24"/>
            <w:u w:val="single"/>
            <w:rtl/>
          </w:rPr>
          <w:t>ע"פ 1167/21</w:t>
        </w:r>
      </w:hyperlink>
      <w:r>
        <w:rPr>
          <w:rFonts w:ascii="David" w:hAnsi="David" w:cs="David"/>
          <w:color w:val="000000"/>
          <w:sz w:val="24"/>
          <w:szCs w:val="24"/>
          <w:rtl/>
        </w:rPr>
        <w:t xml:space="preserve"> </w:t>
      </w:r>
      <w:r>
        <w:rPr>
          <w:rFonts w:ascii="David" w:hAnsi="David" w:cs="David"/>
          <w:b/>
          <w:bCs/>
          <w:color w:val="000000"/>
          <w:sz w:val="24"/>
          <w:szCs w:val="24"/>
          <w:rtl/>
        </w:rPr>
        <w:t>טארק חוג'יראת נ' מדינת ישראל</w:t>
      </w:r>
      <w:r>
        <w:rPr>
          <w:rFonts w:ascii="David" w:hAnsi="David" w:cs="David"/>
          <w:color w:val="000000"/>
          <w:sz w:val="24"/>
          <w:szCs w:val="24"/>
          <w:rtl/>
        </w:rPr>
        <w:t xml:space="preserve"> [פורסם בנבו] (31.5.2021). </w:t>
      </w:r>
    </w:p>
    <w:p w14:paraId="713DA219" w14:textId="77777777" w:rsidR="003955CC" w:rsidRDefault="003955CC" w:rsidP="003955CC">
      <w:pPr>
        <w:pStyle w:val="aa"/>
        <w:rPr>
          <w:rFonts w:ascii="David" w:hAnsi="David" w:cs="David"/>
          <w:color w:val="000000"/>
          <w:sz w:val="24"/>
          <w:szCs w:val="24"/>
        </w:rPr>
      </w:pPr>
    </w:p>
    <w:p w14:paraId="64808128" w14:textId="77777777" w:rsidR="003955CC" w:rsidRDefault="003955CC" w:rsidP="003955CC">
      <w:pPr>
        <w:pStyle w:val="aa"/>
        <w:numPr>
          <w:ilvl w:val="0"/>
          <w:numId w:val="1"/>
        </w:numPr>
        <w:spacing w:line="360" w:lineRule="auto"/>
        <w:jc w:val="both"/>
        <w:rPr>
          <w:rFonts w:ascii="David" w:hAnsi="David" w:cs="David"/>
          <w:b/>
          <w:bCs/>
          <w:sz w:val="24"/>
          <w:szCs w:val="24"/>
          <w:rtl/>
        </w:rPr>
      </w:pPr>
      <w:r>
        <w:rPr>
          <w:rFonts w:ascii="David" w:hAnsi="David" w:cs="David"/>
          <w:color w:val="000000"/>
          <w:sz w:val="24"/>
          <w:szCs w:val="24"/>
          <w:rtl/>
        </w:rPr>
        <w:t xml:space="preserve">תסקיר שירות המבחן בענייננו אינו מתייחס כלל לפן הטיפולי בעניינו של הנאשם. שירות המבחן התרשם מהתהליך העצמי שעבר הנאשם וככל הנראה התרשם שדי בו אך אין פירוט מהו אותו הליך עצמי ומה עוצמתו. </w:t>
      </w:r>
      <w:r>
        <w:rPr>
          <w:rFonts w:ascii="David" w:hAnsi="David" w:cs="David"/>
          <w:sz w:val="24"/>
          <w:szCs w:val="24"/>
          <w:rtl/>
        </w:rPr>
        <w:t>בפועל נפגש הנאשם פעמיים עם שירות המבחן לשם עריכת התסקיר אך לא שולב בהליך טיפולי מעבר לכך.</w:t>
      </w:r>
    </w:p>
    <w:p w14:paraId="30E7C0E9" w14:textId="77777777" w:rsidR="003955CC" w:rsidRDefault="003955CC" w:rsidP="003955CC">
      <w:pPr>
        <w:pStyle w:val="aa"/>
        <w:rPr>
          <w:rFonts w:ascii="David" w:hAnsi="David" w:cs="David"/>
          <w:b/>
          <w:bCs/>
          <w:sz w:val="24"/>
          <w:szCs w:val="24"/>
        </w:rPr>
      </w:pPr>
    </w:p>
    <w:p w14:paraId="45E07B44" w14:textId="77777777" w:rsidR="003955CC" w:rsidRDefault="003955CC" w:rsidP="003955CC">
      <w:pPr>
        <w:pStyle w:val="aa"/>
        <w:numPr>
          <w:ilvl w:val="0"/>
          <w:numId w:val="1"/>
        </w:numPr>
        <w:spacing w:line="360" w:lineRule="auto"/>
        <w:jc w:val="both"/>
        <w:rPr>
          <w:rFonts w:ascii="David" w:hAnsi="David" w:cs="David"/>
          <w:sz w:val="24"/>
          <w:szCs w:val="24"/>
          <w:rtl/>
        </w:rPr>
      </w:pPr>
      <w:r>
        <w:rPr>
          <w:rFonts w:ascii="David" w:hAnsi="David" w:cs="David"/>
          <w:sz w:val="24"/>
          <w:szCs w:val="24"/>
          <w:rtl/>
        </w:rPr>
        <w:t>יתר על כן, האמור בתסקיר מעורר תהייה לענין עומק התובנה של הנאשם לגבי הגורמים לביצוע העבירה, נקודות הסיכון שלו ויכולתו להתמודד עם סיכונים בעתיד. בתסקיר הראשון תולה הנאשם את העבירה בכך שכמות הקנביס הרפואי שקיבל לא הספיקה לו. זה לא הסבר מספיק לביצוע עבירה של סחר בסמים. הנאשם לא 'רק' קנה סם לענות על צרכיו אלא סחר בסם, באמצעות טלגרם כלומר לא ברגע של היסח הדעת אלא מתוך תכנון. הנאשם גם נתפס כשברשותו כמויות נוספות וסכומי כסף במזומן. התסקיר הראשון וודאי אינו מצביע על תובנה או הליך פנימי משמעותי. בתסקיר השני תיאר הנאשם את העבירה כהסתבכות על רקע כלכלי. בשני המקרים חסר טיפול משמעותי. חסר מענה לשאלה האם הנאשם סובל מהתמכרות לסמים וצורך מעבר לכמות לה זכאי על פי מרשם רפואי, חסר מענה לשאלה כיצד הוא מתמודד כעת עם המחסור או עם התמכרות או כיצד חדל מכך. חסר מענה בדבר דרכי התמודדות עם קשיים כלכליים שעלולים להיות בעתיד. כל שנאמר בתסקיר הוא כי המסלול הטיפולי מבוסס על התרשמות 'מתהליך עצמי'. לא מצאתי בסיס לחריגה משמעותית מן המתחם מבלי שיובהר מהו אותו תהליך עצמי, עד כמה הוא יציב, על מה הוא מבוסס והאם די בו להבטיח סיכוי ממשי לשיקום במובן הימנעות מעבירות דומות בעתיד.</w:t>
      </w:r>
    </w:p>
    <w:p w14:paraId="4FE5CAA0" w14:textId="77777777" w:rsidR="003955CC" w:rsidRDefault="003955CC" w:rsidP="003955CC">
      <w:pPr>
        <w:pStyle w:val="aa"/>
        <w:numPr>
          <w:ilvl w:val="0"/>
          <w:numId w:val="1"/>
        </w:numPr>
        <w:spacing w:line="360" w:lineRule="auto"/>
        <w:jc w:val="both"/>
        <w:rPr>
          <w:rFonts w:ascii="David" w:hAnsi="David" w:cs="David"/>
          <w:sz w:val="24"/>
          <w:szCs w:val="24"/>
        </w:rPr>
      </w:pPr>
      <w:r>
        <w:rPr>
          <w:rFonts w:ascii="David" w:hAnsi="David" w:cs="David"/>
          <w:sz w:val="24"/>
          <w:szCs w:val="24"/>
          <w:rtl/>
        </w:rPr>
        <w:t>מנגד מצאתי לתת משקל רב לקבלת אחריות כבר בישיבה הראשונה וכן לנסיבותיו האישיות של הנאשם. נתתי משקל למצבו הרפואי ולנכות ממנה סובל, לתפקודו התורם הן בשירות צבאי והן בעסקיו הפרטיים ובעיקר נתתי משקל לשמירה על שאיפות נורמטיביות לעתיד שבכוחן לשמור על הנאשם מפני הסתבכויות נשנות. יש לחזק את הנאשם שעד היום היה ללא הרשעות קודמות והוא הצליח לסלול לעצמו דרך חיובית השונה מהדרך שלתוכה גדל.</w:t>
      </w:r>
    </w:p>
    <w:p w14:paraId="3D9B3DAF" w14:textId="77777777" w:rsidR="003955CC" w:rsidRDefault="003955CC" w:rsidP="003955CC">
      <w:pPr>
        <w:pStyle w:val="aa"/>
        <w:spacing w:line="360" w:lineRule="auto"/>
        <w:ind w:left="360"/>
        <w:jc w:val="both"/>
        <w:rPr>
          <w:rFonts w:ascii="David" w:hAnsi="David" w:cs="David"/>
          <w:sz w:val="24"/>
          <w:szCs w:val="24"/>
          <w:u w:val="single"/>
          <w:rtl/>
        </w:rPr>
      </w:pPr>
    </w:p>
    <w:p w14:paraId="079A2916" w14:textId="77777777" w:rsidR="003955CC" w:rsidRDefault="003955CC" w:rsidP="003955CC">
      <w:pPr>
        <w:pStyle w:val="aa"/>
        <w:spacing w:line="360" w:lineRule="auto"/>
        <w:ind w:left="360"/>
        <w:jc w:val="both"/>
        <w:rPr>
          <w:rFonts w:ascii="David" w:hAnsi="David" w:cs="David"/>
          <w:sz w:val="24"/>
          <w:szCs w:val="24"/>
        </w:rPr>
      </w:pPr>
    </w:p>
    <w:p w14:paraId="4026E18C" w14:textId="77777777" w:rsidR="003955CC" w:rsidRDefault="003955CC" w:rsidP="003955CC">
      <w:pPr>
        <w:spacing w:line="360" w:lineRule="auto"/>
        <w:jc w:val="both"/>
        <w:rPr>
          <w:rFonts w:ascii="David" w:hAnsi="David"/>
          <w:b/>
          <w:bCs/>
          <w:u w:val="double"/>
          <w:rtl/>
        </w:rPr>
      </w:pPr>
      <w:r>
        <w:rPr>
          <w:rFonts w:ascii="David" w:hAnsi="David"/>
          <w:b/>
          <w:bCs/>
          <w:u w:val="double"/>
          <w:rtl/>
        </w:rPr>
        <w:t>אני גוזרת על הנאשם את העונשים הבאים:</w:t>
      </w:r>
    </w:p>
    <w:p w14:paraId="2EA78650" w14:textId="77777777" w:rsidR="003955CC" w:rsidRPr="007A5B3F" w:rsidRDefault="003955CC" w:rsidP="003955CC">
      <w:pPr>
        <w:pStyle w:val="aa"/>
        <w:numPr>
          <w:ilvl w:val="0"/>
          <w:numId w:val="3"/>
        </w:numPr>
        <w:spacing w:line="360" w:lineRule="auto"/>
        <w:jc w:val="both"/>
        <w:rPr>
          <w:rFonts w:ascii="David" w:eastAsia="David" w:hAnsi="David" w:cs="David"/>
          <w:sz w:val="24"/>
          <w:szCs w:val="24"/>
        </w:rPr>
      </w:pPr>
      <w:r w:rsidRPr="007A5B3F">
        <w:rPr>
          <w:rFonts w:eastAsia="Times New Roman" w:cs="David"/>
          <w:b/>
          <w:bCs/>
          <w:sz w:val="24"/>
          <w:szCs w:val="24"/>
          <w:rtl/>
        </w:rPr>
        <w:t>4</w:t>
      </w:r>
      <w:r w:rsidRPr="007A5B3F">
        <w:rPr>
          <w:rFonts w:eastAsia="Times New Roman" w:cs="David"/>
          <w:sz w:val="24"/>
          <w:szCs w:val="24"/>
          <w:rtl/>
        </w:rPr>
        <w:t xml:space="preserve"> </w:t>
      </w:r>
      <w:r w:rsidRPr="007A5B3F">
        <w:rPr>
          <w:rFonts w:ascii="Times New Roman" w:eastAsia="Times New Roman" w:hAnsi="Times New Roman" w:cs="David"/>
          <w:b/>
          <w:bCs/>
          <w:sz w:val="24"/>
          <w:szCs w:val="24"/>
          <w:rtl/>
        </w:rPr>
        <w:t xml:space="preserve">חודשי </w:t>
      </w:r>
      <w:r w:rsidRPr="007A5B3F">
        <w:rPr>
          <w:rFonts w:ascii="David" w:hAnsi="David" w:cs="David"/>
          <w:b/>
          <w:bCs/>
          <w:sz w:val="24"/>
          <w:szCs w:val="24"/>
          <w:rtl/>
        </w:rPr>
        <w:t>מאסר בפועל שירוצו בעבודות שירות</w:t>
      </w:r>
      <w:r w:rsidRPr="007A5B3F">
        <w:rPr>
          <w:rFonts w:ascii="David" w:hAnsi="David" w:cs="David"/>
          <w:sz w:val="24"/>
          <w:szCs w:val="24"/>
          <w:rtl/>
        </w:rPr>
        <w:t xml:space="preserve">. הנאשם יבצע את עבודות שירות </w:t>
      </w:r>
      <w:r w:rsidRPr="007A5B3F">
        <w:rPr>
          <w:rFonts w:ascii="David" w:hAnsi="David" w:cs="David"/>
          <w:sz w:val="24"/>
          <w:szCs w:val="24"/>
          <w:u w:val="single"/>
          <w:rtl/>
        </w:rPr>
        <w:t xml:space="preserve">ב "המשקם רמת גן, </w:t>
      </w:r>
      <w:r w:rsidRPr="007A5B3F">
        <w:rPr>
          <w:rFonts w:ascii="David" w:hAnsi="David" w:cs="David"/>
          <w:sz w:val="24"/>
          <w:szCs w:val="24"/>
          <w:rtl/>
        </w:rPr>
        <w:t xml:space="preserve"> 5 ימים בשבוע, על פי טווח השעות המתאפשר בחוק בכתובת - אצטדיון רמת גן. תחילתן של ביצוע העבודות נקבעו ליום 29.1.24 והמועד חלף.</w:t>
      </w:r>
      <w:r w:rsidRPr="007A5B3F">
        <w:rPr>
          <w:rFonts w:ascii="David" w:hAnsi="David" w:cs="David" w:hint="cs"/>
          <w:sz w:val="24"/>
          <w:szCs w:val="24"/>
          <w:rtl/>
        </w:rPr>
        <w:t xml:space="preserve"> נקבע מועד ביום 1.4.24</w:t>
      </w:r>
      <w:r w:rsidRPr="007A5B3F">
        <w:rPr>
          <w:rFonts w:ascii="David" w:hAnsi="David" w:cs="David"/>
          <w:sz w:val="24"/>
          <w:szCs w:val="24"/>
          <w:rtl/>
        </w:rPr>
        <w:t xml:space="preserve"> </w:t>
      </w:r>
      <w:r w:rsidRPr="007A5B3F">
        <w:rPr>
          <w:rFonts w:ascii="David" w:hAnsi="David" w:cs="David"/>
          <w:b/>
          <w:bCs/>
          <w:sz w:val="24"/>
          <w:szCs w:val="24"/>
          <w:u w:val="single"/>
          <w:rtl/>
        </w:rPr>
        <w:t xml:space="preserve">הממונה על עבודות השירות </w:t>
      </w:r>
      <w:r w:rsidRPr="007A5B3F">
        <w:rPr>
          <w:rFonts w:ascii="David" w:hAnsi="David" w:cs="David" w:hint="cs"/>
          <w:b/>
          <w:bCs/>
          <w:sz w:val="24"/>
          <w:szCs w:val="24"/>
          <w:u w:val="single"/>
          <w:rtl/>
        </w:rPr>
        <w:t>מתבקש להתאים את המועד החדש</w:t>
      </w:r>
      <w:r>
        <w:rPr>
          <w:rFonts w:ascii="David" w:hAnsi="David" w:cs="David" w:hint="cs"/>
          <w:b/>
          <w:bCs/>
          <w:sz w:val="24"/>
          <w:szCs w:val="24"/>
          <w:u w:val="single"/>
          <w:rtl/>
        </w:rPr>
        <w:t>.</w:t>
      </w:r>
    </w:p>
    <w:p w14:paraId="6BD8655B" w14:textId="77777777" w:rsidR="003955CC" w:rsidRPr="007A5B3F" w:rsidRDefault="003955CC" w:rsidP="003955CC">
      <w:pPr>
        <w:pStyle w:val="aa"/>
        <w:spacing w:line="360" w:lineRule="auto"/>
        <w:ind w:left="360"/>
        <w:jc w:val="both"/>
        <w:rPr>
          <w:rFonts w:ascii="David" w:eastAsia="David" w:hAnsi="David" w:cs="David"/>
          <w:sz w:val="24"/>
          <w:szCs w:val="24"/>
        </w:rPr>
      </w:pPr>
      <w:r w:rsidRPr="007A5B3F">
        <w:rPr>
          <w:rFonts w:ascii="David" w:hAnsi="David" w:cs="David"/>
          <w:b/>
          <w:bCs/>
          <w:sz w:val="24"/>
          <w:szCs w:val="24"/>
          <w:rtl/>
        </w:rPr>
        <w:t xml:space="preserve">על הנאשם להתייצב לפני מפקח על עבודות השירות לצורך קליטה והצבה בתאריך תחילת העבודה, בשעה 08:00, </w:t>
      </w:r>
      <w:r w:rsidRPr="007A5B3F">
        <w:rPr>
          <w:rFonts w:ascii="Times New Roman" w:eastAsia="Times New Roman" w:hAnsi="Times New Roman" w:cs="David"/>
          <w:b/>
          <w:bCs/>
          <w:sz w:val="24"/>
          <w:szCs w:val="24"/>
          <w:rtl/>
        </w:rPr>
        <w:t>במפקדת מחוז מרכז, יחידת עבודות שירות, ת"ד 81, רמלה</w:t>
      </w:r>
      <w:r w:rsidRPr="007A5B3F">
        <w:rPr>
          <w:rFonts w:ascii="David" w:eastAsia="David" w:hAnsi="David" w:cs="David"/>
          <w:sz w:val="24"/>
          <w:szCs w:val="24"/>
          <w:rtl/>
        </w:rPr>
        <w:t>.</w:t>
      </w:r>
    </w:p>
    <w:p w14:paraId="67B53A09" w14:textId="77777777" w:rsidR="003955CC" w:rsidRDefault="003955CC" w:rsidP="003955CC">
      <w:pPr>
        <w:pStyle w:val="aa"/>
        <w:spacing w:line="360" w:lineRule="auto"/>
        <w:ind w:left="360"/>
        <w:jc w:val="both"/>
        <w:rPr>
          <w:rFonts w:ascii="David" w:hAnsi="David" w:cs="David"/>
          <w:sz w:val="24"/>
          <w:szCs w:val="24"/>
        </w:rPr>
      </w:pPr>
      <w:r>
        <w:rPr>
          <w:rFonts w:ascii="David" w:hAnsi="David" w:cs="David"/>
          <w:sz w:val="24"/>
          <w:szCs w:val="24"/>
          <w:rtl/>
        </w:rPr>
        <w:t>אני מודיעה לנאשם כי עליו להודיע לממונה על כל שינוי, אם יחול, בכתובת מגוריו, וכן עליו לעמוד בתנאי הפיקוח, שכן אי מילוי עבודות השירות על פי הנחיות המפקח, עלול להביא להפסקתן ולכליאה במתקן כליאה.</w:t>
      </w:r>
    </w:p>
    <w:p w14:paraId="2E804D5A" w14:textId="77777777" w:rsidR="003955CC" w:rsidRDefault="003955CC" w:rsidP="003955CC">
      <w:pPr>
        <w:pStyle w:val="aa"/>
        <w:numPr>
          <w:ilvl w:val="0"/>
          <w:numId w:val="3"/>
        </w:numPr>
        <w:spacing w:line="360" w:lineRule="auto"/>
        <w:jc w:val="both"/>
        <w:rPr>
          <w:rFonts w:ascii="David" w:eastAsia="David" w:hAnsi="David" w:cs="David"/>
          <w:sz w:val="24"/>
          <w:szCs w:val="24"/>
          <w:rtl/>
        </w:rPr>
      </w:pPr>
      <w:r>
        <w:rPr>
          <w:rFonts w:ascii="David" w:hAnsi="David" w:cs="David"/>
          <w:b/>
          <w:bCs/>
          <w:sz w:val="24"/>
          <w:szCs w:val="24"/>
          <w:rtl/>
        </w:rPr>
        <w:t>6 חודשי מאסר על תנאי לתקופה של 3 שנים</w:t>
      </w:r>
      <w:r>
        <w:rPr>
          <w:rFonts w:ascii="David" w:hAnsi="David" w:cs="David"/>
          <w:sz w:val="24"/>
          <w:szCs w:val="24"/>
          <w:rtl/>
        </w:rPr>
        <w:t xml:space="preserve"> והתנאי הוא שהנאשם לא יעבור עבירה מסוג פשע לפי </w:t>
      </w:r>
      <w:hyperlink r:id="rId37" w:history="1">
        <w:r w:rsidR="00445B07" w:rsidRPr="00445B07">
          <w:rPr>
            <w:rFonts w:ascii="David" w:hAnsi="David" w:cs="David"/>
            <w:color w:val="0000FF"/>
            <w:sz w:val="24"/>
            <w:szCs w:val="24"/>
            <w:u w:val="single"/>
            <w:rtl/>
          </w:rPr>
          <w:t>פקודת הסמים המסוכנים</w:t>
        </w:r>
      </w:hyperlink>
      <w:r>
        <w:rPr>
          <w:rFonts w:ascii="David" w:hAnsi="David" w:cs="David"/>
          <w:sz w:val="24"/>
          <w:szCs w:val="24"/>
          <w:rtl/>
        </w:rPr>
        <w:t>.</w:t>
      </w:r>
    </w:p>
    <w:p w14:paraId="0B24469F" w14:textId="77777777" w:rsidR="003955CC" w:rsidRDefault="003955CC" w:rsidP="003955CC">
      <w:pPr>
        <w:pStyle w:val="aa"/>
        <w:numPr>
          <w:ilvl w:val="0"/>
          <w:numId w:val="3"/>
        </w:numPr>
        <w:spacing w:line="360" w:lineRule="auto"/>
        <w:jc w:val="both"/>
        <w:rPr>
          <w:rFonts w:ascii="David" w:eastAsia="David" w:hAnsi="David" w:cs="David"/>
          <w:sz w:val="24"/>
          <w:szCs w:val="24"/>
        </w:rPr>
      </w:pPr>
      <w:r>
        <w:rPr>
          <w:rFonts w:ascii="David" w:hAnsi="David" w:cs="David"/>
          <w:b/>
          <w:bCs/>
          <w:sz w:val="24"/>
          <w:szCs w:val="24"/>
          <w:rtl/>
        </w:rPr>
        <w:t>3 חודשי מאסר על תנאי לתקופה של 3 שנים</w:t>
      </w:r>
      <w:r>
        <w:rPr>
          <w:rFonts w:ascii="David" w:hAnsi="David" w:cs="David"/>
          <w:sz w:val="24"/>
          <w:szCs w:val="24"/>
          <w:rtl/>
        </w:rPr>
        <w:t xml:space="preserve"> והתנאי הוא שהנאשם לא יעבור עבירה מסוג עוון לפי </w:t>
      </w:r>
      <w:hyperlink r:id="rId38" w:history="1">
        <w:r w:rsidR="00445B07" w:rsidRPr="00445B07">
          <w:rPr>
            <w:rFonts w:ascii="David" w:hAnsi="David" w:cs="David"/>
            <w:color w:val="0000FF"/>
            <w:sz w:val="24"/>
            <w:szCs w:val="24"/>
            <w:u w:val="single"/>
            <w:rtl/>
          </w:rPr>
          <w:t>פקודת הסמים המסוכנים</w:t>
        </w:r>
      </w:hyperlink>
      <w:r>
        <w:rPr>
          <w:rFonts w:ascii="David" w:hAnsi="David" w:cs="David"/>
          <w:sz w:val="24"/>
          <w:szCs w:val="24"/>
          <w:rtl/>
        </w:rPr>
        <w:t xml:space="preserve">.  </w:t>
      </w:r>
    </w:p>
    <w:p w14:paraId="09B5FBD6" w14:textId="77777777" w:rsidR="003955CC" w:rsidRDefault="003955CC" w:rsidP="003955CC">
      <w:pPr>
        <w:pStyle w:val="aa"/>
        <w:numPr>
          <w:ilvl w:val="0"/>
          <w:numId w:val="3"/>
        </w:numPr>
        <w:spacing w:line="360" w:lineRule="auto"/>
        <w:jc w:val="both"/>
        <w:rPr>
          <w:rFonts w:ascii="David" w:eastAsia="David" w:hAnsi="David" w:cs="David"/>
          <w:b/>
          <w:bCs/>
          <w:sz w:val="24"/>
          <w:szCs w:val="24"/>
        </w:rPr>
      </w:pPr>
      <w:r>
        <w:rPr>
          <w:rFonts w:ascii="David" w:hAnsi="David" w:cs="David"/>
          <w:b/>
          <w:bCs/>
          <w:sz w:val="24"/>
          <w:szCs w:val="24"/>
          <w:rtl/>
        </w:rPr>
        <w:t xml:space="preserve">קנס בסך 1,500 ₪. </w:t>
      </w:r>
      <w:r>
        <w:rPr>
          <w:rFonts w:ascii="David" w:eastAsia="David" w:hAnsi="David" w:cs="David"/>
          <w:b/>
          <w:bCs/>
          <w:sz w:val="24"/>
          <w:szCs w:val="24"/>
          <w:rtl/>
        </w:rPr>
        <w:t>לבקשת הנאשם ניתן לעשות שימוש בסכום כסף שבפקדון לצורך עמידה בתשלום הקנס. ככל שקיימת יתרת חובה תשולם בתוך 90 יום.</w:t>
      </w:r>
    </w:p>
    <w:p w14:paraId="258AEB74" w14:textId="77777777" w:rsidR="003955CC" w:rsidRDefault="003955CC" w:rsidP="003955CC">
      <w:pPr>
        <w:pStyle w:val="aa"/>
        <w:numPr>
          <w:ilvl w:val="0"/>
          <w:numId w:val="3"/>
        </w:numPr>
        <w:spacing w:line="360" w:lineRule="auto"/>
        <w:jc w:val="both"/>
        <w:rPr>
          <w:rFonts w:ascii="David" w:eastAsia="David" w:hAnsi="David" w:cs="David"/>
          <w:sz w:val="24"/>
          <w:szCs w:val="24"/>
        </w:rPr>
      </w:pPr>
      <w:r>
        <w:rPr>
          <w:rFonts w:ascii="David" w:eastAsia="David" w:hAnsi="David" w:cs="David"/>
          <w:b/>
          <w:bCs/>
          <w:sz w:val="24"/>
          <w:szCs w:val="24"/>
          <w:rtl/>
        </w:rPr>
        <w:t>פסילת רשיון נהיגה למשך 3 חודשים וזאת על תנאי</w:t>
      </w:r>
      <w:r>
        <w:rPr>
          <w:rFonts w:ascii="David" w:eastAsia="David" w:hAnsi="David" w:cs="David"/>
          <w:sz w:val="24"/>
          <w:szCs w:val="24"/>
          <w:rtl/>
        </w:rPr>
        <w:t xml:space="preserve"> שלא יעבור עבירה לפי </w:t>
      </w:r>
      <w:hyperlink r:id="rId39" w:history="1">
        <w:r w:rsidR="00445B07" w:rsidRPr="00445B07">
          <w:rPr>
            <w:rFonts w:ascii="David" w:eastAsia="David" w:hAnsi="David" w:cs="David"/>
            <w:color w:val="0000FF"/>
            <w:sz w:val="24"/>
            <w:szCs w:val="24"/>
            <w:u w:val="single"/>
            <w:rtl/>
          </w:rPr>
          <w:t>פקודת הסמים המסוכנים</w:t>
        </w:r>
      </w:hyperlink>
      <w:r>
        <w:rPr>
          <w:rFonts w:ascii="David" w:eastAsia="David" w:hAnsi="David" w:cs="David"/>
          <w:sz w:val="24"/>
          <w:szCs w:val="24"/>
          <w:rtl/>
        </w:rPr>
        <w:t xml:space="preserve"> במשך שלוש שנים.</w:t>
      </w:r>
    </w:p>
    <w:p w14:paraId="5D778925" w14:textId="77777777" w:rsidR="003955CC" w:rsidRDefault="003955CC" w:rsidP="003955CC">
      <w:pPr>
        <w:pStyle w:val="aa"/>
        <w:numPr>
          <w:ilvl w:val="0"/>
          <w:numId w:val="3"/>
        </w:numPr>
        <w:spacing w:line="360" w:lineRule="auto"/>
        <w:jc w:val="both"/>
        <w:rPr>
          <w:rFonts w:ascii="David" w:eastAsia="David" w:hAnsi="David" w:cs="David"/>
          <w:sz w:val="24"/>
          <w:szCs w:val="24"/>
        </w:rPr>
      </w:pPr>
      <w:r>
        <w:rPr>
          <w:rFonts w:ascii="David" w:eastAsia="David" w:hAnsi="David" w:cs="David"/>
          <w:b/>
          <w:bCs/>
          <w:sz w:val="24"/>
          <w:szCs w:val="24"/>
          <w:rtl/>
        </w:rPr>
        <w:t>חילוט בסך 1,740 ₪</w:t>
      </w:r>
      <w:r>
        <w:rPr>
          <w:rFonts w:ascii="David" w:eastAsia="David" w:hAnsi="David" w:cs="David"/>
          <w:sz w:val="24"/>
          <w:szCs w:val="24"/>
          <w:rtl/>
        </w:rPr>
        <w:t xml:space="preserve"> לטובת קרן החילוט-סמים.</w:t>
      </w:r>
    </w:p>
    <w:p w14:paraId="4DD53FA2" w14:textId="77777777" w:rsidR="003955CC" w:rsidRPr="003955CC" w:rsidRDefault="003955CC" w:rsidP="003955CC">
      <w:pPr>
        <w:spacing w:line="360" w:lineRule="auto"/>
        <w:jc w:val="both"/>
        <w:rPr>
          <w:rFonts w:ascii="David" w:eastAsia="Calibri" w:hAnsi="David"/>
          <w:rtl/>
        </w:rPr>
      </w:pPr>
      <w:r>
        <w:rPr>
          <w:rFonts w:ascii="David" w:hAnsi="David"/>
          <w:rtl/>
        </w:rPr>
        <w:t xml:space="preserve">ניתן צו כללי למוצגים לפי שיקול דעת קצין המשטרה. המוצגים יחולטו/יושמדו/יושבו לבעליהם עפ"י החלטת קצין משטרה. </w:t>
      </w:r>
    </w:p>
    <w:p w14:paraId="08F718F9" w14:textId="77777777" w:rsidR="003955CC" w:rsidRDefault="003955CC" w:rsidP="003955CC">
      <w:pPr>
        <w:pStyle w:val="aa"/>
        <w:spacing w:line="360" w:lineRule="auto"/>
        <w:jc w:val="both"/>
      </w:pPr>
    </w:p>
    <w:p w14:paraId="0A85CA3F" w14:textId="77777777" w:rsidR="003955CC" w:rsidRDefault="003955CC" w:rsidP="003955CC">
      <w:pPr>
        <w:spacing w:line="360" w:lineRule="auto"/>
        <w:jc w:val="both"/>
        <w:rPr>
          <w:rFonts w:ascii="David" w:hAnsi="David"/>
        </w:rPr>
      </w:pPr>
      <w:r>
        <w:rPr>
          <w:rFonts w:ascii="David" w:hAnsi="David"/>
          <w:rtl/>
        </w:rPr>
        <w:t xml:space="preserve">ככל שהופקד פיקדון בתיק או בתיק המעצרים הקשור לתיק זה ובהעדר מניעה על פי דין ולאחר עמידה בתשלום הקנס, יוחזר הפיקדון למפקיד או לידי מי מטעמו עפ"י יפוי כוח. </w:t>
      </w:r>
    </w:p>
    <w:p w14:paraId="49AC98CB" w14:textId="77777777" w:rsidR="003955CC" w:rsidRDefault="003955CC" w:rsidP="003955CC">
      <w:pPr>
        <w:spacing w:line="360" w:lineRule="auto"/>
        <w:rPr>
          <w:rFonts w:ascii="David" w:hAnsi="David"/>
          <w:sz w:val="22"/>
          <w:szCs w:val="22"/>
          <w:rtl/>
        </w:rPr>
      </w:pPr>
      <w:r>
        <w:rPr>
          <w:rFonts w:ascii="David" w:hAnsi="David"/>
          <w:rtl/>
        </w:rPr>
        <w:t>החוב מועבר למרכז לגביית קנסות, אגרות והוצאות ברשות האכיפה והגבייה, בהתאם למועדים והתשלומים שקבע בית המשפט.</w:t>
      </w:r>
    </w:p>
    <w:p w14:paraId="7D6E8FA4" w14:textId="77777777" w:rsidR="003955CC" w:rsidRDefault="003955CC" w:rsidP="003955CC">
      <w:pPr>
        <w:spacing w:line="360" w:lineRule="auto"/>
        <w:rPr>
          <w:rFonts w:ascii="David" w:hAnsi="David"/>
        </w:rPr>
      </w:pPr>
      <w:r>
        <w:rPr>
          <w:rFonts w:ascii="David" w:hAnsi="David"/>
          <w:rtl/>
        </w:rPr>
        <w:t>ניתן יהיה לשלם את הקנס/ פיצוי/ ההוצאות כעבור שלושה ימים מיום מתן ההחלטה/</w:t>
      </w:r>
      <w:r w:rsidR="00445B07">
        <w:rPr>
          <w:rFonts w:ascii="David" w:hAnsi="David"/>
          <w:rtl/>
        </w:rPr>
        <w:t xml:space="preserve"> </w:t>
      </w:r>
      <w:r>
        <w:rPr>
          <w:rFonts w:ascii="David" w:hAnsi="David"/>
          <w:rtl/>
        </w:rPr>
        <w:t xml:space="preserve"> גזר הדין לחשבון המרכז לגביית קנסות, אגרות והוצאות ברשות האכיפה והגבייה באחת מהדרכים הבאות:</w:t>
      </w:r>
    </w:p>
    <w:p w14:paraId="15897600" w14:textId="77777777" w:rsidR="003955CC" w:rsidRDefault="003955CC" w:rsidP="003955CC">
      <w:pPr>
        <w:pStyle w:val="aa"/>
        <w:numPr>
          <w:ilvl w:val="0"/>
          <w:numId w:val="4"/>
        </w:numPr>
        <w:spacing w:line="360" w:lineRule="auto"/>
        <w:rPr>
          <w:rFonts w:ascii="David" w:hAnsi="David" w:cs="David"/>
          <w:b/>
          <w:bCs/>
        </w:rPr>
      </w:pPr>
      <w:r>
        <w:rPr>
          <w:rFonts w:ascii="David" w:hAnsi="David" w:cs="David"/>
          <w:b/>
          <w:bCs/>
          <w:rtl/>
        </w:rPr>
        <w:t>בכרטיס אשראי</w:t>
      </w:r>
      <w:r>
        <w:rPr>
          <w:rFonts w:ascii="David" w:hAnsi="David" w:cs="David"/>
          <w:rtl/>
        </w:rPr>
        <w:t xml:space="preserve"> – באתר המקוון של רשות האכיפה והגבייה, </w:t>
      </w:r>
      <w:hyperlink r:id="rId40" w:history="1">
        <w:r>
          <w:rPr>
            <w:rStyle w:val="Hyperlink"/>
            <w:rFonts w:ascii="David" w:hAnsi="David" w:cs="David"/>
          </w:rPr>
          <w:t>www.eca.gov.il</w:t>
        </w:r>
      </w:hyperlink>
      <w:r>
        <w:rPr>
          <w:rFonts w:ascii="David" w:hAnsi="David" w:cs="David"/>
        </w:rPr>
        <w:t xml:space="preserve"> </w:t>
      </w:r>
      <w:r w:rsidR="00445B07">
        <w:rPr>
          <w:rFonts w:ascii="David" w:hAnsi="David" w:cs="David"/>
          <w:rtl/>
        </w:rPr>
        <w:t xml:space="preserve"> </w:t>
      </w:r>
    </w:p>
    <w:p w14:paraId="5580955F" w14:textId="77777777" w:rsidR="003955CC" w:rsidRDefault="003955CC" w:rsidP="003955CC">
      <w:pPr>
        <w:pStyle w:val="aa"/>
        <w:numPr>
          <w:ilvl w:val="0"/>
          <w:numId w:val="4"/>
        </w:numPr>
        <w:spacing w:line="360" w:lineRule="auto"/>
        <w:rPr>
          <w:rFonts w:ascii="David" w:hAnsi="David" w:cs="David"/>
          <w:b/>
          <w:bCs/>
        </w:rPr>
      </w:pPr>
      <w:r>
        <w:rPr>
          <w:rFonts w:ascii="David" w:hAnsi="David" w:cs="David"/>
          <w:b/>
          <w:bCs/>
          <w:rtl/>
        </w:rPr>
        <w:t>מוקד שירות טלפוני בשרות עצמי (מרכז גבייה)</w:t>
      </w:r>
      <w:r w:rsidR="00445B07">
        <w:rPr>
          <w:rFonts w:ascii="David" w:hAnsi="David" w:cs="David"/>
          <w:b/>
          <w:bCs/>
          <w:rtl/>
        </w:rPr>
        <w:t xml:space="preserve"> </w:t>
      </w:r>
      <w:r>
        <w:rPr>
          <w:rFonts w:ascii="David" w:hAnsi="David" w:cs="David"/>
          <w:b/>
          <w:bCs/>
          <w:rtl/>
        </w:rPr>
        <w:t xml:space="preserve"> – בטלפון 35592* או בטלפון 073-2055000</w:t>
      </w:r>
    </w:p>
    <w:p w14:paraId="40EF4044" w14:textId="77777777" w:rsidR="003955CC" w:rsidRDefault="003955CC" w:rsidP="003955CC">
      <w:pPr>
        <w:pStyle w:val="aa"/>
        <w:numPr>
          <w:ilvl w:val="0"/>
          <w:numId w:val="4"/>
        </w:numPr>
        <w:spacing w:line="360" w:lineRule="auto"/>
        <w:rPr>
          <w:rFonts w:ascii="David" w:hAnsi="David" w:cs="David"/>
          <w:b/>
          <w:bCs/>
        </w:rPr>
      </w:pPr>
      <w:r>
        <w:rPr>
          <w:rFonts w:ascii="David" w:hAnsi="David" w:cs="David"/>
          <w:b/>
          <w:bCs/>
          <w:rtl/>
        </w:rPr>
        <w:t>במזומן בכל סניף של בנק הדואר</w:t>
      </w:r>
      <w:r>
        <w:rPr>
          <w:rFonts w:ascii="David" w:hAnsi="David" w:cs="David"/>
          <w:rtl/>
        </w:rPr>
        <w:t xml:space="preserve"> – בהצגת תעודת זהות בלבד (אין צורך בשוברי תשלום).</w:t>
      </w:r>
    </w:p>
    <w:p w14:paraId="358159FA" w14:textId="77777777" w:rsidR="003955CC" w:rsidRDefault="003955CC" w:rsidP="003955CC">
      <w:pPr>
        <w:spacing w:line="360" w:lineRule="auto"/>
        <w:jc w:val="both"/>
        <w:rPr>
          <w:rFonts w:ascii="David" w:hAnsi="David"/>
          <w:rtl/>
        </w:rPr>
      </w:pPr>
    </w:p>
    <w:p w14:paraId="3E65AD87" w14:textId="77777777" w:rsidR="003955CC" w:rsidRPr="003955CC" w:rsidRDefault="003955CC" w:rsidP="003955CC">
      <w:pPr>
        <w:spacing w:line="360" w:lineRule="auto"/>
        <w:rPr>
          <w:rFonts w:ascii="Calibri" w:hAnsi="Calibri" w:cs="Arial"/>
        </w:rPr>
      </w:pPr>
      <w:r>
        <w:rPr>
          <w:rFonts w:ascii="David" w:hAnsi="David"/>
          <w:b/>
          <w:bCs/>
          <w:u w:val="double"/>
          <w:rtl/>
        </w:rPr>
        <w:t>המזכירות</w:t>
      </w:r>
      <w:r>
        <w:rPr>
          <w:rFonts w:ascii="David" w:hAnsi="David"/>
          <w:rtl/>
        </w:rPr>
        <w:t xml:space="preserve"> תעביר העתק לשירות המבחן ולממונה על עבודות שירות.</w:t>
      </w:r>
    </w:p>
    <w:p w14:paraId="5DBEE87C" w14:textId="77777777" w:rsidR="003955CC" w:rsidRDefault="003955CC" w:rsidP="003955CC">
      <w:pPr>
        <w:spacing w:line="360" w:lineRule="auto"/>
        <w:jc w:val="both"/>
        <w:rPr>
          <w:rFonts w:ascii="David" w:hAnsi="David"/>
          <w:b/>
          <w:bCs/>
        </w:rPr>
      </w:pPr>
      <w:r>
        <w:rPr>
          <w:rFonts w:ascii="David" w:hAnsi="David"/>
          <w:b/>
          <w:bCs/>
          <w:rtl/>
        </w:rPr>
        <w:t xml:space="preserve">זכות ערעור לביהמ"ש המחוזי בתוך 45 ימים מהיום. </w:t>
      </w:r>
    </w:p>
    <w:p w14:paraId="7FE9D215" w14:textId="77777777" w:rsidR="003955CC" w:rsidRPr="00CB408A" w:rsidRDefault="003955CC" w:rsidP="003955CC">
      <w:pPr>
        <w:spacing w:line="360" w:lineRule="auto"/>
        <w:rPr>
          <w:rFonts w:ascii="Arial" w:hAnsi="Arial"/>
          <w:rtl/>
        </w:rPr>
      </w:pPr>
    </w:p>
    <w:p w14:paraId="482D6531" w14:textId="77777777" w:rsidR="003955CC" w:rsidRPr="00B05847" w:rsidRDefault="003955CC" w:rsidP="003955CC">
      <w:pPr>
        <w:spacing w:line="360" w:lineRule="auto"/>
        <w:rPr>
          <w:rtl/>
        </w:rPr>
      </w:pPr>
    </w:p>
    <w:p w14:paraId="108FE27E" w14:textId="77777777" w:rsidR="003955CC" w:rsidRPr="00B05847" w:rsidRDefault="003955CC" w:rsidP="003955CC">
      <w:pPr>
        <w:spacing w:line="360" w:lineRule="auto"/>
        <w:rPr>
          <w:rtl/>
        </w:rPr>
      </w:pPr>
    </w:p>
    <w:p w14:paraId="7AF0BF81" w14:textId="77777777" w:rsidR="003955CC" w:rsidRPr="00B05847" w:rsidRDefault="003955CC" w:rsidP="003955CC">
      <w:pPr>
        <w:spacing w:line="360" w:lineRule="auto"/>
        <w:rPr>
          <w:rtl/>
        </w:rPr>
      </w:pPr>
    </w:p>
    <w:p w14:paraId="00EFBFDD" w14:textId="77777777" w:rsidR="003955CC" w:rsidRPr="00B05847" w:rsidRDefault="003955CC" w:rsidP="003955CC">
      <w:pPr>
        <w:spacing w:line="360" w:lineRule="auto"/>
        <w:rPr>
          <w:rtl/>
        </w:rPr>
      </w:pPr>
    </w:p>
    <w:p w14:paraId="08A0287A" w14:textId="77777777" w:rsidR="003955CC" w:rsidRPr="00B05847" w:rsidRDefault="003955CC" w:rsidP="003955CC">
      <w:pPr>
        <w:rPr>
          <w:rtl/>
        </w:rPr>
      </w:pPr>
    </w:p>
    <w:p w14:paraId="033D83BA" w14:textId="77777777" w:rsidR="003955CC" w:rsidRPr="00B05847" w:rsidRDefault="003955CC" w:rsidP="003955CC">
      <w:pPr>
        <w:rPr>
          <w:rtl/>
        </w:rPr>
      </w:pPr>
    </w:p>
    <w:p w14:paraId="69F32669" w14:textId="77777777" w:rsidR="003955CC" w:rsidRPr="00B05847" w:rsidRDefault="003955CC" w:rsidP="003955CC">
      <w:pPr>
        <w:rPr>
          <w:rtl/>
        </w:rPr>
      </w:pPr>
    </w:p>
    <w:p w14:paraId="3015764F" w14:textId="77777777" w:rsidR="003955CC" w:rsidRPr="00445B07" w:rsidRDefault="00445B07" w:rsidP="003955CC">
      <w:pPr>
        <w:rPr>
          <w:color w:val="FFFFFF"/>
          <w:sz w:val="2"/>
          <w:szCs w:val="2"/>
          <w:rtl/>
        </w:rPr>
      </w:pPr>
      <w:r w:rsidRPr="00445B07">
        <w:rPr>
          <w:color w:val="FFFFFF"/>
          <w:sz w:val="2"/>
          <w:szCs w:val="2"/>
          <w:rtl/>
        </w:rPr>
        <w:t>5129371</w:t>
      </w:r>
    </w:p>
    <w:p w14:paraId="42687390" w14:textId="77777777" w:rsidR="003955CC" w:rsidRPr="00250B83" w:rsidRDefault="00445B07" w:rsidP="003955CC">
      <w:pPr>
        <w:rPr>
          <w:rtl/>
        </w:rPr>
      </w:pPr>
      <w:bookmarkStart w:id="8" w:name="Nitan"/>
      <w:r w:rsidRPr="00445B07">
        <w:rPr>
          <w:rFonts w:ascii="Arial" w:hAnsi="Arial"/>
          <w:color w:val="FFFFFF"/>
          <w:sz w:val="2"/>
          <w:szCs w:val="2"/>
          <w:rtl/>
        </w:rPr>
        <w:t>54678313</w:t>
      </w:r>
      <w:r>
        <w:rPr>
          <w:rFonts w:ascii="Arial" w:hAnsi="Arial"/>
          <w:rtl/>
        </w:rPr>
        <w:t xml:space="preserve">ניתן היום,  כ"ב שבט תשפ"ד, 01 פברואר 2024, במעמד הצדדים. </w:t>
      </w:r>
      <w:bookmarkEnd w:id="8"/>
    </w:p>
    <w:p w14:paraId="3C26445D" w14:textId="77777777" w:rsidR="003955CC" w:rsidRPr="00250B83" w:rsidRDefault="003955CC" w:rsidP="00445B07">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23197097" w14:textId="77777777" w:rsidR="003955CC" w:rsidRPr="00250B83" w:rsidRDefault="003955CC" w:rsidP="003955CC">
      <w:pPr>
        <w:jc w:val="center"/>
        <w:rPr>
          <w:rFonts w:ascii="Arial" w:hAnsi="Arial"/>
          <w:rtl/>
        </w:rPr>
      </w:pPr>
    </w:p>
    <w:p w14:paraId="22010B4D" w14:textId="77777777" w:rsidR="003955CC" w:rsidRPr="00250B83" w:rsidRDefault="003955CC" w:rsidP="003955CC">
      <w:pPr>
        <w:rPr>
          <w:rtl/>
        </w:rPr>
      </w:pPr>
    </w:p>
    <w:p w14:paraId="1D1B5687" w14:textId="77777777" w:rsidR="003955CC" w:rsidRPr="001C0673" w:rsidRDefault="001C0673" w:rsidP="003955CC">
      <w:pPr>
        <w:pStyle w:val="a3"/>
        <w:jc w:val="center"/>
        <w:rPr>
          <w:color w:val="FFFFFF"/>
          <w:sz w:val="2"/>
          <w:szCs w:val="2"/>
          <w:rtl/>
        </w:rPr>
      </w:pPr>
      <w:r w:rsidRPr="001C0673">
        <w:rPr>
          <w:color w:val="FFFFFF"/>
          <w:sz w:val="2"/>
          <w:szCs w:val="2"/>
          <w:rtl/>
        </w:rPr>
        <w:t>5129371</w:t>
      </w:r>
    </w:p>
    <w:p w14:paraId="3CD32C72" w14:textId="77777777" w:rsidR="00445B07" w:rsidRDefault="001C0673" w:rsidP="00445B07">
      <w:r w:rsidRPr="001C0673">
        <w:rPr>
          <w:rFonts w:ascii="David" w:hAnsi="David"/>
          <w:color w:val="FFFFFF"/>
          <w:sz w:val="2"/>
          <w:szCs w:val="2"/>
          <w:rtl/>
        </w:rPr>
        <w:t>54678313</w:t>
      </w:r>
    </w:p>
    <w:p w14:paraId="0C5CDC1F" w14:textId="77777777" w:rsidR="00445B07" w:rsidRDefault="00445B07" w:rsidP="00445B07">
      <w:pPr>
        <w:rPr>
          <w:rtl/>
        </w:rPr>
      </w:pPr>
    </w:p>
    <w:p w14:paraId="61754868" w14:textId="77777777" w:rsidR="00445B07" w:rsidRDefault="00445B07" w:rsidP="00445B07">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6B67B1FE" w14:textId="77777777" w:rsidR="001C0673" w:rsidRPr="001C0673" w:rsidRDefault="001C0673" w:rsidP="001C0673">
      <w:pPr>
        <w:keepNext/>
        <w:rPr>
          <w:rFonts w:ascii="David" w:hAnsi="David"/>
          <w:color w:val="000000"/>
          <w:sz w:val="22"/>
          <w:szCs w:val="22"/>
          <w:rtl/>
        </w:rPr>
      </w:pPr>
    </w:p>
    <w:p w14:paraId="042452EA" w14:textId="77777777" w:rsidR="001C0673" w:rsidRPr="001C0673" w:rsidRDefault="001C0673" w:rsidP="001C0673">
      <w:pPr>
        <w:keepNext/>
        <w:rPr>
          <w:rFonts w:ascii="David" w:hAnsi="David"/>
          <w:color w:val="000000"/>
          <w:sz w:val="22"/>
          <w:szCs w:val="22"/>
          <w:rtl/>
        </w:rPr>
      </w:pPr>
      <w:r w:rsidRPr="001C0673">
        <w:rPr>
          <w:rFonts w:ascii="David" w:hAnsi="David"/>
          <w:color w:val="000000"/>
          <w:sz w:val="22"/>
          <w:szCs w:val="22"/>
          <w:rtl/>
        </w:rPr>
        <w:t>נעה תבור 54678313-/</w:t>
      </w:r>
    </w:p>
    <w:p w14:paraId="008D9562" w14:textId="77777777" w:rsidR="00445B07" w:rsidRPr="00445B07" w:rsidRDefault="001C0673" w:rsidP="001C0673">
      <w:pPr>
        <w:rPr>
          <w:color w:val="0000FF"/>
          <w:u w:val="single"/>
        </w:rPr>
      </w:pPr>
      <w:r w:rsidRPr="001C0673">
        <w:rPr>
          <w:color w:val="000000"/>
          <w:u w:val="single"/>
          <w:rtl/>
        </w:rPr>
        <w:t>נוסח מסמך זה כפוף לשינויי ניסוח ועריכה</w:t>
      </w:r>
    </w:p>
    <w:sectPr w:rsidR="00445B07" w:rsidRPr="00445B07" w:rsidSect="001C0673">
      <w:headerReference w:type="even" r:id="rId42"/>
      <w:headerReference w:type="default" r:id="rId43"/>
      <w:footerReference w:type="even" r:id="rId44"/>
      <w:footerReference w:type="default" r:id="rId45"/>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E7AF97" w14:textId="77777777" w:rsidR="006B1030" w:rsidRDefault="006B1030" w:rsidP="00CA5F81">
      <w:r>
        <w:separator/>
      </w:r>
    </w:p>
  </w:endnote>
  <w:endnote w:type="continuationSeparator" w:id="0">
    <w:p w14:paraId="4AE6927E" w14:textId="77777777" w:rsidR="006B1030" w:rsidRDefault="006B1030" w:rsidP="00CA5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Unicode MS">
    <w:panose1 w:val="020B06040202020202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7613B" w14:textId="77777777" w:rsidR="001C0673" w:rsidRDefault="001C0673" w:rsidP="001C067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999EFB3" w14:textId="77777777" w:rsidR="002B29D5" w:rsidRPr="001C0673" w:rsidRDefault="001C0673" w:rsidP="001C0673">
    <w:pPr>
      <w:pStyle w:val="a5"/>
      <w:pBdr>
        <w:top w:val="single" w:sz="4" w:space="1" w:color="auto"/>
        <w:between w:val="single" w:sz="4" w:space="0" w:color="auto"/>
      </w:pBdr>
      <w:spacing w:after="60"/>
      <w:jc w:val="center"/>
      <w:rPr>
        <w:rFonts w:ascii="FrankRuehl" w:hAnsi="FrankRuehl" w:cs="FrankRuehl"/>
        <w:color w:val="000000"/>
      </w:rPr>
    </w:pPr>
    <w:r w:rsidRPr="001C067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E2BC1" w14:textId="77777777" w:rsidR="001C0673" w:rsidRDefault="001C0673" w:rsidP="001C067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B271D">
      <w:rPr>
        <w:rFonts w:ascii="FrankRuehl" w:hAnsi="FrankRuehl" w:cs="FrankRuehl"/>
        <w:noProof/>
        <w:rtl/>
      </w:rPr>
      <w:t>1</w:t>
    </w:r>
    <w:r>
      <w:rPr>
        <w:rFonts w:ascii="FrankRuehl" w:hAnsi="FrankRuehl" w:cs="FrankRuehl"/>
        <w:rtl/>
      </w:rPr>
      <w:fldChar w:fldCharType="end"/>
    </w:r>
  </w:p>
  <w:p w14:paraId="02B186D3" w14:textId="77777777" w:rsidR="002B29D5" w:rsidRPr="001C0673" w:rsidRDefault="001C0673" w:rsidP="001C0673">
    <w:pPr>
      <w:pStyle w:val="a5"/>
      <w:pBdr>
        <w:top w:val="single" w:sz="4" w:space="1" w:color="auto"/>
        <w:between w:val="single" w:sz="4" w:space="0" w:color="auto"/>
      </w:pBdr>
      <w:spacing w:after="60"/>
      <w:jc w:val="center"/>
      <w:rPr>
        <w:rFonts w:ascii="FrankRuehl" w:hAnsi="FrankRuehl" w:cs="FrankRuehl"/>
        <w:color w:val="000000"/>
      </w:rPr>
    </w:pPr>
    <w:r w:rsidRPr="001C0673">
      <w:rPr>
        <w:rFonts w:ascii="FrankRuehl" w:hAnsi="FrankRuehl" w:cs="FrankRuehl"/>
        <w:color w:val="000000"/>
      </w:rPr>
      <w:pict w14:anchorId="725C87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FD062D" w14:textId="77777777" w:rsidR="006B1030" w:rsidRDefault="006B1030" w:rsidP="00CA5F81">
      <w:r>
        <w:separator/>
      </w:r>
    </w:p>
  </w:footnote>
  <w:footnote w:type="continuationSeparator" w:id="0">
    <w:p w14:paraId="193EB818" w14:textId="77777777" w:rsidR="006B1030" w:rsidRDefault="006B1030" w:rsidP="00CA5F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64C57F" w14:textId="77777777" w:rsidR="00445B07" w:rsidRPr="001C0673" w:rsidRDefault="001C0673" w:rsidP="001C067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21724-08-22</w:t>
    </w:r>
    <w:r>
      <w:rPr>
        <w:rFonts w:ascii="David" w:hAnsi="David"/>
        <w:color w:val="000000"/>
        <w:sz w:val="22"/>
        <w:szCs w:val="22"/>
        <w:rtl/>
      </w:rPr>
      <w:tab/>
      <w:t xml:space="preserve"> מדינת ישראל נ' בן ראובן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87870" w14:textId="77777777" w:rsidR="00445B07" w:rsidRPr="001C0673" w:rsidRDefault="001C0673" w:rsidP="001C067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21724-08-22</w:t>
    </w:r>
    <w:r>
      <w:rPr>
        <w:rFonts w:ascii="David" w:hAnsi="David"/>
        <w:color w:val="000000"/>
        <w:sz w:val="22"/>
        <w:szCs w:val="22"/>
        <w:rtl/>
      </w:rPr>
      <w:tab/>
      <w:t xml:space="preserve"> מדינת ישראל נ' בן ראובן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Courier New"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3D355491"/>
    <w:multiLevelType w:val="hybridMultilevel"/>
    <w:tmpl w:val="075A577E"/>
    <w:lvl w:ilvl="0" w:tplc="D3B8CB40">
      <w:start w:val="1"/>
      <w:numFmt w:val="hebrew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521F3659"/>
    <w:multiLevelType w:val="hybridMultilevel"/>
    <w:tmpl w:val="042C6364"/>
    <w:lvl w:ilvl="0" w:tplc="CF8E0996">
      <w:start w:val="1"/>
      <w:numFmt w:val="hebrew1"/>
      <w:lvlText w:val="%1."/>
      <w:lvlJc w:val="left"/>
      <w:pPr>
        <w:ind w:left="1352" w:hanging="360"/>
      </w:pPr>
    </w:lvl>
    <w:lvl w:ilvl="1" w:tplc="04090019">
      <w:start w:val="1"/>
      <w:numFmt w:val="lowerLetter"/>
      <w:lvlText w:val="%2."/>
      <w:lvlJc w:val="left"/>
      <w:pPr>
        <w:ind w:left="2072" w:hanging="360"/>
      </w:pPr>
    </w:lvl>
    <w:lvl w:ilvl="2" w:tplc="0409001B">
      <w:start w:val="1"/>
      <w:numFmt w:val="lowerRoman"/>
      <w:lvlText w:val="%3."/>
      <w:lvlJc w:val="right"/>
      <w:pPr>
        <w:ind w:left="2792" w:hanging="180"/>
      </w:pPr>
    </w:lvl>
    <w:lvl w:ilvl="3" w:tplc="0409000F">
      <w:start w:val="1"/>
      <w:numFmt w:val="decimal"/>
      <w:lvlText w:val="%4."/>
      <w:lvlJc w:val="left"/>
      <w:pPr>
        <w:ind w:left="3512" w:hanging="360"/>
      </w:pPr>
    </w:lvl>
    <w:lvl w:ilvl="4" w:tplc="04090019">
      <w:start w:val="1"/>
      <w:numFmt w:val="lowerLetter"/>
      <w:lvlText w:val="%5."/>
      <w:lvlJc w:val="left"/>
      <w:pPr>
        <w:ind w:left="4232" w:hanging="360"/>
      </w:pPr>
    </w:lvl>
    <w:lvl w:ilvl="5" w:tplc="0409001B">
      <w:start w:val="1"/>
      <w:numFmt w:val="lowerRoman"/>
      <w:lvlText w:val="%6."/>
      <w:lvlJc w:val="right"/>
      <w:pPr>
        <w:ind w:left="4952" w:hanging="180"/>
      </w:pPr>
    </w:lvl>
    <w:lvl w:ilvl="6" w:tplc="0409000F">
      <w:start w:val="1"/>
      <w:numFmt w:val="decimal"/>
      <w:lvlText w:val="%7."/>
      <w:lvlJc w:val="left"/>
      <w:pPr>
        <w:ind w:left="5672" w:hanging="360"/>
      </w:pPr>
    </w:lvl>
    <w:lvl w:ilvl="7" w:tplc="04090019">
      <w:start w:val="1"/>
      <w:numFmt w:val="lowerLetter"/>
      <w:lvlText w:val="%8."/>
      <w:lvlJc w:val="left"/>
      <w:pPr>
        <w:ind w:left="6392" w:hanging="360"/>
      </w:pPr>
    </w:lvl>
    <w:lvl w:ilvl="8" w:tplc="0409001B">
      <w:start w:val="1"/>
      <w:numFmt w:val="lowerRoman"/>
      <w:lvlText w:val="%9."/>
      <w:lvlJc w:val="right"/>
      <w:pPr>
        <w:ind w:left="7112" w:hanging="180"/>
      </w:pPr>
    </w:lvl>
  </w:abstractNum>
  <w:abstractNum w:abstractNumId="3" w15:restartNumberingAfterBreak="0">
    <w:nsid w:val="6FAD0723"/>
    <w:multiLevelType w:val="hybridMultilevel"/>
    <w:tmpl w:val="1750B65C"/>
    <w:lvl w:ilvl="0" w:tplc="D7D80CD8">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2139307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19962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354212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42720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955CC"/>
    <w:rsid w:val="000F70C2"/>
    <w:rsid w:val="001B5A3B"/>
    <w:rsid w:val="001C0673"/>
    <w:rsid w:val="002B29D5"/>
    <w:rsid w:val="003337D9"/>
    <w:rsid w:val="003955CC"/>
    <w:rsid w:val="00445B07"/>
    <w:rsid w:val="004D3BB0"/>
    <w:rsid w:val="004E4A7F"/>
    <w:rsid w:val="00656DB5"/>
    <w:rsid w:val="006B1030"/>
    <w:rsid w:val="007F5236"/>
    <w:rsid w:val="00B0509D"/>
    <w:rsid w:val="00CA5F81"/>
    <w:rsid w:val="00CB271D"/>
    <w:rsid w:val="00DC33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690B931"/>
  <w15:chartTrackingRefBased/>
  <w15:docId w15:val="{116A3197-A281-462D-A623-28FA111AC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955C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955CC"/>
    <w:pPr>
      <w:tabs>
        <w:tab w:val="center" w:pos="4153"/>
        <w:tab w:val="right" w:pos="8306"/>
      </w:tabs>
    </w:pPr>
  </w:style>
  <w:style w:type="character" w:customStyle="1" w:styleId="a4">
    <w:name w:val="כותרת עליונה תו"/>
    <w:link w:val="a3"/>
    <w:rsid w:val="003955CC"/>
    <w:rPr>
      <w:rFonts w:ascii="Times New Roman" w:eastAsia="Times New Roman" w:hAnsi="Times New Roman" w:cs="David"/>
      <w:sz w:val="24"/>
      <w:szCs w:val="24"/>
    </w:rPr>
  </w:style>
  <w:style w:type="paragraph" w:styleId="a5">
    <w:name w:val="footer"/>
    <w:basedOn w:val="a"/>
    <w:link w:val="a6"/>
    <w:rsid w:val="003955CC"/>
    <w:pPr>
      <w:tabs>
        <w:tab w:val="center" w:pos="4153"/>
        <w:tab w:val="right" w:pos="8306"/>
      </w:tabs>
    </w:pPr>
  </w:style>
  <w:style w:type="character" w:customStyle="1" w:styleId="a6">
    <w:name w:val="כותרת תחתונה תו"/>
    <w:link w:val="a5"/>
    <w:rsid w:val="003955CC"/>
    <w:rPr>
      <w:rFonts w:ascii="Times New Roman" w:eastAsia="Times New Roman" w:hAnsi="Times New Roman" w:cs="David"/>
      <w:sz w:val="24"/>
      <w:szCs w:val="24"/>
    </w:rPr>
  </w:style>
  <w:style w:type="table" w:styleId="a7">
    <w:name w:val="Table Grid"/>
    <w:basedOn w:val="a1"/>
    <w:rsid w:val="003955C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955CC"/>
  </w:style>
  <w:style w:type="character" w:styleId="Hyperlink">
    <w:name w:val="Hyperlink"/>
    <w:rsid w:val="003955CC"/>
    <w:rPr>
      <w:color w:val="0000FF"/>
      <w:u w:val="single"/>
    </w:rPr>
  </w:style>
  <w:style w:type="character" w:customStyle="1" w:styleId="a9">
    <w:name w:val="פיסקת רשימה תו"/>
    <w:link w:val="aa"/>
    <w:locked/>
    <w:rsid w:val="003955CC"/>
    <w:rPr>
      <w:rFonts w:ascii="Calibri" w:eastAsia="Calibri" w:hAnsi="Calibri" w:cs="Arial"/>
    </w:rPr>
  </w:style>
  <w:style w:type="paragraph" w:styleId="aa">
    <w:name w:val="List Paragraph"/>
    <w:basedOn w:val="a"/>
    <w:link w:val="a9"/>
    <w:qFormat/>
    <w:rsid w:val="003955CC"/>
    <w:pPr>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 TargetMode="External"/><Relationship Id="rId18" Type="http://schemas.openxmlformats.org/officeDocument/2006/relationships/hyperlink" Target="http://www.nevo.co.il/case/26991436" TargetMode="External"/><Relationship Id="rId26" Type="http://schemas.openxmlformats.org/officeDocument/2006/relationships/hyperlink" Target="http://www.nevo.co.il/case/25271452" TargetMode="External"/><Relationship Id="rId39" Type="http://schemas.openxmlformats.org/officeDocument/2006/relationships/hyperlink" Target="http://www.nevo.co.il/law/4216" TargetMode="External"/><Relationship Id="rId21" Type="http://schemas.openxmlformats.org/officeDocument/2006/relationships/hyperlink" Target="http://www.nevo.co.il/case/20930831" TargetMode="External"/><Relationship Id="rId34" Type="http://schemas.openxmlformats.org/officeDocument/2006/relationships/hyperlink" Target="http://www.nevo.co.il/case/26222649"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7.c" TargetMode="External"/><Relationship Id="rId29" Type="http://schemas.openxmlformats.org/officeDocument/2006/relationships/hyperlink" Target="http://www.nevo.co.il/law/7030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6248620" TargetMode="External"/><Relationship Id="rId32" Type="http://schemas.openxmlformats.org/officeDocument/2006/relationships/hyperlink" Target="http://www.nevo.co.il/case/26235220" TargetMode="External"/><Relationship Id="rId37" Type="http://schemas.openxmlformats.org/officeDocument/2006/relationships/hyperlink" Target="http://www.nevo.co.il/law/4216" TargetMode="External"/><Relationship Id="rId40" Type="http://schemas.openxmlformats.org/officeDocument/2006/relationships/hyperlink" Target="http://www.eca.gov.il"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0114120" TargetMode="External"/><Relationship Id="rId28" Type="http://schemas.openxmlformats.org/officeDocument/2006/relationships/hyperlink" Target="http://www.nevo.co.il/case/6223956" TargetMode="External"/><Relationship Id="rId36" Type="http://schemas.openxmlformats.org/officeDocument/2006/relationships/hyperlink" Target="http://www.nevo.co.il/case/27414229" TargetMode="External"/><Relationship Id="rId10" Type="http://schemas.openxmlformats.org/officeDocument/2006/relationships/hyperlink" Target="http://www.nevo.co.il/law/4216/13" TargetMode="External"/><Relationship Id="rId19" Type="http://schemas.openxmlformats.org/officeDocument/2006/relationships/hyperlink" Target="http://www.nevo.co.il/case/27964384" TargetMode="External"/><Relationship Id="rId31" Type="http://schemas.openxmlformats.org/officeDocument/2006/relationships/hyperlink" Target="https://www.nevo.co.il/psika_html/mechozi/ME-22-09-10519-862.htm"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9a" TargetMode="External"/><Relationship Id="rId22" Type="http://schemas.openxmlformats.org/officeDocument/2006/relationships/hyperlink" Target="http://www.nevo.co.il/case/20798645" TargetMode="External"/><Relationship Id="rId27" Type="http://schemas.openxmlformats.org/officeDocument/2006/relationships/hyperlink" Target="http://www.nevo.co.il/case/25351853" TargetMode="External"/><Relationship Id="rId30" Type="http://schemas.openxmlformats.org/officeDocument/2006/relationships/hyperlink" Target="http://www.nevo.co.il/case/6239737" TargetMode="External"/><Relationship Id="rId35" Type="http://schemas.openxmlformats.org/officeDocument/2006/relationships/hyperlink" Target="http://www.nevo.co.il/case/22790600" TargetMode="External"/><Relationship Id="rId43" Type="http://schemas.openxmlformats.org/officeDocument/2006/relationships/header" Target="header2.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2" TargetMode="External"/><Relationship Id="rId17" Type="http://schemas.openxmlformats.org/officeDocument/2006/relationships/hyperlink" Target="http://www.nevo.co.il/case/28190928" TargetMode="External"/><Relationship Id="rId25" Type="http://schemas.openxmlformats.org/officeDocument/2006/relationships/hyperlink" Target="http://www.nevo.co.il/case/25975844" TargetMode="External"/><Relationship Id="rId33" Type="http://schemas.openxmlformats.org/officeDocument/2006/relationships/hyperlink" Target="http://www.nevo.co.il/case/26428467" TargetMode="External"/><Relationship Id="rId38" Type="http://schemas.openxmlformats.org/officeDocument/2006/relationships/hyperlink" Target="http://www.nevo.co.il/law/4216" TargetMode="External"/><Relationship Id="rId46" Type="http://schemas.openxmlformats.org/officeDocument/2006/relationships/fontTable" Target="fontTable.xml"/><Relationship Id="rId20" Type="http://schemas.openxmlformats.org/officeDocument/2006/relationships/hyperlink" Target="http://www.nevo.co.il/case/27313460"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3193</Words>
  <Characters>15970</Characters>
  <Application>Microsoft Office Word</Application>
  <DocSecurity>0</DocSecurity>
  <Lines>133</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19125</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7864368</vt:i4>
      </vt:variant>
      <vt:variant>
        <vt:i4>99</vt:i4>
      </vt:variant>
      <vt:variant>
        <vt:i4>0</vt:i4>
      </vt:variant>
      <vt:variant>
        <vt:i4>5</vt:i4>
      </vt:variant>
      <vt:variant>
        <vt:lpwstr>http://www.eca.gov.il/</vt:lpwstr>
      </vt:variant>
      <vt:variant>
        <vt:lpwstr/>
      </vt:variant>
      <vt:variant>
        <vt:i4>8257637</vt:i4>
      </vt:variant>
      <vt:variant>
        <vt:i4>96</vt:i4>
      </vt:variant>
      <vt:variant>
        <vt:i4>0</vt:i4>
      </vt:variant>
      <vt:variant>
        <vt:i4>5</vt:i4>
      </vt:variant>
      <vt:variant>
        <vt:lpwstr>http://www.nevo.co.il/law/4216</vt:lpwstr>
      </vt:variant>
      <vt:variant>
        <vt:lpwstr/>
      </vt:variant>
      <vt:variant>
        <vt:i4>8257637</vt:i4>
      </vt:variant>
      <vt:variant>
        <vt:i4>93</vt:i4>
      </vt:variant>
      <vt:variant>
        <vt:i4>0</vt:i4>
      </vt:variant>
      <vt:variant>
        <vt:i4>5</vt:i4>
      </vt:variant>
      <vt:variant>
        <vt:lpwstr>http://www.nevo.co.il/law/4216</vt:lpwstr>
      </vt:variant>
      <vt:variant>
        <vt:lpwstr/>
      </vt:variant>
      <vt:variant>
        <vt:i4>8257637</vt:i4>
      </vt:variant>
      <vt:variant>
        <vt:i4>90</vt:i4>
      </vt:variant>
      <vt:variant>
        <vt:i4>0</vt:i4>
      </vt:variant>
      <vt:variant>
        <vt:i4>5</vt:i4>
      </vt:variant>
      <vt:variant>
        <vt:lpwstr>http://www.nevo.co.il/law/4216</vt:lpwstr>
      </vt:variant>
      <vt:variant>
        <vt:lpwstr/>
      </vt:variant>
      <vt:variant>
        <vt:i4>3145840</vt:i4>
      </vt:variant>
      <vt:variant>
        <vt:i4>87</vt:i4>
      </vt:variant>
      <vt:variant>
        <vt:i4>0</vt:i4>
      </vt:variant>
      <vt:variant>
        <vt:i4>5</vt:i4>
      </vt:variant>
      <vt:variant>
        <vt:lpwstr>http://www.nevo.co.il/case/27414229</vt:lpwstr>
      </vt:variant>
      <vt:variant>
        <vt:lpwstr/>
      </vt:variant>
      <vt:variant>
        <vt:i4>3473529</vt:i4>
      </vt:variant>
      <vt:variant>
        <vt:i4>84</vt:i4>
      </vt:variant>
      <vt:variant>
        <vt:i4>0</vt:i4>
      </vt:variant>
      <vt:variant>
        <vt:i4>5</vt:i4>
      </vt:variant>
      <vt:variant>
        <vt:lpwstr>http://www.nevo.co.il/case/22790600</vt:lpwstr>
      </vt:variant>
      <vt:variant>
        <vt:lpwstr/>
      </vt:variant>
      <vt:variant>
        <vt:i4>3539062</vt:i4>
      </vt:variant>
      <vt:variant>
        <vt:i4>81</vt:i4>
      </vt:variant>
      <vt:variant>
        <vt:i4>0</vt:i4>
      </vt:variant>
      <vt:variant>
        <vt:i4>5</vt:i4>
      </vt:variant>
      <vt:variant>
        <vt:lpwstr>http://www.nevo.co.il/case/26222649</vt:lpwstr>
      </vt:variant>
      <vt:variant>
        <vt:lpwstr/>
      </vt:variant>
      <vt:variant>
        <vt:i4>3670132</vt:i4>
      </vt:variant>
      <vt:variant>
        <vt:i4>78</vt:i4>
      </vt:variant>
      <vt:variant>
        <vt:i4>0</vt:i4>
      </vt:variant>
      <vt:variant>
        <vt:i4>5</vt:i4>
      </vt:variant>
      <vt:variant>
        <vt:lpwstr>http://www.nevo.co.il/case/26428467</vt:lpwstr>
      </vt:variant>
      <vt:variant>
        <vt:lpwstr/>
      </vt:variant>
      <vt:variant>
        <vt:i4>3604595</vt:i4>
      </vt:variant>
      <vt:variant>
        <vt:i4>75</vt:i4>
      </vt:variant>
      <vt:variant>
        <vt:i4>0</vt:i4>
      </vt:variant>
      <vt:variant>
        <vt:i4>5</vt:i4>
      </vt:variant>
      <vt:variant>
        <vt:lpwstr>http://www.nevo.co.il/case/26235220</vt:lpwstr>
      </vt:variant>
      <vt:variant>
        <vt:lpwstr/>
      </vt:variant>
      <vt:variant>
        <vt:i4>1572903</vt:i4>
      </vt:variant>
      <vt:variant>
        <vt:i4>72</vt:i4>
      </vt:variant>
      <vt:variant>
        <vt:i4>0</vt:i4>
      </vt:variant>
      <vt:variant>
        <vt:i4>5</vt:i4>
      </vt:variant>
      <vt:variant>
        <vt:lpwstr>https://www.nevo.co.il/psika_html/mechozi/ME-22-09-10519-862.htm</vt:lpwstr>
      </vt:variant>
      <vt:variant>
        <vt:lpwstr/>
      </vt:variant>
      <vt:variant>
        <vt:i4>3473532</vt:i4>
      </vt:variant>
      <vt:variant>
        <vt:i4>69</vt:i4>
      </vt:variant>
      <vt:variant>
        <vt:i4>0</vt:i4>
      </vt:variant>
      <vt:variant>
        <vt:i4>5</vt:i4>
      </vt:variant>
      <vt:variant>
        <vt:lpwstr>http://www.nevo.co.il/case/6239737</vt:lpwstr>
      </vt:variant>
      <vt:variant>
        <vt:lpwstr/>
      </vt:variant>
      <vt:variant>
        <vt:i4>7995492</vt:i4>
      </vt:variant>
      <vt:variant>
        <vt:i4>66</vt:i4>
      </vt:variant>
      <vt:variant>
        <vt:i4>0</vt:i4>
      </vt:variant>
      <vt:variant>
        <vt:i4>5</vt:i4>
      </vt:variant>
      <vt:variant>
        <vt:lpwstr>http://www.nevo.co.il/law/70302</vt:lpwstr>
      </vt:variant>
      <vt:variant>
        <vt:lpwstr/>
      </vt:variant>
      <vt:variant>
        <vt:i4>3866736</vt:i4>
      </vt:variant>
      <vt:variant>
        <vt:i4>63</vt:i4>
      </vt:variant>
      <vt:variant>
        <vt:i4>0</vt:i4>
      </vt:variant>
      <vt:variant>
        <vt:i4>5</vt:i4>
      </vt:variant>
      <vt:variant>
        <vt:lpwstr>http://www.nevo.co.il/case/6223956</vt:lpwstr>
      </vt:variant>
      <vt:variant>
        <vt:lpwstr/>
      </vt:variant>
      <vt:variant>
        <vt:i4>3473532</vt:i4>
      </vt:variant>
      <vt:variant>
        <vt:i4>60</vt:i4>
      </vt:variant>
      <vt:variant>
        <vt:i4>0</vt:i4>
      </vt:variant>
      <vt:variant>
        <vt:i4>5</vt:i4>
      </vt:variant>
      <vt:variant>
        <vt:lpwstr>http://www.nevo.co.il/case/25351853</vt:lpwstr>
      </vt:variant>
      <vt:variant>
        <vt:lpwstr/>
      </vt:variant>
      <vt:variant>
        <vt:i4>3407986</vt:i4>
      </vt:variant>
      <vt:variant>
        <vt:i4>57</vt:i4>
      </vt:variant>
      <vt:variant>
        <vt:i4>0</vt:i4>
      </vt:variant>
      <vt:variant>
        <vt:i4>5</vt:i4>
      </vt:variant>
      <vt:variant>
        <vt:lpwstr>http://www.nevo.co.il/case/25271452</vt:lpwstr>
      </vt:variant>
      <vt:variant>
        <vt:lpwstr/>
      </vt:variant>
      <vt:variant>
        <vt:i4>3801214</vt:i4>
      </vt:variant>
      <vt:variant>
        <vt:i4>54</vt:i4>
      </vt:variant>
      <vt:variant>
        <vt:i4>0</vt:i4>
      </vt:variant>
      <vt:variant>
        <vt:i4>5</vt:i4>
      </vt:variant>
      <vt:variant>
        <vt:lpwstr>http://www.nevo.co.il/case/25975844</vt:lpwstr>
      </vt:variant>
      <vt:variant>
        <vt:lpwstr/>
      </vt:variant>
      <vt:variant>
        <vt:i4>3407996</vt:i4>
      </vt:variant>
      <vt:variant>
        <vt:i4>51</vt:i4>
      </vt:variant>
      <vt:variant>
        <vt:i4>0</vt:i4>
      </vt:variant>
      <vt:variant>
        <vt:i4>5</vt:i4>
      </vt:variant>
      <vt:variant>
        <vt:lpwstr>http://www.nevo.co.il/case/6248620</vt:lpwstr>
      </vt:variant>
      <vt:variant>
        <vt:lpwstr/>
      </vt:variant>
      <vt:variant>
        <vt:i4>3473524</vt:i4>
      </vt:variant>
      <vt:variant>
        <vt:i4>48</vt:i4>
      </vt:variant>
      <vt:variant>
        <vt:i4>0</vt:i4>
      </vt:variant>
      <vt:variant>
        <vt:i4>5</vt:i4>
      </vt:variant>
      <vt:variant>
        <vt:lpwstr>http://www.nevo.co.il/case/20114120</vt:lpwstr>
      </vt:variant>
      <vt:variant>
        <vt:lpwstr/>
      </vt:variant>
      <vt:variant>
        <vt:i4>3735675</vt:i4>
      </vt:variant>
      <vt:variant>
        <vt:i4>45</vt:i4>
      </vt:variant>
      <vt:variant>
        <vt:i4>0</vt:i4>
      </vt:variant>
      <vt:variant>
        <vt:i4>5</vt:i4>
      </vt:variant>
      <vt:variant>
        <vt:lpwstr>http://www.nevo.co.il/case/20798645</vt:lpwstr>
      </vt:variant>
      <vt:variant>
        <vt:lpwstr/>
      </vt:variant>
      <vt:variant>
        <vt:i4>3670143</vt:i4>
      </vt:variant>
      <vt:variant>
        <vt:i4>42</vt:i4>
      </vt:variant>
      <vt:variant>
        <vt:i4>0</vt:i4>
      </vt:variant>
      <vt:variant>
        <vt:i4>5</vt:i4>
      </vt:variant>
      <vt:variant>
        <vt:lpwstr>http://www.nevo.co.il/case/20930831</vt:lpwstr>
      </vt:variant>
      <vt:variant>
        <vt:lpwstr/>
      </vt:variant>
      <vt:variant>
        <vt:i4>3407990</vt:i4>
      </vt:variant>
      <vt:variant>
        <vt:i4>39</vt:i4>
      </vt:variant>
      <vt:variant>
        <vt:i4>0</vt:i4>
      </vt:variant>
      <vt:variant>
        <vt:i4>5</vt:i4>
      </vt:variant>
      <vt:variant>
        <vt:lpwstr>http://www.nevo.co.il/case/27313460</vt:lpwstr>
      </vt:variant>
      <vt:variant>
        <vt:lpwstr/>
      </vt:variant>
      <vt:variant>
        <vt:i4>3604598</vt:i4>
      </vt:variant>
      <vt:variant>
        <vt:i4>36</vt:i4>
      </vt:variant>
      <vt:variant>
        <vt:i4>0</vt:i4>
      </vt:variant>
      <vt:variant>
        <vt:i4>5</vt:i4>
      </vt:variant>
      <vt:variant>
        <vt:lpwstr>http://www.nevo.co.il/case/27964384</vt:lpwstr>
      </vt:variant>
      <vt:variant>
        <vt:lpwstr/>
      </vt:variant>
      <vt:variant>
        <vt:i4>3735679</vt:i4>
      </vt:variant>
      <vt:variant>
        <vt:i4>33</vt:i4>
      </vt:variant>
      <vt:variant>
        <vt:i4>0</vt:i4>
      </vt:variant>
      <vt:variant>
        <vt:i4>5</vt:i4>
      </vt:variant>
      <vt:variant>
        <vt:lpwstr>http://www.nevo.co.il/case/26991436</vt:lpwstr>
      </vt:variant>
      <vt:variant>
        <vt:lpwstr/>
      </vt:variant>
      <vt:variant>
        <vt:i4>3211388</vt:i4>
      </vt:variant>
      <vt:variant>
        <vt:i4>30</vt:i4>
      </vt:variant>
      <vt:variant>
        <vt:i4>0</vt:i4>
      </vt:variant>
      <vt:variant>
        <vt:i4>5</vt:i4>
      </vt:variant>
      <vt:variant>
        <vt:lpwstr>http://www.nevo.co.il/case/28190928</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8257637</vt:i4>
      </vt:variant>
      <vt:variant>
        <vt:i4>24</vt:i4>
      </vt:variant>
      <vt:variant>
        <vt:i4>0</vt:i4>
      </vt:variant>
      <vt:variant>
        <vt:i4>5</vt:i4>
      </vt:variant>
      <vt:variant>
        <vt:lpwstr>http://www.nevo.co.il/law/4216</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7995492</vt:i4>
      </vt:variant>
      <vt:variant>
        <vt:i4>15</vt:i4>
      </vt:variant>
      <vt:variant>
        <vt:i4>0</vt:i4>
      </vt:variant>
      <vt:variant>
        <vt:i4>5</vt:i4>
      </vt:variant>
      <vt:variant>
        <vt:lpwstr>http://www.nevo.co.il/law/70302</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2025-04-23T01:33:00Z</dcterms:created>
  <dcterms:modified xsi:type="dcterms:W3CDTF">2025-04-23T01:33:00Z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21724</vt:lpwstr>
  </property>
  <property fmtid="{D5CDD505-2E9C-101B-9397-08002B2CF9AE}" pid="6" name="NEWPARTB">
    <vt:lpwstr>08</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בן ראובן</vt:lpwstr>
  </property>
  <property fmtid="{D5CDD505-2E9C-101B-9397-08002B2CF9AE}" pid="10" name="LAWYER">
    <vt:lpwstr>לילך גולן;משה זכות;מיכל כהן</vt:lpwstr>
  </property>
  <property fmtid="{D5CDD505-2E9C-101B-9397-08002B2CF9AE}" pid="11" name="JUDGE">
    <vt:lpwstr>נעה תבור</vt:lpwstr>
  </property>
  <property fmtid="{D5CDD505-2E9C-101B-9397-08002B2CF9AE}" pid="12" name="CITY">
    <vt:lpwstr>ת"א</vt:lpwstr>
  </property>
  <property fmtid="{D5CDD505-2E9C-101B-9397-08002B2CF9AE}" pid="13" name="DATE">
    <vt:lpwstr>20240201</vt:lpwstr>
  </property>
  <property fmtid="{D5CDD505-2E9C-101B-9397-08002B2CF9AE}" pid="14" name="TYPE_N_DATE">
    <vt:lpwstr>38020240201</vt:lpwstr>
  </property>
  <property fmtid="{D5CDD505-2E9C-101B-9397-08002B2CF9AE}" pid="15" name="WORDNUMPAGES">
    <vt:lpwstr>8</vt:lpwstr>
  </property>
  <property fmtid="{D5CDD505-2E9C-101B-9397-08002B2CF9AE}" pid="16" name="TYPE_ABS_DATE">
    <vt:lpwstr>380020240201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28190928;26991436;27964384;27313460;20930831;20798645;20114120;6248620;25975844;25271452;25351853;6223956;6239737;26235220;26428467;26222649;22790600;27414229</vt:lpwstr>
  </property>
  <property fmtid="{D5CDD505-2E9C-101B-9397-08002B2CF9AE}" pid="36" name="LAWLISTTMP1">
    <vt:lpwstr>4216/013;019a;007.a;007.c</vt:lpwstr>
  </property>
  <property fmtid="{D5CDD505-2E9C-101B-9397-08002B2CF9AE}" pid="37" name="LAWLISTTMP2">
    <vt:lpwstr>70302</vt:lpwstr>
  </property>
</Properties>
</file>