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A333A" w:rsidRPr="004D4B38" w14:paraId="714AF83B" w14:textId="77777777" w:rsidTr="00B33B3A">
        <w:trPr>
          <w:trHeight w:hRule="exact" w:val="418"/>
          <w:jc w:val="center"/>
        </w:trPr>
        <w:tc>
          <w:tcPr>
            <w:tcW w:w="8721" w:type="dxa"/>
            <w:gridSpan w:val="2"/>
          </w:tcPr>
          <w:p w14:paraId="03871C07" w14:textId="77777777" w:rsidR="005A333A" w:rsidRPr="004D4B38" w:rsidRDefault="005A333A" w:rsidP="00114803">
            <w:pPr>
              <w:pStyle w:val="a3"/>
              <w:jc w:val="center"/>
              <w:rPr>
                <w:rFonts w:ascii="Tahoma" w:hAnsi="Tahoma" w:cs="Tahoma"/>
                <w:color w:val="000080"/>
                <w:rtl/>
              </w:rPr>
            </w:pPr>
            <w:r w:rsidRPr="004D4B38">
              <w:rPr>
                <w:rFonts w:ascii="Tahoma" w:hAnsi="Tahoma" w:cs="Tahoma"/>
                <w:b/>
                <w:bCs/>
                <w:color w:val="000080"/>
                <w:rtl/>
              </w:rPr>
              <w:t>בית משפט השלום בקריות</w:t>
            </w:r>
          </w:p>
        </w:tc>
      </w:tr>
      <w:tr w:rsidR="005A333A" w:rsidRPr="004D4B38" w14:paraId="65448CD1" w14:textId="77777777" w:rsidTr="00B33B3A">
        <w:trPr>
          <w:trHeight w:val="337"/>
          <w:jc w:val="center"/>
        </w:trPr>
        <w:tc>
          <w:tcPr>
            <w:tcW w:w="5054" w:type="dxa"/>
          </w:tcPr>
          <w:p w14:paraId="6421D868" w14:textId="77777777" w:rsidR="005A333A" w:rsidRPr="004D4B38" w:rsidRDefault="005A333A" w:rsidP="00114803">
            <w:pPr>
              <w:rPr>
                <w:rFonts w:cs="FrankRuehl"/>
                <w:sz w:val="28"/>
                <w:szCs w:val="28"/>
                <w:rtl/>
              </w:rPr>
            </w:pPr>
            <w:r w:rsidRPr="004D4B38">
              <w:rPr>
                <w:rFonts w:cs="FrankRuehl"/>
                <w:sz w:val="28"/>
                <w:szCs w:val="28"/>
                <w:rtl/>
              </w:rPr>
              <w:t>ת"פ</w:t>
            </w:r>
            <w:r w:rsidRPr="004D4B38">
              <w:rPr>
                <w:rFonts w:cs="FrankRuehl" w:hint="cs"/>
                <w:sz w:val="28"/>
                <w:szCs w:val="28"/>
                <w:rtl/>
              </w:rPr>
              <w:t xml:space="preserve"> </w:t>
            </w:r>
            <w:r w:rsidRPr="004D4B38">
              <w:rPr>
                <w:rFonts w:cs="FrankRuehl"/>
                <w:sz w:val="28"/>
                <w:szCs w:val="28"/>
                <w:rtl/>
              </w:rPr>
              <w:t>24748-08-22</w:t>
            </w:r>
            <w:r w:rsidRPr="004D4B38">
              <w:rPr>
                <w:rFonts w:cs="FrankRuehl" w:hint="cs"/>
                <w:sz w:val="28"/>
                <w:szCs w:val="28"/>
                <w:rtl/>
              </w:rPr>
              <w:t xml:space="preserve"> </w:t>
            </w:r>
            <w:r w:rsidRPr="004D4B38">
              <w:rPr>
                <w:rFonts w:cs="FrankRuehl"/>
                <w:sz w:val="28"/>
                <w:szCs w:val="28"/>
                <w:rtl/>
              </w:rPr>
              <w:t>מדינת ישראל נ' פומרנץ</w:t>
            </w:r>
          </w:p>
          <w:p w14:paraId="0177FA0F" w14:textId="77777777" w:rsidR="005A333A" w:rsidRPr="004D4B38" w:rsidRDefault="005A333A" w:rsidP="00114803">
            <w:pPr>
              <w:pStyle w:val="a3"/>
              <w:rPr>
                <w:rFonts w:cs="FrankRuehl"/>
                <w:sz w:val="28"/>
                <w:szCs w:val="28"/>
                <w:rtl/>
              </w:rPr>
            </w:pPr>
          </w:p>
        </w:tc>
        <w:tc>
          <w:tcPr>
            <w:tcW w:w="3667" w:type="dxa"/>
          </w:tcPr>
          <w:p w14:paraId="72C0B09E" w14:textId="77777777" w:rsidR="005A333A" w:rsidRPr="004D4B38" w:rsidRDefault="005A333A" w:rsidP="00114803">
            <w:pPr>
              <w:pStyle w:val="a3"/>
              <w:jc w:val="right"/>
              <w:rPr>
                <w:rFonts w:cs="FrankRuehl"/>
                <w:sz w:val="28"/>
                <w:szCs w:val="28"/>
                <w:rtl/>
              </w:rPr>
            </w:pPr>
          </w:p>
        </w:tc>
      </w:tr>
    </w:tbl>
    <w:p w14:paraId="11DB1734" w14:textId="77777777" w:rsidR="005A333A" w:rsidRPr="004D4B38" w:rsidRDefault="005A333A" w:rsidP="005A333A">
      <w:pPr>
        <w:pStyle w:val="a3"/>
        <w:rPr>
          <w:rtl/>
        </w:rPr>
      </w:pPr>
      <w:r w:rsidRPr="004D4B38">
        <w:rPr>
          <w:rFonts w:hint="cs"/>
          <w:rtl/>
        </w:rPr>
        <w:t xml:space="preserve"> </w:t>
      </w:r>
    </w:p>
    <w:p w14:paraId="1D15E13C" w14:textId="77777777" w:rsidR="005A333A" w:rsidRPr="004D4B38" w:rsidRDefault="005A333A" w:rsidP="005A333A">
      <w:pPr>
        <w:rPr>
          <w:rFonts w:ascii="David" w:hAnsi="David"/>
          <w:rtl/>
        </w:rPr>
      </w:pPr>
    </w:p>
    <w:p w14:paraId="6B6E8F3D" w14:textId="77777777" w:rsidR="005A333A" w:rsidRPr="004D4B38" w:rsidRDefault="005A333A" w:rsidP="005A333A">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A333A" w:rsidRPr="004D4B38" w14:paraId="0C5DABEE" w14:textId="77777777" w:rsidTr="005A333A">
        <w:trPr>
          <w:trHeight w:val="295"/>
          <w:jc w:val="center"/>
        </w:trPr>
        <w:tc>
          <w:tcPr>
            <w:tcW w:w="923" w:type="dxa"/>
            <w:tcBorders>
              <w:top w:val="nil"/>
              <w:left w:val="nil"/>
              <w:bottom w:val="nil"/>
              <w:right w:val="nil"/>
            </w:tcBorders>
            <w:shd w:val="clear" w:color="auto" w:fill="auto"/>
          </w:tcPr>
          <w:p w14:paraId="0B7A0C34" w14:textId="77777777" w:rsidR="005A333A" w:rsidRPr="004D4B38" w:rsidRDefault="005A333A" w:rsidP="005A333A">
            <w:pPr>
              <w:jc w:val="both"/>
              <w:rPr>
                <w:rFonts w:ascii="David" w:hAnsi="David"/>
                <w:b/>
                <w:bCs/>
              </w:rPr>
            </w:pPr>
            <w:r w:rsidRPr="004D4B38">
              <w:rPr>
                <w:rFonts w:ascii="David" w:hAnsi="David"/>
                <w:b/>
                <w:bCs/>
                <w:rtl/>
              </w:rPr>
              <w:t xml:space="preserve">בפני </w:t>
            </w:r>
          </w:p>
        </w:tc>
        <w:tc>
          <w:tcPr>
            <w:tcW w:w="7897" w:type="dxa"/>
            <w:gridSpan w:val="2"/>
            <w:tcBorders>
              <w:top w:val="nil"/>
              <w:left w:val="nil"/>
              <w:bottom w:val="nil"/>
              <w:right w:val="nil"/>
            </w:tcBorders>
            <w:shd w:val="clear" w:color="auto" w:fill="auto"/>
          </w:tcPr>
          <w:p w14:paraId="6432CFE0" w14:textId="77777777" w:rsidR="005A333A" w:rsidRPr="004D4B38" w:rsidRDefault="005A333A" w:rsidP="00114803">
            <w:pPr>
              <w:rPr>
                <w:rFonts w:ascii="David" w:hAnsi="David"/>
                <w:b/>
                <w:bCs/>
              </w:rPr>
            </w:pPr>
            <w:r w:rsidRPr="004D4B38">
              <w:rPr>
                <w:rFonts w:ascii="Arial" w:hAnsi="Arial"/>
                <w:b/>
                <w:bCs/>
                <w:rtl/>
              </w:rPr>
              <w:t>כב' השופט יוסי טורס , סגן הנשיאה</w:t>
            </w:r>
          </w:p>
        </w:tc>
      </w:tr>
      <w:tr w:rsidR="005A333A" w:rsidRPr="004D4B38" w14:paraId="1325061A" w14:textId="77777777" w:rsidTr="005A333A">
        <w:trPr>
          <w:trHeight w:val="355"/>
          <w:jc w:val="center"/>
        </w:trPr>
        <w:tc>
          <w:tcPr>
            <w:tcW w:w="923" w:type="dxa"/>
            <w:tcBorders>
              <w:top w:val="nil"/>
              <w:left w:val="nil"/>
              <w:bottom w:val="nil"/>
              <w:right w:val="nil"/>
            </w:tcBorders>
            <w:shd w:val="clear" w:color="auto" w:fill="auto"/>
          </w:tcPr>
          <w:p w14:paraId="00997DFD" w14:textId="77777777" w:rsidR="005A333A" w:rsidRPr="004D4B38" w:rsidRDefault="005A333A" w:rsidP="005A333A">
            <w:pPr>
              <w:jc w:val="both"/>
              <w:rPr>
                <w:rFonts w:ascii="David" w:hAnsi="David"/>
                <w:b/>
                <w:bCs/>
                <w:rtl/>
              </w:rPr>
            </w:pPr>
            <w:bookmarkStart w:id="0" w:name="FirstAppellant"/>
            <w:bookmarkStart w:id="1" w:name="LastJudge"/>
            <w:bookmarkEnd w:id="1"/>
          </w:p>
          <w:p w14:paraId="1B83130D" w14:textId="77777777" w:rsidR="005A333A" w:rsidRPr="004D4B38" w:rsidRDefault="005A333A" w:rsidP="005A333A">
            <w:pPr>
              <w:jc w:val="both"/>
              <w:rPr>
                <w:rFonts w:ascii="David" w:hAnsi="David"/>
                <w:b/>
                <w:bCs/>
              </w:rPr>
            </w:pPr>
            <w:r w:rsidRPr="004D4B38">
              <w:rPr>
                <w:rFonts w:ascii="David" w:hAnsi="David"/>
                <w:b/>
                <w:bCs/>
                <w:rtl/>
              </w:rPr>
              <w:t>בעניין:</w:t>
            </w:r>
          </w:p>
        </w:tc>
        <w:tc>
          <w:tcPr>
            <w:tcW w:w="4126" w:type="dxa"/>
            <w:tcBorders>
              <w:top w:val="nil"/>
              <w:left w:val="nil"/>
              <w:bottom w:val="nil"/>
              <w:right w:val="nil"/>
            </w:tcBorders>
            <w:shd w:val="clear" w:color="auto" w:fill="auto"/>
          </w:tcPr>
          <w:p w14:paraId="0E7E9FC9" w14:textId="77777777" w:rsidR="005A333A" w:rsidRPr="004D4B38" w:rsidRDefault="005A333A" w:rsidP="00114803">
            <w:pPr>
              <w:rPr>
                <w:rFonts w:ascii="David" w:hAnsi="David"/>
                <w:b/>
                <w:bCs/>
              </w:rPr>
            </w:pPr>
            <w:r w:rsidRPr="004D4B38">
              <w:rPr>
                <w:rFonts w:ascii="David" w:hAnsi="David"/>
                <w:b/>
                <w:bCs/>
                <w:rtl/>
              </w:rPr>
              <w:br/>
              <w:t>מדינת ישראל</w:t>
            </w:r>
          </w:p>
        </w:tc>
        <w:tc>
          <w:tcPr>
            <w:tcW w:w="3771" w:type="dxa"/>
            <w:tcBorders>
              <w:top w:val="nil"/>
              <w:left w:val="nil"/>
              <w:bottom w:val="nil"/>
              <w:right w:val="nil"/>
            </w:tcBorders>
            <w:shd w:val="clear" w:color="auto" w:fill="auto"/>
          </w:tcPr>
          <w:p w14:paraId="2AC49AA1" w14:textId="77777777" w:rsidR="005A333A" w:rsidRPr="004D4B38" w:rsidRDefault="005A333A" w:rsidP="005A333A">
            <w:pPr>
              <w:jc w:val="both"/>
              <w:rPr>
                <w:rFonts w:ascii="David" w:hAnsi="David"/>
                <w:b/>
                <w:bCs/>
                <w:rtl/>
              </w:rPr>
            </w:pPr>
          </w:p>
          <w:p w14:paraId="536CE1F3" w14:textId="77777777" w:rsidR="005A333A" w:rsidRPr="004D4B38" w:rsidRDefault="005A333A" w:rsidP="005A333A">
            <w:pPr>
              <w:jc w:val="both"/>
              <w:rPr>
                <w:rFonts w:ascii="David" w:hAnsi="David"/>
                <w:b/>
                <w:bCs/>
              </w:rPr>
            </w:pPr>
            <w:r w:rsidRPr="004D4B38">
              <w:rPr>
                <w:rFonts w:ascii="David" w:hAnsi="David" w:hint="cs"/>
                <w:b/>
                <w:bCs/>
                <w:rtl/>
              </w:rPr>
              <w:t xml:space="preserve">                                                 </w:t>
            </w:r>
            <w:r w:rsidRPr="004D4B38">
              <w:rPr>
                <w:rFonts w:ascii="David" w:hAnsi="David"/>
                <w:b/>
                <w:bCs/>
                <w:rtl/>
              </w:rPr>
              <w:t>המאשימה</w:t>
            </w:r>
          </w:p>
        </w:tc>
      </w:tr>
      <w:bookmarkEnd w:id="0"/>
      <w:tr w:rsidR="005A333A" w:rsidRPr="004D4B38" w14:paraId="1EDF1421" w14:textId="77777777" w:rsidTr="005A333A">
        <w:trPr>
          <w:trHeight w:val="355"/>
          <w:jc w:val="center"/>
        </w:trPr>
        <w:tc>
          <w:tcPr>
            <w:tcW w:w="923" w:type="dxa"/>
            <w:tcBorders>
              <w:top w:val="nil"/>
              <w:left w:val="nil"/>
              <w:bottom w:val="nil"/>
              <w:right w:val="nil"/>
            </w:tcBorders>
            <w:shd w:val="clear" w:color="auto" w:fill="auto"/>
          </w:tcPr>
          <w:p w14:paraId="0E67D4F0" w14:textId="77777777" w:rsidR="005A333A" w:rsidRPr="004D4B38" w:rsidRDefault="005A333A" w:rsidP="005A333A">
            <w:pPr>
              <w:jc w:val="both"/>
              <w:rPr>
                <w:rFonts w:ascii="David" w:hAnsi="David"/>
                <w:b/>
                <w:bCs/>
                <w:rtl/>
              </w:rPr>
            </w:pPr>
          </w:p>
        </w:tc>
        <w:tc>
          <w:tcPr>
            <w:tcW w:w="4126" w:type="dxa"/>
            <w:tcBorders>
              <w:top w:val="nil"/>
              <w:left w:val="nil"/>
              <w:bottom w:val="nil"/>
              <w:right w:val="nil"/>
            </w:tcBorders>
            <w:shd w:val="clear" w:color="auto" w:fill="auto"/>
          </w:tcPr>
          <w:p w14:paraId="4060A539" w14:textId="77777777" w:rsidR="005A333A" w:rsidRPr="004D4B38" w:rsidRDefault="005A333A" w:rsidP="005A333A">
            <w:pPr>
              <w:jc w:val="both"/>
              <w:rPr>
                <w:rFonts w:ascii="David" w:hAnsi="David"/>
                <w:b/>
                <w:bCs/>
                <w:rtl/>
              </w:rPr>
            </w:pPr>
          </w:p>
        </w:tc>
        <w:tc>
          <w:tcPr>
            <w:tcW w:w="3771" w:type="dxa"/>
            <w:tcBorders>
              <w:top w:val="nil"/>
              <w:left w:val="nil"/>
              <w:bottom w:val="nil"/>
              <w:right w:val="nil"/>
            </w:tcBorders>
            <w:shd w:val="clear" w:color="auto" w:fill="auto"/>
          </w:tcPr>
          <w:p w14:paraId="56AF51B9" w14:textId="77777777" w:rsidR="005A333A" w:rsidRPr="004D4B38" w:rsidRDefault="005A333A" w:rsidP="005A333A">
            <w:pPr>
              <w:jc w:val="right"/>
              <w:rPr>
                <w:rFonts w:ascii="David" w:hAnsi="David"/>
                <w:b/>
                <w:bCs/>
                <w:rtl/>
              </w:rPr>
            </w:pPr>
          </w:p>
        </w:tc>
      </w:tr>
      <w:tr w:rsidR="005A333A" w:rsidRPr="004D4B38" w14:paraId="035724CE" w14:textId="77777777" w:rsidTr="005A333A">
        <w:trPr>
          <w:trHeight w:val="355"/>
          <w:jc w:val="center"/>
        </w:trPr>
        <w:tc>
          <w:tcPr>
            <w:tcW w:w="923" w:type="dxa"/>
            <w:tcBorders>
              <w:top w:val="nil"/>
              <w:left w:val="nil"/>
              <w:bottom w:val="nil"/>
              <w:right w:val="nil"/>
            </w:tcBorders>
            <w:shd w:val="clear" w:color="auto" w:fill="auto"/>
          </w:tcPr>
          <w:p w14:paraId="6F13FB5F" w14:textId="77777777" w:rsidR="005A333A" w:rsidRPr="004D4B38" w:rsidRDefault="005A333A" w:rsidP="005A333A">
            <w:pPr>
              <w:jc w:val="both"/>
              <w:rPr>
                <w:rFonts w:ascii="David" w:hAnsi="David"/>
                <w:b/>
                <w:bCs/>
                <w:rtl/>
              </w:rPr>
            </w:pPr>
          </w:p>
        </w:tc>
        <w:tc>
          <w:tcPr>
            <w:tcW w:w="7897" w:type="dxa"/>
            <w:gridSpan w:val="2"/>
            <w:tcBorders>
              <w:top w:val="nil"/>
              <w:left w:val="nil"/>
              <w:bottom w:val="nil"/>
              <w:right w:val="nil"/>
            </w:tcBorders>
            <w:shd w:val="clear" w:color="auto" w:fill="auto"/>
          </w:tcPr>
          <w:p w14:paraId="6C9F4CFE" w14:textId="77777777" w:rsidR="005A333A" w:rsidRPr="004D4B38" w:rsidRDefault="005A333A" w:rsidP="005A333A">
            <w:pPr>
              <w:jc w:val="center"/>
              <w:rPr>
                <w:rFonts w:ascii="David" w:hAnsi="David"/>
                <w:b/>
                <w:bCs/>
                <w:rtl/>
              </w:rPr>
            </w:pPr>
          </w:p>
          <w:p w14:paraId="36599240" w14:textId="77777777" w:rsidR="005A333A" w:rsidRPr="004D4B38" w:rsidRDefault="005A333A" w:rsidP="005A333A">
            <w:pPr>
              <w:jc w:val="center"/>
              <w:rPr>
                <w:rFonts w:ascii="David" w:hAnsi="David"/>
                <w:b/>
                <w:bCs/>
                <w:rtl/>
              </w:rPr>
            </w:pPr>
            <w:r w:rsidRPr="004D4B38">
              <w:rPr>
                <w:rFonts w:ascii="David" w:hAnsi="David"/>
                <w:b/>
                <w:bCs/>
                <w:rtl/>
              </w:rPr>
              <w:t>נגד</w:t>
            </w:r>
          </w:p>
          <w:p w14:paraId="254C8355" w14:textId="77777777" w:rsidR="005A333A" w:rsidRPr="004D4B38" w:rsidRDefault="005A333A" w:rsidP="005A333A">
            <w:pPr>
              <w:jc w:val="both"/>
              <w:rPr>
                <w:rFonts w:ascii="David" w:hAnsi="David"/>
                <w:b/>
                <w:bCs/>
              </w:rPr>
            </w:pPr>
          </w:p>
        </w:tc>
      </w:tr>
      <w:tr w:rsidR="005A333A" w:rsidRPr="004D4B38" w14:paraId="2C218D02" w14:textId="77777777" w:rsidTr="005A333A">
        <w:trPr>
          <w:trHeight w:val="355"/>
          <w:jc w:val="center"/>
        </w:trPr>
        <w:tc>
          <w:tcPr>
            <w:tcW w:w="923" w:type="dxa"/>
            <w:tcBorders>
              <w:top w:val="nil"/>
              <w:left w:val="nil"/>
              <w:bottom w:val="nil"/>
              <w:right w:val="nil"/>
            </w:tcBorders>
            <w:shd w:val="clear" w:color="auto" w:fill="auto"/>
          </w:tcPr>
          <w:p w14:paraId="412BACE8" w14:textId="77777777" w:rsidR="005A333A" w:rsidRPr="004D4B38" w:rsidRDefault="005A333A" w:rsidP="00114803">
            <w:pPr>
              <w:rPr>
                <w:rFonts w:ascii="David" w:hAnsi="David"/>
                <w:b/>
                <w:bCs/>
                <w:rtl/>
              </w:rPr>
            </w:pPr>
          </w:p>
        </w:tc>
        <w:tc>
          <w:tcPr>
            <w:tcW w:w="4126" w:type="dxa"/>
            <w:tcBorders>
              <w:top w:val="nil"/>
              <w:left w:val="nil"/>
              <w:bottom w:val="nil"/>
              <w:right w:val="nil"/>
            </w:tcBorders>
            <w:shd w:val="clear" w:color="auto" w:fill="auto"/>
          </w:tcPr>
          <w:p w14:paraId="4395115B" w14:textId="77777777" w:rsidR="005A333A" w:rsidRPr="004D4B38" w:rsidRDefault="005A333A" w:rsidP="00114803">
            <w:pPr>
              <w:rPr>
                <w:rFonts w:ascii="David" w:hAnsi="David"/>
                <w:b/>
                <w:bCs/>
                <w:rtl/>
              </w:rPr>
            </w:pPr>
            <w:r w:rsidRPr="004D4B38">
              <w:rPr>
                <w:rFonts w:ascii="David" w:hAnsi="David"/>
                <w:b/>
                <w:bCs/>
                <w:rtl/>
              </w:rPr>
              <w:t>משה פומרנץ</w:t>
            </w:r>
          </w:p>
        </w:tc>
        <w:tc>
          <w:tcPr>
            <w:tcW w:w="3771" w:type="dxa"/>
            <w:tcBorders>
              <w:top w:val="nil"/>
              <w:left w:val="nil"/>
              <w:bottom w:val="nil"/>
              <w:right w:val="nil"/>
            </w:tcBorders>
            <w:shd w:val="clear" w:color="auto" w:fill="auto"/>
          </w:tcPr>
          <w:p w14:paraId="48C79811" w14:textId="77777777" w:rsidR="005A333A" w:rsidRPr="004D4B38" w:rsidRDefault="005A333A" w:rsidP="005A333A">
            <w:pPr>
              <w:jc w:val="right"/>
              <w:rPr>
                <w:rFonts w:ascii="David" w:hAnsi="David"/>
                <w:b/>
                <w:bCs/>
              </w:rPr>
            </w:pPr>
            <w:r w:rsidRPr="004D4B38">
              <w:rPr>
                <w:rFonts w:ascii="David" w:hAnsi="David"/>
                <w:b/>
                <w:bCs/>
                <w:rtl/>
              </w:rPr>
              <w:t>הנאשם</w:t>
            </w:r>
          </w:p>
        </w:tc>
      </w:tr>
    </w:tbl>
    <w:p w14:paraId="1E2B4E7C" w14:textId="77777777" w:rsidR="00B5304F" w:rsidRDefault="00B5304F" w:rsidP="00922074">
      <w:pPr>
        <w:rPr>
          <w:rtl/>
        </w:rPr>
      </w:pPr>
      <w:bookmarkStart w:id="2" w:name="Links_Kitvei_Start"/>
    </w:p>
    <w:p w14:paraId="7E6EACD5" w14:textId="77777777" w:rsidR="00B5304F" w:rsidRPr="00B5304F" w:rsidRDefault="00B5304F" w:rsidP="00B5304F">
      <w:pPr>
        <w:spacing w:after="120" w:line="240" w:lineRule="exact"/>
        <w:ind w:left="283" w:hanging="283"/>
        <w:jc w:val="both"/>
        <w:rPr>
          <w:rFonts w:ascii="FrankRuehl" w:hAnsi="FrankRuehl" w:cs="FrankRuehl"/>
          <w:rtl/>
        </w:rPr>
      </w:pPr>
    </w:p>
    <w:bookmarkEnd w:id="2"/>
    <w:p w14:paraId="76E953A6" w14:textId="77777777" w:rsidR="00B5304F" w:rsidRPr="00B5304F" w:rsidRDefault="00B5304F" w:rsidP="00B5304F">
      <w:pPr>
        <w:spacing w:after="120" w:line="240" w:lineRule="exact"/>
        <w:ind w:left="283" w:hanging="283"/>
        <w:jc w:val="both"/>
        <w:rPr>
          <w:rStyle w:val="Hyperlink"/>
          <w:rFonts w:ascii="FrankRuehl" w:hAnsi="FrankRuehl" w:cs="FrankRuehl"/>
          <w:u w:val="none"/>
        </w:rPr>
      </w:pPr>
      <w:r w:rsidRPr="00B5304F">
        <w:rPr>
          <w:rFonts w:ascii="FrankRuehl" w:hAnsi="FrankRuehl" w:cs="FrankRuehl"/>
          <w:rtl/>
        </w:rPr>
        <w:t>כתבי עת:</w:t>
      </w:r>
      <w:r w:rsidRPr="00B5304F">
        <w:rPr>
          <w:rFonts w:ascii="FrankRuehl" w:hAnsi="FrankRuehl" w:cs="FrankRuehl"/>
          <w:color w:val="0000FF"/>
          <w:rtl/>
        </w:rPr>
        <w:fldChar w:fldCharType="begin"/>
      </w:r>
      <w:r w:rsidRPr="00B5304F">
        <w:rPr>
          <w:rFonts w:ascii="FrankRuehl" w:hAnsi="FrankRuehl" w:cs="FrankRuehl"/>
          <w:color w:val="0000FF"/>
          <w:rtl/>
        </w:rPr>
        <w:instrText xml:space="preserve"> </w:instrText>
      </w:r>
      <w:r w:rsidRPr="00B5304F">
        <w:rPr>
          <w:rFonts w:ascii="FrankRuehl" w:hAnsi="FrankRuehl" w:cs="FrankRuehl"/>
          <w:color w:val="0000FF"/>
        </w:rPr>
        <w:instrText xml:space="preserve">HYPERLINK </w:instrText>
      </w:r>
      <w:r w:rsidRPr="00B5304F">
        <w:rPr>
          <w:rFonts w:ascii="FrankRuehl" w:hAnsi="FrankRuehl" w:cs="FrankRuehl"/>
          <w:color w:val="0000FF"/>
          <w:rtl/>
        </w:rPr>
        <w:instrText>"</w:instrText>
      </w:r>
      <w:r w:rsidRPr="00B5304F">
        <w:rPr>
          <w:rFonts w:ascii="FrankRuehl" w:hAnsi="FrankRuehl" w:cs="FrankRuehl"/>
          <w:color w:val="0000FF"/>
        </w:rPr>
        <w:instrText>http://www.nevo.co.il/safrut/book/30035"</w:instrText>
      </w:r>
      <w:r w:rsidRPr="00B5304F">
        <w:rPr>
          <w:rFonts w:ascii="FrankRuehl" w:hAnsi="FrankRuehl" w:cs="FrankRuehl"/>
          <w:color w:val="0000FF"/>
          <w:rtl/>
        </w:rPr>
        <w:instrText xml:space="preserve"> </w:instrText>
      </w:r>
      <w:r w:rsidRPr="00B5304F">
        <w:rPr>
          <w:rFonts w:ascii="FrankRuehl" w:hAnsi="FrankRuehl" w:cs="FrankRuehl"/>
          <w:color w:val="0000FF"/>
          <w:rtl/>
        </w:rPr>
      </w:r>
      <w:r w:rsidRPr="00B5304F">
        <w:rPr>
          <w:rFonts w:ascii="FrankRuehl" w:hAnsi="FrankRuehl" w:cs="FrankRuehl"/>
          <w:color w:val="0000FF"/>
          <w:rtl/>
        </w:rPr>
        <w:fldChar w:fldCharType="separate"/>
      </w:r>
    </w:p>
    <w:p w14:paraId="703AF346" w14:textId="77777777" w:rsidR="00B5304F" w:rsidRPr="00B5304F" w:rsidRDefault="00B5304F" w:rsidP="00B5304F">
      <w:pPr>
        <w:spacing w:after="120" w:line="240" w:lineRule="exact"/>
        <w:ind w:left="283" w:hanging="283"/>
        <w:jc w:val="both"/>
        <w:rPr>
          <w:rFonts w:ascii="FrankRuehl" w:hAnsi="FrankRuehl" w:cs="FrankRuehl"/>
        </w:rPr>
      </w:pPr>
      <w:r w:rsidRPr="00B5304F">
        <w:rPr>
          <w:rStyle w:val="Hyperlink"/>
          <w:rFonts w:ascii="FrankRuehl" w:hAnsi="FrankRuehl" w:cs="FrankRuehl"/>
          <w:u w:val="none"/>
          <w:rtl/>
        </w:rPr>
        <w:t>אורן גזל-אייל, "חריגה ממתחם העונש ההולם", ספר דורית ביניש,  (אונ' בר אילן, נבו, 2018) 539</w:t>
      </w:r>
      <w:r w:rsidRPr="00B5304F">
        <w:rPr>
          <w:rFonts w:ascii="FrankRuehl" w:hAnsi="FrankRuehl" w:cs="FrankRuehl"/>
          <w:color w:val="0000FF"/>
          <w:rtl/>
        </w:rPr>
        <w:fldChar w:fldCharType="end"/>
      </w:r>
    </w:p>
    <w:p w14:paraId="2093BAE5" w14:textId="77777777" w:rsidR="00B5304F" w:rsidRDefault="00B5304F" w:rsidP="00B5304F">
      <w:pPr>
        <w:rPr>
          <w:rtl/>
        </w:rPr>
      </w:pPr>
      <w:bookmarkStart w:id="3" w:name="Links_Kitvei_End"/>
      <w:bookmarkStart w:id="4" w:name="LawTable"/>
      <w:bookmarkEnd w:id="3"/>
      <w:bookmarkEnd w:id="4"/>
    </w:p>
    <w:p w14:paraId="5E759D69" w14:textId="77777777" w:rsidR="00B5304F" w:rsidRPr="00B5304F" w:rsidRDefault="00B5304F" w:rsidP="00B5304F">
      <w:pPr>
        <w:spacing w:before="120" w:after="120" w:line="240" w:lineRule="exact"/>
        <w:ind w:left="283" w:hanging="283"/>
        <w:jc w:val="both"/>
        <w:rPr>
          <w:rFonts w:ascii="FrankRuehl" w:hAnsi="FrankRuehl" w:cs="FrankRuehl"/>
          <w:rtl/>
        </w:rPr>
      </w:pPr>
    </w:p>
    <w:p w14:paraId="6124A427" w14:textId="77777777" w:rsidR="00B5304F" w:rsidRPr="00B5304F" w:rsidRDefault="00B5304F" w:rsidP="00B5304F">
      <w:pPr>
        <w:spacing w:before="120" w:after="120" w:line="240" w:lineRule="exact"/>
        <w:ind w:left="283" w:hanging="283"/>
        <w:jc w:val="both"/>
        <w:rPr>
          <w:rFonts w:ascii="FrankRuehl" w:hAnsi="FrankRuehl" w:cs="FrankRuehl"/>
          <w:rtl/>
        </w:rPr>
      </w:pPr>
    </w:p>
    <w:p w14:paraId="55BA524B" w14:textId="77777777" w:rsidR="00B5304F" w:rsidRPr="00B5304F" w:rsidRDefault="00B5304F" w:rsidP="00B5304F">
      <w:pPr>
        <w:spacing w:before="120" w:after="120" w:line="240" w:lineRule="exact"/>
        <w:ind w:left="283" w:hanging="283"/>
        <w:jc w:val="both"/>
        <w:rPr>
          <w:rFonts w:ascii="FrankRuehl" w:hAnsi="FrankRuehl" w:cs="FrankRuehl"/>
          <w:rtl/>
        </w:rPr>
      </w:pPr>
      <w:r w:rsidRPr="00B5304F">
        <w:rPr>
          <w:rFonts w:ascii="FrankRuehl" w:hAnsi="FrankRuehl" w:cs="FrankRuehl"/>
          <w:rtl/>
        </w:rPr>
        <w:t xml:space="preserve">חקיקה שאוזכרה: </w:t>
      </w:r>
    </w:p>
    <w:p w14:paraId="67F3F730" w14:textId="77777777" w:rsidR="00B5304F" w:rsidRPr="00B5304F" w:rsidRDefault="00B5304F" w:rsidP="00B5304F">
      <w:pPr>
        <w:spacing w:before="120" w:after="120" w:line="240" w:lineRule="exact"/>
        <w:ind w:left="283" w:hanging="283"/>
        <w:jc w:val="both"/>
        <w:rPr>
          <w:rFonts w:ascii="FrankRuehl" w:hAnsi="FrankRuehl" w:cs="FrankRuehl"/>
          <w:rtl/>
        </w:rPr>
      </w:pPr>
      <w:hyperlink r:id="rId7" w:history="1">
        <w:r w:rsidRPr="00B5304F">
          <w:rPr>
            <w:rFonts w:ascii="FrankRuehl" w:hAnsi="FrankRuehl" w:cs="FrankRuehl"/>
            <w:color w:val="0000FF"/>
            <w:rtl/>
          </w:rPr>
          <w:t>פקודת הסמים המסוכנים [נוסח חדש], תשל"ג-1973</w:t>
        </w:r>
      </w:hyperlink>
      <w:r w:rsidRPr="00B5304F">
        <w:rPr>
          <w:rFonts w:ascii="FrankRuehl" w:hAnsi="FrankRuehl" w:cs="FrankRuehl"/>
          <w:rtl/>
        </w:rPr>
        <w:t xml:space="preserve">: סע'  </w:t>
      </w:r>
      <w:hyperlink r:id="rId8" w:history="1">
        <w:r w:rsidRPr="00B5304F">
          <w:rPr>
            <w:rFonts w:ascii="FrankRuehl" w:hAnsi="FrankRuehl" w:cs="FrankRuehl"/>
            <w:color w:val="0000FF"/>
            <w:rtl/>
          </w:rPr>
          <w:t>7.א.</w:t>
        </w:r>
      </w:hyperlink>
      <w:r w:rsidRPr="00B5304F">
        <w:rPr>
          <w:rFonts w:ascii="FrankRuehl" w:hAnsi="FrankRuehl" w:cs="FrankRuehl"/>
          <w:rtl/>
        </w:rPr>
        <w:t xml:space="preserve">, </w:t>
      </w:r>
      <w:hyperlink r:id="rId9" w:history="1">
        <w:r w:rsidRPr="00B5304F">
          <w:rPr>
            <w:rFonts w:ascii="FrankRuehl" w:hAnsi="FrankRuehl" w:cs="FrankRuehl"/>
            <w:color w:val="0000FF"/>
            <w:rtl/>
          </w:rPr>
          <w:t>7.ג</w:t>
        </w:r>
      </w:hyperlink>
    </w:p>
    <w:p w14:paraId="155ED484" w14:textId="77777777" w:rsidR="00B5304F" w:rsidRPr="00B5304F" w:rsidRDefault="00B5304F" w:rsidP="00B5304F">
      <w:pPr>
        <w:spacing w:before="120" w:after="120" w:line="240" w:lineRule="exact"/>
        <w:ind w:left="283" w:hanging="283"/>
        <w:jc w:val="both"/>
        <w:rPr>
          <w:rFonts w:ascii="FrankRuehl" w:hAnsi="FrankRuehl" w:cs="FrankRuehl"/>
          <w:rtl/>
        </w:rPr>
      </w:pPr>
      <w:hyperlink r:id="rId10" w:history="1">
        <w:r w:rsidRPr="00B5304F">
          <w:rPr>
            <w:rFonts w:ascii="FrankRuehl" w:hAnsi="FrankRuehl" w:cs="FrankRuehl"/>
            <w:color w:val="0000FF"/>
            <w:rtl/>
          </w:rPr>
          <w:t>חוק העונשין, תשל"ז-1977</w:t>
        </w:r>
      </w:hyperlink>
      <w:r w:rsidRPr="00B5304F">
        <w:rPr>
          <w:rFonts w:ascii="FrankRuehl" w:hAnsi="FrankRuehl" w:cs="FrankRuehl"/>
          <w:rtl/>
        </w:rPr>
        <w:t xml:space="preserve">: סע'  </w:t>
      </w:r>
      <w:hyperlink r:id="rId11" w:history="1">
        <w:r w:rsidRPr="00B5304F">
          <w:rPr>
            <w:rFonts w:ascii="FrankRuehl" w:hAnsi="FrankRuehl" w:cs="FrankRuehl"/>
            <w:color w:val="0000FF"/>
            <w:rtl/>
          </w:rPr>
          <w:t>40ד'</w:t>
        </w:r>
      </w:hyperlink>
    </w:p>
    <w:p w14:paraId="720B8AE4" w14:textId="77777777" w:rsidR="00B5304F" w:rsidRPr="00B5304F" w:rsidRDefault="00B5304F" w:rsidP="00B5304F">
      <w:pPr>
        <w:rPr>
          <w:rtl/>
        </w:rPr>
      </w:pPr>
      <w:bookmarkStart w:id="5" w:name="LawTable_End"/>
      <w:bookmarkEnd w:id="5"/>
    </w:p>
    <w:p w14:paraId="3FDC3CD9" w14:textId="77777777" w:rsidR="004D4B38" w:rsidRPr="00B5304F" w:rsidRDefault="004D4B38" w:rsidP="0092207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333A" w:rsidRPr="0052251F" w14:paraId="3523BB00" w14:textId="77777777" w:rsidTr="005A333A">
        <w:trPr>
          <w:trHeight w:val="355"/>
          <w:jc w:val="center"/>
        </w:trPr>
        <w:tc>
          <w:tcPr>
            <w:tcW w:w="8820" w:type="dxa"/>
            <w:tcBorders>
              <w:top w:val="nil"/>
              <w:left w:val="nil"/>
              <w:bottom w:val="nil"/>
              <w:right w:val="nil"/>
            </w:tcBorders>
            <w:shd w:val="clear" w:color="auto" w:fill="auto"/>
          </w:tcPr>
          <w:p w14:paraId="7F171995" w14:textId="77777777" w:rsidR="004D4B38" w:rsidRPr="004D4B38" w:rsidRDefault="004D4B38" w:rsidP="004D4B38">
            <w:pPr>
              <w:jc w:val="center"/>
              <w:rPr>
                <w:rFonts w:ascii="David" w:hAnsi="David"/>
                <w:b/>
                <w:bCs/>
                <w:sz w:val="32"/>
                <w:szCs w:val="32"/>
                <w:rtl/>
              </w:rPr>
            </w:pPr>
            <w:bookmarkStart w:id="6" w:name="PsakDin" w:colFirst="0" w:colLast="0"/>
            <w:r w:rsidRPr="004D4B38">
              <w:rPr>
                <w:rFonts w:ascii="David" w:hAnsi="David"/>
                <w:b/>
                <w:bCs/>
                <w:sz w:val="32"/>
                <w:szCs w:val="32"/>
                <w:rtl/>
              </w:rPr>
              <w:t>גזר דין</w:t>
            </w:r>
          </w:p>
          <w:p w14:paraId="343D77A5" w14:textId="77777777" w:rsidR="005A333A" w:rsidRPr="004D4B38" w:rsidRDefault="005A333A" w:rsidP="004D4B38">
            <w:pPr>
              <w:jc w:val="center"/>
              <w:rPr>
                <w:rFonts w:ascii="David" w:hAnsi="David"/>
                <w:bCs/>
                <w:sz w:val="32"/>
                <w:szCs w:val="32"/>
                <w:rtl/>
              </w:rPr>
            </w:pPr>
          </w:p>
        </w:tc>
      </w:tr>
      <w:bookmarkEnd w:id="6"/>
    </w:tbl>
    <w:p w14:paraId="36C9C279" w14:textId="77777777" w:rsidR="005A333A" w:rsidRPr="0070729B" w:rsidRDefault="005A333A" w:rsidP="005A333A">
      <w:pPr>
        <w:rPr>
          <w:rFonts w:ascii="David" w:hAnsi="David"/>
          <w:rtl/>
        </w:rPr>
      </w:pPr>
    </w:p>
    <w:p w14:paraId="75365CC4" w14:textId="77777777" w:rsidR="005A333A" w:rsidRPr="0070729B" w:rsidRDefault="005A333A" w:rsidP="005A333A">
      <w:pPr>
        <w:rPr>
          <w:rFonts w:ascii="David" w:hAnsi="David"/>
          <w:b/>
          <w:bCs/>
          <w:u w:val="single"/>
          <w:rtl/>
        </w:rPr>
      </w:pPr>
      <w:r w:rsidRPr="0070729B">
        <w:rPr>
          <w:rFonts w:ascii="David" w:hAnsi="David"/>
          <w:b/>
          <w:bCs/>
          <w:u w:val="single"/>
          <w:rtl/>
        </w:rPr>
        <w:t>כתב האישום וההליכים</w:t>
      </w:r>
    </w:p>
    <w:p w14:paraId="4191CFFA" w14:textId="77777777" w:rsidR="005A333A" w:rsidRPr="0070729B" w:rsidRDefault="005A333A" w:rsidP="005A333A">
      <w:pPr>
        <w:spacing w:line="360" w:lineRule="auto"/>
        <w:jc w:val="both"/>
        <w:rPr>
          <w:rFonts w:ascii="David" w:hAnsi="David"/>
        </w:rPr>
      </w:pPr>
    </w:p>
    <w:p w14:paraId="11E47E91" w14:textId="77777777" w:rsidR="005A333A" w:rsidRPr="00E0725F" w:rsidRDefault="005A333A" w:rsidP="005A333A">
      <w:pPr>
        <w:pStyle w:val="a9"/>
        <w:numPr>
          <w:ilvl w:val="0"/>
          <w:numId w:val="1"/>
        </w:numPr>
        <w:spacing w:line="360" w:lineRule="auto"/>
        <w:jc w:val="both"/>
        <w:rPr>
          <w:rFonts w:ascii="David" w:hAnsi="David"/>
        </w:rPr>
      </w:pPr>
      <w:bookmarkStart w:id="7" w:name="ABSTRACT_START"/>
      <w:bookmarkEnd w:id="7"/>
      <w:r w:rsidRPr="0070729B">
        <w:rPr>
          <w:rFonts w:ascii="David" w:hAnsi="David"/>
          <w:rtl/>
        </w:rPr>
        <w:t>הנאשם הורשע על פי הודאתו בעביר</w:t>
      </w:r>
      <w:r w:rsidRPr="0070729B">
        <w:rPr>
          <w:rFonts w:ascii="David" w:hAnsi="David" w:hint="cs"/>
          <w:rtl/>
        </w:rPr>
        <w:t xml:space="preserve">ה של </w:t>
      </w:r>
      <w:r w:rsidRPr="0070729B">
        <w:rPr>
          <w:rFonts w:ascii="David" w:hAnsi="David"/>
          <w:rtl/>
        </w:rPr>
        <w:t xml:space="preserve">החזקת סם שלא לצריכה עצמית, </w:t>
      </w:r>
      <w:bookmarkStart w:id="8" w:name="ABSTRACT_END"/>
      <w:bookmarkEnd w:id="8"/>
      <w:r w:rsidRPr="0070729B">
        <w:rPr>
          <w:rFonts w:ascii="David" w:hAnsi="David"/>
          <w:rtl/>
        </w:rPr>
        <w:t xml:space="preserve">לפי </w:t>
      </w:r>
      <w:hyperlink r:id="rId12" w:history="1">
        <w:r w:rsidR="00B33B3A" w:rsidRPr="00B33B3A">
          <w:rPr>
            <w:rStyle w:val="Hyperlink"/>
            <w:rFonts w:ascii="David" w:hAnsi="David"/>
            <w:rtl/>
          </w:rPr>
          <w:t>סעיף 7(א)+7(ג)</w:t>
        </w:r>
      </w:hyperlink>
      <w:r w:rsidRPr="0070729B">
        <w:rPr>
          <w:rFonts w:ascii="David" w:hAnsi="David"/>
          <w:rtl/>
        </w:rPr>
        <w:t xml:space="preserve"> רישא ל</w:t>
      </w:r>
      <w:hyperlink r:id="rId13" w:history="1">
        <w:r w:rsidR="004D4B38" w:rsidRPr="004D4B38">
          <w:rPr>
            <w:rFonts w:ascii="David" w:hAnsi="David"/>
            <w:color w:val="0000FF"/>
            <w:u w:val="single"/>
            <w:rtl/>
          </w:rPr>
          <w:t>פקודת הסמים המסוכנים</w:t>
        </w:r>
      </w:hyperlink>
      <w:r w:rsidRPr="0070729B">
        <w:rPr>
          <w:rFonts w:ascii="David" w:hAnsi="David"/>
          <w:rtl/>
        </w:rPr>
        <w:t xml:space="preserve"> (נוסח חדש), תשל"ג- 1973 (להלן – </w:t>
      </w:r>
      <w:r w:rsidRPr="00E27C50">
        <w:rPr>
          <w:rFonts w:ascii="Miriam" w:hAnsi="Miriam" w:cs="Miriam"/>
          <w:rtl/>
        </w:rPr>
        <w:t>פקודת הסמים</w:t>
      </w:r>
      <w:r w:rsidRPr="0070729B">
        <w:rPr>
          <w:rFonts w:ascii="David" w:hAnsi="David"/>
          <w:rtl/>
        </w:rPr>
        <w:t>). על פי עובדות כתב האישום</w:t>
      </w:r>
      <w:r>
        <w:rPr>
          <w:rFonts w:ascii="David" w:hAnsi="David" w:hint="cs"/>
          <w:rtl/>
        </w:rPr>
        <w:t xml:space="preserve">, ביום 9.11.21 החזיק הנאשם בביתו כ- 1.3 ק"ג סם מסוג קנבוס. </w:t>
      </w:r>
      <w:r w:rsidRPr="00E0725F">
        <w:rPr>
          <w:rFonts w:ascii="David" w:hAnsi="David" w:hint="cs"/>
          <w:rtl/>
        </w:rPr>
        <w:t xml:space="preserve">להשלמת התמונה יצוין כי הודאת הנאשם באה במסגרת הסדר טיעון, אגב הליך מוקד, לפיו הופנה לשירות המבחן והמאשימה התחייבה שככל שהתסקיר יהיה חיובי </w:t>
      </w:r>
      <w:r w:rsidRPr="00E0725F">
        <w:rPr>
          <w:rFonts w:ascii="Miriam" w:hAnsi="Miriam" w:cs="Miriam"/>
          <w:rtl/>
        </w:rPr>
        <w:t>"הצדדים ישוחחו וישקלו טענתם"</w:t>
      </w:r>
      <w:r w:rsidRPr="00E0725F">
        <w:rPr>
          <w:rFonts w:ascii="David" w:hAnsi="David" w:hint="cs"/>
          <w:rtl/>
        </w:rPr>
        <w:t xml:space="preserve"> ואילו במקרה שהתסקיר </w:t>
      </w:r>
      <w:r>
        <w:rPr>
          <w:rFonts w:ascii="David" w:hAnsi="David" w:hint="cs"/>
          <w:rtl/>
        </w:rPr>
        <w:t xml:space="preserve">לא </w:t>
      </w:r>
      <w:r w:rsidRPr="00E0725F">
        <w:rPr>
          <w:rFonts w:ascii="David" w:hAnsi="David" w:hint="cs"/>
          <w:rtl/>
        </w:rPr>
        <w:t xml:space="preserve">יהיה </w:t>
      </w:r>
      <w:r w:rsidRPr="00E0725F">
        <w:rPr>
          <w:rFonts w:ascii="Miriam" w:hAnsi="Miriam" w:cs="Miriam"/>
          <w:rtl/>
        </w:rPr>
        <w:t>"חיובי"</w:t>
      </w:r>
      <w:r w:rsidRPr="00E0725F">
        <w:rPr>
          <w:rFonts w:ascii="David" w:hAnsi="David" w:hint="cs"/>
          <w:rtl/>
        </w:rPr>
        <w:t xml:space="preserve"> יעתרו במשותף לעונש מאסר בן 3 חודשים בעבודות שירות. </w:t>
      </w:r>
    </w:p>
    <w:p w14:paraId="05D844DD" w14:textId="77777777" w:rsidR="005A333A" w:rsidRPr="00EF1632" w:rsidRDefault="005A333A" w:rsidP="005A333A">
      <w:pPr>
        <w:pStyle w:val="a9"/>
        <w:rPr>
          <w:rFonts w:ascii="David" w:hAnsi="David"/>
          <w:rtl/>
        </w:rPr>
      </w:pPr>
    </w:p>
    <w:p w14:paraId="54D69100" w14:textId="77777777" w:rsidR="005A333A" w:rsidRPr="00EF1632" w:rsidRDefault="005A333A" w:rsidP="005A333A">
      <w:pPr>
        <w:pStyle w:val="a9"/>
        <w:spacing w:line="360" w:lineRule="auto"/>
        <w:ind w:left="0"/>
        <w:jc w:val="both"/>
        <w:rPr>
          <w:rFonts w:ascii="David" w:hAnsi="David"/>
          <w:b/>
          <w:bCs/>
          <w:u w:val="single"/>
        </w:rPr>
      </w:pPr>
      <w:r w:rsidRPr="00EF1632">
        <w:rPr>
          <w:rFonts w:ascii="David" w:hAnsi="David" w:hint="cs"/>
          <w:b/>
          <w:bCs/>
          <w:u w:val="single"/>
          <w:rtl/>
        </w:rPr>
        <w:t>תסקיר שירות המבחן</w:t>
      </w:r>
    </w:p>
    <w:p w14:paraId="4685881D" w14:textId="77777777" w:rsidR="005A333A" w:rsidRPr="00EF1632" w:rsidRDefault="005A333A" w:rsidP="005A333A">
      <w:pPr>
        <w:pStyle w:val="a9"/>
        <w:rPr>
          <w:rFonts w:ascii="David" w:hAnsi="David"/>
          <w:rtl/>
        </w:rPr>
      </w:pPr>
    </w:p>
    <w:p w14:paraId="0BC39595" w14:textId="77777777" w:rsidR="005A333A" w:rsidRDefault="005A333A" w:rsidP="005A333A">
      <w:pPr>
        <w:pStyle w:val="a9"/>
        <w:numPr>
          <w:ilvl w:val="0"/>
          <w:numId w:val="1"/>
        </w:numPr>
        <w:spacing w:line="360" w:lineRule="auto"/>
        <w:jc w:val="both"/>
        <w:rPr>
          <w:rFonts w:ascii="David" w:hAnsi="David"/>
        </w:rPr>
      </w:pPr>
      <w:r>
        <w:rPr>
          <w:rFonts w:ascii="David" w:hAnsi="David" w:hint="cs"/>
          <w:rtl/>
        </w:rPr>
        <w:t xml:space="preserve">שירות המבחן הגיש תסקיר מפורט על אודות הנאשם ומטעמים של צנעת הפרט לא ארחיב. עם זאת אציין כי הנאשם כבן 38, נשוי טרי ומצפה להולדת בנו הראשון. הנאשם תיאר שימוש בסם למטרות חברתיות וכדרך מילוט מקשיים, אך לטענתו בשל הליך זה הפסיק את השימוש ואכן שירות המבחן ערך לנאשם בדיקות שתן אשר העידו על ניקיון מסם. בבואו לגבש המלצה תיאר שירות המבחן את אורח החיים ההתמכרותי שניהל הנאשם כנקודת סיכון ואולם מנגד שקל את תפקודו החיובי לאורך השנים, את החרטה שהביע, את העובדה שההליך המשפטי היווה גורם מרתיע עבורו ואת בדיקות השתן הנקיות שמסר. לאור כך העריך שירות המבחן כי לנאשם גורמי סיכויי משמעותיים. בסיכום הדברים ציין שירות המבחן כי הרושם הוא שהנאשם מצליח להימנע משימוש בסם ומבטא הכרה באשר לפסול שבכך ומשכך הומלץ על הטלת מאסר מותנה. </w:t>
      </w:r>
    </w:p>
    <w:p w14:paraId="694E2ED2" w14:textId="77777777" w:rsidR="005A333A" w:rsidRDefault="005A333A" w:rsidP="005A333A">
      <w:pPr>
        <w:pStyle w:val="a9"/>
        <w:ind w:left="0"/>
        <w:jc w:val="both"/>
        <w:rPr>
          <w:rFonts w:ascii="David" w:hAnsi="David"/>
          <w:b/>
          <w:bCs/>
          <w:u w:val="single"/>
          <w:rtl/>
        </w:rPr>
      </w:pPr>
    </w:p>
    <w:p w14:paraId="7767293E" w14:textId="77777777" w:rsidR="005A333A" w:rsidRDefault="005A333A" w:rsidP="005A333A">
      <w:pPr>
        <w:pStyle w:val="a9"/>
        <w:spacing w:line="360" w:lineRule="auto"/>
        <w:ind w:left="0"/>
        <w:jc w:val="both"/>
        <w:rPr>
          <w:rFonts w:ascii="David" w:hAnsi="David"/>
          <w:b/>
          <w:bCs/>
          <w:u w:val="single"/>
          <w:rtl/>
        </w:rPr>
      </w:pPr>
      <w:r w:rsidRPr="00F352CA">
        <w:rPr>
          <w:rFonts w:ascii="David" w:hAnsi="David" w:hint="cs"/>
          <w:b/>
          <w:bCs/>
          <w:u w:val="single"/>
          <w:rtl/>
        </w:rPr>
        <w:t>טיעוני הצדדים לעונש</w:t>
      </w:r>
    </w:p>
    <w:p w14:paraId="4BA6327F" w14:textId="77777777" w:rsidR="005A333A" w:rsidRPr="00F352CA" w:rsidRDefault="005A333A" w:rsidP="005A333A">
      <w:pPr>
        <w:pStyle w:val="a9"/>
        <w:ind w:left="0"/>
        <w:jc w:val="both"/>
        <w:rPr>
          <w:rFonts w:ascii="David" w:hAnsi="David"/>
          <w:b/>
          <w:bCs/>
          <w:u w:val="single"/>
        </w:rPr>
      </w:pPr>
    </w:p>
    <w:p w14:paraId="41EC1F75" w14:textId="77777777" w:rsidR="005A333A" w:rsidRDefault="005A333A" w:rsidP="005A333A">
      <w:pPr>
        <w:pStyle w:val="a9"/>
        <w:numPr>
          <w:ilvl w:val="0"/>
          <w:numId w:val="1"/>
        </w:numPr>
        <w:spacing w:line="360" w:lineRule="auto"/>
        <w:jc w:val="both"/>
        <w:rPr>
          <w:rFonts w:ascii="David" w:hAnsi="David"/>
        </w:rPr>
      </w:pPr>
      <w:r>
        <w:rPr>
          <w:rFonts w:ascii="David" w:hAnsi="David" w:hint="cs"/>
          <w:rtl/>
        </w:rPr>
        <w:t xml:space="preserve">ב"כ המאשימה הפנה לערכים המוגנים שנפגעו בשל מעשי הנאשם ולכמות הסם. כן הפנה לפסיקה המתארת את מדיניות הענישה הנוהגת וביקש לקבוע מתחם ענישה הנע בין 3 חודשי מאסר ועד 12 חודשי מאסר. ביחס לעונש שיש להטיל על הנאשם צוין כי הנאשם נעדר עבר פלילי ומשכך ביקשה המאשימה להטיל עונש בתחתית המתחם </w:t>
      </w:r>
      <w:r>
        <w:rPr>
          <w:rFonts w:ascii="David" w:hAnsi="David"/>
          <w:rtl/>
        </w:rPr>
        <w:t>–</w:t>
      </w:r>
      <w:r>
        <w:rPr>
          <w:rFonts w:ascii="David" w:hAnsi="David" w:hint="cs"/>
          <w:rtl/>
        </w:rPr>
        <w:t xml:space="preserve"> היינו מאסר למשך 3 חודשים בעבודות שירות ובצירוף קנס והתחייבות. </w:t>
      </w:r>
    </w:p>
    <w:p w14:paraId="1A7FA5DF" w14:textId="77777777" w:rsidR="005A333A" w:rsidRDefault="005A333A" w:rsidP="005A333A">
      <w:pPr>
        <w:pStyle w:val="a9"/>
        <w:numPr>
          <w:ilvl w:val="0"/>
          <w:numId w:val="1"/>
        </w:numPr>
        <w:spacing w:line="360" w:lineRule="auto"/>
        <w:jc w:val="both"/>
        <w:rPr>
          <w:rFonts w:ascii="David" w:hAnsi="David"/>
        </w:rPr>
      </w:pPr>
      <w:r>
        <w:rPr>
          <w:rFonts w:ascii="David" w:hAnsi="David" w:hint="cs"/>
          <w:rtl/>
        </w:rPr>
        <w:t xml:space="preserve">ב"כ הנאשם הגישה טיעון בכתב והוסיפה טיעון על פה. צוין כי חלפו מאז האירוע כשנתיים בהם הנאשם הוכיח שאינו משתמש בסמים. כן צוין שלאחרונה הוא נישא, שינה את אורחות חייו ואף צפוי להפוך בקרוב לאב. כן הפנתה הסנגורית לתסקיר שירות המבחן וטענה כי מדובר בתסקיר חיובי וביקשה לאמץ את המלצותיו ולהסתפק במאסר מותנה. </w:t>
      </w:r>
    </w:p>
    <w:p w14:paraId="2E0B11BD" w14:textId="77777777" w:rsidR="005A333A" w:rsidRPr="00E0725F" w:rsidRDefault="005A333A" w:rsidP="005A333A">
      <w:pPr>
        <w:pStyle w:val="a9"/>
        <w:rPr>
          <w:rFonts w:ascii="David" w:hAnsi="David"/>
          <w:rtl/>
        </w:rPr>
      </w:pPr>
    </w:p>
    <w:p w14:paraId="79B43C33" w14:textId="77777777" w:rsidR="005A333A" w:rsidRDefault="005A333A" w:rsidP="005A333A">
      <w:pPr>
        <w:pStyle w:val="a9"/>
        <w:numPr>
          <w:ilvl w:val="0"/>
          <w:numId w:val="1"/>
        </w:numPr>
        <w:spacing w:line="360" w:lineRule="auto"/>
        <w:jc w:val="both"/>
        <w:rPr>
          <w:rFonts w:ascii="David" w:hAnsi="David"/>
        </w:rPr>
      </w:pPr>
      <w:r>
        <w:rPr>
          <w:rFonts w:ascii="David" w:hAnsi="David" w:hint="cs"/>
          <w:rtl/>
        </w:rPr>
        <w:t xml:space="preserve">הנאשם בדברו האחרון הביע צער על העבירה וטען כי המקרה </w:t>
      </w:r>
      <w:r w:rsidRPr="00E0725F">
        <w:rPr>
          <w:rFonts w:ascii="Miriam" w:hAnsi="Miriam" w:cs="Miriam"/>
          <w:rtl/>
        </w:rPr>
        <w:t xml:space="preserve">"נתן לי סטירה מצלצלת" </w:t>
      </w:r>
      <w:r>
        <w:rPr>
          <w:rFonts w:ascii="David" w:hAnsi="David" w:hint="cs"/>
          <w:rtl/>
        </w:rPr>
        <w:t>וכי מאז שינה את חייו ואף התחיל לאחרונה בעבודה חדשה.</w:t>
      </w:r>
    </w:p>
    <w:p w14:paraId="127667BE" w14:textId="77777777" w:rsidR="005A333A" w:rsidRPr="00233B0B" w:rsidRDefault="005A333A" w:rsidP="005A333A">
      <w:pPr>
        <w:pStyle w:val="a9"/>
        <w:rPr>
          <w:rFonts w:ascii="David" w:hAnsi="David"/>
          <w:rtl/>
        </w:rPr>
      </w:pPr>
    </w:p>
    <w:p w14:paraId="63769733" w14:textId="77777777" w:rsidR="005A333A" w:rsidRPr="0070729B" w:rsidRDefault="005A333A" w:rsidP="005A333A">
      <w:pPr>
        <w:pStyle w:val="a9"/>
        <w:spacing w:line="360" w:lineRule="auto"/>
        <w:ind w:left="0"/>
        <w:jc w:val="both"/>
        <w:rPr>
          <w:rFonts w:ascii="David" w:hAnsi="David"/>
          <w:b/>
          <w:bCs/>
          <w:u w:val="single"/>
        </w:rPr>
      </w:pPr>
      <w:r w:rsidRPr="0070729B">
        <w:rPr>
          <w:rFonts w:ascii="David" w:hAnsi="David"/>
          <w:b/>
          <w:bCs/>
          <w:u w:val="single"/>
          <w:rtl/>
        </w:rPr>
        <w:t>דיון והכרעה</w:t>
      </w:r>
    </w:p>
    <w:p w14:paraId="57935BB0" w14:textId="77777777" w:rsidR="005A333A" w:rsidRPr="0070729B" w:rsidRDefault="005A333A" w:rsidP="005A333A">
      <w:pPr>
        <w:pStyle w:val="a9"/>
        <w:spacing w:line="360" w:lineRule="auto"/>
        <w:ind w:left="0"/>
        <w:jc w:val="both"/>
        <w:rPr>
          <w:rFonts w:ascii="David" w:hAnsi="David"/>
          <w:b/>
          <w:bCs/>
          <w:u w:val="single"/>
          <w:rtl/>
        </w:rPr>
      </w:pPr>
      <w:r w:rsidRPr="0070729B">
        <w:rPr>
          <w:rFonts w:ascii="David" w:hAnsi="David"/>
          <w:b/>
          <w:bCs/>
          <w:u w:val="single"/>
          <w:rtl/>
        </w:rPr>
        <w:t>קביעת מתחם הענישה</w:t>
      </w:r>
    </w:p>
    <w:p w14:paraId="4B3158D0" w14:textId="77777777" w:rsidR="005A333A" w:rsidRPr="0070729B" w:rsidRDefault="005A333A" w:rsidP="005A333A">
      <w:pPr>
        <w:rPr>
          <w:rFonts w:ascii="David" w:hAnsi="David"/>
          <w:rtl/>
        </w:rPr>
      </w:pPr>
    </w:p>
    <w:p w14:paraId="3F28F04A" w14:textId="77777777" w:rsidR="005A333A" w:rsidRPr="0070729B" w:rsidRDefault="005A333A" w:rsidP="005A333A">
      <w:pPr>
        <w:pStyle w:val="a9"/>
        <w:numPr>
          <w:ilvl w:val="0"/>
          <w:numId w:val="1"/>
        </w:numPr>
        <w:spacing w:line="360" w:lineRule="auto"/>
        <w:jc w:val="both"/>
        <w:rPr>
          <w:rFonts w:ascii="David" w:hAnsi="David"/>
        </w:rPr>
      </w:pPr>
      <w:r w:rsidRPr="0070729B">
        <w:rPr>
          <w:rFonts w:ascii="David" w:hAnsi="David"/>
          <w:rtl/>
        </w:rPr>
        <w:t>במעשיו פגע הנאשם בערכים המוגנים של בטחון הציבור ושלומו. הסכנות הטמונות בהחזקת סם מסוכן שלא לשימוש עצמי בלבד ידועות ואין צורך להכביר מילים על הנזקים העקיפים והישירים שעלולים להיגרם לחברה ולפרט מעבירות הסמים. הדברים מתעצמים לנוכח כמות הסם הכוללת בה החזיק הנאשם</w:t>
      </w:r>
      <w:r>
        <w:rPr>
          <w:rFonts w:ascii="David" w:hAnsi="David" w:hint="cs"/>
          <w:rtl/>
        </w:rPr>
        <w:t xml:space="preserve"> </w:t>
      </w:r>
      <w:r w:rsidRPr="0070729B">
        <w:rPr>
          <w:rFonts w:ascii="David" w:hAnsi="David"/>
          <w:rtl/>
        </w:rPr>
        <w:t xml:space="preserve">והגם שמדובר בסם מסוג קנבוס אין להקל ראש בחומרת הדברים (ראו למשל: </w:t>
      </w:r>
      <w:hyperlink r:id="rId14" w:history="1">
        <w:r w:rsidR="004D4B38" w:rsidRPr="004D4B38">
          <w:rPr>
            <w:rFonts w:ascii="David" w:hAnsi="David"/>
            <w:color w:val="0000FF"/>
            <w:u w:val="single"/>
            <w:rtl/>
          </w:rPr>
          <w:t>ע"פ 6299/20</w:t>
        </w:r>
      </w:hyperlink>
      <w:r w:rsidRPr="0070729B">
        <w:rPr>
          <w:rFonts w:ascii="David" w:hAnsi="David"/>
          <w:rtl/>
        </w:rPr>
        <w:t xml:space="preserve"> </w:t>
      </w:r>
      <w:r w:rsidRPr="0070729B">
        <w:rPr>
          <w:rFonts w:ascii="David" w:hAnsi="David"/>
          <w:b/>
          <w:bCs/>
          <w:rtl/>
        </w:rPr>
        <w:t>שחר חן נ' מדינת ישראל</w:t>
      </w:r>
      <w:r w:rsidRPr="0070729B">
        <w:rPr>
          <w:rFonts w:ascii="David" w:hAnsi="David"/>
          <w:rtl/>
        </w:rPr>
        <w:t xml:space="preserve"> (4.2.2021); </w:t>
      </w:r>
      <w:hyperlink r:id="rId15" w:history="1">
        <w:r w:rsidR="004D4B38" w:rsidRPr="004D4B38">
          <w:rPr>
            <w:rFonts w:ascii="David" w:hAnsi="David"/>
            <w:color w:val="0000FF"/>
            <w:u w:val="single"/>
            <w:rtl/>
          </w:rPr>
          <w:t>ע"פ 2596/18</w:t>
        </w:r>
      </w:hyperlink>
      <w:r w:rsidRPr="0070729B">
        <w:rPr>
          <w:rFonts w:ascii="David" w:hAnsi="David"/>
          <w:rtl/>
        </w:rPr>
        <w:t xml:space="preserve"> </w:t>
      </w:r>
      <w:r w:rsidRPr="0070729B">
        <w:rPr>
          <w:rFonts w:ascii="David" w:hAnsi="David"/>
          <w:b/>
          <w:bCs/>
          <w:rtl/>
        </w:rPr>
        <w:t>כפיר זנזורי נ' מדינת ישראל</w:t>
      </w:r>
      <w:r w:rsidRPr="0070729B">
        <w:rPr>
          <w:rFonts w:ascii="David" w:hAnsi="David"/>
          <w:rtl/>
        </w:rPr>
        <w:t xml:space="preserve"> (12.8.2018)). </w:t>
      </w:r>
    </w:p>
    <w:p w14:paraId="209720B9" w14:textId="77777777" w:rsidR="005A333A" w:rsidRPr="0070729B" w:rsidRDefault="005A333A" w:rsidP="005A333A">
      <w:pPr>
        <w:pStyle w:val="a9"/>
        <w:rPr>
          <w:rFonts w:ascii="David" w:hAnsi="David"/>
        </w:rPr>
      </w:pPr>
    </w:p>
    <w:p w14:paraId="60CF2AE1" w14:textId="77777777" w:rsidR="005A333A" w:rsidRPr="0070729B" w:rsidRDefault="005A333A" w:rsidP="005A333A">
      <w:pPr>
        <w:pStyle w:val="a9"/>
        <w:numPr>
          <w:ilvl w:val="0"/>
          <w:numId w:val="1"/>
        </w:numPr>
        <w:spacing w:line="360" w:lineRule="auto"/>
        <w:jc w:val="both"/>
        <w:rPr>
          <w:rFonts w:ascii="David" w:hAnsi="David"/>
          <w:rtl/>
        </w:rPr>
      </w:pPr>
      <w:r w:rsidRPr="0070729B">
        <w:rPr>
          <w:rFonts w:ascii="David" w:hAnsi="David"/>
          <w:rtl/>
        </w:rPr>
        <w:t xml:space="preserve">ביחס לנסיבות הקשורות לביצוע העבירות אציין שמדובר בסם מסוג קנבוס וכי כמות הסם שהחזיק הנאשם משמעותית ולכן הנזק שעשוי היה להיגרם הוא ממשי. </w:t>
      </w:r>
    </w:p>
    <w:p w14:paraId="06ACD322" w14:textId="77777777" w:rsidR="005A333A" w:rsidRPr="0070729B" w:rsidRDefault="005A333A" w:rsidP="005A333A">
      <w:pPr>
        <w:pStyle w:val="a9"/>
        <w:rPr>
          <w:rFonts w:ascii="David" w:hAnsi="David"/>
        </w:rPr>
      </w:pPr>
    </w:p>
    <w:p w14:paraId="2F2C6737" w14:textId="77777777" w:rsidR="005A333A" w:rsidRPr="00233B0B" w:rsidRDefault="005A333A" w:rsidP="005A333A">
      <w:pPr>
        <w:pStyle w:val="a9"/>
        <w:numPr>
          <w:ilvl w:val="0"/>
          <w:numId w:val="1"/>
        </w:numPr>
        <w:spacing w:line="360" w:lineRule="auto"/>
        <w:jc w:val="both"/>
        <w:rPr>
          <w:rFonts w:ascii="David" w:hAnsi="David"/>
          <w:rtl/>
        </w:rPr>
      </w:pPr>
      <w:r w:rsidRPr="00233B0B">
        <w:rPr>
          <w:rFonts w:ascii="David" w:hAnsi="David"/>
          <w:b/>
          <w:bCs/>
          <w:rtl/>
        </w:rPr>
        <w:t>מדיניות הענישה:</w:t>
      </w:r>
      <w:r w:rsidRPr="00233B0B">
        <w:rPr>
          <w:rFonts w:ascii="David" w:hAnsi="David"/>
          <w:rtl/>
        </w:rPr>
        <w:t xml:space="preserve"> מדיניות הענישה בעבירות סמים הקשורות לשרשרת ההפצה מחמירה ולנסיבות האישיות ניתן, ככלל, משקל מופחת וזאת על מנת להגן על הציבור מפני השפעותיו הקשות של הסם (</w:t>
      </w:r>
      <w:hyperlink r:id="rId16" w:history="1">
        <w:r w:rsidR="004D4B38" w:rsidRPr="004D4B38">
          <w:rPr>
            <w:rFonts w:ascii="David" w:hAnsi="David"/>
            <w:color w:val="0000FF"/>
            <w:u w:val="single"/>
            <w:rtl/>
          </w:rPr>
          <w:t>רע"פ 4512/15</w:t>
        </w:r>
      </w:hyperlink>
      <w:r w:rsidRPr="00233B0B">
        <w:rPr>
          <w:rFonts w:ascii="David" w:hAnsi="David"/>
          <w:rtl/>
        </w:rPr>
        <w:t xml:space="preserve"> </w:t>
      </w:r>
      <w:r w:rsidRPr="00233B0B">
        <w:rPr>
          <w:rFonts w:ascii="David" w:hAnsi="David"/>
          <w:b/>
          <w:bCs/>
          <w:rtl/>
        </w:rPr>
        <w:t>הרוש נ' מדינת ישראל</w:t>
      </w:r>
      <w:r w:rsidRPr="00233B0B">
        <w:rPr>
          <w:rFonts w:ascii="David" w:hAnsi="David"/>
          <w:rtl/>
        </w:rPr>
        <w:t xml:space="preserve"> (6.7.2015); </w:t>
      </w:r>
      <w:hyperlink r:id="rId17" w:history="1">
        <w:r w:rsidR="004D4B38" w:rsidRPr="004D4B38">
          <w:rPr>
            <w:rFonts w:ascii="David" w:hAnsi="David"/>
            <w:color w:val="0000FF"/>
            <w:spacing w:val="10"/>
            <w:u w:val="single"/>
            <w:rtl/>
          </w:rPr>
          <w:t>ע"פ 211/09</w:t>
        </w:r>
      </w:hyperlink>
      <w:r w:rsidRPr="00233B0B">
        <w:rPr>
          <w:rFonts w:ascii="David" w:hAnsi="David"/>
          <w:spacing w:val="10"/>
          <w:rtl/>
        </w:rPr>
        <w:t xml:space="preserve"> </w:t>
      </w:r>
      <w:r w:rsidRPr="00233B0B">
        <w:rPr>
          <w:rFonts w:ascii="David" w:hAnsi="David"/>
          <w:b/>
          <w:bCs/>
          <w:rtl/>
        </w:rPr>
        <w:t>אזולאי נ' מדינת ישראל</w:t>
      </w:r>
      <w:r w:rsidRPr="00233B0B">
        <w:rPr>
          <w:rFonts w:ascii="David" w:hAnsi="David"/>
          <w:spacing w:val="10"/>
          <w:rtl/>
        </w:rPr>
        <w:t xml:space="preserve"> (22.6.2010))</w:t>
      </w:r>
      <w:r w:rsidRPr="00233B0B">
        <w:rPr>
          <w:rFonts w:ascii="David" w:hAnsi="David"/>
          <w:rtl/>
        </w:rPr>
        <w:t xml:space="preserve">. </w:t>
      </w:r>
      <w:r w:rsidRPr="00233B0B">
        <w:rPr>
          <w:rFonts w:ascii="David" w:hAnsi="David" w:hint="cs"/>
          <w:rtl/>
        </w:rPr>
        <w:t xml:space="preserve">לצורך הדגמת </w:t>
      </w:r>
      <w:r w:rsidRPr="00233B0B">
        <w:rPr>
          <w:rFonts w:ascii="David" w:hAnsi="David"/>
          <w:rtl/>
        </w:rPr>
        <w:t xml:space="preserve">מדיניות הענישה בעבירות </w:t>
      </w:r>
      <w:r w:rsidRPr="00233B0B">
        <w:rPr>
          <w:rFonts w:ascii="David" w:hAnsi="David" w:hint="cs"/>
          <w:rtl/>
        </w:rPr>
        <w:t xml:space="preserve">דומות </w:t>
      </w:r>
      <w:r w:rsidRPr="00233B0B">
        <w:rPr>
          <w:rFonts w:ascii="David" w:hAnsi="David"/>
          <w:rtl/>
        </w:rPr>
        <w:t>אפנה ל</w:t>
      </w:r>
      <w:hyperlink r:id="rId18" w:history="1">
        <w:r w:rsidR="004D4B38" w:rsidRPr="004D4B38">
          <w:rPr>
            <w:rFonts w:ascii="David" w:hAnsi="David"/>
            <w:color w:val="0000FF"/>
            <w:u w:val="single"/>
            <w:rtl/>
          </w:rPr>
          <w:t>רע"פ 636/21</w:t>
        </w:r>
      </w:hyperlink>
      <w:r w:rsidRPr="00233B0B">
        <w:rPr>
          <w:rFonts w:ascii="David" w:hAnsi="David"/>
          <w:rtl/>
        </w:rPr>
        <w:t xml:space="preserve"> ‏ </w:t>
      </w:r>
      <w:r w:rsidRPr="00233B0B">
        <w:rPr>
          <w:rFonts w:ascii="David" w:hAnsi="David"/>
          <w:b/>
          <w:bCs/>
          <w:rtl/>
        </w:rPr>
        <w:t>ברוך לוי נ' מדינת ישראל</w:t>
      </w:r>
      <w:r w:rsidRPr="00233B0B">
        <w:rPr>
          <w:rFonts w:ascii="David" w:hAnsi="David"/>
          <w:rtl/>
        </w:rPr>
        <w:t xml:space="preserve"> (16.2.2021), בו נידון נאשם שהורשע בהחזקת חשיש במשקל כולל של כ-760 גרם נטו. בית משפט השלום קבע מתחם הנע בין 6 חודשי מאסר לריצוי בדרך של עבודות שירות ועד 12 חודשי מאסר בפועל ועל אף תסקיר חיובי שהמליץ על של"צ נגזרו 4 חודשי מאסר בעבודות שירות; </w:t>
      </w:r>
      <w:hyperlink r:id="rId19" w:history="1">
        <w:r w:rsidR="004D4B38" w:rsidRPr="004D4B38">
          <w:rPr>
            <w:rFonts w:ascii="David" w:hAnsi="David"/>
            <w:color w:val="0000FF"/>
            <w:u w:val="single"/>
            <w:rtl/>
          </w:rPr>
          <w:t>רע"פ 8759/21</w:t>
        </w:r>
      </w:hyperlink>
      <w:r w:rsidRPr="00233B0B">
        <w:rPr>
          <w:rFonts w:ascii="David" w:hAnsi="David"/>
          <w:rtl/>
        </w:rPr>
        <w:t xml:space="preserve"> </w:t>
      </w:r>
      <w:r w:rsidRPr="00233B0B">
        <w:rPr>
          <w:rFonts w:ascii="David" w:hAnsi="David"/>
          <w:b/>
          <w:bCs/>
          <w:rtl/>
        </w:rPr>
        <w:t>אלעד קסלר נ' מדינת ישראל</w:t>
      </w:r>
      <w:r w:rsidRPr="00233B0B">
        <w:rPr>
          <w:rFonts w:ascii="David" w:hAnsi="David"/>
          <w:rtl/>
        </w:rPr>
        <w:t xml:space="preserve"> (23.12.2021), בו </w:t>
      </w:r>
      <w:r>
        <w:rPr>
          <w:rFonts w:ascii="David" w:hAnsi="David" w:hint="cs"/>
          <w:rtl/>
        </w:rPr>
        <w:t xml:space="preserve">הורשע </w:t>
      </w:r>
      <w:r w:rsidRPr="00233B0B">
        <w:rPr>
          <w:rFonts w:ascii="David" w:hAnsi="David"/>
          <w:rtl/>
        </w:rPr>
        <w:t xml:space="preserve">נאשם בהחזקת 229 גרם קנבוס והחזקת סכין והוטלו עליו 30 ימי מאסר בעבודות שירות, צו מבחן ועונשים נלווים; </w:t>
      </w:r>
      <w:hyperlink r:id="rId20" w:history="1">
        <w:r w:rsidR="004D4B38" w:rsidRPr="004D4B38">
          <w:rPr>
            <w:rFonts w:ascii="David" w:hAnsi="David"/>
            <w:color w:val="0000FF"/>
            <w:u w:val="single"/>
            <w:rtl/>
          </w:rPr>
          <w:t>עפ"ג 23393-01-20</w:t>
        </w:r>
      </w:hyperlink>
      <w:r w:rsidRPr="00233B0B">
        <w:rPr>
          <w:rFonts w:ascii="David" w:hAnsi="David"/>
          <w:rtl/>
        </w:rPr>
        <w:t xml:space="preserve"> </w:t>
      </w:r>
      <w:r w:rsidRPr="00233B0B">
        <w:rPr>
          <w:rFonts w:ascii="David" w:hAnsi="David"/>
          <w:b/>
          <w:bCs/>
          <w:rtl/>
        </w:rPr>
        <w:t>יוני אברהם נ' מדינת ישראל</w:t>
      </w:r>
      <w:r w:rsidRPr="00233B0B">
        <w:rPr>
          <w:rFonts w:ascii="David" w:hAnsi="David"/>
          <w:rtl/>
        </w:rPr>
        <w:t xml:space="preserve"> (20.5.2020), בו נידון עניינו של נאשם שהחזיק סם מסוג קנבוס במשקל של 1.44 קילוגרם נטו, משקל אלקטרוני ושקיות חלוקה ונקבע שהמתחם נע בין 6 חודשי מאסר בעבודות שירות ל- 20 חודשי מאסר בפועל. על הנאשם הוטלו 9 חודשי מאסר בפועל ועונשים נלווים. ערכאת הערעור קבעה </w:t>
      </w:r>
      <w:r>
        <w:rPr>
          <w:rFonts w:ascii="David" w:hAnsi="David" w:hint="cs"/>
          <w:rtl/>
        </w:rPr>
        <w:t>שאין מדובר בעונש החורג מהראוי</w:t>
      </w:r>
      <w:r w:rsidRPr="00233B0B">
        <w:rPr>
          <w:rFonts w:ascii="David" w:hAnsi="David"/>
          <w:rtl/>
        </w:rPr>
        <w:t xml:space="preserve">; </w:t>
      </w:r>
      <w:hyperlink r:id="rId21" w:history="1">
        <w:r w:rsidR="004D4B38" w:rsidRPr="004D4B38">
          <w:rPr>
            <w:rFonts w:ascii="David" w:hAnsi="David"/>
            <w:color w:val="0000FF"/>
            <w:u w:val="single"/>
            <w:rtl/>
          </w:rPr>
          <w:t>ת"פ 44550-10-20</w:t>
        </w:r>
      </w:hyperlink>
      <w:r w:rsidRPr="00233B0B">
        <w:rPr>
          <w:rFonts w:ascii="David" w:hAnsi="David"/>
          <w:rtl/>
        </w:rPr>
        <w:t xml:space="preserve"> </w:t>
      </w:r>
      <w:r w:rsidRPr="00233B0B">
        <w:rPr>
          <w:rFonts w:ascii="David" w:hAnsi="David"/>
          <w:b/>
          <w:bCs/>
          <w:rtl/>
        </w:rPr>
        <w:t>מדינת ישראל נ' הייסם אלגילאוי</w:t>
      </w:r>
      <w:r w:rsidRPr="00233B0B">
        <w:rPr>
          <w:rFonts w:ascii="David" w:hAnsi="David"/>
          <w:rtl/>
        </w:rPr>
        <w:t xml:space="preserve"> (5.12.2022), בו הורשע נאשם בהחזקת 1,493 גרם קנבוס ונידון לארבעה חודשי עבודות שירות ועונשים נלווים. נקבע מתחם הנע בין  מספר חודשי מאסר בעבודות שירות ועד 18 חודשי מאסר בפועל; </w:t>
      </w:r>
      <w:hyperlink r:id="rId22" w:history="1">
        <w:r w:rsidR="004D4B38" w:rsidRPr="004D4B38">
          <w:rPr>
            <w:rFonts w:ascii="David" w:hAnsi="David"/>
            <w:color w:val="0000FF"/>
            <w:u w:val="single"/>
            <w:rtl/>
          </w:rPr>
          <w:t>ת"פ 63029-12-20</w:t>
        </w:r>
      </w:hyperlink>
      <w:r w:rsidRPr="00233B0B">
        <w:rPr>
          <w:rFonts w:ascii="David" w:hAnsi="David"/>
          <w:rtl/>
        </w:rPr>
        <w:t xml:space="preserve"> </w:t>
      </w:r>
      <w:r w:rsidRPr="00233B0B">
        <w:rPr>
          <w:rFonts w:ascii="David" w:hAnsi="David"/>
          <w:b/>
          <w:bCs/>
          <w:rtl/>
        </w:rPr>
        <w:t>מדינת ישראל נ' דוד שליף</w:t>
      </w:r>
      <w:r w:rsidRPr="00233B0B">
        <w:rPr>
          <w:rFonts w:ascii="David" w:hAnsi="David"/>
          <w:rtl/>
        </w:rPr>
        <w:t xml:space="preserve"> (8.4.2021), בו נידון עניינו של נאשם שהחזיק ברכבו קנבוס במשקל של 1,033.6 גרם נטו וחשיש במשקל כולל של 1,125.5 גרם נטו. לנאשם היה עבר בעבירות סמים והוטלו עליו תשעה חודשי מאסר בפועל ועונשים נלווים. </w:t>
      </w:r>
    </w:p>
    <w:p w14:paraId="558074BB" w14:textId="77777777" w:rsidR="005A333A" w:rsidRPr="0070729B" w:rsidRDefault="005A333A" w:rsidP="005A333A">
      <w:pPr>
        <w:pStyle w:val="a9"/>
        <w:ind w:left="0"/>
        <w:jc w:val="both"/>
        <w:rPr>
          <w:rFonts w:ascii="David" w:hAnsi="David"/>
        </w:rPr>
      </w:pPr>
    </w:p>
    <w:p w14:paraId="3C0B1C46" w14:textId="77777777" w:rsidR="005A333A" w:rsidRDefault="005A333A" w:rsidP="005A333A">
      <w:pPr>
        <w:pStyle w:val="a9"/>
        <w:numPr>
          <w:ilvl w:val="0"/>
          <w:numId w:val="1"/>
        </w:numPr>
        <w:spacing w:line="360" w:lineRule="auto"/>
        <w:jc w:val="both"/>
        <w:rPr>
          <w:rFonts w:ascii="David" w:hAnsi="David"/>
        </w:rPr>
      </w:pPr>
      <w:r w:rsidRPr="0070729B">
        <w:rPr>
          <w:rFonts w:ascii="David" w:hAnsi="David"/>
          <w:rtl/>
        </w:rPr>
        <w:t xml:space="preserve">לאור כל זאת, אני בדעה כי מתחם הענישה ההולם </w:t>
      </w:r>
      <w:r>
        <w:rPr>
          <w:rFonts w:ascii="David" w:hAnsi="David" w:hint="cs"/>
          <w:rtl/>
        </w:rPr>
        <w:t xml:space="preserve">את העבירה מושא ענייננו, </w:t>
      </w:r>
      <w:r w:rsidRPr="0070729B">
        <w:rPr>
          <w:rFonts w:ascii="David" w:hAnsi="David"/>
          <w:rtl/>
        </w:rPr>
        <w:t>נע בין עונש מאסר קצר שניתן לשאת בעבודות שירות ועד 12 חודשי מאסר בפועל</w:t>
      </w:r>
      <w:r>
        <w:rPr>
          <w:rFonts w:ascii="David" w:hAnsi="David" w:hint="cs"/>
          <w:rtl/>
        </w:rPr>
        <w:t xml:space="preserve"> וזאת בצירוף ענישה נלוות</w:t>
      </w:r>
      <w:r w:rsidRPr="0070729B">
        <w:rPr>
          <w:rFonts w:ascii="David" w:hAnsi="David"/>
          <w:rtl/>
        </w:rPr>
        <w:t xml:space="preserve">. </w:t>
      </w:r>
    </w:p>
    <w:p w14:paraId="11488A51" w14:textId="77777777" w:rsidR="005A333A" w:rsidRPr="00232FD5" w:rsidRDefault="005A333A" w:rsidP="005A333A">
      <w:pPr>
        <w:pStyle w:val="a9"/>
        <w:rPr>
          <w:rFonts w:ascii="David" w:hAnsi="David"/>
          <w:rtl/>
        </w:rPr>
      </w:pPr>
    </w:p>
    <w:p w14:paraId="26EEF395" w14:textId="77777777" w:rsidR="005A333A" w:rsidRPr="00232FD5" w:rsidRDefault="005A333A" w:rsidP="005A333A">
      <w:pPr>
        <w:pStyle w:val="a9"/>
        <w:spacing w:line="360" w:lineRule="auto"/>
        <w:ind w:left="0"/>
        <w:jc w:val="both"/>
        <w:rPr>
          <w:rFonts w:ascii="David" w:hAnsi="David"/>
          <w:b/>
          <w:bCs/>
          <w:u w:val="single"/>
        </w:rPr>
      </w:pPr>
      <w:r w:rsidRPr="00232FD5">
        <w:rPr>
          <w:rFonts w:ascii="David" w:hAnsi="David" w:hint="cs"/>
          <w:b/>
          <w:bCs/>
          <w:u w:val="single"/>
          <w:rtl/>
        </w:rPr>
        <w:t xml:space="preserve">קביעת עונשו של הנאשם </w:t>
      </w:r>
    </w:p>
    <w:p w14:paraId="380370C6" w14:textId="77777777" w:rsidR="005A333A" w:rsidRPr="00232FD5" w:rsidRDefault="005A333A" w:rsidP="005A333A">
      <w:pPr>
        <w:pStyle w:val="a9"/>
        <w:rPr>
          <w:rFonts w:ascii="David" w:hAnsi="David"/>
          <w:rtl/>
        </w:rPr>
      </w:pPr>
    </w:p>
    <w:p w14:paraId="770A2701" w14:textId="77777777" w:rsidR="005A333A" w:rsidRDefault="005A333A" w:rsidP="005A333A">
      <w:pPr>
        <w:pStyle w:val="a9"/>
        <w:numPr>
          <w:ilvl w:val="0"/>
          <w:numId w:val="1"/>
        </w:numPr>
        <w:spacing w:line="360" w:lineRule="auto"/>
        <w:jc w:val="both"/>
        <w:rPr>
          <w:rFonts w:ascii="David" w:hAnsi="David"/>
        </w:rPr>
      </w:pPr>
      <w:r>
        <w:rPr>
          <w:rtl/>
        </w:rPr>
        <w:t xml:space="preserve">אקדים ואומר כי בנסיבות המקרה מקובל עלי שהוכחו </w:t>
      </w:r>
      <w:r>
        <w:rPr>
          <w:rFonts w:hint="cs"/>
          <w:rtl/>
        </w:rPr>
        <w:t xml:space="preserve">בעניינו של הנאשם </w:t>
      </w:r>
      <w:r>
        <w:rPr>
          <w:rtl/>
        </w:rPr>
        <w:t xml:space="preserve">סיכויי שיקום באופן המצדיק לחרוג לקולה ממתחם הענישה ואף להימנע מענישה הכוללת מאסר ולו בעבודות שירות. </w:t>
      </w:r>
      <w:r>
        <w:rPr>
          <w:rFonts w:ascii="David" w:hAnsi="David" w:hint="cs"/>
          <w:rtl/>
        </w:rPr>
        <w:t xml:space="preserve">אנמק מסקנתי להלן. </w:t>
      </w:r>
    </w:p>
    <w:p w14:paraId="5B8751B7" w14:textId="77777777" w:rsidR="005A333A" w:rsidRDefault="005A333A" w:rsidP="005A333A">
      <w:pPr>
        <w:pStyle w:val="a9"/>
        <w:spacing w:line="360" w:lineRule="auto"/>
        <w:ind w:left="0"/>
        <w:jc w:val="both"/>
        <w:rPr>
          <w:rFonts w:ascii="David" w:hAnsi="David"/>
        </w:rPr>
      </w:pPr>
    </w:p>
    <w:p w14:paraId="7156B929" w14:textId="77777777" w:rsidR="005A333A" w:rsidRDefault="005A333A" w:rsidP="005A333A">
      <w:pPr>
        <w:pStyle w:val="a9"/>
        <w:numPr>
          <w:ilvl w:val="0"/>
          <w:numId w:val="1"/>
        </w:numPr>
        <w:spacing w:line="360" w:lineRule="auto"/>
        <w:jc w:val="both"/>
        <w:rPr>
          <w:rFonts w:ascii="David" w:hAnsi="David"/>
        </w:rPr>
      </w:pPr>
      <w:r>
        <w:rPr>
          <w:rtl/>
        </w:rPr>
        <w:t>כידוע, בהתאם</w:t>
      </w:r>
      <w:r>
        <w:rPr>
          <w:rFonts w:hint="cs"/>
          <w:rtl/>
        </w:rPr>
        <w:t xml:space="preserve"> </w:t>
      </w:r>
      <w:hyperlink r:id="rId23" w:history="1">
        <w:r w:rsidR="00B33B3A" w:rsidRPr="00B33B3A">
          <w:rPr>
            <w:rStyle w:val="Hyperlink"/>
            <w:rFonts w:hint="eastAsia"/>
            <w:rtl/>
          </w:rPr>
          <w:t>לסעיף</w:t>
        </w:r>
        <w:r w:rsidR="00B33B3A" w:rsidRPr="00B33B3A">
          <w:rPr>
            <w:rStyle w:val="Hyperlink"/>
            <w:rtl/>
          </w:rPr>
          <w:t xml:space="preserve"> 40ד'</w:t>
        </w:r>
      </w:hyperlink>
      <w:r>
        <w:rPr>
          <w:rFonts w:hint="cs"/>
          <w:rtl/>
        </w:rPr>
        <w:t xml:space="preserve"> ל</w:t>
      </w:r>
      <w:hyperlink r:id="rId24" w:history="1">
        <w:r w:rsidR="004D4B38" w:rsidRPr="004D4B38">
          <w:rPr>
            <w:color w:val="0000FF"/>
            <w:u w:val="single"/>
            <w:rtl/>
          </w:rPr>
          <w:t>חוק העונשין</w:t>
        </w:r>
      </w:hyperlink>
      <w:r>
        <w:rPr>
          <w:rtl/>
        </w:rPr>
        <w:t xml:space="preserve"> רשאי בית המשפט לחרוג לקולה ממתחם הענישה שקבע, אם מצא כי </w:t>
      </w:r>
      <w:r w:rsidRPr="002C7CEF">
        <w:rPr>
          <w:rFonts w:ascii="Miriam" w:hAnsi="Miriam" w:cs="Miriam"/>
          <w:rtl/>
        </w:rPr>
        <w:t>"הנאשם השתקם או כי יש סיכוי של ממש שישתקם".</w:t>
      </w:r>
      <w:r>
        <w:rPr>
          <w:rtl/>
        </w:rPr>
        <w:t xml:space="preserve"> בעניין זה נקבע כי </w:t>
      </w:r>
      <w:r w:rsidRPr="002C7CEF">
        <w:rPr>
          <w:rFonts w:ascii="Miriam" w:hAnsi="Miriam" w:cs="Miriam"/>
          <w:rtl/>
        </w:rPr>
        <w:t xml:space="preserve">"על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 </w:t>
      </w:r>
      <w:r>
        <w:rPr>
          <w:rtl/>
        </w:rPr>
        <w:t>(</w:t>
      </w:r>
      <w:hyperlink r:id="rId25" w:history="1">
        <w:r w:rsidR="004D4B38" w:rsidRPr="004D4B38">
          <w:rPr>
            <w:color w:val="0000FF"/>
            <w:u w:val="single"/>
            <w:rtl/>
          </w:rPr>
          <w:t>רע"פ 7683/13</w:t>
        </w:r>
      </w:hyperlink>
      <w:r w:rsidRPr="002C7CEF">
        <w:rPr>
          <w:rFonts w:ascii="David" w:hAnsi="David"/>
          <w:rtl/>
        </w:rPr>
        <w:t xml:space="preserve"> </w:t>
      </w:r>
      <w:r w:rsidRPr="002C7CEF">
        <w:rPr>
          <w:rFonts w:ascii="David" w:hAnsi="David" w:hint="cs"/>
          <w:b/>
          <w:bCs/>
          <w:rtl/>
        </w:rPr>
        <w:t>דוד פרלמן נ' מדינת ישראל</w:t>
      </w:r>
      <w:r w:rsidRPr="002C7CEF">
        <w:rPr>
          <w:rFonts w:ascii="David" w:hAnsi="David" w:hint="cs"/>
          <w:rtl/>
        </w:rPr>
        <w:t xml:space="preserve"> (23.2.2014)). בעניין זה נקבע עוד כי                                     </w:t>
      </w:r>
      <w:r w:rsidRPr="002C7CEF">
        <w:rPr>
          <w:rFonts w:ascii="David" w:hAnsi="David" w:cs="Miriam"/>
          <w:rtl/>
        </w:rPr>
        <w:t>"שילוב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 דברים אלה זוכים למשנה חיזוק מקום בו מדובר באדם צעיר נעדר עבר פלילי</w:t>
      </w:r>
      <w:r w:rsidRPr="002C7CEF">
        <w:rPr>
          <w:rFonts w:ascii="David" w:hAnsi="David"/>
          <w:rtl/>
        </w:rPr>
        <w:t>" (</w:t>
      </w:r>
      <w:hyperlink r:id="rId26" w:history="1">
        <w:r w:rsidR="004D4B38" w:rsidRPr="004D4B38">
          <w:rPr>
            <w:rFonts w:ascii="David" w:hAnsi="David"/>
            <w:color w:val="0000FF"/>
            <w:u w:val="single"/>
            <w:rtl/>
          </w:rPr>
          <w:t>ע"פ 6637/17</w:t>
        </w:r>
      </w:hyperlink>
      <w:r w:rsidRPr="002C7CEF">
        <w:rPr>
          <w:rFonts w:ascii="David" w:hAnsi="David"/>
          <w:rtl/>
        </w:rPr>
        <w:t xml:space="preserve"> </w:t>
      </w:r>
      <w:r w:rsidRPr="002C7CEF">
        <w:rPr>
          <w:rFonts w:ascii="David" w:hAnsi="David"/>
          <w:b/>
          <w:bCs/>
          <w:rtl/>
        </w:rPr>
        <w:t>אליזבט קרינדל נ' מדינת ישראל</w:t>
      </w:r>
      <w:r w:rsidRPr="002C7CEF">
        <w:rPr>
          <w:rFonts w:ascii="David" w:hAnsi="David"/>
          <w:rtl/>
        </w:rPr>
        <w:t xml:space="preserve"> (18.4.2018); להלן – עניין </w:t>
      </w:r>
      <w:r w:rsidRPr="002C7CEF">
        <w:rPr>
          <w:rFonts w:ascii="David" w:hAnsi="David"/>
          <w:b/>
          <w:bCs/>
          <w:rtl/>
        </w:rPr>
        <w:t>קרינדל</w:t>
      </w:r>
      <w:r w:rsidRPr="002C7CEF">
        <w:rPr>
          <w:rFonts w:ascii="David" w:hAnsi="David"/>
          <w:rtl/>
        </w:rPr>
        <w:t>). עם זאת, ברי ש</w:t>
      </w:r>
      <w:r>
        <w:rPr>
          <w:rtl/>
        </w:rPr>
        <w:t>בצד שיקולי השיקום אין לזנוח כליל את שיקול ההלימה, שכן "</w:t>
      </w:r>
      <w:r w:rsidRPr="002C7CEF">
        <w:rPr>
          <w:rFonts w:ascii="Century" w:hAnsi="Century" w:cs="Miriam"/>
          <w:spacing w:val="10"/>
          <w:rtl/>
        </w:rPr>
        <w:t>לא מתפוגגים מאליהם שיקולי ההלימה גם כאשר חלים שיקולי השיקום. אולם, יש להקפיד על כך שהבחירה בעונש לא תפגע באופן ממשי בסיכויי השיקום</w:t>
      </w:r>
      <w:r>
        <w:rPr>
          <w:rtl/>
        </w:rPr>
        <w:t xml:space="preserve">" (עניין </w:t>
      </w:r>
      <w:r w:rsidRPr="002C7CEF">
        <w:rPr>
          <w:rFonts w:ascii="Century" w:hAnsi="Century"/>
          <w:b/>
          <w:bCs/>
          <w:spacing w:val="10"/>
          <w:rtl/>
        </w:rPr>
        <w:t>קרינדל</w:t>
      </w:r>
      <w:r>
        <w:rPr>
          <w:rtl/>
        </w:rPr>
        <w:t xml:space="preserve">; וראו גם </w:t>
      </w:r>
      <w:r w:rsidRPr="002C7CEF">
        <w:rPr>
          <w:rFonts w:ascii="Century" w:hAnsi="Century"/>
          <w:spacing w:val="10"/>
          <w:rtl/>
        </w:rPr>
        <w:t>אורן גזל-</w:t>
      </w:r>
      <w:hyperlink r:id="rId27" w:history="1">
        <w:r w:rsidR="004D4B38" w:rsidRPr="004D4B38">
          <w:rPr>
            <w:rFonts w:ascii="Century" w:hAnsi="Century" w:hint="eastAsia"/>
            <w:color w:val="0000FF"/>
            <w:spacing w:val="10"/>
            <w:u w:val="single"/>
            <w:rtl/>
          </w:rPr>
          <w:t>אייל</w:t>
        </w:r>
        <w:r w:rsidR="004D4B38" w:rsidRPr="004D4B38">
          <w:rPr>
            <w:rFonts w:ascii="Century" w:hAnsi="Century"/>
            <w:color w:val="0000FF"/>
            <w:spacing w:val="10"/>
            <w:u w:val="single"/>
            <w:rtl/>
          </w:rPr>
          <w:t xml:space="preserve"> "</w:t>
        </w:r>
        <w:r w:rsidR="004D4B38" w:rsidRPr="004D4B38">
          <w:rPr>
            <w:rFonts w:ascii="Century" w:hAnsi="Century" w:hint="eastAsia"/>
            <w:color w:val="0000FF"/>
            <w:spacing w:val="10"/>
            <w:u w:val="single"/>
            <w:rtl/>
          </w:rPr>
          <w:t>חריגה</w:t>
        </w:r>
        <w:r w:rsidR="004D4B38" w:rsidRPr="004D4B38">
          <w:rPr>
            <w:rFonts w:ascii="Century" w:hAnsi="Century"/>
            <w:color w:val="0000FF"/>
            <w:spacing w:val="10"/>
            <w:u w:val="single"/>
            <w:rtl/>
          </w:rPr>
          <w:t xml:space="preserve"> </w:t>
        </w:r>
        <w:r w:rsidR="004D4B38" w:rsidRPr="004D4B38">
          <w:rPr>
            <w:rFonts w:ascii="Century" w:hAnsi="Century" w:hint="eastAsia"/>
            <w:color w:val="0000FF"/>
            <w:spacing w:val="10"/>
            <w:u w:val="single"/>
            <w:rtl/>
          </w:rPr>
          <w:t>ממתחם</w:t>
        </w:r>
        <w:r w:rsidR="004D4B38" w:rsidRPr="004D4B38">
          <w:rPr>
            <w:rFonts w:ascii="Century" w:hAnsi="Century"/>
            <w:color w:val="0000FF"/>
            <w:spacing w:val="10"/>
            <w:u w:val="single"/>
            <w:rtl/>
          </w:rPr>
          <w:t xml:space="preserve"> </w:t>
        </w:r>
        <w:r w:rsidR="004D4B38" w:rsidRPr="004D4B38">
          <w:rPr>
            <w:rFonts w:ascii="Century" w:hAnsi="Century" w:hint="eastAsia"/>
            <w:color w:val="0000FF"/>
            <w:spacing w:val="10"/>
            <w:u w:val="single"/>
            <w:rtl/>
          </w:rPr>
          <w:t>העונש</w:t>
        </w:r>
        <w:r w:rsidR="004D4B38" w:rsidRPr="004D4B38">
          <w:rPr>
            <w:rFonts w:ascii="Century" w:hAnsi="Century"/>
            <w:color w:val="0000FF"/>
            <w:spacing w:val="10"/>
            <w:u w:val="single"/>
            <w:rtl/>
          </w:rPr>
          <w:t xml:space="preserve"> </w:t>
        </w:r>
        <w:r w:rsidR="004D4B38" w:rsidRPr="004D4B38">
          <w:rPr>
            <w:rFonts w:ascii="Century" w:hAnsi="Century" w:hint="eastAsia"/>
            <w:color w:val="0000FF"/>
            <w:spacing w:val="10"/>
            <w:u w:val="single"/>
            <w:rtl/>
          </w:rPr>
          <w:t>ההולם</w:t>
        </w:r>
        <w:r w:rsidR="004D4B38" w:rsidRPr="004D4B38">
          <w:rPr>
            <w:rFonts w:ascii="Century" w:hAnsi="Century"/>
            <w:color w:val="0000FF"/>
            <w:spacing w:val="10"/>
            <w:u w:val="single"/>
            <w:rtl/>
          </w:rPr>
          <w:t>"</w:t>
        </w:r>
      </w:hyperlink>
      <w:r w:rsidRPr="002C7CEF">
        <w:rPr>
          <w:rFonts w:ascii="Century" w:hAnsi="Century"/>
          <w:spacing w:val="10"/>
          <w:rtl/>
        </w:rPr>
        <w:t xml:space="preserve"> </w:t>
      </w:r>
      <w:r w:rsidRPr="002C7CEF">
        <w:rPr>
          <w:rFonts w:ascii="Century" w:hAnsi="Century"/>
          <w:b/>
          <w:rtl/>
        </w:rPr>
        <w:t>ספר דורית ביניש</w:t>
      </w:r>
      <w:r w:rsidRPr="002C7CEF">
        <w:rPr>
          <w:rFonts w:ascii="Century" w:hAnsi="Century"/>
          <w:spacing w:val="10"/>
          <w:rtl/>
        </w:rPr>
        <w:t xml:space="preserve"> 539, 550</w:t>
      </w:r>
      <w:r>
        <w:rPr>
          <w:rtl/>
        </w:rPr>
        <w:t xml:space="preserve">; </w:t>
      </w:r>
      <w:hyperlink r:id="rId28" w:history="1">
        <w:r w:rsidR="004D4B38" w:rsidRPr="004D4B38">
          <w:rPr>
            <w:rFonts w:ascii="David" w:hAnsi="David"/>
            <w:color w:val="0000FF"/>
            <w:u w:val="single"/>
            <w:rtl/>
          </w:rPr>
          <w:t>ע"פ 5718/16</w:t>
        </w:r>
      </w:hyperlink>
      <w:r w:rsidRPr="002C7CEF">
        <w:rPr>
          <w:rFonts w:ascii="David" w:hAnsi="David"/>
          <w:rtl/>
        </w:rPr>
        <w:t xml:space="preserve"> </w:t>
      </w:r>
      <w:r w:rsidRPr="002C7CEF">
        <w:rPr>
          <w:rFonts w:ascii="David" w:hAnsi="David"/>
          <w:b/>
          <w:bCs/>
          <w:rtl/>
        </w:rPr>
        <w:t>זהבי נ' מדינת ישראל</w:t>
      </w:r>
      <w:r w:rsidRPr="002C7CEF">
        <w:rPr>
          <w:rFonts w:ascii="David" w:hAnsi="David"/>
          <w:rtl/>
        </w:rPr>
        <w:t xml:space="preserve"> (21.11.2016)).</w:t>
      </w:r>
    </w:p>
    <w:p w14:paraId="270A5860" w14:textId="77777777" w:rsidR="005A333A" w:rsidRDefault="005A333A" w:rsidP="005A333A">
      <w:pPr>
        <w:pStyle w:val="a9"/>
        <w:spacing w:line="360" w:lineRule="auto"/>
        <w:ind w:left="0"/>
        <w:jc w:val="both"/>
        <w:rPr>
          <w:rFonts w:ascii="David" w:hAnsi="David"/>
        </w:rPr>
      </w:pPr>
    </w:p>
    <w:p w14:paraId="52ED25BA" w14:textId="77777777" w:rsidR="005A333A" w:rsidRDefault="005A333A" w:rsidP="005A333A">
      <w:pPr>
        <w:pStyle w:val="a9"/>
        <w:numPr>
          <w:ilvl w:val="0"/>
          <w:numId w:val="1"/>
        </w:numPr>
        <w:spacing w:line="360" w:lineRule="auto"/>
        <w:jc w:val="both"/>
        <w:rPr>
          <w:rFonts w:ascii="David" w:hAnsi="David"/>
        </w:rPr>
      </w:pPr>
      <w:r w:rsidRPr="002C7CEF">
        <w:rPr>
          <w:rFonts w:ascii="David" w:hAnsi="David"/>
          <w:rtl/>
        </w:rPr>
        <w:t xml:space="preserve">יישום דברים אלו על </w:t>
      </w:r>
      <w:r>
        <w:rPr>
          <w:rFonts w:ascii="David" w:hAnsi="David" w:hint="cs"/>
          <w:rtl/>
        </w:rPr>
        <w:t xml:space="preserve">עניינו של הנאשם </w:t>
      </w:r>
      <w:r w:rsidRPr="002C7CEF">
        <w:rPr>
          <w:rFonts w:ascii="David" w:hAnsi="David"/>
          <w:rtl/>
        </w:rPr>
        <w:t>מביא למסקנה לפיה הוכחו סיכויי שיקום ממשיים המצדיקים חריגה ממתחם הענישה. הנאש</w:t>
      </w:r>
      <w:r>
        <w:rPr>
          <w:rFonts w:ascii="David" w:hAnsi="David" w:hint="cs"/>
          <w:rtl/>
        </w:rPr>
        <w:t>ם</w:t>
      </w:r>
      <w:r w:rsidRPr="002C7CEF">
        <w:rPr>
          <w:rFonts w:ascii="David" w:hAnsi="David"/>
          <w:rtl/>
        </w:rPr>
        <w:t xml:space="preserve"> נעדר עבר פלילי; </w:t>
      </w:r>
      <w:r>
        <w:rPr>
          <w:rFonts w:ascii="David" w:hAnsi="David" w:hint="cs"/>
          <w:rtl/>
        </w:rPr>
        <w:t xml:space="preserve">נסיבות חייו אינן קלות וזאת כאמור בתסקיר; </w:t>
      </w:r>
      <w:r w:rsidRPr="002C7CEF">
        <w:rPr>
          <w:rFonts w:ascii="David" w:hAnsi="David"/>
          <w:rtl/>
        </w:rPr>
        <w:t>ה</w:t>
      </w:r>
      <w:r>
        <w:rPr>
          <w:rFonts w:ascii="David" w:hAnsi="David" w:hint="cs"/>
          <w:rtl/>
        </w:rPr>
        <w:t>ו</w:t>
      </w:r>
      <w:r w:rsidRPr="002C7CEF">
        <w:rPr>
          <w:rFonts w:ascii="David" w:hAnsi="David"/>
          <w:rtl/>
        </w:rPr>
        <w:t>א קיבל אחריות מלאה למעשי</w:t>
      </w:r>
      <w:r>
        <w:rPr>
          <w:rFonts w:ascii="David" w:hAnsi="David" w:hint="cs"/>
          <w:rtl/>
        </w:rPr>
        <w:t>ו</w:t>
      </w:r>
      <w:r w:rsidRPr="002C7CEF">
        <w:rPr>
          <w:rFonts w:ascii="David" w:hAnsi="David"/>
          <w:rtl/>
        </w:rPr>
        <w:t>; לא נפתחו נגד</w:t>
      </w:r>
      <w:r>
        <w:rPr>
          <w:rFonts w:ascii="David" w:hAnsi="David" w:hint="cs"/>
          <w:rtl/>
        </w:rPr>
        <w:t>ו</w:t>
      </w:r>
      <w:r w:rsidRPr="002C7CEF">
        <w:rPr>
          <w:rFonts w:ascii="David" w:hAnsi="David"/>
          <w:rtl/>
        </w:rPr>
        <w:t xml:space="preserve"> תי</w:t>
      </w:r>
      <w:r>
        <w:rPr>
          <w:rFonts w:ascii="David" w:hAnsi="David"/>
          <w:rtl/>
        </w:rPr>
        <w:t>קים נוספים מאז ביצוע העבירה; ה</w:t>
      </w:r>
      <w:r>
        <w:rPr>
          <w:rFonts w:ascii="David" w:hAnsi="David" w:hint="cs"/>
          <w:rtl/>
        </w:rPr>
        <w:t xml:space="preserve">וא נישא לאחרונה והחל לעבוד; והוא מסר בדיקות שתן נקיות וההליך הפלילי היווה גורם מרתיע עבורו. כל אלו מלמדים על שינוי ממשי שחל בנאשם באופן המקים מסקנה בדבר סיכויי שיקום ממשיים, כפי שאף העריך שירות המבחן. </w:t>
      </w:r>
    </w:p>
    <w:p w14:paraId="6ECD3C04" w14:textId="77777777" w:rsidR="005A333A" w:rsidRDefault="005A333A" w:rsidP="005A333A">
      <w:pPr>
        <w:pStyle w:val="a9"/>
        <w:numPr>
          <w:ilvl w:val="0"/>
          <w:numId w:val="1"/>
        </w:numPr>
        <w:spacing w:line="360" w:lineRule="auto"/>
        <w:jc w:val="both"/>
        <w:rPr>
          <w:rFonts w:ascii="David" w:hAnsi="David"/>
        </w:rPr>
      </w:pPr>
      <w:r>
        <w:rPr>
          <w:rFonts w:ascii="David" w:hAnsi="David" w:hint="cs"/>
          <w:rtl/>
        </w:rPr>
        <w:t xml:space="preserve">אכן, הנאשם לא עבר הליך טיפולי ואף לא גילה נזקקות טיפולית ואולם לא ראיתי בכך (בלבד) כנסיבה בעלת משקל נגד ממשי לכלל הנסיבות שפירטתי לעיל. אציין שאף שירות המבחן לא סבר שיש בעובדה זו להשליך על סיכויי השיקום, וזאת לאור כך שהעריך שהנאשם מצליח להימנע משימוש בסם גם לא טיפול ממוסד. חזקה על שירות המבחן, כגוף מקצועי האמון על שיקום נאשמים, שלו סבר שאין בידי הנאשם כלים להביא לשינוי מהותי בחייו ללא התערבות מקצועית, שהיה מציין זאת כפי שנעשה לא אחת בתסקירים. אכן, היה ראוי שהנאשם יעבור הליך טיפולי בחסות שירות המבחן ואולם לאור מכלול הנימוקים שפורטו לעיל, סברתי שיש בסיס איתן למסקנה בדבר סיכויי שיקום המצדיקים חריגה ממתחם הענישה. בעניין זה אציין גם שדומה שעונש מאסר ולו בעבודות שירות עלול לפגוע בשיקומו של הנאשם באופן בלתי מידתי. הנאשם נישא זה עתה והחל לעבוד ודומה כי ענישה בעבודות שירות עלולה להביא לפיטוריו ובכל מקרה לפגיעה כלכלית משמעותית שעלולה לפגוע בשיקומו. אדגיש כי לאור מתחם הענישה שקבעתי אין מדובר בחריגה משמעותית והיא תואמת את סיכויי השיקום שהוכחו. עוד אציין כי במסגרת הסדר הטיעון הסכימו הצדדים שככל שהתסקיר </w:t>
      </w:r>
      <w:r w:rsidRPr="00610C53">
        <w:rPr>
          <w:rFonts w:ascii="Miriam" w:hAnsi="Miriam" w:cs="Miriam"/>
          <w:rtl/>
        </w:rPr>
        <w:t xml:space="preserve">"לא יהיה חיובי" </w:t>
      </w:r>
      <w:r>
        <w:rPr>
          <w:rFonts w:ascii="David" w:hAnsi="David" w:hint="cs"/>
          <w:rtl/>
        </w:rPr>
        <w:t xml:space="preserve">הם יעתרו לעונש בן 3 חודשי מאסר בעבודות שירות. משכך, המאשימה עצמה ראתה בענישה זו כגבול עליון השמור למקרה של תסקיר שאינו חיובי. לדידי, אין לומר על התסקיר שהוא </w:t>
      </w:r>
      <w:r w:rsidRPr="00610C53">
        <w:rPr>
          <w:rFonts w:ascii="Miriam" w:hAnsi="Miriam" w:cs="Miriam"/>
          <w:rtl/>
        </w:rPr>
        <w:t>"אינו חיובי"</w:t>
      </w:r>
      <w:r>
        <w:rPr>
          <w:rFonts w:ascii="David" w:hAnsi="David" w:hint="cs"/>
          <w:rtl/>
        </w:rPr>
        <w:t xml:space="preserve"> ויש לומר אף שהוא חיובי. משכך, היה מקום שהמאשימה תטען לעונש קל יותר משלושה חודשי מאסר בעבודות שירות וזאת אף אם סברה שהיה מקום שהנאשם יעבור הליך טיפולי מסודר. כך או כך, גבול הענישה העליון שראתה המאשימה כהולם תיק זה, גוזר את המסקנה לפיה ענישה שאינה כוללת עונש מאסר בעבודות שירות, אינה מהווה חריגה משמעותית או בלתי הולמת על רקע מכלול הנסיבות. </w:t>
      </w:r>
    </w:p>
    <w:p w14:paraId="5284516D" w14:textId="77777777" w:rsidR="005A333A" w:rsidRDefault="005A333A" w:rsidP="005A333A">
      <w:pPr>
        <w:pStyle w:val="a9"/>
        <w:ind w:left="0"/>
        <w:jc w:val="both"/>
        <w:rPr>
          <w:rFonts w:ascii="David" w:hAnsi="David"/>
        </w:rPr>
      </w:pPr>
    </w:p>
    <w:p w14:paraId="393492B2" w14:textId="77777777" w:rsidR="005A333A" w:rsidRPr="002C7CEF" w:rsidRDefault="005A333A" w:rsidP="005A333A">
      <w:pPr>
        <w:pStyle w:val="a9"/>
        <w:numPr>
          <w:ilvl w:val="0"/>
          <w:numId w:val="1"/>
        </w:numPr>
        <w:spacing w:line="360" w:lineRule="auto"/>
        <w:jc w:val="both"/>
        <w:rPr>
          <w:rFonts w:ascii="David" w:hAnsi="David"/>
          <w:rtl/>
        </w:rPr>
      </w:pPr>
      <w:r>
        <w:rPr>
          <w:rFonts w:ascii="David" w:hAnsi="David" w:hint="cs"/>
          <w:rtl/>
        </w:rPr>
        <w:t xml:space="preserve">סיכומו של דבר שאני מטיל על הנאשם את העונשים הבאים: </w:t>
      </w:r>
    </w:p>
    <w:p w14:paraId="30EC972C" w14:textId="77777777" w:rsidR="005A333A" w:rsidRDefault="005A333A" w:rsidP="005A333A">
      <w:pPr>
        <w:rPr>
          <w:rFonts w:ascii="David" w:hAnsi="David"/>
          <w:rtl/>
        </w:rPr>
      </w:pPr>
    </w:p>
    <w:p w14:paraId="7F704B06" w14:textId="77777777" w:rsidR="005A333A" w:rsidRDefault="005A333A" w:rsidP="005A333A">
      <w:pPr>
        <w:pStyle w:val="a9"/>
        <w:numPr>
          <w:ilvl w:val="0"/>
          <w:numId w:val="2"/>
        </w:numPr>
        <w:spacing w:line="360" w:lineRule="auto"/>
        <w:jc w:val="both"/>
        <w:rPr>
          <w:rFonts w:ascii="David" w:hAnsi="David"/>
        </w:rPr>
      </w:pPr>
      <w:r>
        <w:rPr>
          <w:rFonts w:ascii="David" w:hAnsi="David" w:hint="cs"/>
          <w:rtl/>
        </w:rPr>
        <w:t xml:space="preserve">מאסר מותנה למשך 6 חודשים והתנאי הוא שלא יעבור בתוך שנתיים כל עבירה על פקודת הסמים שהיא פשע. </w:t>
      </w:r>
    </w:p>
    <w:p w14:paraId="11FB0F6E" w14:textId="77777777" w:rsidR="005A333A" w:rsidRDefault="005A333A" w:rsidP="005A333A">
      <w:pPr>
        <w:pStyle w:val="a9"/>
        <w:ind w:left="1440"/>
        <w:jc w:val="both"/>
        <w:rPr>
          <w:rFonts w:ascii="David" w:hAnsi="David"/>
        </w:rPr>
      </w:pPr>
    </w:p>
    <w:p w14:paraId="678BB850" w14:textId="77777777" w:rsidR="005A333A" w:rsidRDefault="005A333A" w:rsidP="005A333A">
      <w:pPr>
        <w:pStyle w:val="a9"/>
        <w:numPr>
          <w:ilvl w:val="0"/>
          <w:numId w:val="2"/>
        </w:numPr>
        <w:spacing w:line="360" w:lineRule="auto"/>
        <w:jc w:val="both"/>
        <w:rPr>
          <w:rFonts w:ascii="David" w:hAnsi="David"/>
        </w:rPr>
      </w:pPr>
      <w:r>
        <w:rPr>
          <w:rFonts w:ascii="David" w:hAnsi="David" w:hint="cs"/>
          <w:rtl/>
        </w:rPr>
        <w:t xml:space="preserve">קנס בך 3,000 ₪. הקנס ישולם ב-6 תשלומים שווים ורצופים העל מיום 1.10.23 ובכל 1 לחודש שלאחריו. לא ישולם אחד התשלומים במועד, תעמוד היתרה לפירעון מידי. </w:t>
      </w:r>
    </w:p>
    <w:p w14:paraId="762ACE98" w14:textId="77777777" w:rsidR="005A333A" w:rsidRDefault="005A333A" w:rsidP="005A333A">
      <w:pPr>
        <w:spacing w:line="360" w:lineRule="auto"/>
        <w:ind w:left="1440"/>
        <w:jc w:val="both"/>
        <w:rPr>
          <w:rFonts w:ascii="David" w:hAnsi="David"/>
          <w:sz w:val="22"/>
          <w:szCs w:val="22"/>
        </w:rPr>
      </w:pPr>
      <w:r>
        <w:rPr>
          <w:rFonts w:ascii="David" w:hAnsi="David"/>
          <w:rtl/>
        </w:rPr>
        <w:t>את הסכום יש לשלם ישירות לחשבון המרכז לגביית קנסות, אגרות והוצאות ברשות האכיפה והגבייה באחת מהדרכים הבאות:</w:t>
      </w:r>
    </w:p>
    <w:p w14:paraId="63448EE2" w14:textId="77777777" w:rsidR="005A333A" w:rsidRPr="00575E3F" w:rsidRDefault="005A333A" w:rsidP="005A333A">
      <w:pPr>
        <w:pStyle w:val="a9"/>
        <w:numPr>
          <w:ilvl w:val="0"/>
          <w:numId w:val="3"/>
        </w:numPr>
        <w:ind w:left="1797" w:hanging="357"/>
        <w:contextualSpacing w:val="0"/>
        <w:jc w:val="both"/>
        <w:rPr>
          <w:rFonts w:ascii="David" w:hAnsi="David"/>
          <w:b/>
          <w:bCs/>
          <w:sz w:val="22"/>
          <w:szCs w:val="22"/>
        </w:rPr>
      </w:pPr>
      <w:r w:rsidRPr="00575E3F">
        <w:rPr>
          <w:rFonts w:ascii="David" w:hAnsi="David"/>
          <w:b/>
          <w:bCs/>
          <w:sz w:val="22"/>
          <w:szCs w:val="22"/>
          <w:rtl/>
        </w:rPr>
        <w:t>בכרטיס אשראי</w:t>
      </w:r>
      <w:r w:rsidRPr="00575E3F">
        <w:rPr>
          <w:rFonts w:ascii="David" w:hAnsi="David"/>
          <w:sz w:val="22"/>
          <w:szCs w:val="22"/>
          <w:rtl/>
        </w:rPr>
        <w:t xml:space="preserve"> – באתר המקוון של רשות האכיפה והגבייה, </w:t>
      </w:r>
      <w:r w:rsidRPr="00575E3F">
        <w:rPr>
          <w:rFonts w:ascii="David" w:hAnsi="David"/>
          <w:sz w:val="22"/>
          <w:szCs w:val="22"/>
        </w:rPr>
        <w:t xml:space="preserve">www.eca.gov.il </w:t>
      </w:r>
      <w:r w:rsidR="004D4B38">
        <w:rPr>
          <w:rFonts w:ascii="David" w:hAnsi="David"/>
          <w:sz w:val="22"/>
          <w:szCs w:val="22"/>
          <w:rtl/>
        </w:rPr>
        <w:t xml:space="preserve"> </w:t>
      </w:r>
    </w:p>
    <w:p w14:paraId="582A6312" w14:textId="77777777" w:rsidR="005A333A" w:rsidRPr="00575E3F" w:rsidRDefault="005A333A" w:rsidP="005A333A">
      <w:pPr>
        <w:pStyle w:val="a9"/>
        <w:numPr>
          <w:ilvl w:val="0"/>
          <w:numId w:val="3"/>
        </w:numPr>
        <w:ind w:left="1797" w:hanging="357"/>
        <w:contextualSpacing w:val="0"/>
        <w:jc w:val="both"/>
        <w:rPr>
          <w:rFonts w:ascii="David" w:hAnsi="David"/>
          <w:b/>
          <w:bCs/>
          <w:sz w:val="22"/>
          <w:szCs w:val="22"/>
        </w:rPr>
      </w:pPr>
      <w:r w:rsidRPr="00575E3F">
        <w:rPr>
          <w:rFonts w:ascii="David" w:hAnsi="David"/>
          <w:b/>
          <w:bCs/>
          <w:sz w:val="22"/>
          <w:szCs w:val="22"/>
          <w:rtl/>
        </w:rPr>
        <w:t>מוקד שירות טלפוני בשרות עצמי (מרכז גבייה)</w:t>
      </w:r>
      <w:r w:rsidR="004D4B38">
        <w:rPr>
          <w:rFonts w:ascii="David" w:hAnsi="David"/>
          <w:b/>
          <w:bCs/>
          <w:sz w:val="22"/>
          <w:szCs w:val="22"/>
          <w:rtl/>
        </w:rPr>
        <w:t xml:space="preserve"> </w:t>
      </w:r>
      <w:r w:rsidRPr="00575E3F">
        <w:rPr>
          <w:rFonts w:ascii="David" w:hAnsi="David"/>
          <w:b/>
          <w:bCs/>
          <w:sz w:val="22"/>
          <w:szCs w:val="22"/>
          <w:rtl/>
        </w:rPr>
        <w:t xml:space="preserve"> – בטלפון 35592* או בטלפון 073-2055000</w:t>
      </w:r>
    </w:p>
    <w:p w14:paraId="6D2783C0" w14:textId="77777777" w:rsidR="005A333A" w:rsidRPr="00575E3F" w:rsidRDefault="005A333A" w:rsidP="005A333A">
      <w:pPr>
        <w:pStyle w:val="a9"/>
        <w:numPr>
          <w:ilvl w:val="0"/>
          <w:numId w:val="3"/>
        </w:numPr>
        <w:ind w:left="1797" w:hanging="357"/>
        <w:contextualSpacing w:val="0"/>
        <w:jc w:val="both"/>
        <w:rPr>
          <w:rFonts w:ascii="David" w:hAnsi="David"/>
          <w:b/>
          <w:bCs/>
          <w:sz w:val="22"/>
          <w:szCs w:val="22"/>
        </w:rPr>
      </w:pPr>
      <w:r w:rsidRPr="00575E3F">
        <w:rPr>
          <w:rFonts w:ascii="David" w:hAnsi="David"/>
          <w:b/>
          <w:bCs/>
          <w:sz w:val="22"/>
          <w:szCs w:val="22"/>
          <w:rtl/>
        </w:rPr>
        <w:t>במזומן בכל סניף של בנק הדואר</w:t>
      </w:r>
      <w:r w:rsidRPr="00575E3F">
        <w:rPr>
          <w:rFonts w:ascii="David" w:hAnsi="David"/>
          <w:sz w:val="22"/>
          <w:szCs w:val="22"/>
          <w:rtl/>
        </w:rPr>
        <w:t xml:space="preserve"> – בהצגת תעודת זהות בלבד (אין צורך בשוברי תשלום).</w:t>
      </w:r>
    </w:p>
    <w:p w14:paraId="1FF65144" w14:textId="77777777" w:rsidR="005A333A" w:rsidRPr="00575E3F" w:rsidRDefault="005A333A" w:rsidP="005A333A">
      <w:pPr>
        <w:spacing w:line="360" w:lineRule="auto"/>
        <w:jc w:val="both"/>
        <w:rPr>
          <w:rFonts w:ascii="David" w:hAnsi="David"/>
          <w:sz w:val="22"/>
          <w:szCs w:val="22"/>
          <w:rtl/>
        </w:rPr>
      </w:pPr>
    </w:p>
    <w:p w14:paraId="47986290" w14:textId="77777777" w:rsidR="005A333A" w:rsidRDefault="005A333A" w:rsidP="005A333A">
      <w:pPr>
        <w:pStyle w:val="a9"/>
        <w:numPr>
          <w:ilvl w:val="0"/>
          <w:numId w:val="2"/>
        </w:numPr>
        <w:spacing w:line="360" w:lineRule="auto"/>
        <w:jc w:val="both"/>
        <w:rPr>
          <w:rFonts w:ascii="David" w:hAnsi="David"/>
        </w:rPr>
      </w:pPr>
      <w:r>
        <w:rPr>
          <w:rFonts w:ascii="David" w:hAnsi="David" w:hint="cs"/>
          <w:rtl/>
        </w:rPr>
        <w:t xml:space="preserve">פסילה על תנאי למשך 6 חודשים והתנאי הוא שלא יעבור בתוך 18 חודשים כל עבירה על פקודת הסמים. </w:t>
      </w:r>
    </w:p>
    <w:p w14:paraId="3C0A0561" w14:textId="77777777" w:rsidR="005A333A" w:rsidRPr="00D77B9B" w:rsidRDefault="005A333A" w:rsidP="005A333A">
      <w:pPr>
        <w:pStyle w:val="a9"/>
        <w:rPr>
          <w:rFonts w:ascii="David" w:hAnsi="David"/>
          <w:rtl/>
        </w:rPr>
      </w:pPr>
    </w:p>
    <w:p w14:paraId="677D369F" w14:textId="77777777" w:rsidR="005A333A" w:rsidRPr="00D77B9B" w:rsidRDefault="005A333A" w:rsidP="005A333A">
      <w:pPr>
        <w:pStyle w:val="a9"/>
        <w:ind w:left="1440"/>
        <w:rPr>
          <w:rFonts w:ascii="David" w:hAnsi="David"/>
          <w:b/>
          <w:bCs/>
          <w:rtl/>
        </w:rPr>
      </w:pPr>
      <w:r w:rsidRPr="00D77B9B">
        <w:rPr>
          <w:rFonts w:ascii="David" w:hAnsi="David" w:hint="cs"/>
          <w:b/>
          <w:bCs/>
          <w:rtl/>
        </w:rPr>
        <w:t xml:space="preserve">הסמים- להשמיד. </w:t>
      </w:r>
    </w:p>
    <w:p w14:paraId="49A5708A" w14:textId="77777777" w:rsidR="005A333A" w:rsidRDefault="005A333A" w:rsidP="005A333A">
      <w:pPr>
        <w:pStyle w:val="a9"/>
        <w:ind w:left="1440"/>
        <w:rPr>
          <w:rFonts w:ascii="David" w:hAnsi="David"/>
          <w:rtl/>
        </w:rPr>
      </w:pPr>
    </w:p>
    <w:p w14:paraId="6ADB44DB" w14:textId="77777777" w:rsidR="005A333A" w:rsidRPr="00D77B9B" w:rsidRDefault="004D4B38" w:rsidP="005A333A">
      <w:pPr>
        <w:pStyle w:val="a9"/>
        <w:ind w:left="1440"/>
        <w:rPr>
          <w:rFonts w:ascii="David" w:hAnsi="David"/>
          <w:b/>
          <w:bCs/>
          <w:u w:val="single"/>
          <w:rtl/>
        </w:rPr>
      </w:pPr>
      <w:r w:rsidRPr="004D4B38">
        <w:rPr>
          <w:rFonts w:ascii="David" w:hAnsi="David"/>
          <w:b/>
          <w:bCs/>
          <w:color w:val="FFFFFF"/>
          <w:sz w:val="2"/>
          <w:szCs w:val="2"/>
          <w:u w:val="single"/>
          <w:rtl/>
        </w:rPr>
        <w:t>5129371</w:t>
      </w:r>
      <w:r w:rsidR="005A333A" w:rsidRPr="00D77B9B">
        <w:rPr>
          <w:rFonts w:ascii="David" w:hAnsi="David" w:hint="cs"/>
          <w:b/>
          <w:bCs/>
          <w:u w:val="single"/>
          <w:rtl/>
        </w:rPr>
        <w:t xml:space="preserve">הודעה זכות ערעור בתוך 45 ימים. </w:t>
      </w:r>
    </w:p>
    <w:p w14:paraId="78ED86E2" w14:textId="77777777" w:rsidR="005A333A" w:rsidRPr="004D4B38" w:rsidRDefault="004D4B38" w:rsidP="005A333A">
      <w:pPr>
        <w:rPr>
          <w:rFonts w:ascii="David" w:hAnsi="David"/>
          <w:b/>
          <w:bCs/>
          <w:color w:val="FFFFFF"/>
          <w:sz w:val="2"/>
          <w:szCs w:val="2"/>
          <w:u w:val="single"/>
          <w:rtl/>
        </w:rPr>
      </w:pPr>
      <w:r w:rsidRPr="004D4B38">
        <w:rPr>
          <w:rFonts w:ascii="David" w:hAnsi="David"/>
          <w:b/>
          <w:bCs/>
          <w:color w:val="FFFFFF"/>
          <w:sz w:val="2"/>
          <w:szCs w:val="2"/>
          <w:u w:val="single"/>
          <w:rtl/>
        </w:rPr>
        <w:t>54678313</w:t>
      </w:r>
    </w:p>
    <w:p w14:paraId="4B5C79B9" w14:textId="77777777" w:rsidR="005A333A" w:rsidRPr="0070729B" w:rsidRDefault="005A333A" w:rsidP="005A333A">
      <w:pPr>
        <w:rPr>
          <w:rFonts w:ascii="David" w:hAnsi="David"/>
          <w:rtl/>
        </w:rPr>
      </w:pPr>
    </w:p>
    <w:p w14:paraId="35B67E28" w14:textId="77777777" w:rsidR="005A333A" w:rsidRPr="0070729B" w:rsidRDefault="004D4B38" w:rsidP="005A333A">
      <w:pPr>
        <w:rPr>
          <w:rFonts w:ascii="David" w:hAnsi="David"/>
          <w:rtl/>
        </w:rPr>
      </w:pPr>
      <w:bookmarkStart w:id="9" w:name="Nitan"/>
      <w:r>
        <w:rPr>
          <w:rFonts w:ascii="David" w:hAnsi="David"/>
          <w:rtl/>
        </w:rPr>
        <w:t xml:space="preserve">ניתן היום,  כ"ב תמוז תשפ"ג, 11 יולי 2023, בהעדר הצדדים. </w:t>
      </w:r>
      <w:bookmarkEnd w:id="9"/>
    </w:p>
    <w:p w14:paraId="3512971A" w14:textId="77777777" w:rsidR="005A333A" w:rsidRPr="002B7D23" w:rsidRDefault="005A333A" w:rsidP="004D4B38">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53BA0BB" w14:textId="77777777" w:rsidR="005A333A" w:rsidRPr="002B7D23" w:rsidRDefault="005A333A" w:rsidP="005A333A">
      <w:pPr>
        <w:jc w:val="center"/>
        <w:rPr>
          <w:rFonts w:ascii="David" w:hAnsi="David"/>
          <w:sz w:val="26"/>
          <w:szCs w:val="26"/>
          <w:rtl/>
        </w:rPr>
      </w:pPr>
    </w:p>
    <w:p w14:paraId="7B91E911" w14:textId="77777777" w:rsidR="00481E0E" w:rsidRPr="004D4B38" w:rsidRDefault="00481E0E" w:rsidP="004D4B38">
      <w:pPr>
        <w:keepNext/>
        <w:rPr>
          <w:rFonts w:ascii="David" w:hAnsi="David"/>
          <w:color w:val="000000"/>
          <w:sz w:val="22"/>
          <w:szCs w:val="22"/>
          <w:rtl/>
        </w:rPr>
      </w:pPr>
    </w:p>
    <w:p w14:paraId="27A727CA" w14:textId="77777777" w:rsidR="004D4B38" w:rsidRPr="004D4B38" w:rsidRDefault="004D4B38" w:rsidP="004D4B38">
      <w:pPr>
        <w:keepNext/>
        <w:rPr>
          <w:rFonts w:ascii="David" w:hAnsi="David"/>
          <w:color w:val="000000"/>
          <w:sz w:val="22"/>
          <w:szCs w:val="22"/>
          <w:rtl/>
        </w:rPr>
      </w:pPr>
      <w:r w:rsidRPr="004D4B38">
        <w:rPr>
          <w:rFonts w:ascii="David" w:hAnsi="David"/>
          <w:color w:val="000000"/>
          <w:sz w:val="22"/>
          <w:szCs w:val="22"/>
          <w:rtl/>
        </w:rPr>
        <w:t>יוסי טורס 54678313</w:t>
      </w:r>
    </w:p>
    <w:p w14:paraId="52AE388A" w14:textId="77777777" w:rsidR="004D4B38" w:rsidRDefault="004D4B38" w:rsidP="004D4B38">
      <w:r w:rsidRPr="004D4B38">
        <w:rPr>
          <w:color w:val="000000"/>
          <w:rtl/>
        </w:rPr>
        <w:t>נוסח מסמך זה כפוף לשינויי ניסוח ועריכה</w:t>
      </w:r>
    </w:p>
    <w:p w14:paraId="00BBDCE7" w14:textId="77777777" w:rsidR="004D4B38" w:rsidRDefault="004D4B38" w:rsidP="004D4B38">
      <w:pPr>
        <w:rPr>
          <w:rtl/>
        </w:rPr>
      </w:pPr>
    </w:p>
    <w:p w14:paraId="42164A6E" w14:textId="77777777" w:rsidR="004D4B38" w:rsidRDefault="004D4B38" w:rsidP="004D4B38">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C3246DC" w14:textId="77777777" w:rsidR="004D4B38" w:rsidRPr="004D4B38" w:rsidRDefault="004D4B38" w:rsidP="004D4B38">
      <w:pPr>
        <w:jc w:val="center"/>
        <w:rPr>
          <w:color w:val="0000FF"/>
          <w:u w:val="single"/>
        </w:rPr>
      </w:pPr>
    </w:p>
    <w:sectPr w:rsidR="004D4B38" w:rsidRPr="004D4B38" w:rsidSect="004D4B38">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AE6FF" w14:textId="77777777" w:rsidR="002A2399" w:rsidRDefault="002A2399" w:rsidP="00450B3B">
      <w:r>
        <w:separator/>
      </w:r>
    </w:p>
  </w:endnote>
  <w:endnote w:type="continuationSeparator" w:id="0">
    <w:p w14:paraId="0F489AF4" w14:textId="77777777" w:rsidR="002A2399" w:rsidRDefault="002A2399" w:rsidP="0045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02E10" w14:textId="77777777" w:rsidR="004D4B38" w:rsidRDefault="004D4B38" w:rsidP="004D4B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53F534" w14:textId="77777777" w:rsidR="00114803" w:rsidRPr="004D4B38" w:rsidRDefault="004D4B38" w:rsidP="004D4B3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F3CA6" w14:textId="77777777" w:rsidR="004D4B38" w:rsidRDefault="004D4B38" w:rsidP="004D4B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4B4F">
      <w:rPr>
        <w:rFonts w:ascii="FrankRuehl" w:hAnsi="FrankRuehl" w:cs="FrankRuehl"/>
        <w:noProof/>
        <w:rtl/>
      </w:rPr>
      <w:t>1</w:t>
    </w:r>
    <w:r>
      <w:rPr>
        <w:rFonts w:ascii="FrankRuehl" w:hAnsi="FrankRuehl" w:cs="FrankRuehl"/>
        <w:rtl/>
      </w:rPr>
      <w:fldChar w:fldCharType="end"/>
    </w:r>
  </w:p>
  <w:p w14:paraId="4D969EA5" w14:textId="77777777" w:rsidR="00114803" w:rsidRPr="004D4B38" w:rsidRDefault="004D4B38" w:rsidP="004D4B3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2710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8A612" w14:textId="77777777" w:rsidR="002A2399" w:rsidRDefault="002A2399" w:rsidP="00450B3B">
      <w:r>
        <w:separator/>
      </w:r>
    </w:p>
  </w:footnote>
  <w:footnote w:type="continuationSeparator" w:id="0">
    <w:p w14:paraId="6ECC6040" w14:textId="77777777" w:rsidR="002A2399" w:rsidRDefault="002A2399" w:rsidP="00450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CBBC3" w14:textId="77777777" w:rsidR="004D4B38" w:rsidRPr="004D4B38" w:rsidRDefault="004D4B38" w:rsidP="004D4B3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24748-08-22</w:t>
    </w:r>
    <w:r>
      <w:rPr>
        <w:rFonts w:ascii="David" w:hAnsi="David"/>
        <w:color w:val="000000"/>
        <w:sz w:val="22"/>
        <w:szCs w:val="22"/>
        <w:rtl/>
      </w:rPr>
      <w:tab/>
      <w:t xml:space="preserve"> מדינת ישראל נ' משה פומרנץ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8C582" w14:textId="77777777" w:rsidR="004D4B38" w:rsidRPr="004D4B38" w:rsidRDefault="004D4B38" w:rsidP="004D4B3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24748-08-22</w:t>
    </w:r>
    <w:r>
      <w:rPr>
        <w:rFonts w:ascii="David" w:hAnsi="David"/>
        <w:color w:val="000000"/>
        <w:sz w:val="22"/>
        <w:szCs w:val="22"/>
        <w:rtl/>
      </w:rPr>
      <w:tab/>
      <w:t xml:space="preserve"> מדינת ישראל נ' משה פומרנץ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1522"/>
    <w:multiLevelType w:val="hybridMultilevel"/>
    <w:tmpl w:val="25521990"/>
    <w:lvl w:ilvl="0" w:tplc="C6B47E8C">
      <w:start w:val="1"/>
      <w:numFmt w:val="decimal"/>
      <w:lvlText w:val="%1."/>
      <w:lvlJc w:val="left"/>
      <w:pPr>
        <w:tabs>
          <w:tab w:val="num" w:pos="567"/>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800" w:hanging="360"/>
      </w:pPr>
      <w:rPr>
        <w:rFonts w:ascii="Symbol" w:hAnsi="Symbol" w:hint="default"/>
      </w:rPr>
    </w:lvl>
    <w:lvl w:ilvl="1" w:tplc="D0AE272C">
      <w:start w:val="1"/>
      <w:numFmt w:val="bullet"/>
      <w:lvlText w:val="o"/>
      <w:lvlJc w:val="left"/>
      <w:pPr>
        <w:ind w:left="2520" w:hanging="360"/>
      </w:pPr>
      <w:rPr>
        <w:rFonts w:ascii="Courier New" w:hAnsi="Courier New" w:cs="Courier New" w:hint="default"/>
      </w:rPr>
    </w:lvl>
    <w:lvl w:ilvl="2" w:tplc="4CE8AFEC">
      <w:start w:val="1"/>
      <w:numFmt w:val="bullet"/>
      <w:lvlText w:val=""/>
      <w:lvlJc w:val="left"/>
      <w:pPr>
        <w:ind w:left="3240" w:hanging="360"/>
      </w:pPr>
      <w:rPr>
        <w:rFonts w:ascii="Wingdings" w:hAnsi="Wingdings" w:hint="default"/>
      </w:rPr>
    </w:lvl>
    <w:lvl w:ilvl="3" w:tplc="66DC63D4">
      <w:start w:val="1"/>
      <w:numFmt w:val="bullet"/>
      <w:lvlText w:val=""/>
      <w:lvlJc w:val="left"/>
      <w:pPr>
        <w:ind w:left="3960" w:hanging="360"/>
      </w:pPr>
      <w:rPr>
        <w:rFonts w:ascii="Symbol" w:hAnsi="Symbol" w:hint="default"/>
      </w:rPr>
    </w:lvl>
    <w:lvl w:ilvl="4" w:tplc="39E8D01E">
      <w:start w:val="1"/>
      <w:numFmt w:val="bullet"/>
      <w:lvlText w:val="o"/>
      <w:lvlJc w:val="left"/>
      <w:pPr>
        <w:ind w:left="4680" w:hanging="360"/>
      </w:pPr>
      <w:rPr>
        <w:rFonts w:ascii="Courier New" w:hAnsi="Courier New" w:cs="Courier New" w:hint="default"/>
      </w:rPr>
    </w:lvl>
    <w:lvl w:ilvl="5" w:tplc="A17A33F8">
      <w:start w:val="1"/>
      <w:numFmt w:val="bullet"/>
      <w:lvlText w:val=""/>
      <w:lvlJc w:val="left"/>
      <w:pPr>
        <w:ind w:left="5400" w:hanging="360"/>
      </w:pPr>
      <w:rPr>
        <w:rFonts w:ascii="Wingdings" w:hAnsi="Wingdings" w:hint="default"/>
      </w:rPr>
    </w:lvl>
    <w:lvl w:ilvl="6" w:tplc="32B25C30">
      <w:start w:val="1"/>
      <w:numFmt w:val="bullet"/>
      <w:lvlText w:val=""/>
      <w:lvlJc w:val="left"/>
      <w:pPr>
        <w:ind w:left="6120" w:hanging="360"/>
      </w:pPr>
      <w:rPr>
        <w:rFonts w:ascii="Symbol" w:hAnsi="Symbol" w:hint="default"/>
      </w:rPr>
    </w:lvl>
    <w:lvl w:ilvl="7" w:tplc="117C14FE">
      <w:start w:val="1"/>
      <w:numFmt w:val="bullet"/>
      <w:lvlText w:val="o"/>
      <w:lvlJc w:val="left"/>
      <w:pPr>
        <w:ind w:left="6840" w:hanging="360"/>
      </w:pPr>
      <w:rPr>
        <w:rFonts w:ascii="Courier New" w:hAnsi="Courier New" w:cs="Courier New" w:hint="default"/>
      </w:rPr>
    </w:lvl>
    <w:lvl w:ilvl="8" w:tplc="A12A52C8">
      <w:start w:val="1"/>
      <w:numFmt w:val="bullet"/>
      <w:lvlText w:val=""/>
      <w:lvlJc w:val="left"/>
      <w:pPr>
        <w:ind w:left="7560" w:hanging="360"/>
      </w:pPr>
      <w:rPr>
        <w:rFonts w:ascii="Wingdings" w:hAnsi="Wingdings" w:hint="default"/>
      </w:rPr>
    </w:lvl>
  </w:abstractNum>
  <w:abstractNum w:abstractNumId="2" w15:restartNumberingAfterBreak="0">
    <w:nsid w:val="30EE449E"/>
    <w:multiLevelType w:val="hybridMultilevel"/>
    <w:tmpl w:val="3ECECA3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88501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8426481">
    <w:abstractNumId w:val="2"/>
  </w:num>
  <w:num w:numId="3" w16cid:durableId="771705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333A"/>
    <w:rsid w:val="00105CB4"/>
    <w:rsid w:val="00114803"/>
    <w:rsid w:val="002A2399"/>
    <w:rsid w:val="00450B3B"/>
    <w:rsid w:val="00481E0E"/>
    <w:rsid w:val="004D4B38"/>
    <w:rsid w:val="005171B7"/>
    <w:rsid w:val="005A333A"/>
    <w:rsid w:val="006649E2"/>
    <w:rsid w:val="006E79A9"/>
    <w:rsid w:val="00922074"/>
    <w:rsid w:val="00B33B3A"/>
    <w:rsid w:val="00B5304F"/>
    <w:rsid w:val="00C64B4F"/>
    <w:rsid w:val="00CA228B"/>
    <w:rsid w:val="00D50C68"/>
    <w:rsid w:val="00E95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407667"/>
  <w15:chartTrackingRefBased/>
  <w15:docId w15:val="{5FC4A4E1-D203-48C1-8829-F5885255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33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333A"/>
    <w:pPr>
      <w:tabs>
        <w:tab w:val="center" w:pos="4153"/>
        <w:tab w:val="right" w:pos="8306"/>
      </w:tabs>
    </w:pPr>
  </w:style>
  <w:style w:type="character" w:customStyle="1" w:styleId="a4">
    <w:name w:val="כותרת עליונה תו"/>
    <w:link w:val="a3"/>
    <w:rsid w:val="005A333A"/>
    <w:rPr>
      <w:rFonts w:ascii="Times New Roman" w:eastAsia="Times New Roman" w:hAnsi="Times New Roman" w:cs="David"/>
      <w:sz w:val="24"/>
      <w:szCs w:val="24"/>
    </w:rPr>
  </w:style>
  <w:style w:type="paragraph" w:styleId="a5">
    <w:name w:val="footer"/>
    <w:basedOn w:val="a"/>
    <w:link w:val="a6"/>
    <w:rsid w:val="005A333A"/>
    <w:pPr>
      <w:tabs>
        <w:tab w:val="center" w:pos="4153"/>
        <w:tab w:val="right" w:pos="8306"/>
      </w:tabs>
    </w:pPr>
  </w:style>
  <w:style w:type="character" w:customStyle="1" w:styleId="a6">
    <w:name w:val="כותרת תחתונה תו"/>
    <w:link w:val="a5"/>
    <w:rsid w:val="005A333A"/>
    <w:rPr>
      <w:rFonts w:ascii="Times New Roman" w:eastAsia="Times New Roman" w:hAnsi="Times New Roman" w:cs="David"/>
      <w:sz w:val="24"/>
      <w:szCs w:val="24"/>
    </w:rPr>
  </w:style>
  <w:style w:type="table" w:styleId="a7">
    <w:name w:val="Table Grid"/>
    <w:basedOn w:val="a1"/>
    <w:rsid w:val="005A33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333A"/>
  </w:style>
  <w:style w:type="paragraph" w:styleId="a9">
    <w:name w:val="List Paragraph"/>
    <w:basedOn w:val="a"/>
    <w:qFormat/>
    <w:rsid w:val="005A333A"/>
    <w:pPr>
      <w:ind w:left="720"/>
      <w:contextualSpacing/>
    </w:pPr>
  </w:style>
  <w:style w:type="character" w:styleId="Hyperlink">
    <w:name w:val="Hyperlink"/>
    <w:rsid w:val="004D4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7361147" TargetMode="External"/><Relationship Id="rId26" Type="http://schemas.openxmlformats.org/officeDocument/2006/relationships/hyperlink" Target="http://www.nevo.co.il/case/22938500" TargetMode="External"/><Relationship Id="rId3" Type="http://schemas.openxmlformats.org/officeDocument/2006/relationships/settings" Target="settings.xml"/><Relationship Id="rId21" Type="http://schemas.openxmlformats.org/officeDocument/2006/relationships/hyperlink" Target="http://www.nevo.co.il/case/2709258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5698919" TargetMode="External"/><Relationship Id="rId25" Type="http://schemas.openxmlformats.org/officeDocument/2006/relationships/hyperlink" Target="http://www.nevo.co.il/case/10459128"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402486" TargetMode="External"/><Relationship Id="rId20" Type="http://schemas.openxmlformats.org/officeDocument/2006/relationships/hyperlink" Target="http://www.nevo.co.il/case/2634958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law/7030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3827604"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21477475"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8190928"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6991436" TargetMode="External"/><Relationship Id="rId22" Type="http://schemas.openxmlformats.org/officeDocument/2006/relationships/hyperlink" Target="http://www.nevo.co.il/case/27274743" TargetMode="External"/><Relationship Id="rId27" Type="http://schemas.openxmlformats.org/officeDocument/2006/relationships/hyperlink" Target="http://www.nevo.co.il/safrut/book/3003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1728</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10353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3539062</vt:i4>
      </vt:variant>
      <vt:variant>
        <vt:i4>66</vt:i4>
      </vt:variant>
      <vt:variant>
        <vt:i4>0</vt:i4>
      </vt:variant>
      <vt:variant>
        <vt:i4>5</vt:i4>
      </vt:variant>
      <vt:variant>
        <vt:lpwstr>http://www.nevo.co.il/case/21477475</vt:lpwstr>
      </vt:variant>
      <vt:variant>
        <vt:lpwstr/>
      </vt:variant>
      <vt:variant>
        <vt:i4>7471155</vt:i4>
      </vt:variant>
      <vt:variant>
        <vt:i4>63</vt:i4>
      </vt:variant>
      <vt:variant>
        <vt:i4>0</vt:i4>
      </vt:variant>
      <vt:variant>
        <vt:i4>5</vt:i4>
      </vt:variant>
      <vt:variant>
        <vt:lpwstr>http://www.nevo.co.il/safrut/book/30035</vt:lpwstr>
      </vt:variant>
      <vt:variant>
        <vt:lpwstr/>
      </vt:variant>
      <vt:variant>
        <vt:i4>3342448</vt:i4>
      </vt:variant>
      <vt:variant>
        <vt:i4>60</vt:i4>
      </vt:variant>
      <vt:variant>
        <vt:i4>0</vt:i4>
      </vt:variant>
      <vt:variant>
        <vt:i4>5</vt:i4>
      </vt:variant>
      <vt:variant>
        <vt:lpwstr>http://www.nevo.co.il/case/22938500</vt:lpwstr>
      </vt:variant>
      <vt:variant>
        <vt:lpwstr/>
      </vt:variant>
      <vt:variant>
        <vt:i4>4063344</vt:i4>
      </vt:variant>
      <vt:variant>
        <vt:i4>57</vt:i4>
      </vt:variant>
      <vt:variant>
        <vt:i4>0</vt:i4>
      </vt:variant>
      <vt:variant>
        <vt:i4>5</vt:i4>
      </vt:variant>
      <vt:variant>
        <vt:lpwstr>http://www.nevo.co.il/case/10459128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3145843</vt:i4>
      </vt:variant>
      <vt:variant>
        <vt:i4>48</vt:i4>
      </vt:variant>
      <vt:variant>
        <vt:i4>0</vt:i4>
      </vt:variant>
      <vt:variant>
        <vt:i4>5</vt:i4>
      </vt:variant>
      <vt:variant>
        <vt:lpwstr>http://www.nevo.co.il/case/27274743</vt:lpwstr>
      </vt:variant>
      <vt:variant>
        <vt:lpwstr/>
      </vt:variant>
      <vt:variant>
        <vt:i4>3670143</vt:i4>
      </vt:variant>
      <vt:variant>
        <vt:i4>45</vt:i4>
      </vt:variant>
      <vt:variant>
        <vt:i4>0</vt:i4>
      </vt:variant>
      <vt:variant>
        <vt:i4>5</vt:i4>
      </vt:variant>
      <vt:variant>
        <vt:lpwstr>http://www.nevo.co.il/case/27092586</vt:lpwstr>
      </vt:variant>
      <vt:variant>
        <vt:lpwstr/>
      </vt:variant>
      <vt:variant>
        <vt:i4>3145843</vt:i4>
      </vt:variant>
      <vt:variant>
        <vt:i4>42</vt:i4>
      </vt:variant>
      <vt:variant>
        <vt:i4>0</vt:i4>
      </vt:variant>
      <vt:variant>
        <vt:i4>5</vt:i4>
      </vt:variant>
      <vt:variant>
        <vt:lpwstr>http://www.nevo.co.il/case/26349587</vt:lpwstr>
      </vt:variant>
      <vt:variant>
        <vt:lpwstr/>
      </vt:variant>
      <vt:variant>
        <vt:i4>3211388</vt:i4>
      </vt:variant>
      <vt:variant>
        <vt:i4>39</vt:i4>
      </vt:variant>
      <vt:variant>
        <vt:i4>0</vt:i4>
      </vt:variant>
      <vt:variant>
        <vt:i4>5</vt:i4>
      </vt:variant>
      <vt:variant>
        <vt:lpwstr>http://www.nevo.co.il/case/28190928</vt:lpwstr>
      </vt:variant>
      <vt:variant>
        <vt:lpwstr/>
      </vt:variant>
      <vt:variant>
        <vt:i4>3407988</vt:i4>
      </vt:variant>
      <vt:variant>
        <vt:i4>36</vt:i4>
      </vt:variant>
      <vt:variant>
        <vt:i4>0</vt:i4>
      </vt:variant>
      <vt:variant>
        <vt:i4>5</vt:i4>
      </vt:variant>
      <vt:variant>
        <vt:lpwstr>http://www.nevo.co.il/case/27361147</vt:lpwstr>
      </vt:variant>
      <vt:variant>
        <vt:lpwstr/>
      </vt:variant>
      <vt:variant>
        <vt:i4>3932283</vt:i4>
      </vt:variant>
      <vt:variant>
        <vt:i4>33</vt:i4>
      </vt:variant>
      <vt:variant>
        <vt:i4>0</vt:i4>
      </vt:variant>
      <vt:variant>
        <vt:i4>5</vt:i4>
      </vt:variant>
      <vt:variant>
        <vt:lpwstr>http://www.nevo.co.il/case/5698919</vt:lpwstr>
      </vt:variant>
      <vt:variant>
        <vt:lpwstr/>
      </vt:variant>
      <vt:variant>
        <vt:i4>3932272</vt:i4>
      </vt:variant>
      <vt:variant>
        <vt:i4>30</vt:i4>
      </vt:variant>
      <vt:variant>
        <vt:i4>0</vt:i4>
      </vt:variant>
      <vt:variant>
        <vt:i4>5</vt:i4>
      </vt:variant>
      <vt:variant>
        <vt:lpwstr>http://www.nevo.co.il/case/20402486</vt:lpwstr>
      </vt:variant>
      <vt:variant>
        <vt:lpwstr/>
      </vt:variant>
      <vt:variant>
        <vt:i4>3997811</vt:i4>
      </vt:variant>
      <vt:variant>
        <vt:i4>27</vt:i4>
      </vt:variant>
      <vt:variant>
        <vt:i4>0</vt:i4>
      </vt:variant>
      <vt:variant>
        <vt:i4>5</vt:i4>
      </vt:variant>
      <vt:variant>
        <vt:lpwstr>http://www.nevo.co.il/case/23827604</vt:lpwstr>
      </vt:variant>
      <vt:variant>
        <vt:lpwstr/>
      </vt:variant>
      <vt:variant>
        <vt:i4>3735679</vt:i4>
      </vt:variant>
      <vt:variant>
        <vt:i4>24</vt:i4>
      </vt:variant>
      <vt:variant>
        <vt:i4>0</vt:i4>
      </vt:variant>
      <vt:variant>
        <vt:i4>5</vt:i4>
      </vt:variant>
      <vt:variant>
        <vt:lpwstr>http://www.nevo.co.il/case/26991436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2025-04-23T01:33:00Z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24748</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משה פומרנץ</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20230711</vt:lpwstr>
  </property>
  <property fmtid="{D5CDD505-2E9C-101B-9397-08002B2CF9AE}" pid="13" name="TYPE_N_DATE">
    <vt:lpwstr>38020230711</vt:lpwstr>
  </property>
  <property fmtid="{D5CDD505-2E9C-101B-9397-08002B2CF9AE}" pid="14" name="WORDNUMPAGES">
    <vt:lpwstr>5</vt:lpwstr>
  </property>
  <property fmtid="{D5CDD505-2E9C-101B-9397-08002B2CF9AE}" pid="15" name="TYPE_ABS_DATE">
    <vt:lpwstr>380020230711</vt:lpwstr>
  </property>
  <property fmtid="{D5CDD505-2E9C-101B-9397-08002B2CF9AE}" pid="16" name="ISABSTRACT">
    <vt:lpwstr>Y</vt:lpwstr>
  </property>
  <property fmtid="{D5CDD505-2E9C-101B-9397-08002B2CF9AE}" pid="17" name="CASESLISTTMP1">
    <vt:lpwstr>26991436;23827604;20402486;5698919;27361147;28190928;26349587;27092586;27274743;10459128;22938500;21477475</vt:lpwstr>
  </property>
  <property fmtid="{D5CDD505-2E9C-101B-9397-08002B2CF9AE}" pid="18" name="BOOKLISTTMP1">
    <vt:lpwstr>30035</vt:lpwstr>
  </property>
  <property fmtid="{D5CDD505-2E9C-101B-9397-08002B2CF9AE}" pid="19" name="LAWLISTTMP1">
    <vt:lpwstr>4216/007.a;007.c</vt:lpwstr>
  </property>
  <property fmtid="{D5CDD505-2E9C-101B-9397-08002B2CF9AE}" pid="20" name="LAWLISTTMP2">
    <vt:lpwstr>70301/040d</vt:lpwstr>
  </property>
</Properties>
</file>