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C31DB" w14:textId="77777777" w:rsidR="00071C29" w:rsidRPr="00301527" w:rsidRDefault="00071C29" w:rsidP="00071C29">
      <w:pPr>
        <w:pStyle w:val="a3"/>
        <w:rPr>
          <w:rFonts w:hint="cs"/>
          <w:rtl/>
        </w:rPr>
      </w:pPr>
      <w:bookmarkStart w:id="0" w:name="LastJudge"/>
    </w:p>
    <w:tbl>
      <w:tblPr>
        <w:bidiVisual/>
        <w:tblW w:w="8820" w:type="dxa"/>
        <w:jc w:val="center"/>
        <w:tblLook w:val="0000" w:firstRow="0" w:lastRow="0" w:firstColumn="0" w:lastColumn="0" w:noHBand="0" w:noVBand="0"/>
      </w:tblPr>
      <w:tblGrid>
        <w:gridCol w:w="923"/>
        <w:gridCol w:w="3219"/>
        <w:gridCol w:w="919"/>
        <w:gridCol w:w="3660"/>
        <w:gridCol w:w="99"/>
      </w:tblGrid>
      <w:tr w:rsidR="00665E06" w:rsidRPr="00301527" w14:paraId="200D4E17" w14:textId="77777777" w:rsidTr="00301527">
        <w:trPr>
          <w:gridAfter w:val="1"/>
          <w:wAfter w:w="99" w:type="dxa"/>
          <w:trHeight w:hRule="exact" w:val="418"/>
          <w:jc w:val="center"/>
        </w:trPr>
        <w:tc>
          <w:tcPr>
            <w:tcW w:w="8721" w:type="dxa"/>
            <w:gridSpan w:val="4"/>
          </w:tcPr>
          <w:p w14:paraId="7CC15601" w14:textId="77777777" w:rsidR="00665E06" w:rsidRPr="00301527" w:rsidRDefault="00665E06" w:rsidP="004B5298">
            <w:pPr>
              <w:pStyle w:val="a3"/>
              <w:jc w:val="center"/>
              <w:rPr>
                <w:rFonts w:ascii="Tahoma" w:hAnsi="Tahoma"/>
                <w:color w:val="000080"/>
                <w:rtl/>
              </w:rPr>
            </w:pPr>
            <w:r w:rsidRPr="00301527">
              <w:rPr>
                <w:rFonts w:ascii="Tahoma" w:hAnsi="Tahoma"/>
                <w:b/>
                <w:bCs/>
                <w:color w:val="000080"/>
                <w:rtl/>
              </w:rPr>
              <w:t>בית משפט השלום בתל אביב -יפו</w:t>
            </w:r>
          </w:p>
        </w:tc>
      </w:tr>
      <w:tr w:rsidR="00665E06" w:rsidRPr="00301527" w14:paraId="6029AD94" w14:textId="77777777" w:rsidTr="00301527">
        <w:trPr>
          <w:gridAfter w:val="1"/>
          <w:wAfter w:w="99" w:type="dxa"/>
          <w:trHeight w:val="337"/>
          <w:jc w:val="center"/>
        </w:trPr>
        <w:tc>
          <w:tcPr>
            <w:tcW w:w="5061" w:type="dxa"/>
            <w:gridSpan w:val="3"/>
          </w:tcPr>
          <w:p w14:paraId="39798739" w14:textId="77777777" w:rsidR="00665E06" w:rsidRPr="00301527" w:rsidRDefault="00665E06" w:rsidP="004B5298">
            <w:pPr>
              <w:rPr>
                <w:sz w:val="28"/>
                <w:szCs w:val="28"/>
                <w:rtl/>
              </w:rPr>
            </w:pPr>
            <w:r w:rsidRPr="00301527">
              <w:rPr>
                <w:sz w:val="28"/>
                <w:szCs w:val="28"/>
                <w:rtl/>
              </w:rPr>
              <w:t>ת"פ</w:t>
            </w:r>
            <w:r w:rsidRPr="00301527">
              <w:rPr>
                <w:rFonts w:hint="cs"/>
                <w:sz w:val="28"/>
                <w:szCs w:val="28"/>
                <w:rtl/>
              </w:rPr>
              <w:t xml:space="preserve"> </w:t>
            </w:r>
            <w:r w:rsidRPr="00301527">
              <w:rPr>
                <w:sz w:val="28"/>
                <w:szCs w:val="28"/>
                <w:rtl/>
              </w:rPr>
              <w:t>59888-08-22</w:t>
            </w:r>
            <w:r w:rsidRPr="00301527">
              <w:rPr>
                <w:rFonts w:hint="cs"/>
                <w:sz w:val="28"/>
                <w:szCs w:val="28"/>
                <w:rtl/>
              </w:rPr>
              <w:t xml:space="preserve"> </w:t>
            </w:r>
            <w:r w:rsidRPr="00301527">
              <w:rPr>
                <w:sz w:val="28"/>
                <w:szCs w:val="28"/>
                <w:rtl/>
              </w:rPr>
              <w:t>מדינת ישראל נ' פודובדוב(עציר)</w:t>
            </w:r>
          </w:p>
          <w:p w14:paraId="06455866" w14:textId="77777777" w:rsidR="00665E06" w:rsidRPr="00301527" w:rsidRDefault="00665E06" w:rsidP="004B5298">
            <w:pPr>
              <w:pStyle w:val="a3"/>
              <w:rPr>
                <w:sz w:val="28"/>
                <w:szCs w:val="28"/>
                <w:rtl/>
              </w:rPr>
            </w:pPr>
          </w:p>
        </w:tc>
        <w:tc>
          <w:tcPr>
            <w:tcW w:w="3660" w:type="dxa"/>
          </w:tcPr>
          <w:p w14:paraId="2D5CE77F" w14:textId="77777777" w:rsidR="00665E06" w:rsidRPr="00301527" w:rsidRDefault="00665E06" w:rsidP="004B5298">
            <w:pPr>
              <w:pStyle w:val="a3"/>
              <w:jc w:val="right"/>
              <w:rPr>
                <w:sz w:val="28"/>
                <w:szCs w:val="28"/>
                <w:rtl/>
              </w:rPr>
            </w:pPr>
          </w:p>
        </w:tc>
      </w:tr>
      <w:tr w:rsidR="00665E06" w:rsidRPr="00301527" w14:paraId="4FF71D22" w14:textId="77777777" w:rsidTr="003015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9F4FAAE" w14:textId="77777777" w:rsidR="00665E06" w:rsidRPr="00301527" w:rsidRDefault="00665E06" w:rsidP="00665E06">
            <w:pPr>
              <w:jc w:val="both"/>
              <w:rPr>
                <w:rFonts w:ascii="David" w:hAnsi="David"/>
                <w:sz w:val="26"/>
                <w:szCs w:val="26"/>
              </w:rPr>
            </w:pPr>
            <w:r w:rsidRPr="00301527">
              <w:rPr>
                <w:rFonts w:hint="cs"/>
                <w:rtl/>
              </w:rPr>
              <w:t xml:space="preserve"> </w:t>
            </w:r>
            <w:r w:rsidRPr="00301527">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641BEFB" w14:textId="77777777" w:rsidR="00665E06" w:rsidRPr="00301527" w:rsidRDefault="00665E06" w:rsidP="004B5298">
            <w:pPr>
              <w:rPr>
                <w:rFonts w:ascii="David" w:hAnsi="David"/>
                <w:b/>
                <w:bCs/>
                <w:sz w:val="26"/>
                <w:szCs w:val="26"/>
                <w:rtl/>
              </w:rPr>
            </w:pPr>
            <w:r w:rsidRPr="00301527">
              <w:rPr>
                <w:rFonts w:ascii="David" w:hAnsi="David"/>
                <w:b/>
                <w:bCs/>
                <w:sz w:val="26"/>
                <w:szCs w:val="26"/>
                <w:rtl/>
              </w:rPr>
              <w:t>כבוד השופט  שמאי בקר</w:t>
            </w:r>
          </w:p>
          <w:p w14:paraId="23484787" w14:textId="77777777" w:rsidR="00665E06" w:rsidRPr="00301527" w:rsidRDefault="00665E06" w:rsidP="004B5298">
            <w:pPr>
              <w:rPr>
                <w:rFonts w:ascii="David" w:hAnsi="David"/>
                <w:sz w:val="26"/>
                <w:szCs w:val="26"/>
                <w:rtl/>
              </w:rPr>
            </w:pPr>
          </w:p>
          <w:p w14:paraId="26ECBD31" w14:textId="77777777" w:rsidR="00665E06" w:rsidRPr="00301527" w:rsidRDefault="00665E06" w:rsidP="00665E06">
            <w:pPr>
              <w:jc w:val="both"/>
              <w:rPr>
                <w:rFonts w:ascii="David" w:hAnsi="David"/>
                <w:sz w:val="26"/>
                <w:szCs w:val="26"/>
                <w:rtl/>
              </w:rPr>
            </w:pPr>
          </w:p>
          <w:p w14:paraId="6322CEA6" w14:textId="77777777" w:rsidR="00665E06" w:rsidRPr="00301527" w:rsidRDefault="00665E06" w:rsidP="00665E06">
            <w:pPr>
              <w:jc w:val="both"/>
              <w:rPr>
                <w:rFonts w:ascii="David" w:hAnsi="David"/>
                <w:sz w:val="26"/>
                <w:szCs w:val="26"/>
                <w:rtl/>
              </w:rPr>
            </w:pPr>
          </w:p>
          <w:p w14:paraId="495EABF1" w14:textId="77777777" w:rsidR="00665E06" w:rsidRPr="00301527" w:rsidRDefault="00665E06" w:rsidP="00665E06">
            <w:pPr>
              <w:jc w:val="both"/>
              <w:rPr>
                <w:rFonts w:ascii="David" w:hAnsi="David"/>
                <w:sz w:val="26"/>
                <w:szCs w:val="26"/>
              </w:rPr>
            </w:pPr>
          </w:p>
        </w:tc>
      </w:tr>
      <w:tr w:rsidR="00665E06" w:rsidRPr="00301527" w14:paraId="49394B18" w14:textId="77777777" w:rsidTr="003015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625805C" w14:textId="77777777" w:rsidR="00665E06" w:rsidRPr="00301527" w:rsidRDefault="00665E06" w:rsidP="00665E06">
            <w:pPr>
              <w:jc w:val="both"/>
              <w:rPr>
                <w:rFonts w:ascii="David" w:hAnsi="David"/>
                <w:sz w:val="26"/>
                <w:szCs w:val="26"/>
              </w:rPr>
            </w:pPr>
            <w:bookmarkStart w:id="1" w:name="FirstAppellant"/>
            <w:bookmarkStart w:id="2" w:name="FirstLawyer"/>
            <w:r w:rsidRPr="00301527">
              <w:rPr>
                <w:rFonts w:ascii="David" w:hAnsi="David"/>
                <w:sz w:val="26"/>
                <w:szCs w:val="26"/>
                <w:rtl/>
              </w:rPr>
              <w:t>בעניין:</w:t>
            </w:r>
          </w:p>
        </w:tc>
        <w:tc>
          <w:tcPr>
            <w:tcW w:w="3219" w:type="dxa"/>
            <w:tcBorders>
              <w:top w:val="nil"/>
              <w:left w:val="nil"/>
              <w:bottom w:val="nil"/>
              <w:right w:val="nil"/>
            </w:tcBorders>
            <w:shd w:val="clear" w:color="auto" w:fill="auto"/>
          </w:tcPr>
          <w:p w14:paraId="77BA2F8C" w14:textId="77777777" w:rsidR="00665E06" w:rsidRPr="00301527" w:rsidRDefault="00665E06" w:rsidP="00665E06">
            <w:pPr>
              <w:suppressLineNumbers/>
            </w:pPr>
            <w:r w:rsidRPr="00301527">
              <w:rPr>
                <w:rFonts w:ascii="Arial" w:hAnsi="Arial" w:hint="cs"/>
                <w:b/>
                <w:bCs/>
                <w:sz w:val="26"/>
                <w:szCs w:val="26"/>
                <w:rtl/>
              </w:rPr>
              <w:t>מאשימה:</w:t>
            </w:r>
          </w:p>
          <w:p w14:paraId="3CBEFDCE" w14:textId="77777777" w:rsidR="00665E06" w:rsidRPr="00301527" w:rsidRDefault="00665E06" w:rsidP="004B529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61B89B4" w14:textId="77777777" w:rsidR="00665E06" w:rsidRPr="00301527" w:rsidRDefault="00665E06" w:rsidP="00665E06">
            <w:pPr>
              <w:suppressLineNumbers/>
              <w:rPr>
                <w:rFonts w:ascii="Arial" w:hAnsi="Arial"/>
                <w:b/>
                <w:bCs/>
                <w:sz w:val="26"/>
                <w:szCs w:val="26"/>
                <w:rtl/>
              </w:rPr>
            </w:pPr>
            <w:r w:rsidRPr="00301527">
              <w:rPr>
                <w:rFonts w:ascii="Arial" w:hAnsi="Arial"/>
                <w:b/>
                <w:bCs/>
                <w:sz w:val="26"/>
                <w:szCs w:val="26"/>
                <w:rtl/>
              </w:rPr>
              <w:t>מדינת ישראל</w:t>
            </w:r>
            <w:r w:rsidRPr="00301527">
              <w:rPr>
                <w:rFonts w:ascii="Arial" w:hAnsi="Arial" w:hint="cs"/>
                <w:b/>
                <w:bCs/>
                <w:sz w:val="26"/>
                <w:szCs w:val="26"/>
                <w:rtl/>
              </w:rPr>
              <w:t xml:space="preserve"> </w:t>
            </w:r>
          </w:p>
          <w:p w14:paraId="697E64E7" w14:textId="77777777" w:rsidR="00665E06" w:rsidRPr="00301527" w:rsidRDefault="00665E06" w:rsidP="00665E06">
            <w:pPr>
              <w:suppressLineNumbers/>
            </w:pPr>
            <w:r w:rsidRPr="00301527">
              <w:rPr>
                <w:rFonts w:ascii="Arial" w:hAnsi="Arial"/>
                <w:rtl/>
              </w:rPr>
              <w:t>ע"י ב"כ עוה"ד</w:t>
            </w:r>
            <w:r w:rsidRPr="00301527">
              <w:rPr>
                <w:rFonts w:hint="cs"/>
                <w:rtl/>
              </w:rPr>
              <w:t xml:space="preserve"> שרונה שטאובר ואמין טרבייה</w:t>
            </w:r>
          </w:p>
          <w:p w14:paraId="30F1D9B2" w14:textId="77777777" w:rsidR="00665E06" w:rsidRPr="00301527" w:rsidRDefault="00665E06" w:rsidP="004B5298">
            <w:pPr>
              <w:rPr>
                <w:rFonts w:ascii="David" w:hAnsi="David"/>
                <w:sz w:val="26"/>
                <w:szCs w:val="26"/>
              </w:rPr>
            </w:pPr>
            <w:r w:rsidRPr="00301527">
              <w:rPr>
                <w:rFonts w:ascii="David" w:hAnsi="David" w:hint="cs"/>
                <w:sz w:val="26"/>
                <w:szCs w:val="26"/>
                <w:rtl/>
              </w:rPr>
              <w:t>פמת"א (פלילי)</w:t>
            </w:r>
          </w:p>
        </w:tc>
      </w:tr>
      <w:bookmarkEnd w:id="1"/>
      <w:bookmarkEnd w:id="2"/>
      <w:tr w:rsidR="00665E06" w:rsidRPr="00301527" w14:paraId="41F88FD4" w14:textId="77777777" w:rsidTr="003015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602B1DC" w14:textId="77777777" w:rsidR="00665E06" w:rsidRPr="00301527" w:rsidRDefault="00665E06" w:rsidP="00665E0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06E0C1B" w14:textId="77777777" w:rsidR="00665E06" w:rsidRPr="00301527" w:rsidRDefault="00665E06" w:rsidP="00665E06">
            <w:pPr>
              <w:jc w:val="center"/>
              <w:rPr>
                <w:rFonts w:ascii="David" w:hAnsi="David"/>
                <w:b/>
                <w:bCs/>
                <w:sz w:val="26"/>
                <w:szCs w:val="26"/>
                <w:rtl/>
              </w:rPr>
            </w:pPr>
          </w:p>
          <w:p w14:paraId="38D330B7" w14:textId="77777777" w:rsidR="00665E06" w:rsidRPr="00301527" w:rsidRDefault="00665E06" w:rsidP="00665E06">
            <w:pPr>
              <w:jc w:val="center"/>
              <w:rPr>
                <w:rFonts w:ascii="David" w:hAnsi="David"/>
                <w:b/>
                <w:bCs/>
                <w:sz w:val="26"/>
                <w:szCs w:val="26"/>
                <w:rtl/>
              </w:rPr>
            </w:pPr>
          </w:p>
          <w:p w14:paraId="1900AC35" w14:textId="77777777" w:rsidR="00665E06" w:rsidRPr="00301527" w:rsidRDefault="00665E06" w:rsidP="00665E06">
            <w:pPr>
              <w:jc w:val="center"/>
              <w:rPr>
                <w:rFonts w:ascii="David" w:hAnsi="David"/>
                <w:b/>
                <w:bCs/>
                <w:sz w:val="26"/>
                <w:szCs w:val="26"/>
                <w:rtl/>
              </w:rPr>
            </w:pPr>
            <w:r w:rsidRPr="00301527">
              <w:rPr>
                <w:rFonts w:ascii="David" w:hAnsi="David"/>
                <w:b/>
                <w:bCs/>
                <w:sz w:val="26"/>
                <w:szCs w:val="26"/>
                <w:rtl/>
              </w:rPr>
              <w:t>נגד</w:t>
            </w:r>
          </w:p>
          <w:p w14:paraId="49DB2AEB" w14:textId="77777777" w:rsidR="00665E06" w:rsidRPr="00301527" w:rsidRDefault="00665E06" w:rsidP="00665E06">
            <w:pPr>
              <w:jc w:val="both"/>
              <w:rPr>
                <w:rFonts w:ascii="David" w:hAnsi="David"/>
                <w:sz w:val="26"/>
                <w:szCs w:val="26"/>
                <w:rtl/>
              </w:rPr>
            </w:pPr>
          </w:p>
          <w:p w14:paraId="780A6604" w14:textId="77777777" w:rsidR="00665E06" w:rsidRPr="00301527" w:rsidRDefault="00665E06" w:rsidP="00665E06">
            <w:pPr>
              <w:jc w:val="both"/>
              <w:rPr>
                <w:rFonts w:ascii="David" w:hAnsi="David"/>
                <w:sz w:val="26"/>
                <w:szCs w:val="26"/>
              </w:rPr>
            </w:pPr>
          </w:p>
        </w:tc>
      </w:tr>
      <w:tr w:rsidR="00665E06" w:rsidRPr="00301527" w14:paraId="043B7972" w14:textId="77777777" w:rsidTr="0030152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7B292E7" w14:textId="77777777" w:rsidR="00665E06" w:rsidRPr="00301527" w:rsidRDefault="00665E06" w:rsidP="004B5298">
            <w:pPr>
              <w:rPr>
                <w:rFonts w:ascii="David" w:hAnsi="David"/>
                <w:sz w:val="26"/>
                <w:szCs w:val="26"/>
                <w:rtl/>
              </w:rPr>
            </w:pPr>
          </w:p>
        </w:tc>
        <w:tc>
          <w:tcPr>
            <w:tcW w:w="3219" w:type="dxa"/>
            <w:tcBorders>
              <w:top w:val="nil"/>
              <w:left w:val="nil"/>
              <w:bottom w:val="nil"/>
              <w:right w:val="nil"/>
            </w:tcBorders>
            <w:shd w:val="clear" w:color="auto" w:fill="auto"/>
          </w:tcPr>
          <w:p w14:paraId="18BA8E6C" w14:textId="77777777" w:rsidR="00665E06" w:rsidRPr="00301527" w:rsidRDefault="00665E06" w:rsidP="004B5298">
            <w:pPr>
              <w:rPr>
                <w:rFonts w:ascii="Arial" w:hAnsi="Arial"/>
                <w:b/>
                <w:bCs/>
                <w:sz w:val="26"/>
                <w:szCs w:val="26"/>
                <w:rtl/>
              </w:rPr>
            </w:pPr>
            <w:r w:rsidRPr="00301527">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14:paraId="47F68B4B" w14:textId="77777777" w:rsidR="00665E06" w:rsidRPr="00301527" w:rsidRDefault="00665E06" w:rsidP="00665E06">
            <w:pPr>
              <w:suppressLineNumbers/>
              <w:rPr>
                <w:rFonts w:ascii="Arial" w:hAnsi="Arial"/>
                <w:b/>
                <w:bCs/>
                <w:sz w:val="26"/>
                <w:szCs w:val="26"/>
                <w:rtl/>
              </w:rPr>
            </w:pPr>
            <w:r w:rsidRPr="00301527">
              <w:rPr>
                <w:rFonts w:ascii="Arial" w:hAnsi="Arial"/>
                <w:b/>
                <w:bCs/>
                <w:sz w:val="26"/>
                <w:szCs w:val="26"/>
                <w:rtl/>
              </w:rPr>
              <w:t>ולדימיר פודובדוב (עציר)</w:t>
            </w:r>
            <w:r w:rsidRPr="00301527">
              <w:rPr>
                <w:rFonts w:ascii="Arial" w:hAnsi="Arial" w:hint="cs"/>
                <w:b/>
                <w:bCs/>
                <w:sz w:val="26"/>
                <w:szCs w:val="26"/>
                <w:rtl/>
              </w:rPr>
              <w:t xml:space="preserve"> </w:t>
            </w:r>
          </w:p>
          <w:p w14:paraId="584A8FB7" w14:textId="77777777" w:rsidR="00665E06" w:rsidRPr="00301527" w:rsidRDefault="00665E06" w:rsidP="00665E06">
            <w:pPr>
              <w:suppressLineNumbers/>
            </w:pPr>
            <w:r w:rsidRPr="00301527">
              <w:rPr>
                <w:rFonts w:ascii="Arial" w:hAnsi="Arial"/>
                <w:rtl/>
              </w:rPr>
              <w:t>ע"י ב"כ עוה"ד</w:t>
            </w:r>
            <w:r w:rsidRPr="00301527">
              <w:rPr>
                <w:rFonts w:hint="cs"/>
                <w:rtl/>
              </w:rPr>
              <w:t xml:space="preserve"> עדן פוליטקין, סנג"צ</w:t>
            </w:r>
          </w:p>
          <w:p w14:paraId="3F7846A8" w14:textId="77777777" w:rsidR="00665E06" w:rsidRPr="00301527" w:rsidRDefault="00665E06" w:rsidP="004B5298">
            <w:pPr>
              <w:rPr>
                <w:rFonts w:ascii="David" w:hAnsi="David"/>
                <w:sz w:val="26"/>
                <w:szCs w:val="26"/>
              </w:rPr>
            </w:pPr>
          </w:p>
        </w:tc>
      </w:tr>
    </w:tbl>
    <w:p w14:paraId="78AEB8CB" w14:textId="77777777" w:rsidR="00301527" w:rsidRPr="00301527" w:rsidRDefault="00301527" w:rsidP="00301527">
      <w:pPr>
        <w:pStyle w:val="a3"/>
        <w:spacing w:before="120" w:after="120" w:line="240" w:lineRule="exact"/>
        <w:ind w:left="283" w:hanging="283"/>
        <w:jc w:val="both"/>
        <w:rPr>
          <w:rFonts w:ascii="FrankRuehl" w:hAnsi="FrankRuehl"/>
          <w:rtl/>
        </w:rPr>
      </w:pPr>
    </w:p>
    <w:p w14:paraId="61F42E4B" w14:textId="77777777" w:rsidR="00301527" w:rsidRPr="00301527" w:rsidRDefault="00301527" w:rsidP="00301527">
      <w:pPr>
        <w:spacing w:before="120" w:after="120" w:line="240" w:lineRule="exact"/>
        <w:ind w:left="283" w:hanging="283"/>
        <w:jc w:val="both"/>
        <w:rPr>
          <w:rFonts w:ascii="FrankRuehl" w:hAnsi="FrankRuehl" w:cs="FrankRuehl"/>
          <w:rtl/>
        </w:rPr>
      </w:pPr>
    </w:p>
    <w:p w14:paraId="6FA0D879" w14:textId="77777777" w:rsidR="00B820F6" w:rsidRPr="00B820F6" w:rsidRDefault="00B820F6" w:rsidP="00B820F6">
      <w:pPr>
        <w:spacing w:before="120" w:after="120" w:line="240" w:lineRule="exact"/>
        <w:ind w:left="283" w:hanging="283"/>
        <w:jc w:val="both"/>
        <w:rPr>
          <w:rFonts w:ascii="FrankRuehl" w:hAnsi="FrankRuehl" w:cs="FrankRuehl"/>
          <w:rtl/>
        </w:rPr>
      </w:pPr>
    </w:p>
    <w:p w14:paraId="089D8303" w14:textId="77777777" w:rsidR="00097609" w:rsidRDefault="00097609" w:rsidP="00097609">
      <w:pPr>
        <w:rPr>
          <w:sz w:val="26"/>
          <w:szCs w:val="26"/>
          <w:rtl/>
        </w:rPr>
      </w:pPr>
      <w:bookmarkStart w:id="3" w:name="LawTable"/>
      <w:bookmarkEnd w:id="3"/>
    </w:p>
    <w:p w14:paraId="1DB7B0AE" w14:textId="77777777" w:rsidR="00097609" w:rsidRPr="00097609" w:rsidRDefault="00097609" w:rsidP="00097609">
      <w:pPr>
        <w:spacing w:before="120" w:after="120" w:line="240" w:lineRule="exact"/>
        <w:ind w:left="283" w:hanging="283"/>
        <w:jc w:val="both"/>
        <w:rPr>
          <w:rFonts w:ascii="FrankRuehl" w:hAnsi="FrankRuehl" w:cs="FrankRuehl"/>
          <w:rtl/>
        </w:rPr>
      </w:pPr>
    </w:p>
    <w:p w14:paraId="2B01CB98" w14:textId="77777777" w:rsidR="00097609" w:rsidRPr="00097609" w:rsidRDefault="00097609" w:rsidP="00097609">
      <w:pPr>
        <w:spacing w:before="120" w:after="120" w:line="240" w:lineRule="exact"/>
        <w:ind w:left="283" w:hanging="283"/>
        <w:jc w:val="both"/>
        <w:rPr>
          <w:rFonts w:ascii="FrankRuehl" w:hAnsi="FrankRuehl" w:cs="FrankRuehl"/>
          <w:rtl/>
        </w:rPr>
      </w:pPr>
    </w:p>
    <w:p w14:paraId="7EEC4B86" w14:textId="77777777" w:rsidR="00097609" w:rsidRPr="00097609" w:rsidRDefault="00097609" w:rsidP="00097609">
      <w:pPr>
        <w:spacing w:before="120" w:after="120" w:line="240" w:lineRule="exact"/>
        <w:ind w:left="283" w:hanging="283"/>
        <w:jc w:val="both"/>
        <w:rPr>
          <w:rFonts w:ascii="FrankRuehl" w:hAnsi="FrankRuehl" w:cs="FrankRuehl"/>
          <w:rtl/>
        </w:rPr>
      </w:pPr>
      <w:r w:rsidRPr="00097609">
        <w:rPr>
          <w:rFonts w:ascii="FrankRuehl" w:hAnsi="FrankRuehl" w:cs="FrankRuehl"/>
          <w:rtl/>
        </w:rPr>
        <w:t xml:space="preserve">חקיקה שאוזכרה: </w:t>
      </w:r>
    </w:p>
    <w:p w14:paraId="4A1A548E" w14:textId="77777777" w:rsidR="00097609" w:rsidRPr="00097609" w:rsidRDefault="00097609" w:rsidP="00097609">
      <w:pPr>
        <w:spacing w:before="120" w:after="120" w:line="240" w:lineRule="exact"/>
        <w:ind w:left="283" w:hanging="283"/>
        <w:jc w:val="both"/>
        <w:rPr>
          <w:rFonts w:ascii="FrankRuehl" w:hAnsi="FrankRuehl" w:cs="FrankRuehl"/>
          <w:rtl/>
        </w:rPr>
      </w:pPr>
      <w:hyperlink r:id="rId7" w:history="1">
        <w:r w:rsidRPr="00097609">
          <w:rPr>
            <w:rFonts w:ascii="FrankRuehl" w:hAnsi="FrankRuehl" w:cs="FrankRuehl"/>
            <w:color w:val="0000FF"/>
            <w:rtl/>
          </w:rPr>
          <w:t>פקודת הסמים המסוכנים [נוסח חדש], תשל"ג-1973</w:t>
        </w:r>
      </w:hyperlink>
      <w:r w:rsidRPr="00097609">
        <w:rPr>
          <w:rFonts w:ascii="FrankRuehl" w:hAnsi="FrankRuehl" w:cs="FrankRuehl"/>
          <w:rtl/>
        </w:rPr>
        <w:t xml:space="preserve">: סע'  </w:t>
      </w:r>
      <w:hyperlink r:id="rId8" w:history="1">
        <w:r w:rsidRPr="00097609">
          <w:rPr>
            <w:rFonts w:ascii="FrankRuehl" w:hAnsi="FrankRuehl" w:cs="FrankRuehl"/>
            <w:color w:val="0000FF"/>
            <w:rtl/>
          </w:rPr>
          <w:t>7.א.</w:t>
        </w:r>
      </w:hyperlink>
      <w:r w:rsidRPr="00097609">
        <w:rPr>
          <w:rFonts w:ascii="FrankRuehl" w:hAnsi="FrankRuehl" w:cs="FrankRuehl"/>
          <w:rtl/>
        </w:rPr>
        <w:t xml:space="preserve">, </w:t>
      </w:r>
      <w:hyperlink r:id="rId9" w:history="1">
        <w:r w:rsidRPr="00097609">
          <w:rPr>
            <w:rFonts w:ascii="FrankRuehl" w:hAnsi="FrankRuehl" w:cs="FrankRuehl"/>
            <w:color w:val="0000FF"/>
            <w:rtl/>
          </w:rPr>
          <w:t>7.ג</w:t>
        </w:r>
      </w:hyperlink>
    </w:p>
    <w:p w14:paraId="6F2AB59B" w14:textId="77777777" w:rsidR="00097609" w:rsidRPr="00097609" w:rsidRDefault="00097609" w:rsidP="00097609">
      <w:pPr>
        <w:spacing w:before="120" w:after="120" w:line="240" w:lineRule="exact"/>
        <w:ind w:left="283" w:hanging="283"/>
        <w:jc w:val="both"/>
        <w:rPr>
          <w:rFonts w:ascii="FrankRuehl" w:hAnsi="FrankRuehl" w:cs="FrankRuehl"/>
          <w:rtl/>
        </w:rPr>
      </w:pPr>
      <w:hyperlink r:id="rId10" w:history="1">
        <w:r w:rsidRPr="00097609">
          <w:rPr>
            <w:rFonts w:ascii="FrankRuehl" w:hAnsi="FrankRuehl" w:cs="FrankRuehl"/>
            <w:color w:val="0000FF"/>
            <w:rtl/>
          </w:rPr>
          <w:t>חוק העונשין, תשל"ז-1977</w:t>
        </w:r>
      </w:hyperlink>
      <w:r w:rsidRPr="00097609">
        <w:rPr>
          <w:rFonts w:ascii="FrankRuehl" w:hAnsi="FrankRuehl" w:cs="FrankRuehl"/>
          <w:rtl/>
        </w:rPr>
        <w:t xml:space="preserve">: סע'  </w:t>
      </w:r>
      <w:hyperlink r:id="rId11" w:history="1">
        <w:r w:rsidRPr="00097609">
          <w:rPr>
            <w:rFonts w:ascii="FrankRuehl" w:hAnsi="FrankRuehl" w:cs="FrankRuehl"/>
            <w:color w:val="0000FF"/>
            <w:rtl/>
          </w:rPr>
          <w:t>29 (א)</w:t>
        </w:r>
      </w:hyperlink>
      <w:r w:rsidRPr="00097609">
        <w:rPr>
          <w:rFonts w:ascii="FrankRuehl" w:hAnsi="FrankRuehl" w:cs="FrankRuehl"/>
          <w:rtl/>
        </w:rPr>
        <w:t xml:space="preserve">, </w:t>
      </w:r>
      <w:hyperlink r:id="rId12" w:history="1">
        <w:r w:rsidRPr="00097609">
          <w:rPr>
            <w:rFonts w:ascii="FrankRuehl" w:hAnsi="FrankRuehl" w:cs="FrankRuehl"/>
            <w:color w:val="0000FF"/>
            <w:rtl/>
          </w:rPr>
          <w:t>186 (א)</w:t>
        </w:r>
      </w:hyperlink>
      <w:r w:rsidRPr="00097609">
        <w:rPr>
          <w:rFonts w:ascii="FrankRuehl" w:hAnsi="FrankRuehl" w:cs="FrankRuehl"/>
          <w:rtl/>
        </w:rPr>
        <w:t xml:space="preserve">, </w:t>
      </w:r>
      <w:hyperlink r:id="rId13" w:history="1">
        <w:r w:rsidRPr="00097609">
          <w:rPr>
            <w:rFonts w:ascii="FrankRuehl" w:hAnsi="FrankRuehl" w:cs="FrankRuehl"/>
            <w:color w:val="0000FF"/>
            <w:rtl/>
          </w:rPr>
          <w:t>384</w:t>
        </w:r>
      </w:hyperlink>
      <w:r w:rsidRPr="00097609">
        <w:rPr>
          <w:rFonts w:ascii="FrankRuehl" w:hAnsi="FrankRuehl" w:cs="FrankRuehl"/>
          <w:rtl/>
        </w:rPr>
        <w:t xml:space="preserve">, </w:t>
      </w:r>
      <w:hyperlink r:id="rId14" w:history="1">
        <w:r w:rsidRPr="00097609">
          <w:rPr>
            <w:rFonts w:ascii="FrankRuehl" w:hAnsi="FrankRuehl" w:cs="FrankRuehl"/>
            <w:color w:val="0000FF"/>
            <w:rtl/>
          </w:rPr>
          <w:t>409</w:t>
        </w:r>
      </w:hyperlink>
      <w:r w:rsidRPr="00097609">
        <w:rPr>
          <w:rFonts w:ascii="FrankRuehl" w:hAnsi="FrankRuehl" w:cs="FrankRuehl"/>
          <w:rtl/>
        </w:rPr>
        <w:t xml:space="preserve">, </w:t>
      </w:r>
      <w:hyperlink r:id="rId15" w:history="1">
        <w:r w:rsidRPr="00097609">
          <w:rPr>
            <w:rFonts w:ascii="FrankRuehl" w:hAnsi="FrankRuehl" w:cs="FrankRuehl"/>
            <w:color w:val="0000FF"/>
            <w:rtl/>
          </w:rPr>
          <w:t>413</w:t>
        </w:r>
      </w:hyperlink>
    </w:p>
    <w:p w14:paraId="5485FC56" w14:textId="77777777" w:rsidR="00097609" w:rsidRPr="00097609" w:rsidRDefault="00097609" w:rsidP="00097609">
      <w:pPr>
        <w:rPr>
          <w:sz w:val="26"/>
          <w:szCs w:val="26"/>
          <w:rtl/>
        </w:rPr>
      </w:pPr>
      <w:bookmarkStart w:id="4" w:name="LawTable_End"/>
      <w:bookmarkEnd w:id="4"/>
    </w:p>
    <w:p w14:paraId="332E40FD" w14:textId="77777777" w:rsidR="00301527" w:rsidRPr="00B820F6" w:rsidRDefault="00301527" w:rsidP="00B820F6">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65E06" w:rsidRPr="00301527" w14:paraId="1B16C32C" w14:textId="77777777" w:rsidTr="00665E06">
        <w:trPr>
          <w:trHeight w:val="355"/>
          <w:jc w:val="center"/>
        </w:trPr>
        <w:tc>
          <w:tcPr>
            <w:tcW w:w="8820" w:type="dxa"/>
            <w:tcBorders>
              <w:top w:val="nil"/>
              <w:left w:val="nil"/>
              <w:bottom w:val="nil"/>
              <w:right w:val="nil"/>
            </w:tcBorders>
            <w:shd w:val="clear" w:color="auto" w:fill="auto"/>
          </w:tcPr>
          <w:p w14:paraId="10800A45" w14:textId="77777777" w:rsidR="00665E06" w:rsidRPr="00301527" w:rsidRDefault="00665E06" w:rsidP="00665E06">
            <w:pPr>
              <w:jc w:val="center"/>
              <w:rPr>
                <w:rFonts w:ascii="David" w:hAnsi="David"/>
                <w:sz w:val="36"/>
                <w:szCs w:val="36"/>
                <w:rtl/>
              </w:rPr>
            </w:pPr>
            <w:bookmarkStart w:id="5" w:name="PsakDin"/>
            <w:r w:rsidRPr="00301527">
              <w:rPr>
                <w:rFonts w:ascii="David" w:hAnsi="David"/>
                <w:b/>
                <w:bCs/>
                <w:sz w:val="36"/>
                <w:szCs w:val="36"/>
                <w:rtl/>
              </w:rPr>
              <w:t>ג</w:t>
            </w:r>
            <w:r w:rsidRPr="00301527">
              <w:rPr>
                <w:rFonts w:ascii="David" w:hAnsi="David" w:hint="cs"/>
                <w:b/>
                <w:bCs/>
                <w:sz w:val="36"/>
                <w:szCs w:val="36"/>
                <w:rtl/>
              </w:rPr>
              <w:t xml:space="preserve"> </w:t>
            </w:r>
            <w:r w:rsidRPr="00301527">
              <w:rPr>
                <w:rFonts w:ascii="David" w:hAnsi="David"/>
                <w:b/>
                <w:bCs/>
                <w:sz w:val="36"/>
                <w:szCs w:val="36"/>
                <w:rtl/>
              </w:rPr>
              <w:t>ז</w:t>
            </w:r>
            <w:r w:rsidRPr="00301527">
              <w:rPr>
                <w:rFonts w:ascii="David" w:hAnsi="David" w:hint="cs"/>
                <w:b/>
                <w:bCs/>
                <w:sz w:val="36"/>
                <w:szCs w:val="36"/>
                <w:rtl/>
              </w:rPr>
              <w:t xml:space="preserve"> </w:t>
            </w:r>
            <w:r w:rsidRPr="00301527">
              <w:rPr>
                <w:rFonts w:ascii="David" w:hAnsi="David"/>
                <w:b/>
                <w:bCs/>
                <w:sz w:val="36"/>
                <w:szCs w:val="36"/>
                <w:rtl/>
              </w:rPr>
              <w:t>ר</w:t>
            </w:r>
            <w:r w:rsidRPr="00301527">
              <w:rPr>
                <w:rFonts w:ascii="David" w:hAnsi="David" w:hint="cs"/>
                <w:b/>
                <w:bCs/>
                <w:sz w:val="36"/>
                <w:szCs w:val="36"/>
                <w:rtl/>
              </w:rPr>
              <w:t xml:space="preserve">   </w:t>
            </w:r>
            <w:r w:rsidRPr="00301527">
              <w:rPr>
                <w:rFonts w:ascii="David" w:hAnsi="David"/>
                <w:b/>
                <w:bCs/>
                <w:sz w:val="36"/>
                <w:szCs w:val="36"/>
                <w:rtl/>
              </w:rPr>
              <w:t xml:space="preserve"> </w:t>
            </w:r>
            <w:bookmarkEnd w:id="5"/>
            <w:r w:rsidRPr="00301527">
              <w:rPr>
                <w:rFonts w:ascii="David" w:hAnsi="David"/>
                <w:b/>
                <w:bCs/>
                <w:sz w:val="36"/>
                <w:szCs w:val="36"/>
                <w:rtl/>
              </w:rPr>
              <w:t>ד</w:t>
            </w:r>
            <w:r w:rsidRPr="00301527">
              <w:rPr>
                <w:rFonts w:ascii="David" w:hAnsi="David" w:hint="cs"/>
                <w:b/>
                <w:bCs/>
                <w:sz w:val="36"/>
                <w:szCs w:val="36"/>
                <w:rtl/>
              </w:rPr>
              <w:t xml:space="preserve"> </w:t>
            </w:r>
            <w:r w:rsidRPr="00301527">
              <w:rPr>
                <w:rFonts w:ascii="David" w:hAnsi="David"/>
                <w:b/>
                <w:bCs/>
                <w:sz w:val="36"/>
                <w:szCs w:val="36"/>
                <w:rtl/>
              </w:rPr>
              <w:t>י</w:t>
            </w:r>
            <w:r w:rsidRPr="00301527">
              <w:rPr>
                <w:rFonts w:ascii="David" w:hAnsi="David" w:hint="cs"/>
                <w:b/>
                <w:bCs/>
                <w:sz w:val="36"/>
                <w:szCs w:val="36"/>
                <w:rtl/>
              </w:rPr>
              <w:t xml:space="preserve"> </w:t>
            </w:r>
            <w:r w:rsidRPr="00301527">
              <w:rPr>
                <w:rFonts w:ascii="David" w:hAnsi="David"/>
                <w:b/>
                <w:bCs/>
                <w:sz w:val="36"/>
                <w:szCs w:val="36"/>
                <w:rtl/>
              </w:rPr>
              <w:t>ן</w:t>
            </w:r>
          </w:p>
        </w:tc>
      </w:tr>
    </w:tbl>
    <w:p w14:paraId="534A3B1C" w14:textId="77777777" w:rsidR="00665E06" w:rsidRPr="00301527" w:rsidRDefault="00665E06" w:rsidP="00665E06">
      <w:pPr>
        <w:rPr>
          <w:rFonts w:ascii="Arial" w:hAnsi="Arial"/>
          <w:b/>
          <w:bCs/>
          <w:sz w:val="26"/>
          <w:szCs w:val="26"/>
          <w:rtl/>
        </w:rPr>
      </w:pPr>
    </w:p>
    <w:p w14:paraId="61CA8FFD" w14:textId="77777777" w:rsidR="00665E06" w:rsidRPr="00301527" w:rsidRDefault="00665E06" w:rsidP="00665E06">
      <w:pPr>
        <w:spacing w:line="360" w:lineRule="auto"/>
        <w:jc w:val="both"/>
        <w:rPr>
          <w:b/>
          <w:bCs/>
          <w:rtl/>
        </w:rPr>
      </w:pPr>
    </w:p>
    <w:p w14:paraId="3302CF8D" w14:textId="77777777" w:rsidR="00665E06" w:rsidRPr="00301527" w:rsidRDefault="00665E06" w:rsidP="00665E06">
      <w:pPr>
        <w:spacing w:line="360" w:lineRule="auto"/>
        <w:jc w:val="both"/>
        <w:rPr>
          <w:rtl/>
        </w:rPr>
      </w:pPr>
      <w:r w:rsidRPr="00301527">
        <w:rPr>
          <w:b/>
          <w:bCs/>
          <w:rtl/>
        </w:rPr>
        <w:t xml:space="preserve">העובדות </w:t>
      </w:r>
    </w:p>
    <w:p w14:paraId="0DE12A9E" w14:textId="77777777" w:rsidR="00665E06" w:rsidRPr="00301527" w:rsidRDefault="00665E06" w:rsidP="00665E06">
      <w:pPr>
        <w:spacing w:line="360" w:lineRule="auto"/>
        <w:jc w:val="both"/>
        <w:rPr>
          <w:rtl/>
        </w:rPr>
      </w:pPr>
    </w:p>
    <w:p w14:paraId="122CB370" w14:textId="77777777" w:rsidR="00665E06" w:rsidRPr="00301527" w:rsidRDefault="00665E06" w:rsidP="00665E06">
      <w:pPr>
        <w:pStyle w:val="1"/>
        <w:numPr>
          <w:ilvl w:val="0"/>
          <w:numId w:val="1"/>
        </w:numPr>
        <w:spacing w:line="360" w:lineRule="auto"/>
        <w:jc w:val="both"/>
        <w:rPr>
          <w:rFonts w:ascii="Arial" w:hAnsi="Arial"/>
        </w:rPr>
      </w:pPr>
      <w:bookmarkStart w:id="6" w:name="ABSTRACT_START"/>
      <w:bookmarkEnd w:id="6"/>
      <w:r w:rsidRPr="00301527">
        <w:rPr>
          <w:rFonts w:ascii="Arial" w:hAnsi="Arial" w:hint="cs"/>
          <w:rtl/>
        </w:rPr>
        <w:t>הנאשם ולדימיר פודבודוב (להלן: הנאשם, או פודבודוב) הורשע על פי הודאתו בעובדותיהם של ארבעה כתבי אישום (שניים מהם מתוקנים), המייחסים לו עבירות של החזקת סם מסוכן שלא לצריכה עצמית לפי סעיף</w:t>
      </w:r>
      <w:hyperlink r:id="rId16" w:history="1">
        <w:r w:rsidR="00301527" w:rsidRPr="00301527">
          <w:rPr>
            <w:rStyle w:val="Hyperlink"/>
            <w:rFonts w:ascii="Arial" w:hAnsi="Arial"/>
            <w:rtl/>
          </w:rPr>
          <w:t xml:space="preserve"> 7 (א) ו- (ג)</w:t>
        </w:r>
      </w:hyperlink>
      <w:r w:rsidRPr="00301527">
        <w:rPr>
          <w:rFonts w:ascii="Arial" w:hAnsi="Arial" w:hint="cs"/>
          <w:rtl/>
        </w:rPr>
        <w:t xml:space="preserve"> רישא ל</w:t>
      </w:r>
      <w:hyperlink r:id="rId17" w:history="1">
        <w:r w:rsidR="00071C29" w:rsidRPr="00301527">
          <w:rPr>
            <w:rFonts w:ascii="Arial" w:hAnsi="Arial"/>
            <w:color w:val="0000FF"/>
            <w:u w:val="single"/>
            <w:rtl/>
          </w:rPr>
          <w:t>פקודת הסמים המסוכנים</w:t>
        </w:r>
      </w:hyperlink>
      <w:r w:rsidRPr="00301527">
        <w:rPr>
          <w:rFonts w:ascii="Arial" w:hAnsi="Arial" w:hint="cs"/>
          <w:rtl/>
        </w:rPr>
        <w:t xml:space="preserve"> (נוסח חדש), תשל"ג-1973, גניבה לפי </w:t>
      </w:r>
      <w:hyperlink r:id="rId18" w:history="1">
        <w:r w:rsidR="00301527" w:rsidRPr="00301527">
          <w:rPr>
            <w:rStyle w:val="Hyperlink"/>
            <w:rFonts w:ascii="Arial" w:hAnsi="Arial" w:hint="eastAsia"/>
            <w:rtl/>
          </w:rPr>
          <w:t>סעיף</w:t>
        </w:r>
        <w:r w:rsidR="00301527" w:rsidRPr="00301527">
          <w:rPr>
            <w:rStyle w:val="Hyperlink"/>
            <w:rFonts w:ascii="Arial" w:hAnsi="Arial"/>
            <w:rtl/>
          </w:rPr>
          <w:t xml:space="preserve"> 384</w:t>
        </w:r>
      </w:hyperlink>
      <w:r w:rsidRPr="00301527">
        <w:rPr>
          <w:rFonts w:ascii="Arial" w:hAnsi="Arial" w:hint="cs"/>
          <w:rtl/>
        </w:rPr>
        <w:t xml:space="preserve"> ל</w:t>
      </w:r>
      <w:hyperlink r:id="rId19" w:history="1">
        <w:r w:rsidR="00071C29" w:rsidRPr="00301527">
          <w:rPr>
            <w:rFonts w:ascii="Arial" w:hAnsi="Arial"/>
            <w:color w:val="0000FF"/>
            <w:u w:val="single"/>
            <w:rtl/>
          </w:rPr>
          <w:t>חוק העונשין</w:t>
        </w:r>
      </w:hyperlink>
      <w:r w:rsidRPr="00301527">
        <w:rPr>
          <w:rFonts w:ascii="Arial" w:hAnsi="Arial" w:hint="cs"/>
          <w:rtl/>
        </w:rPr>
        <w:t xml:space="preserve">, תשל"ז-1977 (להלן: חוק העונשין, או החוק) (2 </w:t>
      </w:r>
      <w:r w:rsidRPr="00301527">
        <w:rPr>
          <w:rFonts w:ascii="Arial" w:hAnsi="Arial" w:hint="cs"/>
          <w:rtl/>
        </w:rPr>
        <w:lastRenderedPageBreak/>
        <w:t xml:space="preserve">עבירות), גניבה בצוותא לפי </w:t>
      </w:r>
      <w:hyperlink r:id="rId20" w:history="1">
        <w:r w:rsidR="00301527" w:rsidRPr="00301527">
          <w:rPr>
            <w:rStyle w:val="Hyperlink"/>
            <w:rFonts w:ascii="Arial" w:hAnsi="Arial" w:hint="eastAsia"/>
            <w:rtl/>
          </w:rPr>
          <w:t>סעיף</w:t>
        </w:r>
        <w:r w:rsidR="00301527" w:rsidRPr="00301527">
          <w:rPr>
            <w:rStyle w:val="Hyperlink"/>
            <w:rFonts w:ascii="Arial" w:hAnsi="Arial"/>
            <w:rtl/>
          </w:rPr>
          <w:t xml:space="preserve"> 384</w:t>
        </w:r>
      </w:hyperlink>
      <w:r w:rsidRPr="00301527">
        <w:rPr>
          <w:rFonts w:ascii="Arial" w:hAnsi="Arial" w:hint="cs"/>
          <w:rtl/>
        </w:rPr>
        <w:t xml:space="preserve"> יחד עם סעיף </w:t>
      </w:r>
      <w:hyperlink r:id="rId21" w:history="1">
        <w:r w:rsidR="00301527" w:rsidRPr="00301527">
          <w:rPr>
            <w:rStyle w:val="Hyperlink"/>
            <w:rFonts w:ascii="Arial" w:hAnsi="Arial"/>
            <w:rtl/>
          </w:rPr>
          <w:t>29 (א)</w:t>
        </w:r>
      </w:hyperlink>
      <w:r w:rsidRPr="00301527">
        <w:rPr>
          <w:rFonts w:ascii="Arial" w:hAnsi="Arial" w:hint="cs"/>
          <w:rtl/>
        </w:rPr>
        <w:t xml:space="preserve"> לחוק העונשין, החזקת סכין שלא כדין לפי סעיף </w:t>
      </w:r>
      <w:hyperlink r:id="rId22" w:history="1">
        <w:r w:rsidR="00301527" w:rsidRPr="00301527">
          <w:rPr>
            <w:rStyle w:val="Hyperlink"/>
            <w:rFonts w:ascii="Arial" w:hAnsi="Arial"/>
            <w:rtl/>
          </w:rPr>
          <w:t>186 (א)</w:t>
        </w:r>
      </w:hyperlink>
      <w:r w:rsidRPr="00301527">
        <w:rPr>
          <w:rFonts w:ascii="Arial" w:hAnsi="Arial" w:hint="cs"/>
          <w:rtl/>
        </w:rPr>
        <w:t xml:space="preserve"> לחוק, החזקת נכס חשוד כגנוב לפי </w:t>
      </w:r>
      <w:hyperlink r:id="rId23" w:history="1">
        <w:r w:rsidR="00301527" w:rsidRPr="00301527">
          <w:rPr>
            <w:rStyle w:val="Hyperlink"/>
            <w:rFonts w:ascii="Arial" w:hAnsi="Arial" w:hint="eastAsia"/>
            <w:rtl/>
          </w:rPr>
          <w:t>סעיף</w:t>
        </w:r>
        <w:r w:rsidR="00301527" w:rsidRPr="00301527">
          <w:rPr>
            <w:rStyle w:val="Hyperlink"/>
            <w:rFonts w:ascii="Arial" w:hAnsi="Arial"/>
            <w:rtl/>
          </w:rPr>
          <w:t xml:space="preserve"> 413</w:t>
        </w:r>
      </w:hyperlink>
      <w:r w:rsidRPr="00301527">
        <w:rPr>
          <w:rFonts w:ascii="Arial" w:hAnsi="Arial" w:hint="cs"/>
          <w:rtl/>
        </w:rPr>
        <w:t xml:space="preserve"> לחוק, והחזקת מכשירי פריצה לפי </w:t>
      </w:r>
      <w:hyperlink r:id="rId24" w:history="1">
        <w:r w:rsidR="00301527" w:rsidRPr="00301527">
          <w:rPr>
            <w:rStyle w:val="Hyperlink"/>
            <w:rFonts w:ascii="Arial" w:hAnsi="Arial" w:hint="eastAsia"/>
            <w:rtl/>
          </w:rPr>
          <w:t>סעיף</w:t>
        </w:r>
        <w:r w:rsidR="00301527" w:rsidRPr="00301527">
          <w:rPr>
            <w:rStyle w:val="Hyperlink"/>
            <w:rFonts w:ascii="Arial" w:hAnsi="Arial"/>
            <w:rtl/>
          </w:rPr>
          <w:t xml:space="preserve"> 409</w:t>
        </w:r>
      </w:hyperlink>
      <w:r w:rsidRPr="00301527">
        <w:rPr>
          <w:rFonts w:ascii="Arial" w:hAnsi="Arial" w:hint="cs"/>
          <w:rtl/>
        </w:rPr>
        <w:t xml:space="preserve"> לחוק. </w:t>
      </w:r>
      <w:r w:rsidRPr="00301527">
        <w:rPr>
          <w:rFonts w:ascii="Arial" w:hAnsi="Arial"/>
          <w:rtl/>
        </w:rPr>
        <w:tab/>
      </w:r>
      <w:bookmarkStart w:id="7" w:name="ABSTRACT_END"/>
      <w:bookmarkEnd w:id="7"/>
      <w:r w:rsidRPr="00301527">
        <w:rPr>
          <w:rFonts w:ascii="Arial" w:hAnsi="Arial"/>
          <w:rtl/>
        </w:rPr>
        <w:br/>
      </w:r>
      <w:r w:rsidRPr="00301527">
        <w:rPr>
          <w:rFonts w:ascii="Arial" w:hAnsi="Arial"/>
          <w:rtl/>
        </w:rPr>
        <w:br/>
      </w:r>
      <w:r w:rsidRPr="00301527">
        <w:rPr>
          <w:rFonts w:ascii="Arial" w:hAnsi="Arial" w:hint="cs"/>
          <w:rtl/>
        </w:rPr>
        <w:t xml:space="preserve">יצוין, כי התיק הראשי, העיקרי, הוא תיק המנוהל על ידי פרקליטות מחוז ת"א (פלילי), מן הסתם מפאת חומרתו (היחסית), ואילו יתר שלושת התיקים </w:t>
      </w:r>
      <w:r w:rsidRPr="00301527">
        <w:rPr>
          <w:rFonts w:ascii="Arial" w:hAnsi="Arial"/>
          <w:rtl/>
        </w:rPr>
        <w:t>–</w:t>
      </w:r>
      <w:r w:rsidRPr="00301527">
        <w:rPr>
          <w:rFonts w:ascii="Arial" w:hAnsi="Arial" w:hint="cs"/>
          <w:rtl/>
        </w:rPr>
        <w:t xml:space="preserve"> על ידי מדור התביעות של משטרת ישראל. </w:t>
      </w:r>
    </w:p>
    <w:bookmarkEnd w:id="0"/>
    <w:p w14:paraId="57EC8077" w14:textId="77777777" w:rsidR="00665E06" w:rsidRPr="00301527" w:rsidRDefault="00665E06" w:rsidP="00665E06">
      <w:pPr>
        <w:pStyle w:val="1"/>
        <w:spacing w:line="360" w:lineRule="auto"/>
        <w:ind w:left="360"/>
        <w:jc w:val="both"/>
        <w:rPr>
          <w:rFonts w:ascii="Arial" w:hAnsi="Arial"/>
        </w:rPr>
      </w:pPr>
    </w:p>
    <w:p w14:paraId="27093896"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על פי עובדות </w:t>
      </w:r>
      <w:r w:rsidRPr="00301527">
        <w:rPr>
          <w:rFonts w:ascii="Arial" w:hAnsi="Arial" w:hint="cs"/>
          <w:b/>
          <w:bCs/>
          <w:rtl/>
        </w:rPr>
        <w:t>כתב האישום הראשון</w:t>
      </w:r>
      <w:r w:rsidRPr="00301527">
        <w:rPr>
          <w:rFonts w:ascii="Arial" w:hAnsi="Arial" w:hint="cs"/>
          <w:rtl/>
        </w:rPr>
        <w:t xml:space="preserve"> (להלן: התיק העיקרי) (כתב אישום מתוקן), בתאריך 13.8.2022 החזיק הנאשם על גופו סם מסוכן מסוג הרואין במשקל 32 גרם, מחולק ל-33 שקיות. הנאשם החזיק בנוסף סם מסוכן מסוג קוקאין במשקל 8 גרם, מחולק ל-30 שקיות; את כל הסמים המסוכנים החזיק הנאשם שלא לצריכתו העצמית.</w:t>
      </w:r>
    </w:p>
    <w:p w14:paraId="27CCA6CA" w14:textId="77777777" w:rsidR="00665E06" w:rsidRPr="00301527" w:rsidRDefault="00665E06" w:rsidP="00665E06">
      <w:pPr>
        <w:pStyle w:val="ac"/>
        <w:rPr>
          <w:rFonts w:ascii="Arial" w:hAnsi="Arial"/>
          <w:rtl/>
        </w:rPr>
      </w:pPr>
    </w:p>
    <w:p w14:paraId="7127541E" w14:textId="77777777" w:rsidR="00665E06" w:rsidRPr="00301527" w:rsidRDefault="00665E06" w:rsidP="00665E06">
      <w:pPr>
        <w:pStyle w:val="1"/>
        <w:spacing w:line="360" w:lineRule="auto"/>
        <w:ind w:left="360"/>
        <w:jc w:val="both"/>
        <w:rPr>
          <w:rFonts w:ascii="Arial" w:hAnsi="Arial"/>
        </w:rPr>
      </w:pPr>
      <w:r w:rsidRPr="00301527">
        <w:rPr>
          <w:rFonts w:ascii="Arial" w:hAnsi="Arial" w:hint="cs"/>
          <w:rtl/>
        </w:rPr>
        <w:t xml:space="preserve">בגין כתב אישום זה הורשע הנאשם בעבירה של החזקת סם מסוכן שלא לצריכה עצמית. </w:t>
      </w:r>
    </w:p>
    <w:p w14:paraId="0CD300B5" w14:textId="77777777" w:rsidR="00665E06" w:rsidRPr="00301527" w:rsidRDefault="00665E06" w:rsidP="00665E06">
      <w:pPr>
        <w:pStyle w:val="ac"/>
        <w:rPr>
          <w:rFonts w:ascii="Arial" w:hAnsi="Arial"/>
          <w:rtl/>
        </w:rPr>
      </w:pPr>
    </w:p>
    <w:p w14:paraId="15CED255"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אל התיק העיקרי צורפו שלושה כתבי אישום (להלן: התיקים המצורפים), כמפורט להלן. </w:t>
      </w:r>
    </w:p>
    <w:p w14:paraId="3A67D1A8" w14:textId="77777777" w:rsidR="00665E06" w:rsidRPr="00301527" w:rsidRDefault="00665E06" w:rsidP="00665E06">
      <w:pPr>
        <w:pStyle w:val="ac"/>
        <w:rPr>
          <w:rFonts w:ascii="Arial" w:hAnsi="Arial"/>
          <w:rtl/>
        </w:rPr>
      </w:pPr>
    </w:p>
    <w:p w14:paraId="3BE2FE83"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על פי עובדות </w:t>
      </w:r>
      <w:r w:rsidRPr="00301527">
        <w:rPr>
          <w:rFonts w:ascii="Arial" w:hAnsi="Arial" w:hint="cs"/>
          <w:b/>
          <w:bCs/>
          <w:rtl/>
        </w:rPr>
        <w:t xml:space="preserve">כתב האישום השני </w:t>
      </w:r>
      <w:r w:rsidRPr="00301527">
        <w:rPr>
          <w:rFonts w:ascii="Arial" w:hAnsi="Arial" w:hint="cs"/>
          <w:rtl/>
        </w:rPr>
        <w:t xml:space="preserve">(כתב אישום מתוקן), ביום 7.6.2021, גנב הנאשם, יחד עם אחר, טלפון סלולרי (סמסונג גלקסי 7), והחזיק בסכין מסוג לדרמן, קאטר, ו-3 טלפונים ניידים החשודים כגנובים. </w:t>
      </w:r>
    </w:p>
    <w:p w14:paraId="0E4AB153" w14:textId="77777777" w:rsidR="00665E06" w:rsidRPr="00301527" w:rsidRDefault="00665E06" w:rsidP="00665E06">
      <w:pPr>
        <w:pStyle w:val="ac"/>
        <w:rPr>
          <w:rFonts w:ascii="Arial" w:hAnsi="Arial"/>
          <w:rtl/>
        </w:rPr>
      </w:pPr>
    </w:p>
    <w:p w14:paraId="62816670"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 xml:space="preserve">בגין כתב אישום זה הורשע הנאשם בעבירות של גניבה (בצוותא), החזקת סכין שלא כדין, החזקת נכס חשוד כגנוב, והחזקת מכשירי פריצה. </w:t>
      </w:r>
    </w:p>
    <w:p w14:paraId="1943B3C0" w14:textId="77777777" w:rsidR="00665E06" w:rsidRPr="00301527" w:rsidRDefault="00665E06" w:rsidP="00665E06">
      <w:pPr>
        <w:pStyle w:val="1"/>
        <w:spacing w:line="360" w:lineRule="auto"/>
        <w:ind w:left="360"/>
        <w:jc w:val="both"/>
        <w:rPr>
          <w:rFonts w:ascii="Arial" w:hAnsi="Arial"/>
        </w:rPr>
      </w:pPr>
    </w:p>
    <w:p w14:paraId="55539727"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b/>
          <w:bCs/>
          <w:rtl/>
        </w:rPr>
        <w:t>כתב האישום השלישי</w:t>
      </w:r>
      <w:r w:rsidRPr="00301527">
        <w:rPr>
          <w:rFonts w:ascii="Arial" w:hAnsi="Arial" w:hint="cs"/>
          <w:rtl/>
        </w:rPr>
        <w:t xml:space="preserve"> מספר כי ביום 29.12.2021 גנב הנאשם קורקינט בשווי 4,700 ₪; בגין מעשה זה הורשע בעבירה של גניבה. </w:t>
      </w:r>
    </w:p>
    <w:p w14:paraId="02DA9B2C" w14:textId="77777777" w:rsidR="00665E06" w:rsidRPr="00301527" w:rsidRDefault="00665E06" w:rsidP="00665E06">
      <w:pPr>
        <w:pStyle w:val="1"/>
        <w:spacing w:line="360" w:lineRule="auto"/>
        <w:ind w:left="360"/>
        <w:jc w:val="both"/>
        <w:rPr>
          <w:rFonts w:ascii="Arial" w:hAnsi="Arial"/>
        </w:rPr>
      </w:pPr>
    </w:p>
    <w:p w14:paraId="177F9EF5"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על פי </w:t>
      </w:r>
      <w:r w:rsidRPr="00301527">
        <w:rPr>
          <w:rFonts w:ascii="Arial" w:hAnsi="Arial" w:hint="cs"/>
          <w:b/>
          <w:bCs/>
          <w:rtl/>
        </w:rPr>
        <w:t>כתב האישום הרביעי</w:t>
      </w:r>
      <w:r w:rsidRPr="00301527">
        <w:rPr>
          <w:rFonts w:ascii="Arial" w:hAnsi="Arial" w:hint="cs"/>
          <w:rtl/>
        </w:rPr>
        <w:t xml:space="preserve"> בתאריך 9.1.2022 גנב הנאשם טלפון נייד מסוג שיומי (בעת ששהה בתחנת משטרה); הטלפון לא הוחזר לבעליו. במסגרת כתב אישום זה הורשע הנאשם בעבירה של גניבה. </w:t>
      </w:r>
    </w:p>
    <w:p w14:paraId="1601EAC9" w14:textId="77777777" w:rsidR="00665E06" w:rsidRPr="00301527" w:rsidRDefault="00665E06" w:rsidP="00665E06">
      <w:pPr>
        <w:pStyle w:val="ac"/>
        <w:rPr>
          <w:rFonts w:ascii="Arial" w:hAnsi="Arial"/>
          <w:rtl/>
        </w:rPr>
      </w:pPr>
    </w:p>
    <w:p w14:paraId="6298D9F7"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ביום 16.2.2023 הציגו הצדדים הסדר טיעון, במסגרתו הודה הנאשם בעובדות כתב האישום המתוקן בתיק העיקרי (בלבד), והורשע בעבירה שיוחסה לו שם; לא התגבשה הסכמה עונשית בין הצדדים. טרם שמיעת הטיעונים לעונש, נעתרתי לבקשת ההגנה, והוריתי על הפניית הנאשם אל שירות המבחן, על מנת שייערך תסקיר בו תיבחן שאלת התאמתו לטיפול בקהילה טיפולית.  </w:t>
      </w:r>
    </w:p>
    <w:p w14:paraId="1CEEB45F" w14:textId="77777777" w:rsidR="00665E06" w:rsidRPr="00301527" w:rsidRDefault="00665E06" w:rsidP="00665E06">
      <w:pPr>
        <w:pStyle w:val="ac"/>
        <w:rPr>
          <w:rFonts w:ascii="Arial" w:hAnsi="Arial"/>
          <w:rtl/>
        </w:rPr>
      </w:pPr>
    </w:p>
    <w:p w14:paraId="0C8A599C"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lastRenderedPageBreak/>
        <w:t xml:space="preserve">למרבה הצער, תסקירי שירות המבחן (מיום 11.5.2023 ו- 13.7.2023) לא כללו המלצה שיקומית בעניינו של הנאשם. הנאשם מסר לשירות המבחן, בתסקיר האחרון, כי אינו מעונין ואינו מסוגל לגייס כוחות לטיפול ארוך טווח במסגרת קהילה טיפולית, והוא מבקש לרצות את העונש בין כותלי הכלא. בנסיבות אלה, קבעתי (18.7.2023) כי נסתם הגולל על חלופת הקהילה הטיפולית. </w:t>
      </w:r>
    </w:p>
    <w:p w14:paraId="329C78E2" w14:textId="77777777" w:rsidR="00665E06" w:rsidRPr="00301527" w:rsidRDefault="00665E06" w:rsidP="00665E06">
      <w:pPr>
        <w:pStyle w:val="ac"/>
        <w:rPr>
          <w:rFonts w:ascii="Arial" w:hAnsi="Arial"/>
          <w:rtl/>
        </w:rPr>
      </w:pPr>
    </w:p>
    <w:p w14:paraId="37D64D52"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בהמשך, ביום 17.8.2023 צורפו להליך העיקרי שלושת כתבי האישום בתיקים המצורפים, והנאשם הורשע בעבירות שיוחסו לו במסגרתם; הצדדים הסכימו כי בגין אלו יוטל על הנאשם עונש של 9 חודשי מאסר, כאשר 6 חודשים מתוכם ירוצו בחופף לעונש שיושת עליו בתיק העיקרי. </w:t>
      </w:r>
    </w:p>
    <w:p w14:paraId="336106C0" w14:textId="77777777" w:rsidR="00665E06" w:rsidRPr="00301527" w:rsidRDefault="00665E06" w:rsidP="00665E06">
      <w:pPr>
        <w:pStyle w:val="ac"/>
        <w:rPr>
          <w:rFonts w:ascii="Arial" w:hAnsi="Arial"/>
          <w:rtl/>
        </w:rPr>
      </w:pPr>
    </w:p>
    <w:p w14:paraId="2C4CC3ED"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ביום 13.9.2023 טענו הצדדים לעונש. התביעה טענה כי מתחם העונש ההולם נע </w:t>
      </w:r>
      <w:r w:rsidRPr="00301527">
        <w:rPr>
          <w:rFonts w:ascii="Arial" w:hAnsi="Arial" w:hint="cs"/>
          <w:b/>
          <w:bCs/>
          <w:rtl/>
        </w:rPr>
        <w:t>בין 24 חודשי מאסר, ועד 48 ירחים,</w:t>
      </w:r>
      <w:r w:rsidRPr="00301527">
        <w:rPr>
          <w:rFonts w:ascii="Arial" w:hAnsi="Arial" w:hint="cs"/>
          <w:rtl/>
        </w:rPr>
        <w:t xml:space="preserve"> וביקשה למקם את עונשו של הנאשם ברף התחתון של המתחם, אליו יתווספו 3 חודשי מאסר מוסכמים; כן עתרה להשתת מאסר מותנה בגין העבירות בהן הורשע, פיצוי למתלוננים בתיקים המצורפים (כתבי האישום השלישי והרביעי), וחתימה על התחייבות להימנע מעבירה. </w:t>
      </w:r>
    </w:p>
    <w:p w14:paraId="18051C37" w14:textId="77777777" w:rsidR="00665E06" w:rsidRPr="00301527" w:rsidRDefault="00665E06" w:rsidP="00665E06">
      <w:pPr>
        <w:pStyle w:val="ac"/>
        <w:rPr>
          <w:rFonts w:ascii="Arial" w:hAnsi="Arial"/>
          <w:rtl/>
        </w:rPr>
      </w:pPr>
    </w:p>
    <w:p w14:paraId="1718178A"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 xml:space="preserve">התובעת המלומדת עמדה על הערכים המוגנים שנפגעו כתוצאה ממעשיו של הנאשם בתיק העיקרי, שהם הנזקים הנגרמים מנגע הסמים, והדגישה כי הסמים המסוכנים בהם החזיק הנאשם הם מסוג המוכר והנחשב כ"קשה" </w:t>
      </w:r>
      <w:r w:rsidRPr="00301527">
        <w:rPr>
          <w:rFonts w:ascii="Arial" w:hAnsi="Arial"/>
          <w:rtl/>
        </w:rPr>
        <w:t>–</w:t>
      </w:r>
      <w:r w:rsidRPr="00301527">
        <w:rPr>
          <w:rFonts w:ascii="Arial" w:hAnsi="Arial" w:hint="cs"/>
          <w:rtl/>
        </w:rPr>
        <w:t xml:space="preserve"> הרואין וקוקאין, ובכמות גדולה. עוד טענה המאשימה, כי הסמים המסוכנים נתפסו כשהם מחולקים למנות, עובדה המחמירה את נסיבות ביצוע העבירה. </w:t>
      </w:r>
    </w:p>
    <w:p w14:paraId="124BCD65" w14:textId="77777777" w:rsidR="00665E06" w:rsidRPr="00301527" w:rsidRDefault="00665E06" w:rsidP="00665E06">
      <w:pPr>
        <w:pStyle w:val="1"/>
        <w:spacing w:line="360" w:lineRule="auto"/>
        <w:ind w:left="360"/>
        <w:jc w:val="both"/>
        <w:rPr>
          <w:rFonts w:ascii="Arial" w:hAnsi="Arial"/>
          <w:rtl/>
        </w:rPr>
      </w:pPr>
    </w:p>
    <w:p w14:paraId="01136161"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 xml:space="preserve">התביעה בהגינותה ביקשה למקם את עונשו של הנאשם בתחתית מתחם הענישה, אם בשל עברו הפלילי הדל (הרשעה בודדת, בלתי רלוונטית), אם מפאת נסיבות חייו כפי שעלו בתסקיר שירות המבחן, וכמובן בשל לקיחת האחריות והחסכון בזמן שיפוטי. עוד ביקשה התביעה להשית על הנאשם תשלום פיצוי למתלוננים מושא כתב האישום השני והשלישי, נוכח טענתה כי הטלפון הסלולרי והקורקינט שגנב - לא הוחזרו לבעליהם. </w:t>
      </w:r>
    </w:p>
    <w:p w14:paraId="5F8B76DD" w14:textId="77777777" w:rsidR="00665E06" w:rsidRPr="00301527" w:rsidRDefault="00665E06" w:rsidP="00665E06">
      <w:pPr>
        <w:pStyle w:val="1"/>
        <w:spacing w:line="360" w:lineRule="auto"/>
        <w:ind w:left="360"/>
        <w:jc w:val="both"/>
        <w:rPr>
          <w:rFonts w:ascii="Arial" w:hAnsi="Arial"/>
          <w:rtl/>
        </w:rPr>
      </w:pPr>
    </w:p>
    <w:p w14:paraId="045BF812" w14:textId="77777777" w:rsidR="00665E06" w:rsidRPr="00301527" w:rsidRDefault="00665E06" w:rsidP="00665E06">
      <w:pPr>
        <w:pStyle w:val="1"/>
        <w:spacing w:line="360" w:lineRule="auto"/>
        <w:ind w:left="360"/>
        <w:jc w:val="both"/>
        <w:rPr>
          <w:rFonts w:ascii="Arial" w:hAnsi="Arial"/>
        </w:rPr>
      </w:pPr>
      <w:r w:rsidRPr="00301527">
        <w:rPr>
          <w:rFonts w:ascii="Arial" w:hAnsi="Arial" w:hint="cs"/>
          <w:rtl/>
        </w:rPr>
        <w:t xml:space="preserve">התביעה הגישה פסיקה על מנת לתמוך בעתירתה באשר למתחם הענישה. </w:t>
      </w:r>
    </w:p>
    <w:p w14:paraId="57488C2D" w14:textId="77777777" w:rsidR="00665E06" w:rsidRPr="00301527" w:rsidRDefault="00665E06" w:rsidP="00665E06">
      <w:pPr>
        <w:pStyle w:val="ac"/>
        <w:rPr>
          <w:rFonts w:ascii="Arial" w:hAnsi="Arial"/>
          <w:rtl/>
        </w:rPr>
      </w:pPr>
    </w:p>
    <w:p w14:paraId="153678AF"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ההגנה יצאה חוצץ נגד מתחם הענישה לה עתרה המדינה; לשיטתה, מתחם העונש ההולם נע </w:t>
      </w:r>
      <w:r w:rsidRPr="00301527">
        <w:rPr>
          <w:rFonts w:ascii="Arial" w:hAnsi="Arial" w:hint="cs"/>
          <w:b/>
          <w:bCs/>
          <w:rtl/>
        </w:rPr>
        <w:t>בין 10 ועד 18 חודשי מאסר בפועל</w:t>
      </w:r>
      <w:r w:rsidRPr="00301527">
        <w:rPr>
          <w:rFonts w:ascii="Arial" w:hAnsi="Arial" w:hint="cs"/>
          <w:rtl/>
        </w:rPr>
        <w:t xml:space="preserve">, בלבד, והיא ביקשה למקם את עונשו של הנאשם ב"רצפת" מתחם הענישה. אשר לנסיבות ביצוע העבירה בתיק העיקרי טענה ההגנה, כי "לא מדובר בחומרת עבירה שנעברה ברף הגבוה, הכמות היא לא כמות קטנה מזערית אבל היא לא כמות גדולה מידי, הסמים נתפסו ולכן העבירה לא השתכללה לידי סחר והפצה.. לאירוע לא קדם תכנון מקדים, מדובר בנאשם הוא נרקומן...". </w:t>
      </w:r>
    </w:p>
    <w:p w14:paraId="65C09F59" w14:textId="77777777" w:rsidR="00665E06" w:rsidRPr="00301527" w:rsidRDefault="00665E06" w:rsidP="00665E06">
      <w:pPr>
        <w:pStyle w:val="1"/>
        <w:spacing w:line="360" w:lineRule="auto"/>
        <w:ind w:left="360"/>
        <w:jc w:val="both"/>
        <w:rPr>
          <w:rFonts w:ascii="Arial" w:hAnsi="Arial"/>
          <w:rtl/>
        </w:rPr>
      </w:pPr>
    </w:p>
    <w:p w14:paraId="29AE0801"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אף ההגנה הגישה פסיקה לתמיכה בעתירתה העונשית.</w:t>
      </w:r>
    </w:p>
    <w:p w14:paraId="1475CCB5" w14:textId="77777777" w:rsidR="00665E06" w:rsidRPr="00301527" w:rsidRDefault="00665E06" w:rsidP="00665E06">
      <w:pPr>
        <w:pStyle w:val="1"/>
        <w:spacing w:line="360" w:lineRule="auto"/>
        <w:jc w:val="both"/>
        <w:rPr>
          <w:rFonts w:ascii="Arial" w:hAnsi="Arial"/>
          <w:rtl/>
        </w:rPr>
      </w:pPr>
    </w:p>
    <w:p w14:paraId="063AF407"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כך הנאשם בדברו האחרון: </w:t>
      </w:r>
    </w:p>
    <w:p w14:paraId="1EB073D5" w14:textId="77777777" w:rsidR="00665E06" w:rsidRPr="00301527" w:rsidRDefault="00665E06" w:rsidP="00665E06">
      <w:pPr>
        <w:pStyle w:val="1"/>
        <w:spacing w:line="360" w:lineRule="auto"/>
        <w:ind w:left="360"/>
        <w:jc w:val="both"/>
        <w:rPr>
          <w:rFonts w:ascii="Arial" w:hAnsi="Arial"/>
          <w:rtl/>
        </w:rPr>
      </w:pPr>
    </w:p>
    <w:p w14:paraId="72586A33"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 xml:space="preserve">"אני מצטער על מה שקרה ולוקח אחריות". </w:t>
      </w:r>
    </w:p>
    <w:p w14:paraId="44EF0CBB" w14:textId="77777777" w:rsidR="00665E06" w:rsidRPr="00301527" w:rsidRDefault="00665E06" w:rsidP="00665E06">
      <w:pPr>
        <w:pStyle w:val="1"/>
        <w:spacing w:line="360" w:lineRule="auto"/>
        <w:ind w:left="360"/>
        <w:jc w:val="both"/>
        <w:rPr>
          <w:rFonts w:ascii="Arial" w:hAnsi="Arial"/>
          <w:rtl/>
        </w:rPr>
      </w:pPr>
    </w:p>
    <w:p w14:paraId="21C8327C" w14:textId="77777777" w:rsidR="00665E06" w:rsidRPr="00301527" w:rsidRDefault="00665E06" w:rsidP="00665E06">
      <w:pPr>
        <w:spacing w:line="360" w:lineRule="auto"/>
        <w:jc w:val="both"/>
        <w:rPr>
          <w:rFonts w:ascii="Arial" w:hAnsi="Arial"/>
          <w:u w:val="single"/>
          <w:rtl/>
        </w:rPr>
      </w:pPr>
      <w:r w:rsidRPr="00301527">
        <w:rPr>
          <w:rFonts w:ascii="Arial" w:hAnsi="Arial"/>
          <w:b/>
          <w:bCs/>
          <w:u w:val="single"/>
          <w:rtl/>
        </w:rPr>
        <w:br/>
      </w:r>
      <w:r w:rsidRPr="00301527">
        <w:rPr>
          <w:rFonts w:ascii="Arial" w:hAnsi="Arial"/>
          <w:b/>
          <w:bCs/>
          <w:u w:val="single"/>
          <w:rtl/>
        </w:rPr>
        <w:br/>
      </w:r>
      <w:r w:rsidRPr="00301527">
        <w:rPr>
          <w:rFonts w:ascii="Arial" w:hAnsi="Arial"/>
          <w:b/>
          <w:bCs/>
          <w:u w:val="single"/>
          <w:rtl/>
        </w:rPr>
        <w:br/>
        <w:t xml:space="preserve">דיון והכרעה </w:t>
      </w:r>
    </w:p>
    <w:p w14:paraId="18457CA4" w14:textId="77777777" w:rsidR="00665E06" w:rsidRPr="00301527" w:rsidRDefault="00665E06" w:rsidP="00665E06">
      <w:pPr>
        <w:pStyle w:val="1"/>
        <w:spacing w:line="360" w:lineRule="auto"/>
        <w:ind w:left="360"/>
        <w:jc w:val="both"/>
        <w:rPr>
          <w:rFonts w:ascii="Arial" w:hAnsi="Arial"/>
          <w:rtl/>
        </w:rPr>
      </w:pPr>
    </w:p>
    <w:p w14:paraId="3CCB5EE5" w14:textId="77777777" w:rsidR="00665E06" w:rsidRPr="00301527" w:rsidRDefault="00665E06" w:rsidP="00665E06">
      <w:pPr>
        <w:pStyle w:val="1"/>
        <w:numPr>
          <w:ilvl w:val="0"/>
          <w:numId w:val="1"/>
        </w:numPr>
        <w:spacing w:line="360" w:lineRule="auto"/>
        <w:jc w:val="both"/>
        <w:rPr>
          <w:rFonts w:ascii="Arial" w:hAnsi="Arial"/>
          <w:rtl/>
        </w:rPr>
      </w:pPr>
      <w:r w:rsidRPr="00301527">
        <w:rPr>
          <w:rFonts w:ascii="Arial" w:hAnsi="Arial" w:hint="cs"/>
          <w:rtl/>
        </w:rPr>
        <w:t>אין חולק: ב</w:t>
      </w:r>
      <w:r w:rsidRPr="00301527">
        <w:rPr>
          <w:rFonts w:ascii="Arial" w:hAnsi="Arial"/>
          <w:rtl/>
        </w:rPr>
        <w:t>מעשיו פגע הנאשם ב</w:t>
      </w:r>
      <w:r w:rsidRPr="00301527">
        <w:rPr>
          <w:rFonts w:ascii="Arial" w:hAnsi="Arial" w:hint="cs"/>
          <w:rtl/>
        </w:rPr>
        <w:t>מאמץ ה</w:t>
      </w:r>
      <w:r w:rsidRPr="00301527">
        <w:rPr>
          <w:rFonts w:ascii="Arial" w:hAnsi="Arial"/>
          <w:rtl/>
        </w:rPr>
        <w:t>מלחמה בנגע הסמים, על כל הנזקים וההשלכות הקשות הקשורים בשימוש ובהחזקה שלהם; ראו בעניין זה למשל את הקבוע ב</w:t>
      </w:r>
      <w:hyperlink r:id="rId25" w:history="1">
        <w:r w:rsidR="00071C29" w:rsidRPr="00301527">
          <w:rPr>
            <w:rFonts w:ascii="Arial" w:hAnsi="Arial"/>
            <w:color w:val="0000FF"/>
            <w:u w:val="single"/>
            <w:rtl/>
          </w:rPr>
          <w:t>ע"פ 972/11</w:t>
        </w:r>
      </w:hyperlink>
      <w:r w:rsidRPr="00301527">
        <w:rPr>
          <w:rFonts w:ascii="Arial" w:hAnsi="Arial"/>
          <w:rtl/>
        </w:rPr>
        <w:t xml:space="preserve"> </w:t>
      </w:r>
      <w:r w:rsidRPr="00301527">
        <w:rPr>
          <w:rFonts w:ascii="Arial" w:hAnsi="Arial"/>
          <w:b/>
          <w:bCs/>
          <w:rtl/>
        </w:rPr>
        <w:t>מדינת ישראל נ' יונה</w:t>
      </w:r>
      <w:r w:rsidRPr="00301527">
        <w:rPr>
          <w:rFonts w:ascii="Arial" w:hAnsi="Arial"/>
          <w:rtl/>
        </w:rPr>
        <w:t xml:space="preserve"> (4.7.2021)</w:t>
      </w:r>
      <w:r w:rsidRPr="00301527">
        <w:rPr>
          <w:rFonts w:ascii="Arial" w:hAnsi="Arial" w:hint="cs"/>
          <w:rtl/>
        </w:rPr>
        <w:t xml:space="preserve"> (להלן: </w:t>
      </w:r>
      <w:r w:rsidRPr="00301527">
        <w:rPr>
          <w:rFonts w:ascii="Arial" w:hAnsi="Arial" w:hint="cs"/>
          <w:b/>
          <w:bCs/>
          <w:rtl/>
        </w:rPr>
        <w:t>יונה</w:t>
      </w:r>
      <w:r w:rsidRPr="00301527">
        <w:rPr>
          <w:rFonts w:ascii="Arial" w:hAnsi="Arial" w:hint="cs"/>
          <w:rtl/>
        </w:rPr>
        <w:t xml:space="preserve">) </w:t>
      </w:r>
      <w:r w:rsidRPr="00301527">
        <w:rPr>
          <w:rFonts w:ascii="Arial" w:hAnsi="Arial"/>
          <w:rtl/>
        </w:rPr>
        <w:t>:</w:t>
      </w:r>
    </w:p>
    <w:p w14:paraId="61043D53" w14:textId="77777777" w:rsidR="00665E06" w:rsidRPr="00301527" w:rsidRDefault="00665E06" w:rsidP="00665E06">
      <w:pPr>
        <w:pStyle w:val="1"/>
        <w:spacing w:line="360" w:lineRule="auto"/>
        <w:ind w:left="360"/>
        <w:jc w:val="both"/>
        <w:rPr>
          <w:rFonts w:ascii="Arial" w:hAnsi="Arial"/>
          <w:rtl/>
        </w:rPr>
      </w:pPr>
    </w:p>
    <w:p w14:paraId="7AB17396" w14:textId="77777777" w:rsidR="00665E06" w:rsidRPr="00301527" w:rsidRDefault="00665E06" w:rsidP="00665E06">
      <w:pPr>
        <w:pStyle w:val="1"/>
        <w:spacing w:line="360" w:lineRule="auto"/>
        <w:ind w:left="360"/>
        <w:jc w:val="both"/>
        <w:rPr>
          <w:rFonts w:ascii="Arial" w:hAnsi="Arial"/>
          <w:rtl/>
        </w:rPr>
      </w:pPr>
      <w:r w:rsidRPr="00301527">
        <w:rPr>
          <w:rFonts w:ascii="Arial" w:hAnsi="Arial"/>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04AC4AEA" w14:textId="77777777" w:rsidR="00665E06" w:rsidRPr="00301527" w:rsidRDefault="00665E06" w:rsidP="00665E06">
      <w:pPr>
        <w:pStyle w:val="1"/>
        <w:spacing w:line="360" w:lineRule="auto"/>
        <w:ind w:left="360"/>
        <w:jc w:val="both"/>
        <w:rPr>
          <w:rFonts w:ascii="Arial" w:hAnsi="Arial"/>
          <w:rtl/>
        </w:rPr>
      </w:pPr>
    </w:p>
    <w:p w14:paraId="60C2AB94" w14:textId="77777777" w:rsidR="00665E06" w:rsidRPr="00301527" w:rsidRDefault="00665E06" w:rsidP="00665E06">
      <w:pPr>
        <w:pStyle w:val="1"/>
        <w:spacing w:line="360" w:lineRule="auto"/>
        <w:ind w:left="360"/>
        <w:jc w:val="both"/>
        <w:rPr>
          <w:rFonts w:ascii="Arial" w:hAnsi="Arial"/>
          <w:rtl/>
        </w:rPr>
      </w:pPr>
      <w:r w:rsidRPr="00301527">
        <w:rPr>
          <w:rFonts w:ascii="Arial" w:hAnsi="Arial"/>
          <w:rtl/>
        </w:rPr>
        <w:t>ובהמשך:</w:t>
      </w:r>
    </w:p>
    <w:p w14:paraId="273D2BED" w14:textId="77777777" w:rsidR="00665E06" w:rsidRPr="00301527" w:rsidRDefault="00665E06" w:rsidP="00665E06">
      <w:pPr>
        <w:pStyle w:val="1"/>
        <w:spacing w:line="360" w:lineRule="auto"/>
        <w:ind w:left="360"/>
        <w:jc w:val="both"/>
        <w:rPr>
          <w:rFonts w:ascii="Arial" w:hAnsi="Arial"/>
          <w:rtl/>
        </w:rPr>
      </w:pPr>
    </w:p>
    <w:p w14:paraId="70CAF0CC"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w:t>
      </w:r>
      <w:r w:rsidRPr="00301527">
        <w:rPr>
          <w:rFonts w:ascii="Arial" w:hAnsi="Arial"/>
          <w:rtl/>
        </w:rPr>
        <w:t xml:space="preserve">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 (השוו: </w:t>
      </w:r>
      <w:hyperlink r:id="rId26" w:history="1">
        <w:r w:rsidR="00071C29" w:rsidRPr="00301527">
          <w:rPr>
            <w:rFonts w:ascii="Arial" w:hAnsi="Arial"/>
            <w:color w:val="0000FF"/>
            <w:u w:val="single"/>
            <w:rtl/>
          </w:rPr>
          <w:t>ע"פ 8031/10</w:t>
        </w:r>
      </w:hyperlink>
      <w:r w:rsidRPr="00301527">
        <w:rPr>
          <w:rFonts w:ascii="Arial" w:hAnsi="Arial"/>
          <w:rtl/>
        </w:rPr>
        <w:t xml:space="preserve"> אורוסקו-צ'אבז נ' מדינת ישראל (1.3.2012))</w:t>
      </w:r>
      <w:r w:rsidRPr="00301527">
        <w:rPr>
          <w:rFonts w:ascii="Arial" w:hAnsi="Arial" w:hint="cs"/>
          <w:rtl/>
        </w:rPr>
        <w:t xml:space="preserve">". </w:t>
      </w:r>
    </w:p>
    <w:p w14:paraId="3484A9D0" w14:textId="77777777" w:rsidR="00665E06" w:rsidRPr="00301527" w:rsidRDefault="00665E06" w:rsidP="00665E06">
      <w:pPr>
        <w:pStyle w:val="1"/>
        <w:spacing w:line="360" w:lineRule="auto"/>
        <w:ind w:left="360"/>
        <w:jc w:val="both"/>
        <w:rPr>
          <w:rFonts w:ascii="Arial" w:hAnsi="Arial"/>
          <w:rtl/>
        </w:rPr>
      </w:pPr>
    </w:p>
    <w:p w14:paraId="60735306" w14:textId="77777777" w:rsidR="00665E06" w:rsidRPr="00301527" w:rsidRDefault="00665E06" w:rsidP="00665E06">
      <w:pPr>
        <w:pStyle w:val="1"/>
        <w:numPr>
          <w:ilvl w:val="0"/>
          <w:numId w:val="1"/>
        </w:numPr>
        <w:spacing w:line="360" w:lineRule="auto"/>
        <w:jc w:val="both"/>
        <w:rPr>
          <w:rFonts w:ascii="Arial" w:hAnsi="Arial"/>
          <w:rtl/>
        </w:rPr>
      </w:pPr>
      <w:r w:rsidRPr="00301527">
        <w:rPr>
          <w:rFonts w:ascii="Arial" w:hAnsi="Arial"/>
          <w:rtl/>
        </w:rPr>
        <w:t xml:space="preserve">הפסיקה עמדה על החומרה שבהחזקת סם מסוכן שלא לצריכה עצמית, ראו למשל את </w:t>
      </w:r>
      <w:hyperlink r:id="rId27" w:history="1">
        <w:r w:rsidR="00071C29" w:rsidRPr="00301527">
          <w:rPr>
            <w:rFonts w:ascii="Arial" w:hAnsi="Arial"/>
            <w:color w:val="0000FF"/>
            <w:u w:val="single"/>
            <w:rtl/>
          </w:rPr>
          <w:t>ע"פ 9482/09</w:t>
        </w:r>
      </w:hyperlink>
      <w:r w:rsidRPr="00301527">
        <w:rPr>
          <w:rFonts w:ascii="Arial" w:hAnsi="Arial"/>
          <w:rtl/>
        </w:rPr>
        <w:t xml:space="preserve"> </w:t>
      </w:r>
      <w:r w:rsidRPr="00301527">
        <w:rPr>
          <w:rFonts w:ascii="Arial" w:hAnsi="Arial"/>
          <w:b/>
          <w:bCs/>
          <w:rtl/>
        </w:rPr>
        <w:t>ביטון נ' מדינת ישראל</w:t>
      </w:r>
      <w:r w:rsidRPr="00301527">
        <w:rPr>
          <w:rFonts w:ascii="Arial" w:hAnsi="Arial"/>
          <w:rtl/>
        </w:rPr>
        <w:t xml:space="preserve"> (24.7.2011), שם נקבע:</w:t>
      </w:r>
    </w:p>
    <w:p w14:paraId="4344EB71" w14:textId="77777777" w:rsidR="00665E06" w:rsidRPr="00301527" w:rsidRDefault="00665E06" w:rsidP="00665E06">
      <w:pPr>
        <w:pStyle w:val="1"/>
        <w:spacing w:line="360" w:lineRule="auto"/>
        <w:ind w:left="360"/>
        <w:jc w:val="both"/>
        <w:rPr>
          <w:rFonts w:ascii="Arial" w:hAnsi="Arial"/>
          <w:rtl/>
        </w:rPr>
      </w:pPr>
    </w:p>
    <w:p w14:paraId="460914DC" w14:textId="77777777" w:rsidR="00665E06" w:rsidRPr="00301527" w:rsidRDefault="00665E06" w:rsidP="00665E06">
      <w:pPr>
        <w:pStyle w:val="1"/>
        <w:spacing w:line="360" w:lineRule="auto"/>
        <w:ind w:left="360"/>
        <w:jc w:val="both"/>
        <w:rPr>
          <w:rFonts w:ascii="Arial" w:hAnsi="Arial"/>
          <w:rtl/>
        </w:rPr>
      </w:pPr>
      <w:r w:rsidRPr="00301527">
        <w:rPr>
          <w:rFonts w:ascii="Arial" w:hAnsi="Arial"/>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hyperlink r:id="rId28" w:history="1">
        <w:r w:rsidR="00071C29" w:rsidRPr="00301527">
          <w:rPr>
            <w:rFonts w:ascii="Arial" w:hAnsi="Arial"/>
            <w:color w:val="0000FF"/>
            <w:u w:val="single"/>
            <w:rtl/>
          </w:rPr>
          <w:t>ע"פ 966/94</w:t>
        </w:r>
      </w:hyperlink>
      <w:r w:rsidRPr="00301527">
        <w:rPr>
          <w:rFonts w:ascii="Arial" w:hAnsi="Arial"/>
          <w:rtl/>
        </w:rPr>
        <w:t xml:space="preserve"> אמזלג נ' מדינת ישראל ([פורסם בנבו], 12.12.1995)).". (ראו עוד בעניין זה, למשל, את </w:t>
      </w:r>
      <w:hyperlink r:id="rId29" w:history="1">
        <w:r w:rsidR="00071C29" w:rsidRPr="00301527">
          <w:rPr>
            <w:rFonts w:ascii="Arial" w:hAnsi="Arial"/>
            <w:color w:val="0000FF"/>
            <w:u w:val="single"/>
            <w:rtl/>
          </w:rPr>
          <w:t>ע"פ 972/11</w:t>
        </w:r>
      </w:hyperlink>
      <w:r w:rsidRPr="00301527">
        <w:rPr>
          <w:rFonts w:ascii="Arial" w:hAnsi="Arial"/>
          <w:rtl/>
        </w:rPr>
        <w:t xml:space="preserve"> מדינת ישראל נ' אמארה [פורסם בנבו] [ניתן ביום 4.7.2012])</w:t>
      </w:r>
      <w:r w:rsidRPr="00301527">
        <w:rPr>
          <w:rFonts w:ascii="Arial" w:hAnsi="Arial" w:hint="cs"/>
          <w:rtl/>
        </w:rPr>
        <w:t xml:space="preserve">". </w:t>
      </w:r>
    </w:p>
    <w:p w14:paraId="65720859" w14:textId="77777777" w:rsidR="00665E06" w:rsidRPr="00301527" w:rsidRDefault="00665E06" w:rsidP="00665E06">
      <w:pPr>
        <w:pStyle w:val="1"/>
        <w:spacing w:line="360" w:lineRule="auto"/>
        <w:jc w:val="both"/>
        <w:rPr>
          <w:rFonts w:ascii="Arial" w:hAnsi="Arial"/>
          <w:rtl/>
        </w:rPr>
      </w:pPr>
    </w:p>
    <w:p w14:paraId="62B722A9"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rtl/>
        </w:rPr>
        <w:t xml:space="preserve">ראו בעניין זה גם את </w:t>
      </w:r>
      <w:r w:rsidRPr="00301527">
        <w:rPr>
          <w:rFonts w:ascii="Arial" w:hAnsi="Arial" w:hint="cs"/>
          <w:rtl/>
        </w:rPr>
        <w:t>הקבוע ב</w:t>
      </w:r>
      <w:hyperlink r:id="rId30" w:history="1">
        <w:r w:rsidR="00071C29" w:rsidRPr="00301527">
          <w:rPr>
            <w:rFonts w:ascii="Arial" w:hAnsi="Arial"/>
            <w:color w:val="0000FF"/>
            <w:u w:val="single"/>
            <w:rtl/>
          </w:rPr>
          <w:t>ע"פ 211/09</w:t>
        </w:r>
      </w:hyperlink>
      <w:r w:rsidRPr="00301527">
        <w:rPr>
          <w:rFonts w:ascii="Arial" w:hAnsi="Arial"/>
          <w:rtl/>
        </w:rPr>
        <w:t xml:space="preserve"> </w:t>
      </w:r>
      <w:r w:rsidRPr="00301527">
        <w:rPr>
          <w:rFonts w:ascii="Arial" w:hAnsi="Arial"/>
          <w:b/>
          <w:bCs/>
          <w:rtl/>
        </w:rPr>
        <w:t>אזולאי נ' מדינת ישראל</w:t>
      </w:r>
      <w:r w:rsidRPr="00301527">
        <w:rPr>
          <w:rFonts w:ascii="Arial" w:hAnsi="Arial" w:hint="cs"/>
          <w:rtl/>
        </w:rPr>
        <w:t xml:space="preserve"> (</w:t>
      </w:r>
      <w:r w:rsidRPr="00301527">
        <w:rPr>
          <w:rFonts w:ascii="Arial" w:hAnsi="Arial"/>
          <w:rtl/>
        </w:rPr>
        <w:t>22.06.</w:t>
      </w:r>
      <w:r w:rsidRPr="00301527">
        <w:rPr>
          <w:rFonts w:ascii="Arial" w:hAnsi="Arial" w:hint="cs"/>
          <w:rtl/>
        </w:rPr>
        <w:t>20</w:t>
      </w:r>
      <w:r w:rsidRPr="00301527">
        <w:rPr>
          <w:rFonts w:ascii="Arial" w:hAnsi="Arial"/>
          <w:rtl/>
        </w:rPr>
        <w:t>10</w:t>
      </w:r>
      <w:r w:rsidRPr="00301527">
        <w:rPr>
          <w:rFonts w:ascii="Arial" w:hAnsi="Arial" w:hint="cs"/>
          <w:rtl/>
        </w:rPr>
        <w:t xml:space="preserve">): </w:t>
      </w:r>
    </w:p>
    <w:p w14:paraId="26B98F8D" w14:textId="77777777" w:rsidR="00665E06" w:rsidRPr="00301527" w:rsidRDefault="00665E06" w:rsidP="00665E06">
      <w:pPr>
        <w:pStyle w:val="1"/>
        <w:spacing w:line="360" w:lineRule="auto"/>
        <w:ind w:left="360"/>
        <w:jc w:val="both"/>
        <w:rPr>
          <w:rFonts w:ascii="Arial" w:hAnsi="Arial"/>
          <w:rtl/>
        </w:rPr>
      </w:pPr>
    </w:p>
    <w:p w14:paraId="37C4EC1D"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w:t>
      </w:r>
      <w:r w:rsidRPr="00301527">
        <w:rPr>
          <w:rFonts w:ascii="Arial" w:hAnsi="Arial" w:hint="cs"/>
          <w:b/>
          <w:bCs/>
          <w:rtl/>
        </w:rPr>
        <w:t>ע</w:t>
      </w:r>
      <w:r w:rsidRPr="00301527">
        <w:rPr>
          <w:rFonts w:ascii="Arial" w:hAnsi="Arial"/>
          <w:b/>
          <w:bCs/>
          <w:rtl/>
        </w:rPr>
        <w:t>ל חומרתה המופלגת של עבירת החזקת סמים מסוכנים שלא לצריכה עצמית אין צורך להכביר מילים, ולא כל שכן כך הוא כאשר מדובר בכמות כה גדולה של סמים מסוג זה</w:t>
      </w:r>
      <w:r w:rsidRPr="00301527">
        <w:rPr>
          <w:rFonts w:ascii="Arial" w:hAnsi="Arial"/>
          <w:rtl/>
        </w:rPr>
        <w:t xml:space="preserve">.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w:t>
      </w:r>
      <w:r w:rsidRPr="00301527">
        <w:rPr>
          <w:rFonts w:ascii="Arial" w:hAnsi="Arial"/>
          <w:b/>
          <w:bCs/>
          <w:rtl/>
        </w:rPr>
        <w:t>מזה זמן רב, מדגישים בתי המשפט בפסיקתם את חשיבות הערך הענישתי בעבירות סמים כאחד הכלים החשובים בפעילות לביעורו של נגע הסמים.</w:t>
      </w:r>
      <w:r w:rsidRPr="00301527">
        <w:rPr>
          <w:rFonts w:ascii="Arial" w:hAnsi="Arial"/>
          <w:rtl/>
        </w:rPr>
        <w:t xml:space="preserve"> ההחמרה בענישה בגין עבירות סמים משרתת את מטרות הגמול וההרתעה, שהן היעדים העיקריים של הענישה בתחום הסמים</w:t>
      </w:r>
      <w:r w:rsidRPr="00301527">
        <w:rPr>
          <w:rFonts w:ascii="Arial" w:hAnsi="Arial" w:hint="cs"/>
          <w:rtl/>
        </w:rPr>
        <w:t>"</w:t>
      </w:r>
      <w:r w:rsidRPr="00301527">
        <w:rPr>
          <w:rStyle w:val="ab"/>
          <w:rFonts w:ascii="Arial" w:hAnsi="Arial"/>
          <w:rtl/>
        </w:rPr>
        <w:footnoteReference w:id="1"/>
      </w:r>
      <w:r w:rsidRPr="00301527">
        <w:rPr>
          <w:rFonts w:ascii="Arial" w:hAnsi="Arial" w:hint="cs"/>
          <w:rtl/>
        </w:rPr>
        <w:t xml:space="preserve">. </w:t>
      </w:r>
    </w:p>
    <w:p w14:paraId="18A2F0D9" w14:textId="77777777" w:rsidR="00665E06" w:rsidRPr="00301527" w:rsidRDefault="00665E06" w:rsidP="00665E06">
      <w:pPr>
        <w:pStyle w:val="1"/>
        <w:spacing w:line="360" w:lineRule="auto"/>
        <w:ind w:left="360"/>
        <w:jc w:val="both"/>
        <w:rPr>
          <w:rFonts w:ascii="Arial" w:hAnsi="Arial"/>
          <w:rtl/>
        </w:rPr>
      </w:pPr>
    </w:p>
    <w:p w14:paraId="3DFE8648"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מידת הפגיעה בערכים המוגנים במקרה דנא היא בינונית; הנאשם החזיק סמים מסוכנים מסוג הרואין וקוקאין, אשר נקבע בפסיקה כי מדובר בסמים קשים, בעלי השפעה מזיקה על צורכיהם, והחזקתם מחייבת מענה עונשי הולם; ראו למשל את </w:t>
      </w:r>
      <w:hyperlink r:id="rId31" w:history="1">
        <w:r w:rsidR="00071C29" w:rsidRPr="00301527">
          <w:rPr>
            <w:rFonts w:ascii="Arial" w:hAnsi="Arial"/>
            <w:color w:val="0000FF"/>
            <w:u w:val="single"/>
            <w:rtl/>
          </w:rPr>
          <w:t>ע"פ 4592/15</w:t>
        </w:r>
      </w:hyperlink>
      <w:r w:rsidRPr="00301527">
        <w:rPr>
          <w:rFonts w:ascii="Arial" w:hAnsi="Arial"/>
          <w:rtl/>
        </w:rPr>
        <w:t xml:space="preserve"> </w:t>
      </w:r>
      <w:r w:rsidRPr="00301527">
        <w:rPr>
          <w:rFonts w:ascii="Arial" w:hAnsi="Arial"/>
          <w:b/>
          <w:bCs/>
          <w:rtl/>
        </w:rPr>
        <w:t>פדידה נ' מדינת ישראל</w:t>
      </w:r>
      <w:r w:rsidRPr="00301527">
        <w:rPr>
          <w:rFonts w:ascii="Arial" w:hAnsi="Arial" w:hint="cs"/>
          <w:rtl/>
        </w:rPr>
        <w:t xml:space="preserve"> (8.2.2016): </w:t>
      </w:r>
    </w:p>
    <w:p w14:paraId="68723CA3" w14:textId="77777777" w:rsidR="00665E06" w:rsidRPr="00301527" w:rsidRDefault="00665E06" w:rsidP="00665E06">
      <w:pPr>
        <w:pStyle w:val="1"/>
        <w:spacing w:line="360" w:lineRule="auto"/>
        <w:ind w:left="0"/>
        <w:jc w:val="both"/>
        <w:rPr>
          <w:rFonts w:ascii="Arial" w:hAnsi="Arial"/>
          <w:rtl/>
        </w:rPr>
      </w:pPr>
    </w:p>
    <w:p w14:paraId="018D3A2C" w14:textId="77777777" w:rsidR="00665E06" w:rsidRPr="00301527" w:rsidRDefault="00665E06" w:rsidP="00665E06">
      <w:pPr>
        <w:pStyle w:val="1"/>
        <w:spacing w:line="360" w:lineRule="auto"/>
        <w:ind w:left="360"/>
        <w:jc w:val="both"/>
        <w:rPr>
          <w:rFonts w:ascii="Arial" w:hAnsi="Arial"/>
        </w:rPr>
      </w:pPr>
      <w:r w:rsidRPr="00301527">
        <w:rPr>
          <w:rFonts w:ascii="Arial" w:hAnsi="Arial" w:hint="cs"/>
          <w:rtl/>
        </w:rPr>
        <w:t>"</w:t>
      </w:r>
      <w:r w:rsidRPr="00301527">
        <w:rPr>
          <w:rFonts w:ascii="Arial" w:hAnsi="Arial"/>
          <w:b/>
          <w:bCs/>
          <w:rtl/>
        </w:rPr>
        <w:t>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w:t>
      </w:r>
      <w:r w:rsidRPr="00301527">
        <w:rPr>
          <w:rFonts w:ascii="Arial" w:hAnsi="Arial"/>
          <w:rtl/>
        </w:rPr>
        <w:t xml:space="preserve"> (</w:t>
      </w:r>
      <w:hyperlink r:id="rId32" w:history="1">
        <w:r w:rsidR="00071C29" w:rsidRPr="00301527">
          <w:rPr>
            <w:rFonts w:ascii="Arial" w:hAnsi="Arial"/>
            <w:color w:val="0000FF"/>
            <w:u w:val="single"/>
            <w:rtl/>
          </w:rPr>
          <w:t>ע"פ 8820/14</w:t>
        </w:r>
      </w:hyperlink>
      <w:r w:rsidRPr="00301527">
        <w:rPr>
          <w:rFonts w:ascii="Arial" w:hAnsi="Arial"/>
          <w:rtl/>
        </w:rPr>
        <w:t xml:space="preserve"> זהר שחר נ' מדינת ישראל [פורסם בנבו] (2015) בפסקה 12 וההפניות שם; 1313/14 גמאל בהתימי נ' מדינת ישראל [פורסם בנבו] (2015); עניין פיצו, בפסקה 14 וההפניות שם; </w:t>
      </w:r>
      <w:hyperlink r:id="rId33" w:history="1">
        <w:r w:rsidR="00071C29" w:rsidRPr="00301527">
          <w:rPr>
            <w:rFonts w:ascii="Arial" w:hAnsi="Arial"/>
            <w:color w:val="0000FF"/>
            <w:u w:val="single"/>
            <w:rtl/>
          </w:rPr>
          <w:t>ע"פ 5374/12</w:t>
        </w:r>
      </w:hyperlink>
      <w:r w:rsidRPr="00301527">
        <w:rPr>
          <w:rFonts w:ascii="Arial" w:hAnsi="Arial"/>
          <w:rtl/>
        </w:rPr>
        <w:t xml:space="preserve"> אברג'יל נ' מדינת ישראל [פורסם בנבו] (2013); </w:t>
      </w:r>
      <w:hyperlink r:id="rId34" w:history="1">
        <w:r w:rsidR="00071C29" w:rsidRPr="00301527">
          <w:rPr>
            <w:rFonts w:ascii="Arial" w:hAnsi="Arial"/>
            <w:color w:val="0000FF"/>
            <w:u w:val="single"/>
            <w:rtl/>
          </w:rPr>
          <w:t>ע"פ 11469/05</w:t>
        </w:r>
      </w:hyperlink>
      <w:r w:rsidRPr="00301527">
        <w:rPr>
          <w:rFonts w:ascii="Arial" w:hAnsi="Arial"/>
          <w:rtl/>
        </w:rPr>
        <w:t xml:space="preserve"> מדינת ישראל נ' עייש [פורסם בנבו] (2006); </w:t>
      </w:r>
      <w:hyperlink r:id="rId35" w:history="1">
        <w:r w:rsidR="00B820F6" w:rsidRPr="00B820F6">
          <w:rPr>
            <w:rFonts w:ascii="Arial" w:hAnsi="Arial"/>
            <w:color w:val="0000FF"/>
            <w:u w:val="single"/>
            <w:rtl/>
          </w:rPr>
          <w:t xml:space="preserve">5958/13 </w:t>
        </w:r>
      </w:hyperlink>
      <w:r w:rsidRPr="00301527">
        <w:rPr>
          <w:rFonts w:ascii="Arial" w:hAnsi="Arial"/>
          <w:rtl/>
        </w:rPr>
        <w:t xml:space="preserve"> גיא שרגא סבג נ' מדינת ישראל [פורסם בנבו] (2014); </w:t>
      </w:r>
      <w:hyperlink r:id="rId36" w:history="1">
        <w:r w:rsidR="00B820F6" w:rsidRPr="00B820F6">
          <w:rPr>
            <w:rFonts w:ascii="Arial" w:hAnsi="Arial"/>
            <w:color w:val="0000FF"/>
            <w:u w:val="single"/>
            <w:rtl/>
          </w:rPr>
          <w:t xml:space="preserve">4203/14 </w:t>
        </w:r>
      </w:hyperlink>
      <w:r w:rsidRPr="00301527">
        <w:rPr>
          <w:rFonts w:ascii="Arial" w:hAnsi="Arial"/>
          <w:rtl/>
        </w:rPr>
        <w:t xml:space="preserve"> אליהו כהן נ' מדינת ישראל [פורסם בנבו] (2015))</w:t>
      </w:r>
      <w:r w:rsidRPr="00301527">
        <w:rPr>
          <w:rFonts w:ascii="Arial" w:hAnsi="Arial" w:hint="cs"/>
          <w:rtl/>
        </w:rPr>
        <w:t xml:space="preserve">". </w:t>
      </w:r>
    </w:p>
    <w:p w14:paraId="21FD4E40" w14:textId="77777777" w:rsidR="00665E06" w:rsidRPr="00301527" w:rsidRDefault="00665E06" w:rsidP="00665E06">
      <w:pPr>
        <w:pStyle w:val="1"/>
        <w:spacing w:line="360" w:lineRule="auto"/>
        <w:ind w:left="360"/>
        <w:jc w:val="both"/>
        <w:rPr>
          <w:rFonts w:ascii="Arial" w:hAnsi="Arial"/>
        </w:rPr>
      </w:pPr>
    </w:p>
    <w:p w14:paraId="0DAFC3CC" w14:textId="77777777" w:rsidR="00665E06" w:rsidRPr="00301527" w:rsidRDefault="00665E06" w:rsidP="00665E06">
      <w:pPr>
        <w:pStyle w:val="1"/>
        <w:numPr>
          <w:ilvl w:val="0"/>
          <w:numId w:val="1"/>
        </w:numPr>
        <w:spacing w:line="360" w:lineRule="auto"/>
        <w:jc w:val="both"/>
        <w:rPr>
          <w:rFonts w:ascii="Arial" w:hAnsi="Arial"/>
          <w:rtl/>
        </w:rPr>
      </w:pPr>
      <w:r w:rsidRPr="00301527">
        <w:rPr>
          <w:rFonts w:ascii="Arial" w:hAnsi="Arial" w:hint="cs"/>
          <w:rtl/>
        </w:rPr>
        <w:t>הפסיקה אף עמדה על הנזקים הקשים להם גורם הסם המסוכן מסוג הרואין; ראו בעניין זה לדוגמא את הקבוע ב</w:t>
      </w:r>
      <w:hyperlink r:id="rId37" w:history="1">
        <w:r w:rsidR="00071C29" w:rsidRPr="00301527">
          <w:rPr>
            <w:rFonts w:ascii="Arial" w:hAnsi="Arial"/>
            <w:color w:val="0000FF"/>
            <w:u w:val="single"/>
            <w:rtl/>
          </w:rPr>
          <w:t>ע"פ 329/87</w:t>
        </w:r>
      </w:hyperlink>
      <w:r w:rsidRPr="00301527">
        <w:rPr>
          <w:rFonts w:ascii="Arial" w:hAnsi="Arial"/>
          <w:rtl/>
        </w:rPr>
        <w:t xml:space="preserve"> </w:t>
      </w:r>
      <w:r w:rsidRPr="00301527">
        <w:rPr>
          <w:rFonts w:ascii="Arial" w:hAnsi="Arial"/>
          <w:b/>
          <w:bCs/>
          <w:rtl/>
        </w:rPr>
        <w:t>מדינת ישראל נ' בר און</w:t>
      </w:r>
      <w:r w:rsidRPr="00301527">
        <w:rPr>
          <w:rFonts w:ascii="Arial" w:hAnsi="Arial"/>
          <w:rtl/>
        </w:rPr>
        <w:t xml:space="preserve"> (10.2.1988):</w:t>
      </w:r>
    </w:p>
    <w:p w14:paraId="2AF72039" w14:textId="77777777" w:rsidR="00665E06" w:rsidRPr="00301527" w:rsidRDefault="00665E06" w:rsidP="00665E06">
      <w:pPr>
        <w:pStyle w:val="1"/>
        <w:spacing w:line="360" w:lineRule="auto"/>
        <w:ind w:left="360"/>
        <w:jc w:val="both"/>
        <w:rPr>
          <w:rFonts w:ascii="Arial" w:hAnsi="Arial"/>
          <w:rtl/>
        </w:rPr>
      </w:pPr>
    </w:p>
    <w:p w14:paraId="659BE1E4" w14:textId="77777777" w:rsidR="00665E06" w:rsidRPr="00301527" w:rsidRDefault="00665E06" w:rsidP="00665E06">
      <w:pPr>
        <w:pStyle w:val="1"/>
        <w:spacing w:line="360" w:lineRule="auto"/>
        <w:ind w:left="360"/>
        <w:jc w:val="both"/>
        <w:rPr>
          <w:rFonts w:ascii="Arial" w:hAnsi="Arial"/>
          <w:rtl/>
        </w:rPr>
      </w:pPr>
      <w:r w:rsidRPr="00301527">
        <w:rPr>
          <w:rFonts w:ascii="Arial" w:hAnsi="Arial"/>
          <w:rtl/>
        </w:rPr>
        <w:t xml:space="preserve">"... וזאת משום החומרה המופלגת שבפשע עבירת סמים במיוחד משמדובר </w:t>
      </w:r>
      <w:r w:rsidRPr="00301527">
        <w:rPr>
          <w:rFonts w:ascii="Arial" w:hAnsi="Arial"/>
          <w:b/>
          <w:bCs/>
          <w:rtl/>
        </w:rPr>
        <w:t>בהירואין</w:t>
      </w:r>
      <w:r w:rsidRPr="00301527">
        <w:rPr>
          <w:rFonts w:ascii="Arial" w:hAnsi="Arial"/>
          <w:rtl/>
        </w:rPr>
        <w:t xml:space="preserve"> ובכמות עצומה של 150 גרם, שיש בהם אלפים רבים של מנות </w:t>
      </w:r>
      <w:r w:rsidRPr="00301527">
        <w:rPr>
          <w:rFonts w:ascii="Arial" w:hAnsi="Arial"/>
          <w:b/>
          <w:bCs/>
          <w:rtl/>
        </w:rPr>
        <w:t>סם מרעיל וממית</w:t>
      </w:r>
      <w:r w:rsidRPr="00301527">
        <w:rPr>
          <w:rFonts w:ascii="Arial" w:hAnsi="Arial"/>
          <w:rtl/>
        </w:rPr>
        <w:t>. בצדק הצביע השופט המלומד על הסכנה האיומה שבסם זה, סכנת חיים פשוטו כמשמעו, ועל התפשטות נגע הסמים בחברתנו בתקופה האחרונה. ממחקריהם של מלומדים ומדבריהם של עדים אנו למדים על התוצאות ההרסניות שיש</w:t>
      </w:r>
      <w:r w:rsidRPr="00301527">
        <w:rPr>
          <w:rFonts w:ascii="Arial" w:hAnsi="Arial" w:hint="cs"/>
          <w:rtl/>
        </w:rPr>
        <w:t xml:space="preserve"> </w:t>
      </w:r>
      <w:r w:rsidRPr="00301527">
        <w:rPr>
          <w:rFonts w:ascii="Arial" w:hAnsi="Arial"/>
          <w:rtl/>
        </w:rPr>
        <w:t>בו בסם זה לשלומה של החברה, לבריאותה ולביטחונה, ורבים וטובים מקרבנותיו נופלים חלל מפגיעתו הרעה".</w:t>
      </w:r>
    </w:p>
    <w:p w14:paraId="2835CC59" w14:textId="77777777" w:rsidR="00665E06" w:rsidRPr="00301527" w:rsidRDefault="00665E06" w:rsidP="00665E06">
      <w:pPr>
        <w:pStyle w:val="1"/>
        <w:spacing w:line="360" w:lineRule="auto"/>
        <w:ind w:left="360"/>
        <w:jc w:val="both"/>
        <w:rPr>
          <w:rFonts w:ascii="Arial" w:hAnsi="Arial"/>
          <w:rtl/>
        </w:rPr>
      </w:pPr>
    </w:p>
    <w:p w14:paraId="32ED2C54"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rtl/>
        </w:rPr>
        <w:t>ראו</w:t>
      </w:r>
      <w:r w:rsidRPr="00301527">
        <w:rPr>
          <w:rFonts w:ascii="Arial" w:hAnsi="Arial" w:hint="cs"/>
          <w:rtl/>
        </w:rPr>
        <w:t xml:space="preserve"> עוד, ביחס לסם מסוכן מסוג הרואין, </w:t>
      </w:r>
      <w:r w:rsidRPr="00301527">
        <w:rPr>
          <w:rFonts w:ascii="Arial" w:hAnsi="Arial"/>
          <w:rtl/>
        </w:rPr>
        <w:t xml:space="preserve">גם את </w:t>
      </w:r>
      <w:hyperlink r:id="rId38" w:history="1">
        <w:r w:rsidR="00071C29" w:rsidRPr="00301527">
          <w:rPr>
            <w:rFonts w:ascii="Arial" w:hAnsi="Arial"/>
            <w:color w:val="0000FF"/>
            <w:u w:val="single"/>
            <w:rtl/>
          </w:rPr>
          <w:t>ע"פ 417/88</w:t>
        </w:r>
      </w:hyperlink>
      <w:r w:rsidRPr="00301527">
        <w:rPr>
          <w:rFonts w:ascii="Arial" w:hAnsi="Arial"/>
          <w:rtl/>
        </w:rPr>
        <w:t xml:space="preserve"> </w:t>
      </w:r>
      <w:r w:rsidRPr="00301527">
        <w:rPr>
          <w:rFonts w:ascii="Arial" w:hAnsi="Arial"/>
          <w:b/>
          <w:bCs/>
          <w:rtl/>
        </w:rPr>
        <w:t>חוואג'ה נ' מדינת ישראל</w:t>
      </w:r>
      <w:r w:rsidRPr="00301527">
        <w:rPr>
          <w:rFonts w:ascii="Arial" w:hAnsi="Arial"/>
          <w:rtl/>
        </w:rPr>
        <w:t xml:space="preserve"> (12.10.1989), שם נקבע כי הרואין הוא סם מסוכן וקטלני, וכן את </w:t>
      </w:r>
      <w:hyperlink r:id="rId39" w:history="1">
        <w:r w:rsidR="00071C29" w:rsidRPr="00301527">
          <w:rPr>
            <w:rFonts w:ascii="Arial" w:hAnsi="Arial"/>
            <w:color w:val="0000FF"/>
            <w:u w:val="single"/>
            <w:rtl/>
          </w:rPr>
          <w:t>ע"פ 6839/97</w:t>
        </w:r>
      </w:hyperlink>
      <w:r w:rsidRPr="00301527">
        <w:rPr>
          <w:rFonts w:ascii="Arial" w:hAnsi="Arial"/>
          <w:rtl/>
        </w:rPr>
        <w:t xml:space="preserve"> </w:t>
      </w:r>
      <w:r w:rsidRPr="00301527">
        <w:rPr>
          <w:rFonts w:ascii="Arial" w:hAnsi="Arial"/>
          <w:b/>
          <w:bCs/>
          <w:rtl/>
        </w:rPr>
        <w:t>עזרן נ' מדינת ישראל</w:t>
      </w:r>
      <w:r w:rsidRPr="00301527">
        <w:rPr>
          <w:rFonts w:ascii="Arial" w:hAnsi="Arial"/>
          <w:rtl/>
        </w:rPr>
        <w:t xml:space="preserve"> (24.8.1998), שם כונה הסם המסוכן מסוג הרואין "סם המוות הלבן"; ראו עוד את: </w:t>
      </w:r>
      <w:hyperlink r:id="rId40" w:history="1">
        <w:r w:rsidR="00071C29" w:rsidRPr="00301527">
          <w:rPr>
            <w:rFonts w:ascii="Arial" w:hAnsi="Arial"/>
            <w:color w:val="0000FF"/>
            <w:u w:val="single"/>
            <w:rtl/>
          </w:rPr>
          <w:t>ת"פ (מחוזי מרכז) 74740-06-20</w:t>
        </w:r>
      </w:hyperlink>
      <w:r w:rsidRPr="00301527">
        <w:rPr>
          <w:rFonts w:ascii="Arial" w:hAnsi="Arial"/>
          <w:rtl/>
        </w:rPr>
        <w:t xml:space="preserve"> </w:t>
      </w:r>
      <w:r w:rsidRPr="00301527">
        <w:rPr>
          <w:rFonts w:ascii="Arial" w:hAnsi="Arial"/>
          <w:b/>
          <w:bCs/>
          <w:rtl/>
        </w:rPr>
        <w:t>מדינת ישראל נ' אבו צעלוק</w:t>
      </w:r>
      <w:r w:rsidRPr="00301527">
        <w:rPr>
          <w:rFonts w:ascii="Arial" w:hAnsi="Arial"/>
          <w:rtl/>
        </w:rPr>
        <w:t xml:space="preserve"> (1.9.2022) בפסקה 14 וההפניות שם, </w:t>
      </w:r>
      <w:hyperlink r:id="rId41" w:history="1">
        <w:r w:rsidR="00071C29" w:rsidRPr="00301527">
          <w:rPr>
            <w:rFonts w:ascii="Arial" w:hAnsi="Arial"/>
            <w:color w:val="0000FF"/>
            <w:u w:val="single"/>
            <w:rtl/>
          </w:rPr>
          <w:t>עפ"ג (חי') 37357-11-19</w:t>
        </w:r>
      </w:hyperlink>
      <w:r w:rsidRPr="00301527">
        <w:rPr>
          <w:rFonts w:ascii="Arial" w:hAnsi="Arial"/>
          <w:rtl/>
        </w:rPr>
        <w:t xml:space="preserve"> </w:t>
      </w:r>
      <w:r w:rsidRPr="00301527">
        <w:rPr>
          <w:rFonts w:ascii="Arial" w:hAnsi="Arial"/>
          <w:b/>
          <w:bCs/>
          <w:rtl/>
        </w:rPr>
        <w:t>מדינת ישראל נ' עראבי</w:t>
      </w:r>
      <w:r w:rsidRPr="00301527">
        <w:rPr>
          <w:rFonts w:ascii="Arial" w:hAnsi="Arial"/>
          <w:rtl/>
        </w:rPr>
        <w:t xml:space="preserve"> ‏(2.1.2020), </w:t>
      </w:r>
      <w:hyperlink r:id="rId42" w:history="1">
        <w:r w:rsidR="00071C29" w:rsidRPr="00301527">
          <w:rPr>
            <w:rFonts w:ascii="Arial" w:hAnsi="Arial"/>
            <w:color w:val="0000FF"/>
            <w:u w:val="single"/>
            <w:rtl/>
          </w:rPr>
          <w:t>ת"פ (מחוזי חי') 44181-01-17</w:t>
        </w:r>
      </w:hyperlink>
      <w:r w:rsidRPr="00301527">
        <w:rPr>
          <w:rFonts w:ascii="Arial" w:hAnsi="Arial"/>
          <w:rtl/>
        </w:rPr>
        <w:t>‏ ‏</w:t>
      </w:r>
      <w:r w:rsidRPr="00301527">
        <w:rPr>
          <w:rFonts w:ascii="Arial" w:hAnsi="Arial"/>
          <w:b/>
          <w:bCs/>
          <w:rtl/>
        </w:rPr>
        <w:t>מדינת ישראל נ' גריפולינה</w:t>
      </w:r>
      <w:r w:rsidRPr="00301527">
        <w:rPr>
          <w:rFonts w:ascii="Arial" w:hAnsi="Arial"/>
          <w:rtl/>
        </w:rPr>
        <w:t xml:space="preserve"> (6.11.2017) בפסקה 25.</w:t>
      </w:r>
    </w:p>
    <w:p w14:paraId="4FCA5C9E" w14:textId="77777777" w:rsidR="00665E06" w:rsidRPr="00301527" w:rsidRDefault="00665E06" w:rsidP="00665E06">
      <w:pPr>
        <w:pStyle w:val="1"/>
        <w:spacing w:line="360" w:lineRule="auto"/>
        <w:ind w:left="360"/>
        <w:jc w:val="both"/>
        <w:rPr>
          <w:rFonts w:ascii="Arial" w:hAnsi="Arial"/>
          <w:rtl/>
        </w:rPr>
      </w:pPr>
    </w:p>
    <w:p w14:paraId="21500BE4"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על החומרה שבהחזקת סם מסוכן מסוג קוקאין, ראו למשל את </w:t>
      </w:r>
      <w:hyperlink r:id="rId43" w:history="1">
        <w:r w:rsidR="00071C29" w:rsidRPr="00301527">
          <w:rPr>
            <w:rFonts w:ascii="Arial" w:hAnsi="Arial"/>
            <w:color w:val="0000FF"/>
            <w:u w:val="single"/>
            <w:rtl/>
          </w:rPr>
          <w:t>ע"פ 8048/19</w:t>
        </w:r>
      </w:hyperlink>
      <w:r w:rsidRPr="00301527">
        <w:rPr>
          <w:rFonts w:ascii="Arial" w:hAnsi="Arial"/>
          <w:rtl/>
        </w:rPr>
        <w:t xml:space="preserve"> </w:t>
      </w:r>
      <w:r w:rsidRPr="00301527">
        <w:rPr>
          <w:rFonts w:ascii="Arial" w:hAnsi="Arial"/>
          <w:b/>
          <w:bCs/>
          <w:rtl/>
        </w:rPr>
        <w:t>פיצ'חדזה נ' מדינת ישראל</w:t>
      </w:r>
      <w:r w:rsidRPr="00301527">
        <w:rPr>
          <w:rFonts w:ascii="Arial" w:hAnsi="Arial" w:hint="cs"/>
          <w:rtl/>
        </w:rPr>
        <w:t xml:space="preserve"> (</w:t>
      </w:r>
      <w:r w:rsidRPr="00301527">
        <w:rPr>
          <w:rFonts w:ascii="Arial" w:hAnsi="Arial"/>
          <w:rtl/>
        </w:rPr>
        <w:t>4.6.2020</w:t>
      </w:r>
      <w:r w:rsidRPr="00301527">
        <w:rPr>
          <w:rFonts w:ascii="Arial" w:hAnsi="Arial" w:hint="cs"/>
          <w:rtl/>
        </w:rPr>
        <w:t>) שם נקבע כי "מדובר ב</w:t>
      </w:r>
      <w:r w:rsidRPr="00301527">
        <w:rPr>
          <w:rFonts w:hint="cs"/>
          <w:rtl/>
        </w:rPr>
        <w:t xml:space="preserve">סם מסוכן </w:t>
      </w:r>
      <w:r w:rsidRPr="00301527">
        <w:rPr>
          <w:rFonts w:hint="cs"/>
          <w:b/>
          <w:bCs/>
          <w:rtl/>
        </w:rPr>
        <w:t>ה</w:t>
      </w:r>
      <w:r w:rsidRPr="00301527">
        <w:rPr>
          <w:rFonts w:ascii="Arial" w:hAnsi="Arial"/>
          <w:b/>
          <w:bCs/>
          <w:rtl/>
        </w:rPr>
        <w:t>נמנה בין הרעים והמרים שבסמים המסוכנים</w:t>
      </w:r>
      <w:r w:rsidRPr="00301527">
        <w:rPr>
          <w:rFonts w:ascii="Arial" w:hAnsi="Arial"/>
          <w:rtl/>
        </w:rPr>
        <w:t>, בשל טבעו הממכר והתלות הגבוהה הנוצרת בו, ומחמת השפעותיו ההרסניות על גוף האדם ונפשו ועל החברה כולה</w:t>
      </w:r>
      <w:r w:rsidRPr="00301527">
        <w:rPr>
          <w:rFonts w:ascii="Arial" w:hAnsi="Arial" w:hint="cs"/>
          <w:rtl/>
        </w:rPr>
        <w:t xml:space="preserve">". </w:t>
      </w:r>
    </w:p>
    <w:p w14:paraId="16E4F249" w14:textId="77777777" w:rsidR="00665E06" w:rsidRPr="00301527" w:rsidRDefault="00665E06" w:rsidP="00665E06">
      <w:pPr>
        <w:pStyle w:val="1"/>
        <w:spacing w:line="360" w:lineRule="auto"/>
        <w:ind w:left="360"/>
        <w:jc w:val="both"/>
        <w:rPr>
          <w:rFonts w:ascii="Arial" w:hAnsi="Arial"/>
          <w:rtl/>
        </w:rPr>
      </w:pPr>
    </w:p>
    <w:p w14:paraId="682FA6CB"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 xml:space="preserve">עוד יפה לענייננו קביעת בית המשפט העליון במסגרת פרשת </w:t>
      </w:r>
      <w:r w:rsidRPr="00301527">
        <w:rPr>
          <w:rFonts w:ascii="Arial" w:hAnsi="Arial" w:hint="cs"/>
          <w:b/>
          <w:bCs/>
          <w:rtl/>
        </w:rPr>
        <w:t>יונה</w:t>
      </w:r>
      <w:r w:rsidRPr="00301527">
        <w:rPr>
          <w:rFonts w:ascii="Arial" w:hAnsi="Arial" w:hint="cs"/>
          <w:rtl/>
        </w:rPr>
        <w:t xml:space="preserve">, כדלקמן: </w:t>
      </w:r>
    </w:p>
    <w:p w14:paraId="071EB681" w14:textId="77777777" w:rsidR="00665E06" w:rsidRPr="00301527" w:rsidRDefault="00665E06" w:rsidP="00665E06">
      <w:pPr>
        <w:pStyle w:val="1"/>
        <w:spacing w:line="360" w:lineRule="auto"/>
        <w:ind w:left="360"/>
        <w:jc w:val="both"/>
        <w:rPr>
          <w:rFonts w:ascii="Arial" w:hAnsi="Arial"/>
          <w:rtl/>
        </w:rPr>
      </w:pPr>
    </w:p>
    <w:p w14:paraId="404C36E6"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w:t>
      </w:r>
      <w:r w:rsidRPr="00301527">
        <w:rPr>
          <w:rFonts w:ascii="Arial" w:hAnsi="Arial"/>
          <w:b/>
          <w:bCs/>
          <w:rtl/>
        </w:rPr>
        <w:t>הקוקאין נחשב, ולא בכדי, לסם קשה</w:t>
      </w:r>
      <w:r w:rsidRPr="00301527">
        <w:rPr>
          <w:rFonts w:ascii="Arial" w:hAnsi="Arial"/>
          <w:rtl/>
        </w:rPr>
        <w:t>.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(עוד על השפעות הקוקאין ראו באתר הרשות למאבק בסמים</w:t>
      </w:r>
      <w:r w:rsidRPr="00301527">
        <w:rPr>
          <w:rFonts w:ascii="Arial" w:hAnsi="Arial" w:hint="cs"/>
          <w:rtl/>
        </w:rPr>
        <w:t>...</w:t>
      </w:r>
      <w:r w:rsidRPr="00301527">
        <w:rPr>
          <w:rFonts w:ascii="Arial" w:hAnsi="Arial"/>
          <w:rtl/>
        </w:rPr>
        <w:t xml:space="preserve"> </w:t>
      </w:r>
      <w:r w:rsidRPr="00301527">
        <w:rPr>
          <w:rFonts w:ascii="Arial" w:hAnsi="Arial"/>
          <w:b/>
          <w:bCs/>
          <w:rtl/>
        </w:rPr>
        <w:t>הפגיעה ביחיד חוזרת חלילה לפגיעה בחברה</w:t>
      </w:r>
      <w:r w:rsidRPr="00301527">
        <w:rPr>
          <w:rFonts w:ascii="Arial" w:hAnsi="Arial"/>
          <w:rtl/>
        </w:rPr>
        <w:t xml:space="preserve">. </w:t>
      </w:r>
      <w:r w:rsidRPr="00301527">
        <w:rPr>
          <w:rFonts w:ascii="Arial" w:hAnsi="Arial"/>
          <w:b/>
          <w:bCs/>
          <w:rtl/>
        </w:rPr>
        <w:t>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w:t>
      </w:r>
      <w:r w:rsidRPr="00301527">
        <w:rPr>
          <w:rFonts w:ascii="Arial" w:hAnsi="Arial" w:hint="cs"/>
          <w:rtl/>
        </w:rPr>
        <w:t>"</w:t>
      </w:r>
      <w:r w:rsidRPr="00301527">
        <w:rPr>
          <w:rFonts w:ascii="Arial" w:hAnsi="Arial"/>
          <w:rtl/>
        </w:rPr>
        <w:t>.</w:t>
      </w:r>
    </w:p>
    <w:p w14:paraId="46E2ECB2" w14:textId="77777777" w:rsidR="00665E06" w:rsidRPr="00301527" w:rsidRDefault="00665E06" w:rsidP="00665E06">
      <w:pPr>
        <w:pStyle w:val="1"/>
        <w:spacing w:line="360" w:lineRule="auto"/>
        <w:ind w:left="360"/>
        <w:jc w:val="both"/>
        <w:rPr>
          <w:rFonts w:ascii="Arial" w:hAnsi="Arial"/>
          <w:rtl/>
        </w:rPr>
      </w:pPr>
    </w:p>
    <w:p w14:paraId="0A9F4C06"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כמפורט לעיל, הנאשם החזיק בסמים קשים, שלא לצריכתו העצמית, בכמות שאינה קטנה; סם מסוכן מסוג הרואין במשקל 32 גרם, וסם מסוכן מסוג קוקאין במשקל 8 גרם; סך הכל החזיק הנאשם בכ- 40 גרם של סמים קשים ומסוכנים. </w:t>
      </w:r>
    </w:p>
    <w:p w14:paraId="1C34301D" w14:textId="77777777" w:rsidR="00665E06" w:rsidRPr="00301527" w:rsidRDefault="00665E06" w:rsidP="00665E06">
      <w:pPr>
        <w:pStyle w:val="1"/>
        <w:spacing w:line="360" w:lineRule="auto"/>
        <w:ind w:left="360"/>
        <w:jc w:val="both"/>
        <w:rPr>
          <w:rFonts w:ascii="Arial" w:hAnsi="Arial"/>
          <w:rtl/>
        </w:rPr>
      </w:pPr>
    </w:p>
    <w:p w14:paraId="19268947" w14:textId="77777777" w:rsidR="00665E06" w:rsidRPr="00301527" w:rsidRDefault="00665E06" w:rsidP="00665E06">
      <w:pPr>
        <w:pStyle w:val="1"/>
        <w:spacing w:line="360" w:lineRule="auto"/>
        <w:ind w:left="360"/>
        <w:jc w:val="both"/>
        <w:rPr>
          <w:rFonts w:ascii="Arial" w:hAnsi="Arial"/>
        </w:rPr>
      </w:pPr>
      <w:r w:rsidRPr="00301527">
        <w:rPr>
          <w:rFonts w:ascii="Arial" w:hAnsi="Arial" w:hint="cs"/>
          <w:rtl/>
        </w:rPr>
        <w:t xml:space="preserve">הסמים המסוכנים שהחזיק הנאשם היו מחולקים למנות רבות </w:t>
      </w:r>
      <w:r w:rsidRPr="00301527">
        <w:rPr>
          <w:rFonts w:ascii="Arial" w:hAnsi="Arial"/>
          <w:rtl/>
        </w:rPr>
        <w:t>–</w:t>
      </w:r>
      <w:r w:rsidRPr="00301527">
        <w:rPr>
          <w:rFonts w:ascii="Arial" w:hAnsi="Arial" w:hint="cs"/>
          <w:rtl/>
        </w:rPr>
        <w:t xml:space="preserve"> 32 גרם סם מסוכן מסוג הרואין מחולק ל-33 שקיות, וסם מסוכן מסוג קוקאין </w:t>
      </w:r>
      <w:r w:rsidRPr="00301527">
        <w:rPr>
          <w:rFonts w:ascii="Arial" w:hAnsi="Arial"/>
          <w:rtl/>
        </w:rPr>
        <w:t>–</w:t>
      </w:r>
      <w:r w:rsidRPr="00301527">
        <w:rPr>
          <w:rFonts w:ascii="Arial" w:hAnsi="Arial" w:hint="cs"/>
          <w:rtl/>
        </w:rPr>
        <w:t xml:space="preserve"> 30 שקיות. בנסיבות אלה, מקובלת עלי עמדת התביעה, שלפיה חלוקת הסמים המסוכנים לעשרות שקיות (62), עובדה המרמזת על ייעודם, מלמדת על חומרה יתרה הגלומה במעשיו של הנאשם. </w:t>
      </w:r>
    </w:p>
    <w:p w14:paraId="766D19DE" w14:textId="77777777" w:rsidR="00665E06" w:rsidRPr="00301527" w:rsidRDefault="00665E06" w:rsidP="00665E06">
      <w:pPr>
        <w:pStyle w:val="1"/>
        <w:spacing w:line="360" w:lineRule="auto"/>
        <w:ind w:left="360"/>
        <w:jc w:val="both"/>
        <w:rPr>
          <w:rFonts w:ascii="Arial" w:hAnsi="Arial"/>
        </w:rPr>
      </w:pPr>
    </w:p>
    <w:p w14:paraId="528658E0"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הצדדים הגישו פסיקה על מנת לתמוך בעתירתם העונשית; ראיתי להתייחס אל חלקה</w:t>
      </w:r>
      <w:r w:rsidRPr="00301527">
        <w:rPr>
          <w:rStyle w:val="ab"/>
          <w:rFonts w:ascii="Arial" w:hAnsi="Arial"/>
          <w:rtl/>
        </w:rPr>
        <w:footnoteReference w:id="2"/>
      </w:r>
      <w:r w:rsidRPr="00301527">
        <w:rPr>
          <w:rFonts w:ascii="Arial" w:hAnsi="Arial" w:hint="cs"/>
          <w:rtl/>
        </w:rPr>
        <w:t xml:space="preserve">, וכן לפסיקה נוספת, כמפורט להלן. </w:t>
      </w:r>
    </w:p>
    <w:p w14:paraId="070C73B4" w14:textId="77777777" w:rsidR="00665E06" w:rsidRPr="00301527" w:rsidRDefault="00665E06" w:rsidP="00665E06">
      <w:pPr>
        <w:pStyle w:val="ac"/>
        <w:rPr>
          <w:rFonts w:ascii="Arial" w:hAnsi="Arial"/>
          <w:rtl/>
        </w:rPr>
      </w:pPr>
    </w:p>
    <w:p w14:paraId="03BF6A34"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במסגרת </w:t>
      </w:r>
      <w:hyperlink r:id="rId44" w:history="1">
        <w:r w:rsidR="00071C29" w:rsidRPr="00301527">
          <w:rPr>
            <w:rFonts w:ascii="Arial" w:hAnsi="Arial"/>
            <w:color w:val="0000FF"/>
            <w:u w:val="single"/>
            <w:rtl/>
          </w:rPr>
          <w:t>ע"פ 9910/17</w:t>
        </w:r>
      </w:hyperlink>
      <w:r w:rsidRPr="00301527">
        <w:rPr>
          <w:rFonts w:ascii="Arial" w:hAnsi="Arial" w:hint="cs"/>
          <w:rtl/>
        </w:rPr>
        <w:t xml:space="preserve"> </w:t>
      </w:r>
      <w:r w:rsidRPr="00301527">
        <w:rPr>
          <w:rFonts w:ascii="Arial" w:hAnsi="Arial" w:hint="cs"/>
          <w:b/>
          <w:bCs/>
          <w:rtl/>
        </w:rPr>
        <w:t>גריפולינה ואח' נ' מדינת ישראל</w:t>
      </w:r>
      <w:r w:rsidRPr="00301527">
        <w:rPr>
          <w:rFonts w:ascii="Arial" w:hAnsi="Arial" w:hint="cs"/>
          <w:rtl/>
        </w:rPr>
        <w:t xml:space="preserve"> (3.5.2018) דחה בית המשפט העליון ערעור נגד חומרת העונש שניתן בעניינם בבית המשפט המחוזי.  </w:t>
      </w:r>
    </w:p>
    <w:p w14:paraId="615A0E00" w14:textId="77777777" w:rsidR="00665E06" w:rsidRPr="00301527" w:rsidRDefault="00665E06" w:rsidP="00665E06">
      <w:pPr>
        <w:pStyle w:val="ac"/>
        <w:rPr>
          <w:rFonts w:ascii="Arial" w:hAnsi="Arial"/>
          <w:rtl/>
        </w:rPr>
      </w:pPr>
    </w:p>
    <w:p w14:paraId="56D81048"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 xml:space="preserve">המערערת הורשעה בהחזקת סמים מסוכנים שלא לצריכה עצמית, בכך שהחזיקה סם מסוכן מסוג הרואין במשקל 40.15 גרם, וסם מסוכן מסוג חשיש במשקל 54.87 גרם; המערער הורשע בהחזקת 21.751 גרם סם מסוכן מסוג קוקאין, וכן סם מסוכן מסוג חשיש במשקל 3.26 גרם שלא לצריכה עצמית. </w:t>
      </w:r>
    </w:p>
    <w:p w14:paraId="39F584C8" w14:textId="77777777" w:rsidR="00665E06" w:rsidRPr="00301527" w:rsidRDefault="00665E06" w:rsidP="00665E06">
      <w:pPr>
        <w:pStyle w:val="1"/>
        <w:spacing w:line="360" w:lineRule="auto"/>
        <w:ind w:left="360"/>
        <w:jc w:val="both"/>
        <w:rPr>
          <w:rFonts w:ascii="Arial" w:hAnsi="Arial"/>
          <w:rtl/>
        </w:rPr>
      </w:pPr>
    </w:p>
    <w:p w14:paraId="1AF3B258"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 xml:space="preserve">בית המשפט המחוזי קבע כי מתחם העונש ההולם ביחס למערערת נע </w:t>
      </w:r>
      <w:r w:rsidRPr="00301527">
        <w:rPr>
          <w:rFonts w:ascii="Arial" w:hAnsi="Arial" w:hint="cs"/>
          <w:b/>
          <w:bCs/>
          <w:rtl/>
        </w:rPr>
        <w:t>בין 24 חודשי מאסר ועד 48 חודשים</w:t>
      </w:r>
      <w:r w:rsidRPr="00301527">
        <w:rPr>
          <w:rFonts w:ascii="Arial" w:hAnsi="Arial" w:hint="cs"/>
          <w:rtl/>
        </w:rPr>
        <w:t xml:space="preserve">, והשית עליה 24 חודשי מאסר בפועל, לצד עונשים נלווים. בעניינו של המערער נקבע מתחם ענישה הנע בין 15 חודשי מאסר, ל-36 חודשי מאסר, ונגזרו עליו 24 חודשי מאסר בפועל, בהתאם לנסיבותיו האישיות. </w:t>
      </w:r>
    </w:p>
    <w:p w14:paraId="120D8A9A" w14:textId="77777777" w:rsidR="00665E06" w:rsidRPr="00301527" w:rsidRDefault="00665E06" w:rsidP="00665E06">
      <w:pPr>
        <w:pStyle w:val="1"/>
        <w:spacing w:line="360" w:lineRule="auto"/>
        <w:ind w:left="360"/>
        <w:jc w:val="both"/>
        <w:rPr>
          <w:rFonts w:ascii="Arial" w:hAnsi="Arial"/>
          <w:rtl/>
        </w:rPr>
      </w:pPr>
    </w:p>
    <w:p w14:paraId="2C8AE500"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 xml:space="preserve">בית המשפט העליון דחה, כאמור, את ערעורם של המערערים, וקבע כי בהינתן כמויות הסמים וסוגם, מתחם הענישה שנקבע אינו חמור יתר על המידה. </w:t>
      </w:r>
    </w:p>
    <w:p w14:paraId="67800D89" w14:textId="77777777" w:rsidR="00665E06" w:rsidRPr="00301527" w:rsidRDefault="00665E06" w:rsidP="00665E06">
      <w:pPr>
        <w:pStyle w:val="ac"/>
        <w:rPr>
          <w:rFonts w:ascii="Arial" w:hAnsi="Arial"/>
          <w:rtl/>
        </w:rPr>
      </w:pPr>
    </w:p>
    <w:p w14:paraId="3694271F"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במסגרת </w:t>
      </w:r>
      <w:hyperlink r:id="rId45" w:history="1">
        <w:r w:rsidR="00071C29" w:rsidRPr="00301527">
          <w:rPr>
            <w:rFonts w:ascii="Arial" w:hAnsi="Arial"/>
            <w:color w:val="0000FF"/>
            <w:u w:val="single"/>
            <w:rtl/>
          </w:rPr>
          <w:t>רע"פ 894/16</w:t>
        </w:r>
      </w:hyperlink>
      <w:r w:rsidRPr="00301527">
        <w:rPr>
          <w:rFonts w:ascii="Arial" w:hAnsi="Arial" w:hint="cs"/>
          <w:rtl/>
        </w:rPr>
        <w:t xml:space="preserve"> </w:t>
      </w:r>
      <w:r w:rsidRPr="00301527">
        <w:rPr>
          <w:rFonts w:ascii="Arial" w:hAnsi="Arial" w:hint="cs"/>
          <w:b/>
          <w:bCs/>
          <w:rtl/>
        </w:rPr>
        <w:t>פרץ נ' מדינת ישראל</w:t>
      </w:r>
      <w:r w:rsidRPr="00301527">
        <w:rPr>
          <w:rFonts w:ascii="Arial" w:hAnsi="Arial" w:hint="cs"/>
          <w:rtl/>
        </w:rPr>
        <w:t xml:space="preserve"> (10.2.2016) דחה בית המשפט העליון בקשת רשות ערעור שהגיש המבקש נגד פסק הדין של בית המשפט המחוזי, בגדרו נדחה ערעורו על גזר הדין שניתן בעניינו. המבקש הורשע בחזקת סמים מסוכנים שלא לצריכה עצמית, בכך שהחזיק 31.05 גרם סם מסוכן מסוג קוקאין. בית משפט השלום קבע כי מתחם העונש ההולם </w:t>
      </w:r>
      <w:r w:rsidRPr="00301527">
        <w:rPr>
          <w:rFonts w:ascii="Arial" w:hAnsi="Arial" w:hint="cs"/>
          <w:b/>
          <w:bCs/>
          <w:rtl/>
        </w:rPr>
        <w:t>נע בין 15 ועד 36 חודשי מאסר בפועל</w:t>
      </w:r>
      <w:r w:rsidRPr="00301527">
        <w:rPr>
          <w:rFonts w:ascii="Arial" w:hAnsi="Arial" w:hint="cs"/>
          <w:rtl/>
        </w:rPr>
        <w:t xml:space="preserve">, והשית על המבקש 15 חודשי מאסר בפועל, ועונשים נלווים, בהתאם לנסיבותיו האישיות. </w:t>
      </w:r>
    </w:p>
    <w:p w14:paraId="6CADAEBE" w14:textId="77777777" w:rsidR="00665E06" w:rsidRPr="00301527" w:rsidRDefault="00665E06" w:rsidP="00665E06">
      <w:pPr>
        <w:pStyle w:val="1"/>
        <w:spacing w:line="360" w:lineRule="auto"/>
        <w:ind w:left="360"/>
        <w:jc w:val="both"/>
        <w:rPr>
          <w:rFonts w:ascii="Arial" w:hAnsi="Arial"/>
          <w:rtl/>
        </w:rPr>
      </w:pPr>
    </w:p>
    <w:p w14:paraId="5E15B119"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 xml:space="preserve">ערעור שהגיש המבקש נגד חומרת גזר הדין נדחה, ובית המשפט המחוזי קבע כי מתחם הענישה שקבע בית משפט השלום משקף נכונה את מדיניות הענישה הנוהגת בעבירות דומות, ובפרט כאשר מדובר בכמות נכבדה של סמים קשים מסוג קוקאין. </w:t>
      </w:r>
    </w:p>
    <w:p w14:paraId="0137F283"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 xml:space="preserve">בית המשפט העליון דחה, כאמור, את בקשת רשות הערעור, וקבע כי עונש המאסר שהושת על המבקש אינו סוטה כלל ממדיניות הענישה המקובלת בעבירות דומות. </w:t>
      </w:r>
    </w:p>
    <w:p w14:paraId="5A5F4AAE" w14:textId="77777777" w:rsidR="00665E06" w:rsidRPr="00301527" w:rsidRDefault="00665E06" w:rsidP="00665E06">
      <w:pPr>
        <w:pStyle w:val="1"/>
        <w:spacing w:line="360" w:lineRule="auto"/>
        <w:ind w:left="360"/>
        <w:jc w:val="both"/>
        <w:rPr>
          <w:rFonts w:ascii="Arial" w:hAnsi="Arial"/>
        </w:rPr>
      </w:pPr>
    </w:p>
    <w:p w14:paraId="14C0CCCE"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במסגרת </w:t>
      </w:r>
      <w:hyperlink r:id="rId46" w:history="1">
        <w:r w:rsidR="00071C29" w:rsidRPr="00301527">
          <w:rPr>
            <w:rFonts w:ascii="Arial" w:hAnsi="Arial"/>
            <w:color w:val="0000FF"/>
            <w:u w:val="single"/>
            <w:rtl/>
          </w:rPr>
          <w:t>רע"פ 1425/15</w:t>
        </w:r>
      </w:hyperlink>
      <w:r w:rsidRPr="00301527">
        <w:rPr>
          <w:rFonts w:ascii="Arial" w:hAnsi="Arial" w:hint="cs"/>
          <w:rtl/>
        </w:rPr>
        <w:t xml:space="preserve"> </w:t>
      </w:r>
      <w:r w:rsidRPr="00301527">
        <w:rPr>
          <w:rFonts w:ascii="Arial" w:hAnsi="Arial" w:hint="cs"/>
          <w:b/>
          <w:bCs/>
          <w:rtl/>
        </w:rPr>
        <w:t>טבול נ' מדינת ישראל</w:t>
      </w:r>
      <w:r w:rsidRPr="00301527">
        <w:rPr>
          <w:rFonts w:ascii="Arial" w:hAnsi="Arial" w:hint="cs"/>
          <w:rtl/>
        </w:rPr>
        <w:t xml:space="preserve"> (5.3.2015) נדחתה בקשת רשות הערעור של טבול נגד פסק דינו של בית המשפט המחוזי, בגדרו התקבל ערעור המשיבה נגד קולת עונשו. </w:t>
      </w:r>
      <w:r w:rsidRPr="00301527">
        <w:rPr>
          <w:rFonts w:ascii="Arial" w:hAnsi="Arial"/>
          <w:rtl/>
        </w:rPr>
        <w:tab/>
      </w:r>
      <w:r w:rsidRPr="00301527">
        <w:rPr>
          <w:rFonts w:ascii="Arial" w:hAnsi="Arial"/>
          <w:rtl/>
        </w:rPr>
        <w:br/>
      </w:r>
      <w:r w:rsidRPr="00301527">
        <w:rPr>
          <w:rFonts w:ascii="Arial" w:hAnsi="Arial"/>
          <w:rtl/>
        </w:rPr>
        <w:br/>
      </w:r>
      <w:r w:rsidRPr="00301527">
        <w:rPr>
          <w:rFonts w:ascii="Arial" w:hAnsi="Arial" w:hint="cs"/>
          <w:rtl/>
        </w:rPr>
        <w:t xml:space="preserve">טבול הורשע בהחזקת סמים מסוכנים שלא לצריכה עצמית, בכך שהחזיק 38.375 גרם סם מסוכן מסוג קוקאין, מחולק לכ-40 מנות. בית משפט השלום קבע כי מתחם העונש ההולם נע בין "מספר חודשי עבודות שירות לבין עשרות חודשי מאסר בפועל", והשית על הנאשם 6 חודשי מאסר לריצוי בדרך של עבודות שירות. </w:t>
      </w:r>
    </w:p>
    <w:p w14:paraId="437DC6BD" w14:textId="77777777" w:rsidR="00665E06" w:rsidRPr="00301527" w:rsidRDefault="00665E06" w:rsidP="00665E06">
      <w:pPr>
        <w:pStyle w:val="1"/>
        <w:spacing w:line="360" w:lineRule="auto"/>
        <w:ind w:left="360"/>
        <w:jc w:val="both"/>
        <w:rPr>
          <w:rFonts w:ascii="Arial" w:hAnsi="Arial"/>
          <w:rtl/>
        </w:rPr>
      </w:pPr>
    </w:p>
    <w:p w14:paraId="4B3E1A93"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בית המשפט המחוזי קיבל את ערעור המדינה, וקבע:</w:t>
      </w:r>
    </w:p>
    <w:p w14:paraId="288E520B" w14:textId="77777777" w:rsidR="00665E06" w:rsidRPr="00301527" w:rsidRDefault="00665E06" w:rsidP="00665E06">
      <w:pPr>
        <w:pStyle w:val="1"/>
        <w:spacing w:line="360" w:lineRule="auto"/>
        <w:ind w:left="360"/>
        <w:jc w:val="both"/>
        <w:rPr>
          <w:rFonts w:ascii="Arial" w:hAnsi="Arial"/>
          <w:rtl/>
        </w:rPr>
      </w:pPr>
    </w:p>
    <w:p w14:paraId="76EE4543"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w:t>
      </w:r>
      <w:r w:rsidRPr="00301527">
        <w:rPr>
          <w:rFonts w:ascii="Arial" w:hAnsi="Arial" w:hint="cs"/>
          <w:b/>
          <w:bCs/>
          <w:rtl/>
        </w:rPr>
        <w:t>ע</w:t>
      </w:r>
      <w:r w:rsidRPr="00301527">
        <w:rPr>
          <w:rFonts w:ascii="Arial" w:hAnsi="Arial"/>
          <w:b/>
          <w:bCs/>
          <w:rtl/>
        </w:rPr>
        <w:t>בירת הסמים שבה הורשע המשיב הינה חמורה – זאת נוכח טיב הסם המסוכן שהחזיק (קוקאין), הכמות הגדולה שהחזיק ברשותו (למעלה מ- 38 גרם) והדרך בה החזיק הסם ברשותו כשהוא מחולק למארזים ואריזות מרובות בגדלים שונים ומשתנים</w:t>
      </w:r>
      <w:r w:rsidRPr="00301527">
        <w:rPr>
          <w:rFonts w:ascii="Arial" w:hAnsi="Arial"/>
          <w:rtl/>
        </w:rPr>
        <w:t>.</w:t>
      </w:r>
    </w:p>
    <w:p w14:paraId="2DE4104E" w14:textId="77777777" w:rsidR="00665E06" w:rsidRPr="00301527" w:rsidRDefault="00665E06" w:rsidP="00665E06">
      <w:pPr>
        <w:pStyle w:val="1"/>
        <w:spacing w:line="360" w:lineRule="auto"/>
        <w:ind w:left="360"/>
        <w:jc w:val="both"/>
        <w:rPr>
          <w:rFonts w:ascii="Arial" w:hAnsi="Arial"/>
          <w:rtl/>
        </w:rPr>
      </w:pPr>
    </w:p>
    <w:p w14:paraId="215248A5" w14:textId="77777777" w:rsidR="00665E06" w:rsidRPr="00301527" w:rsidRDefault="00665E06" w:rsidP="00665E06">
      <w:pPr>
        <w:pStyle w:val="1"/>
        <w:spacing w:line="360" w:lineRule="auto"/>
        <w:ind w:left="360"/>
        <w:jc w:val="both"/>
        <w:rPr>
          <w:rFonts w:ascii="Arial" w:hAnsi="Arial"/>
          <w:b/>
          <w:bCs/>
          <w:rtl/>
        </w:rPr>
      </w:pPr>
      <w:r w:rsidRPr="00301527">
        <w:rPr>
          <w:rFonts w:ascii="Arial" w:hAnsi="Arial"/>
          <w:b/>
          <w:bCs/>
          <w:rtl/>
        </w:rPr>
        <w:t>מטבע הדברים, החזקת כמות משמעותית שכזו ובמארזים שכאלה של סם קוקאין מעצימה את היות ההחזקה האמורה שלא לצריכה עצמית.</w:t>
      </w:r>
    </w:p>
    <w:p w14:paraId="6CB9A048" w14:textId="77777777" w:rsidR="00665E06" w:rsidRPr="00301527" w:rsidRDefault="00665E06" w:rsidP="00665E06">
      <w:pPr>
        <w:pStyle w:val="1"/>
        <w:spacing w:line="360" w:lineRule="auto"/>
        <w:ind w:left="360"/>
        <w:jc w:val="both"/>
        <w:rPr>
          <w:rFonts w:ascii="Arial" w:hAnsi="Arial"/>
          <w:rtl/>
        </w:rPr>
      </w:pPr>
    </w:p>
    <w:p w14:paraId="2846C8CB" w14:textId="77777777" w:rsidR="00665E06" w:rsidRPr="00301527" w:rsidRDefault="00665E06" w:rsidP="00665E06">
      <w:pPr>
        <w:pStyle w:val="1"/>
        <w:spacing w:line="360" w:lineRule="auto"/>
        <w:ind w:left="360"/>
        <w:jc w:val="both"/>
        <w:rPr>
          <w:rFonts w:ascii="Arial" w:hAnsi="Arial"/>
          <w:b/>
          <w:bCs/>
          <w:rtl/>
        </w:rPr>
      </w:pPr>
      <w:r w:rsidRPr="00301527">
        <w:rPr>
          <w:rFonts w:ascii="Arial" w:hAnsi="Arial"/>
          <w:b/>
          <w:bCs/>
          <w:rtl/>
        </w:rPr>
        <w:t>לאמור – למטרות הפצה כאלה או אחרות שהן מעבר לצריכת הסם האישית והעצמית של מחזיק הסם.</w:t>
      </w:r>
    </w:p>
    <w:p w14:paraId="3E91D71B" w14:textId="77777777" w:rsidR="00665E06" w:rsidRPr="00301527" w:rsidRDefault="00665E06" w:rsidP="00665E06">
      <w:pPr>
        <w:pStyle w:val="1"/>
        <w:spacing w:line="360" w:lineRule="auto"/>
        <w:ind w:left="360"/>
        <w:jc w:val="both"/>
        <w:rPr>
          <w:rFonts w:ascii="Arial" w:hAnsi="Arial"/>
          <w:rtl/>
        </w:rPr>
      </w:pPr>
    </w:p>
    <w:p w14:paraId="7BF60BF5" w14:textId="77777777" w:rsidR="00665E06" w:rsidRPr="00301527" w:rsidRDefault="00665E06" w:rsidP="00665E06">
      <w:pPr>
        <w:pStyle w:val="1"/>
        <w:spacing w:line="360" w:lineRule="auto"/>
        <w:ind w:left="360"/>
        <w:jc w:val="both"/>
        <w:rPr>
          <w:rFonts w:ascii="Arial" w:hAnsi="Arial"/>
          <w:rtl/>
        </w:rPr>
      </w:pPr>
      <w:r w:rsidRPr="00301527">
        <w:rPr>
          <w:rFonts w:ascii="Arial" w:hAnsi="Arial"/>
          <w:rtl/>
        </w:rPr>
        <w:t>קביעת בית המשפט קמא את הרף התחתון של מתחם הענישה בענייננו ב"מאסר של מספר חודשים בעבודות שירות" נמצאת שגויה ומופרזת לקולה בהינתן סוג הסם, הכמות המוחזקת ודרכי ההחזקה</w:t>
      </w:r>
      <w:r w:rsidRPr="00301527">
        <w:rPr>
          <w:rFonts w:ascii="Arial" w:hAnsi="Arial" w:hint="cs"/>
          <w:rtl/>
        </w:rPr>
        <w:t>"</w:t>
      </w:r>
      <w:r w:rsidRPr="00301527">
        <w:rPr>
          <w:rFonts w:ascii="Arial" w:hAnsi="Arial"/>
          <w:rtl/>
        </w:rPr>
        <w:t>.</w:t>
      </w:r>
    </w:p>
    <w:p w14:paraId="2935BE73" w14:textId="77777777" w:rsidR="00665E06" w:rsidRPr="00301527" w:rsidRDefault="00665E06" w:rsidP="00665E06">
      <w:pPr>
        <w:pStyle w:val="1"/>
        <w:spacing w:line="360" w:lineRule="auto"/>
        <w:ind w:left="360"/>
        <w:jc w:val="both"/>
        <w:rPr>
          <w:rFonts w:ascii="Arial" w:hAnsi="Arial"/>
          <w:rtl/>
        </w:rPr>
      </w:pPr>
    </w:p>
    <w:p w14:paraId="0DD812C7"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 xml:space="preserve">ובהמשך: </w:t>
      </w:r>
    </w:p>
    <w:p w14:paraId="35551D55" w14:textId="77777777" w:rsidR="00665E06" w:rsidRPr="00301527" w:rsidRDefault="00665E06" w:rsidP="00665E06">
      <w:pPr>
        <w:pStyle w:val="1"/>
        <w:spacing w:line="360" w:lineRule="auto"/>
        <w:ind w:left="360"/>
        <w:jc w:val="both"/>
        <w:rPr>
          <w:rFonts w:ascii="Arial" w:hAnsi="Arial"/>
          <w:rtl/>
        </w:rPr>
      </w:pPr>
    </w:p>
    <w:p w14:paraId="1D5312D5"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w:t>
      </w:r>
      <w:r w:rsidRPr="00301527">
        <w:rPr>
          <w:rFonts w:ascii="Arial" w:hAnsi="Arial" w:hint="cs"/>
          <w:b/>
          <w:bCs/>
          <w:rtl/>
        </w:rPr>
        <w:t>ה</w:t>
      </w:r>
      <w:r w:rsidRPr="00301527">
        <w:rPr>
          <w:rFonts w:ascii="Arial" w:hAnsi="Arial"/>
          <w:b/>
          <w:bCs/>
          <w:rtl/>
        </w:rPr>
        <w:t xml:space="preserve">רף התחתון של מתחם הענישה הראוי לעבירה בה הורשע המערער גבוה משמעותית מהנקבע בגזר הדין קמא </w:t>
      </w:r>
      <w:r w:rsidRPr="00301527">
        <w:rPr>
          <w:rFonts w:ascii="Arial" w:hAnsi="Arial"/>
          <w:rtl/>
        </w:rPr>
        <w:t>ולא יסכון לו מאסר בעבודות שירות.</w:t>
      </w:r>
      <w:r w:rsidRPr="00301527">
        <w:rPr>
          <w:rFonts w:ascii="Arial" w:hAnsi="Arial" w:hint="cs"/>
          <w:rtl/>
        </w:rPr>
        <w:t xml:space="preserve"> </w:t>
      </w:r>
      <w:r w:rsidRPr="00301527">
        <w:rPr>
          <w:rFonts w:ascii="Arial" w:hAnsi="Arial"/>
          <w:rtl/>
        </w:rPr>
        <w:t>הרף העליון כפי שנקבע בגזר הדין קמא יכול אמנם ויהיה בן "עשרות חודשי מאסר".</w:t>
      </w:r>
    </w:p>
    <w:p w14:paraId="17063DC3" w14:textId="77777777" w:rsidR="00665E06" w:rsidRPr="00301527" w:rsidRDefault="00665E06" w:rsidP="00665E06">
      <w:pPr>
        <w:pStyle w:val="1"/>
        <w:spacing w:line="360" w:lineRule="auto"/>
        <w:ind w:left="360"/>
        <w:jc w:val="both"/>
        <w:rPr>
          <w:rFonts w:ascii="Arial" w:hAnsi="Arial"/>
          <w:rtl/>
        </w:rPr>
      </w:pPr>
    </w:p>
    <w:p w14:paraId="657C2726"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 xml:space="preserve">בסופו של יום השית בית המשפט המחוזי על המערער שנת מאסר בפועל, ועונשים נלווים, בהתאם לנסיבותיו האישיות. </w:t>
      </w:r>
      <w:r w:rsidRPr="00301527">
        <w:rPr>
          <w:rFonts w:ascii="Arial" w:hAnsi="Arial" w:hint="cs"/>
          <w:rtl/>
        </w:rPr>
        <w:tab/>
      </w:r>
      <w:r w:rsidRPr="00301527">
        <w:rPr>
          <w:rFonts w:ascii="Arial" w:hAnsi="Arial"/>
          <w:rtl/>
        </w:rPr>
        <w:br/>
      </w:r>
      <w:r w:rsidRPr="00301527">
        <w:rPr>
          <w:rFonts w:ascii="Arial" w:hAnsi="Arial"/>
          <w:rtl/>
        </w:rPr>
        <w:br/>
      </w:r>
      <w:r w:rsidRPr="00301527">
        <w:rPr>
          <w:rFonts w:ascii="Arial" w:hAnsi="Arial" w:hint="cs"/>
          <w:rtl/>
        </w:rPr>
        <w:t>אמנם לא נקבע מתחם קונקרטי על ידי בית המשפט המחוזי, אולם הרוח הנושבת מפסק דינו ברורה בהחלט.</w:t>
      </w:r>
    </w:p>
    <w:p w14:paraId="66F6B751" w14:textId="77777777" w:rsidR="00665E06" w:rsidRPr="00301527" w:rsidRDefault="00665E06" w:rsidP="00665E06">
      <w:pPr>
        <w:pStyle w:val="1"/>
        <w:spacing w:line="360" w:lineRule="auto"/>
        <w:ind w:left="360"/>
        <w:jc w:val="both"/>
        <w:rPr>
          <w:rFonts w:ascii="Arial" w:hAnsi="Arial"/>
          <w:rtl/>
        </w:rPr>
      </w:pPr>
    </w:p>
    <w:p w14:paraId="21E38874"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 xml:space="preserve">בית המשפט העליון דחה את בקשת רשות הערעור, וקבע כי עונשו של המבקש אינו סוטה ממדיניות הענישה המקובלת או הראויה. </w:t>
      </w:r>
    </w:p>
    <w:p w14:paraId="30F67E71" w14:textId="77777777" w:rsidR="00665E06" w:rsidRPr="00301527" w:rsidRDefault="00665E06" w:rsidP="00665E06">
      <w:pPr>
        <w:pStyle w:val="1"/>
        <w:spacing w:line="360" w:lineRule="auto"/>
        <w:ind w:left="360"/>
        <w:jc w:val="both"/>
        <w:rPr>
          <w:rFonts w:ascii="Arial" w:hAnsi="Arial"/>
        </w:rPr>
      </w:pPr>
    </w:p>
    <w:p w14:paraId="7B5D86A5"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במסגרת </w:t>
      </w:r>
      <w:hyperlink r:id="rId47" w:history="1">
        <w:r w:rsidR="00071C29" w:rsidRPr="00301527">
          <w:rPr>
            <w:rFonts w:ascii="Arial" w:hAnsi="Arial"/>
            <w:color w:val="0000FF"/>
            <w:u w:val="single"/>
            <w:rtl/>
          </w:rPr>
          <w:t>רע"פ 5354/12</w:t>
        </w:r>
      </w:hyperlink>
      <w:r w:rsidRPr="00301527">
        <w:rPr>
          <w:rFonts w:ascii="Arial" w:hAnsi="Arial" w:hint="cs"/>
          <w:rtl/>
        </w:rPr>
        <w:t xml:space="preserve"> </w:t>
      </w:r>
      <w:r w:rsidRPr="00301527">
        <w:rPr>
          <w:rFonts w:ascii="Arial" w:hAnsi="Arial" w:hint="cs"/>
          <w:b/>
          <w:bCs/>
          <w:rtl/>
        </w:rPr>
        <w:t>קובר נ' מדינת ישראל</w:t>
      </w:r>
      <w:r w:rsidRPr="00301527">
        <w:rPr>
          <w:rFonts w:ascii="Arial" w:hAnsi="Arial" w:hint="cs"/>
          <w:rtl/>
        </w:rPr>
        <w:t xml:space="preserve"> (12.7.2012) דחה בית המשפט העליון בקשת רשות ערעור מאת המבקש נגד פסק דינו של בית המשפט המחוזי, אשר דחה את ערעורו נגד גזר הדין שניתן בעניינו. המבקש הורשע בהחזקת 37.96 גרם סם מסוכן מסוג קוקאין, מחולק לשתי מנות, שלא לצריכתו העצמית. בית משפט השלום קבע כי מתחם העונש ההולם </w:t>
      </w:r>
      <w:r w:rsidRPr="00301527">
        <w:rPr>
          <w:rFonts w:ascii="Arial" w:hAnsi="Arial" w:hint="cs"/>
          <w:b/>
          <w:bCs/>
          <w:rtl/>
        </w:rPr>
        <w:t>נע בין 18 ועד 36 חודשי מאסר בפועל</w:t>
      </w:r>
      <w:r w:rsidRPr="00301527">
        <w:rPr>
          <w:rFonts w:ascii="Arial" w:hAnsi="Arial" w:hint="cs"/>
          <w:rtl/>
        </w:rPr>
        <w:t xml:space="preserve">, והשית על המבקש עונש החורג לקולא מהמתחם שנקבע (14 חודשי מאסר בפועל); למותר לציין כי החריגה לקולא אינה רלוונטית במקרה דנא. </w:t>
      </w:r>
    </w:p>
    <w:p w14:paraId="4E0360BA" w14:textId="77777777" w:rsidR="00665E06" w:rsidRPr="00301527" w:rsidRDefault="00665E06" w:rsidP="00665E06">
      <w:pPr>
        <w:pStyle w:val="1"/>
        <w:spacing w:line="360" w:lineRule="auto"/>
        <w:ind w:left="360"/>
        <w:jc w:val="both"/>
        <w:rPr>
          <w:rFonts w:ascii="Arial" w:hAnsi="Arial"/>
          <w:rtl/>
        </w:rPr>
      </w:pPr>
    </w:p>
    <w:p w14:paraId="72A291EA" w14:textId="77777777" w:rsidR="00665E06" w:rsidRPr="00301527" w:rsidRDefault="00665E06" w:rsidP="00665E06">
      <w:pPr>
        <w:pStyle w:val="1"/>
        <w:spacing w:line="360" w:lineRule="auto"/>
        <w:ind w:left="360"/>
        <w:jc w:val="both"/>
        <w:rPr>
          <w:rFonts w:ascii="Arial" w:hAnsi="Arial"/>
        </w:rPr>
      </w:pPr>
      <w:r w:rsidRPr="00301527">
        <w:rPr>
          <w:rFonts w:ascii="Arial" w:hAnsi="Arial" w:hint="cs"/>
          <w:rtl/>
        </w:rPr>
        <w:t xml:space="preserve">בית המשפט המחוזי דחה את ערעורו המבקש נגד גזר הדין, ובית המשפט העליון דחה, כאמור, את בקשתו לערער נגד פסק דין זה. </w:t>
      </w:r>
    </w:p>
    <w:p w14:paraId="61C4AFBF" w14:textId="77777777" w:rsidR="00665E06" w:rsidRPr="00301527" w:rsidRDefault="00665E06" w:rsidP="00665E06">
      <w:pPr>
        <w:pStyle w:val="1"/>
        <w:spacing w:line="360" w:lineRule="auto"/>
        <w:ind w:left="360"/>
        <w:jc w:val="both"/>
        <w:rPr>
          <w:rFonts w:ascii="Arial" w:hAnsi="Arial"/>
        </w:rPr>
      </w:pPr>
    </w:p>
    <w:p w14:paraId="51972866"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במסגרת </w:t>
      </w:r>
      <w:hyperlink r:id="rId48" w:history="1">
        <w:r w:rsidR="00071C29" w:rsidRPr="00301527">
          <w:rPr>
            <w:rFonts w:ascii="Arial" w:hAnsi="Arial"/>
            <w:color w:val="0000FF"/>
            <w:u w:val="single"/>
            <w:rtl/>
          </w:rPr>
          <w:t>עפ"ג (חי') 61867-11-19</w:t>
        </w:r>
      </w:hyperlink>
      <w:r w:rsidRPr="00301527">
        <w:rPr>
          <w:rFonts w:ascii="Arial" w:hAnsi="Arial" w:hint="cs"/>
          <w:rtl/>
        </w:rPr>
        <w:t xml:space="preserve"> </w:t>
      </w:r>
      <w:r w:rsidRPr="00301527">
        <w:rPr>
          <w:rFonts w:ascii="Arial" w:hAnsi="Arial" w:hint="cs"/>
          <w:b/>
          <w:bCs/>
          <w:rtl/>
        </w:rPr>
        <w:t>מדינת ישראל נ' אבו עיסא</w:t>
      </w:r>
      <w:r w:rsidRPr="00301527">
        <w:rPr>
          <w:rFonts w:ascii="Arial" w:hAnsi="Arial" w:hint="cs"/>
          <w:rtl/>
        </w:rPr>
        <w:t xml:space="preserve"> (4.12.2019) קיבל בית המשפט המחוזי את ערעור המדינה נגד גזר דינו של המשיב. המשיב הורשע בהחזקת סם שלא לצריכה עצמית, בכך שהחזיק </w:t>
      </w:r>
      <w:r w:rsidRPr="00301527">
        <w:rPr>
          <w:rFonts w:ascii="Arial" w:hAnsi="Arial"/>
          <w:rtl/>
        </w:rPr>
        <w:t>כ-19 גר</w:t>
      </w:r>
      <w:r w:rsidRPr="00301527">
        <w:rPr>
          <w:rFonts w:ascii="Arial" w:hAnsi="Arial" w:hint="cs"/>
          <w:rtl/>
        </w:rPr>
        <w:t>ם</w:t>
      </w:r>
      <w:r w:rsidRPr="00301527">
        <w:rPr>
          <w:rFonts w:ascii="Arial" w:hAnsi="Arial"/>
          <w:rtl/>
        </w:rPr>
        <w:t xml:space="preserve"> סם מסוג הרואין, כ-2 גר</w:t>
      </w:r>
      <w:r w:rsidRPr="00301527">
        <w:rPr>
          <w:rFonts w:ascii="Arial" w:hAnsi="Arial" w:hint="cs"/>
          <w:rtl/>
        </w:rPr>
        <w:t>ם</w:t>
      </w:r>
      <w:r w:rsidRPr="00301527">
        <w:rPr>
          <w:rFonts w:ascii="Arial" w:hAnsi="Arial"/>
          <w:rtl/>
        </w:rPr>
        <w:t xml:space="preserve"> סם מסוג הרואין ו-2.62 גר</w:t>
      </w:r>
      <w:r w:rsidRPr="00301527">
        <w:rPr>
          <w:rFonts w:ascii="Arial" w:hAnsi="Arial" w:hint="cs"/>
          <w:rtl/>
        </w:rPr>
        <w:t xml:space="preserve">ם </w:t>
      </w:r>
      <w:r w:rsidRPr="00301527">
        <w:rPr>
          <w:rFonts w:ascii="Arial" w:hAnsi="Arial"/>
          <w:rtl/>
        </w:rPr>
        <w:t>סם מסוג חשיש.</w:t>
      </w:r>
      <w:r w:rsidRPr="00301527">
        <w:rPr>
          <w:rFonts w:ascii="Arial" w:hAnsi="Arial" w:hint="cs"/>
          <w:rtl/>
        </w:rPr>
        <w:t xml:space="preserve"> בית משפט השלום קבע כי מתחם העונש ההולם </w:t>
      </w:r>
      <w:r w:rsidRPr="00301527">
        <w:rPr>
          <w:rFonts w:ascii="Arial" w:hAnsi="Arial" w:hint="cs"/>
          <w:b/>
          <w:bCs/>
          <w:rtl/>
        </w:rPr>
        <w:t>נע בין 9 ועד 18 חודשי מאסר בפועל</w:t>
      </w:r>
      <w:r w:rsidRPr="00301527">
        <w:rPr>
          <w:rFonts w:ascii="Arial" w:hAnsi="Arial" w:hint="cs"/>
          <w:rtl/>
        </w:rPr>
        <w:t xml:space="preserve">, והשית על המשיב עונש החורג לקולא מהמתחם שנקבע, נוכח נסיבותיו האישיות. </w:t>
      </w:r>
    </w:p>
    <w:p w14:paraId="2EF5AE1E" w14:textId="77777777" w:rsidR="00665E06" w:rsidRPr="00301527" w:rsidRDefault="00665E06" w:rsidP="00665E06">
      <w:pPr>
        <w:pStyle w:val="1"/>
        <w:spacing w:line="360" w:lineRule="auto"/>
        <w:ind w:left="360"/>
        <w:jc w:val="both"/>
        <w:rPr>
          <w:rFonts w:ascii="Arial" w:hAnsi="Arial"/>
          <w:rtl/>
        </w:rPr>
      </w:pPr>
    </w:p>
    <w:p w14:paraId="22257F4E" w14:textId="77777777" w:rsidR="00665E06" w:rsidRPr="00301527" w:rsidRDefault="00665E06" w:rsidP="00665E06">
      <w:pPr>
        <w:pStyle w:val="1"/>
        <w:spacing w:line="360" w:lineRule="auto"/>
        <w:ind w:left="360"/>
        <w:jc w:val="both"/>
        <w:rPr>
          <w:rFonts w:ascii="Arial" w:hAnsi="Arial"/>
          <w:rtl/>
        </w:rPr>
      </w:pPr>
      <w:r w:rsidRPr="00301527">
        <w:rPr>
          <w:rFonts w:ascii="Arial" w:hAnsi="Arial" w:hint="cs"/>
          <w:rtl/>
        </w:rPr>
        <w:t>בית המשפט המחוזי קיבל את ערעור המשיבה, ביחס לחריגה לקולא מהמתחם העונשי (נקבע כי מצבו הרפואי הקשה של המבקש לא הצדיק את החריגה האמורה), והשית על המשיב 9 חודשי מאסר בפועל. למותר לציין, כי מדובר בכמחצית כמות הסם דכאן, וללא נסיבת מחמירה של חלוקת הסם למנות אין-ספור.</w:t>
      </w:r>
    </w:p>
    <w:p w14:paraId="139194FA" w14:textId="77777777" w:rsidR="00665E06" w:rsidRPr="00301527" w:rsidRDefault="00665E06" w:rsidP="00665E06">
      <w:pPr>
        <w:pStyle w:val="1"/>
        <w:spacing w:line="360" w:lineRule="auto"/>
        <w:ind w:left="360"/>
        <w:jc w:val="both"/>
        <w:rPr>
          <w:rFonts w:ascii="Arial" w:hAnsi="Arial"/>
        </w:rPr>
      </w:pPr>
    </w:p>
    <w:p w14:paraId="530CF2CA"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במסגרת </w:t>
      </w:r>
      <w:hyperlink r:id="rId49" w:history="1">
        <w:r w:rsidR="00071C29" w:rsidRPr="00301527">
          <w:rPr>
            <w:rFonts w:ascii="Arial" w:hAnsi="Arial"/>
            <w:color w:val="0000FF"/>
            <w:u w:val="single"/>
            <w:rtl/>
          </w:rPr>
          <w:t>עפ"ג (מרכז) 41795-11-18</w:t>
        </w:r>
      </w:hyperlink>
      <w:r w:rsidRPr="00301527">
        <w:rPr>
          <w:rFonts w:ascii="Arial" w:hAnsi="Arial" w:hint="cs"/>
          <w:rtl/>
        </w:rPr>
        <w:t xml:space="preserve"> </w:t>
      </w:r>
      <w:r w:rsidRPr="00301527">
        <w:rPr>
          <w:rFonts w:ascii="Arial" w:hAnsi="Arial" w:hint="cs"/>
          <w:b/>
          <w:bCs/>
          <w:rtl/>
        </w:rPr>
        <w:t>חזן נ' מדינת ישראל</w:t>
      </w:r>
      <w:r w:rsidRPr="00301527">
        <w:rPr>
          <w:rFonts w:ascii="Arial" w:hAnsi="Arial" w:hint="cs"/>
          <w:rtl/>
        </w:rPr>
        <w:t xml:space="preserve"> (15.7.2019) דחה בית המשפט המחוזי את ערעורו של חזן נגד חומרת העונש שנגזר עליו. המערער הורשע בהחזקת סמים שלא לצריכה עצמית, בכך שהחזיק, במקומות שונים בביתו ובהסלקה, סם מסוכן מסוג קוקאין במשקל 37.8942 גרם, יחד עם משקל אלקטרוני. בית משפט השלום קבע כי מתחם העונש ההולם </w:t>
      </w:r>
      <w:r w:rsidRPr="00301527">
        <w:rPr>
          <w:rFonts w:ascii="Arial" w:hAnsi="Arial" w:hint="cs"/>
          <w:b/>
          <w:bCs/>
          <w:rtl/>
        </w:rPr>
        <w:t>נע בין 20 ועד 40 חודשי מאסר בפועל</w:t>
      </w:r>
      <w:r w:rsidRPr="00301527">
        <w:rPr>
          <w:rFonts w:ascii="Arial" w:hAnsi="Arial" w:hint="cs"/>
          <w:rtl/>
        </w:rPr>
        <w:t xml:space="preserve">, והשית על הנאשם 33 חודשי מאסר, ועונשים נלווים, בהתאם לנסיבותיו האישיות. </w:t>
      </w:r>
    </w:p>
    <w:p w14:paraId="32CB2386" w14:textId="77777777" w:rsidR="00665E06" w:rsidRPr="00301527" w:rsidRDefault="00665E06" w:rsidP="00665E06">
      <w:pPr>
        <w:pStyle w:val="1"/>
        <w:spacing w:line="360" w:lineRule="auto"/>
        <w:ind w:left="360"/>
        <w:jc w:val="both"/>
        <w:rPr>
          <w:rFonts w:ascii="Arial" w:hAnsi="Arial"/>
          <w:rtl/>
        </w:rPr>
      </w:pPr>
    </w:p>
    <w:p w14:paraId="361E93FD" w14:textId="77777777" w:rsidR="00665E06" w:rsidRPr="00301527" w:rsidRDefault="00665E06" w:rsidP="00665E06">
      <w:pPr>
        <w:pStyle w:val="1"/>
        <w:spacing w:line="360" w:lineRule="auto"/>
        <w:ind w:left="360"/>
        <w:jc w:val="both"/>
        <w:rPr>
          <w:rFonts w:ascii="Arial" w:hAnsi="Arial"/>
        </w:rPr>
      </w:pPr>
      <w:r w:rsidRPr="00301527">
        <w:rPr>
          <w:rFonts w:ascii="Arial" w:hAnsi="Arial" w:hint="cs"/>
          <w:rtl/>
        </w:rPr>
        <w:t xml:space="preserve">בית המשפט המחוזי דחה את ערעור המערער, וקבע כי בית המשפט קמא לא שגה באף לא קביעה אחת המצויה בגדר הדין; עוד נקבע, כי מתחם העונש ההולם "מקובל עלינו ונטוע עמוק בפסיקה". </w:t>
      </w:r>
    </w:p>
    <w:p w14:paraId="4E200F40" w14:textId="77777777" w:rsidR="00665E06" w:rsidRPr="00301527" w:rsidRDefault="00665E06" w:rsidP="00665E06">
      <w:pPr>
        <w:pStyle w:val="1"/>
        <w:spacing w:line="360" w:lineRule="auto"/>
        <w:ind w:left="360"/>
        <w:jc w:val="both"/>
        <w:rPr>
          <w:rFonts w:ascii="Arial" w:hAnsi="Arial"/>
        </w:rPr>
      </w:pPr>
    </w:p>
    <w:p w14:paraId="3EF5E8E3"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במסגרת </w:t>
      </w:r>
      <w:hyperlink r:id="rId50" w:history="1">
        <w:r w:rsidR="00071C29" w:rsidRPr="00301527">
          <w:rPr>
            <w:rFonts w:ascii="Arial" w:hAnsi="Arial"/>
            <w:color w:val="0000FF"/>
            <w:u w:val="single"/>
            <w:rtl/>
          </w:rPr>
          <w:t>ת"פ (ת"א) 46604-02-21</w:t>
        </w:r>
      </w:hyperlink>
      <w:r w:rsidRPr="00301527">
        <w:rPr>
          <w:rFonts w:ascii="Arial" w:hAnsi="Arial" w:hint="cs"/>
          <w:rtl/>
        </w:rPr>
        <w:t xml:space="preserve"> </w:t>
      </w:r>
      <w:r w:rsidRPr="00301527">
        <w:rPr>
          <w:rFonts w:ascii="Arial" w:hAnsi="Arial" w:hint="cs"/>
          <w:b/>
          <w:bCs/>
          <w:rtl/>
        </w:rPr>
        <w:t>מדינת ישראל נ' אפטה</w:t>
      </w:r>
      <w:r w:rsidRPr="00301527">
        <w:rPr>
          <w:rFonts w:ascii="Arial" w:hAnsi="Arial" w:hint="cs"/>
          <w:rtl/>
        </w:rPr>
        <w:t xml:space="preserve"> (22.8.2021) הורשע הנאשם בשני אישומים, הראשון לא רלוונטי לענייננו (החזקת נשק ועוד); במסגרת האישום השני הורשע הנאשם בהחזקת 30 גרם סם מסוכן מסוג קוקאין (שלא לצריכתו העצמית) לצד שקיות אטימה, משקל דיגיטאלי, כף פלסטיק וניירות </w:t>
      </w:r>
      <w:r w:rsidRPr="00301527">
        <w:rPr>
          <w:rFonts w:ascii="Arial" w:hAnsi="Arial"/>
          <w:rtl/>
        </w:rPr>
        <w:t>–</w:t>
      </w:r>
      <w:r w:rsidRPr="00301527">
        <w:rPr>
          <w:rFonts w:ascii="Arial" w:hAnsi="Arial" w:hint="cs"/>
          <w:rtl/>
        </w:rPr>
        <w:t xml:space="preserve"> כלים המשמשים לשקילת הסם המסוכן ולאריזתו. בית המשפט </w:t>
      </w:r>
      <w:r w:rsidRPr="00301527">
        <w:rPr>
          <w:rFonts w:ascii="Arial" w:hAnsi="Arial" w:hint="cs"/>
          <w:b/>
          <w:bCs/>
          <w:rtl/>
        </w:rPr>
        <w:t>המחוזי</w:t>
      </w:r>
      <w:r w:rsidRPr="00301527">
        <w:rPr>
          <w:rFonts w:ascii="Arial" w:hAnsi="Arial" w:hint="cs"/>
          <w:rtl/>
        </w:rPr>
        <w:t xml:space="preserve"> קבע כי מתחם העונש ההולם ביחס לאישום השני </w:t>
      </w:r>
      <w:r w:rsidRPr="00301527">
        <w:rPr>
          <w:rFonts w:ascii="Arial" w:hAnsi="Arial" w:hint="cs"/>
          <w:b/>
          <w:bCs/>
          <w:rtl/>
        </w:rPr>
        <w:t>נע בין 14 ועד 36 חודשי מאסר בפועל</w:t>
      </w:r>
      <w:r w:rsidRPr="00301527">
        <w:rPr>
          <w:rFonts w:ascii="Arial" w:hAnsi="Arial" w:hint="cs"/>
          <w:rtl/>
        </w:rPr>
        <w:t xml:space="preserve">, והשית על הנאשם 15 חודשי מאסר בפועל (בגין כל האישומים בהם הורשע, ועל פי נסיבותיו האישיות). </w:t>
      </w:r>
    </w:p>
    <w:p w14:paraId="7AF40FBF" w14:textId="77777777" w:rsidR="00665E06" w:rsidRPr="00301527" w:rsidRDefault="00665E06" w:rsidP="00665E06">
      <w:pPr>
        <w:pStyle w:val="1"/>
        <w:spacing w:line="360" w:lineRule="auto"/>
        <w:ind w:left="360"/>
        <w:jc w:val="both"/>
        <w:rPr>
          <w:rFonts w:ascii="Arial" w:hAnsi="Arial"/>
        </w:rPr>
      </w:pPr>
    </w:p>
    <w:p w14:paraId="000D16F0"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במסגרת </w:t>
      </w:r>
      <w:hyperlink r:id="rId51" w:history="1">
        <w:r w:rsidR="00071C29" w:rsidRPr="00301527">
          <w:rPr>
            <w:rFonts w:ascii="Arial" w:hAnsi="Arial"/>
            <w:color w:val="0000FF"/>
            <w:u w:val="single"/>
            <w:rtl/>
          </w:rPr>
          <w:t>ת"פ (ת"א) 4688-07-16</w:t>
        </w:r>
      </w:hyperlink>
      <w:r w:rsidRPr="00301527">
        <w:rPr>
          <w:rFonts w:ascii="Arial" w:hAnsi="Arial" w:hint="cs"/>
          <w:rtl/>
        </w:rPr>
        <w:t xml:space="preserve"> </w:t>
      </w:r>
      <w:r w:rsidRPr="00301527">
        <w:rPr>
          <w:rFonts w:ascii="Arial" w:hAnsi="Arial" w:hint="cs"/>
          <w:b/>
          <w:bCs/>
          <w:rtl/>
        </w:rPr>
        <w:t>מדינת ישראל נ' ז'יטניצקי</w:t>
      </w:r>
      <w:r w:rsidRPr="00301527">
        <w:rPr>
          <w:rFonts w:ascii="Arial" w:hAnsi="Arial" w:hint="cs"/>
          <w:rtl/>
        </w:rPr>
        <w:t xml:space="preserve"> (29.3.2017) הורשע הנאשם בהחזקת סם מסוכן שלא לצריכה עצמית, בכך שהחזיק 38.21 גרם סם מסוכן מסוג הרואין, מחולק ל- 33 מנות, ו-3.075 גרם סם מסוכן מסוג קוקאין, מחולק ל-3 שקיות. בית המשפט קבע כי מתחם העונש ההולם </w:t>
      </w:r>
      <w:r w:rsidRPr="00301527">
        <w:rPr>
          <w:rFonts w:ascii="Arial" w:hAnsi="Arial" w:hint="cs"/>
          <w:b/>
          <w:bCs/>
          <w:rtl/>
        </w:rPr>
        <w:t>נע בין 18 ועד 38 חודשי מאסר בפועל</w:t>
      </w:r>
      <w:r w:rsidRPr="00301527">
        <w:rPr>
          <w:rFonts w:ascii="Arial" w:hAnsi="Arial" w:hint="cs"/>
          <w:rtl/>
        </w:rPr>
        <w:t xml:space="preserve">, והשית על הנאשם 24 חודשי מאסר בהתאם לנסיבותיו האישיות. </w:t>
      </w:r>
    </w:p>
    <w:p w14:paraId="1135B51B" w14:textId="77777777" w:rsidR="00665E06" w:rsidRPr="00301527" w:rsidRDefault="00665E06" w:rsidP="00665E06">
      <w:pPr>
        <w:pStyle w:val="ac"/>
        <w:rPr>
          <w:rFonts w:ascii="Arial" w:hAnsi="Arial"/>
          <w:rtl/>
        </w:rPr>
      </w:pPr>
    </w:p>
    <w:p w14:paraId="54717DF6"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במסגרת </w:t>
      </w:r>
      <w:hyperlink r:id="rId52" w:history="1">
        <w:r w:rsidR="00071C29" w:rsidRPr="00301527">
          <w:rPr>
            <w:rFonts w:ascii="Arial" w:hAnsi="Arial"/>
            <w:color w:val="0000FF"/>
            <w:u w:val="single"/>
            <w:rtl/>
          </w:rPr>
          <w:t>ת"פ (ת"א) 67538-11-22</w:t>
        </w:r>
      </w:hyperlink>
      <w:r w:rsidRPr="00301527">
        <w:rPr>
          <w:rFonts w:ascii="Arial" w:hAnsi="Arial" w:hint="cs"/>
          <w:rtl/>
        </w:rPr>
        <w:t xml:space="preserve"> </w:t>
      </w:r>
      <w:r w:rsidRPr="00301527">
        <w:rPr>
          <w:rFonts w:ascii="Arial" w:hAnsi="Arial" w:hint="cs"/>
          <w:b/>
          <w:bCs/>
          <w:rtl/>
        </w:rPr>
        <w:t>מדינת ישראל נ' קירנאוי</w:t>
      </w:r>
      <w:r w:rsidRPr="00301527">
        <w:rPr>
          <w:rFonts w:ascii="Arial" w:hAnsi="Arial" w:hint="cs"/>
          <w:rtl/>
        </w:rPr>
        <w:t xml:space="preserve"> (25.6.2023) הורשע הנאשם בהחזקת 38 גרם סם מסוכן מסוג הרואין מחולק ל-44 מנות, שלא לצריכתו העצמית. בית המשפט קבע כי מתחם הענישה </w:t>
      </w:r>
      <w:r w:rsidRPr="00301527">
        <w:rPr>
          <w:rFonts w:ascii="Arial" w:hAnsi="Arial" w:hint="cs"/>
          <w:b/>
          <w:bCs/>
          <w:rtl/>
        </w:rPr>
        <w:t>נע בין 18 חודשי מאסר, ועד 40 חודשי מאסר</w:t>
      </w:r>
      <w:r w:rsidRPr="00301527">
        <w:rPr>
          <w:rFonts w:ascii="Arial" w:hAnsi="Arial" w:hint="cs"/>
          <w:rtl/>
        </w:rPr>
        <w:t xml:space="preserve">, והשית על הנאשם 19 חודשי מאסר בפועל, בהתאם לנסיבותיו האישיות. </w:t>
      </w:r>
    </w:p>
    <w:p w14:paraId="20FA33DC" w14:textId="77777777" w:rsidR="00665E06" w:rsidRPr="00301527" w:rsidRDefault="00665E06" w:rsidP="00665E06">
      <w:pPr>
        <w:pStyle w:val="ac"/>
        <w:rPr>
          <w:rFonts w:ascii="Arial" w:hAnsi="Arial"/>
          <w:rtl/>
        </w:rPr>
      </w:pPr>
    </w:p>
    <w:p w14:paraId="39A438FE"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במסגרת </w:t>
      </w:r>
      <w:hyperlink r:id="rId53" w:history="1">
        <w:r w:rsidR="00071C29" w:rsidRPr="00301527">
          <w:rPr>
            <w:rFonts w:ascii="Arial" w:hAnsi="Arial"/>
            <w:color w:val="0000FF"/>
            <w:u w:val="single"/>
            <w:rtl/>
          </w:rPr>
          <w:t>ת"פ (י-ם) 24278-11-22</w:t>
        </w:r>
      </w:hyperlink>
      <w:r w:rsidRPr="00301527">
        <w:rPr>
          <w:rFonts w:ascii="Arial" w:hAnsi="Arial" w:hint="cs"/>
          <w:rtl/>
        </w:rPr>
        <w:t xml:space="preserve"> </w:t>
      </w:r>
      <w:r w:rsidRPr="00301527">
        <w:rPr>
          <w:rFonts w:ascii="Arial" w:hAnsi="Arial" w:hint="cs"/>
          <w:b/>
          <w:bCs/>
          <w:rtl/>
        </w:rPr>
        <w:t>מדינת ישראל נ' ברוכיאן</w:t>
      </w:r>
      <w:r w:rsidRPr="00301527">
        <w:rPr>
          <w:rFonts w:ascii="Arial" w:hAnsi="Arial" w:hint="cs"/>
          <w:rtl/>
        </w:rPr>
        <w:t xml:space="preserve"> (13.6.2023) הורשע הנאשם בהחזקת 35 גרם סם מסוכן מסוג הרואין מחולק ל-5 שקיות, שלא לצריכתו העצמית. בית המשפט קבע כי מתחם העונש ההולם </w:t>
      </w:r>
      <w:r w:rsidRPr="00301527">
        <w:rPr>
          <w:rFonts w:ascii="Arial" w:hAnsi="Arial" w:hint="cs"/>
          <w:b/>
          <w:bCs/>
          <w:rtl/>
        </w:rPr>
        <w:t>נע בין 10 ועד 30 חודשי מאסר בפועל</w:t>
      </w:r>
      <w:r w:rsidRPr="00301527">
        <w:rPr>
          <w:rFonts w:ascii="Arial" w:hAnsi="Arial" w:hint="cs"/>
          <w:rtl/>
        </w:rPr>
        <w:t xml:space="preserve">, והשית על הנאשם 14 חודשי מאסר בפועל, בהתאם לנסיבותיו האישיות. </w:t>
      </w:r>
    </w:p>
    <w:p w14:paraId="6C2B3958" w14:textId="77777777" w:rsidR="00665E06" w:rsidRPr="00301527" w:rsidRDefault="00665E06" w:rsidP="00665E06">
      <w:pPr>
        <w:pStyle w:val="ac"/>
        <w:rPr>
          <w:rFonts w:ascii="Arial" w:hAnsi="Arial"/>
          <w:rtl/>
        </w:rPr>
      </w:pPr>
    </w:p>
    <w:p w14:paraId="5143D356"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במסגרת </w:t>
      </w:r>
      <w:hyperlink r:id="rId54" w:history="1">
        <w:r w:rsidR="00071C29" w:rsidRPr="00301527">
          <w:rPr>
            <w:rFonts w:ascii="Arial" w:hAnsi="Arial"/>
            <w:color w:val="0000FF"/>
            <w:u w:val="single"/>
            <w:rtl/>
          </w:rPr>
          <w:t>ת"פ (חי') 13223-02-22</w:t>
        </w:r>
      </w:hyperlink>
      <w:r w:rsidRPr="00301527">
        <w:rPr>
          <w:rFonts w:ascii="Arial" w:hAnsi="Arial" w:hint="cs"/>
          <w:rtl/>
        </w:rPr>
        <w:t xml:space="preserve"> </w:t>
      </w:r>
      <w:r w:rsidRPr="00301527">
        <w:rPr>
          <w:rFonts w:ascii="Arial" w:hAnsi="Arial" w:hint="cs"/>
          <w:b/>
          <w:bCs/>
          <w:rtl/>
        </w:rPr>
        <w:t>מדינת ישראל נ' עווד</w:t>
      </w:r>
      <w:r w:rsidRPr="00301527">
        <w:rPr>
          <w:rFonts w:ascii="Arial" w:hAnsi="Arial" w:hint="cs"/>
          <w:rtl/>
        </w:rPr>
        <w:t xml:space="preserve"> (12.3.2023) הורשע הנאשם בהחזקת 39.5782 גרם סם מסוכן מסוג קוקאין, שלא לצריכתו העצמית, מחולק לעשרות שקיות. בית המשפט קבע כי מתחם העונש ההולם </w:t>
      </w:r>
      <w:r w:rsidRPr="00301527">
        <w:rPr>
          <w:rFonts w:ascii="Arial" w:hAnsi="Arial" w:hint="cs"/>
          <w:b/>
          <w:bCs/>
          <w:rtl/>
        </w:rPr>
        <w:t>נע בין 15 ועד 30 חודשי מאסר בפועל,</w:t>
      </w:r>
      <w:r w:rsidRPr="00301527">
        <w:rPr>
          <w:rFonts w:ascii="Arial" w:hAnsi="Arial" w:hint="cs"/>
          <w:rtl/>
        </w:rPr>
        <w:t xml:space="preserve"> והשית על הנאשם 18 חודשי מאסר בפועל בהתאם לנסיבותיו האישיות. </w:t>
      </w:r>
    </w:p>
    <w:p w14:paraId="320F7983" w14:textId="77777777" w:rsidR="00665E06" w:rsidRPr="00301527" w:rsidRDefault="00665E06" w:rsidP="00665E06">
      <w:pPr>
        <w:pStyle w:val="ac"/>
        <w:rPr>
          <w:rFonts w:ascii="Arial" w:hAnsi="Arial"/>
          <w:rtl/>
        </w:rPr>
      </w:pPr>
    </w:p>
    <w:p w14:paraId="16B56651"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במסגרת </w:t>
      </w:r>
      <w:hyperlink r:id="rId55" w:history="1">
        <w:r w:rsidR="00071C29" w:rsidRPr="00301527">
          <w:rPr>
            <w:rFonts w:ascii="Arial" w:hAnsi="Arial"/>
            <w:color w:val="0000FF"/>
            <w:u w:val="single"/>
            <w:rtl/>
          </w:rPr>
          <w:t>ת"פ (רמ') 57202-06-19</w:t>
        </w:r>
      </w:hyperlink>
      <w:r w:rsidRPr="00301527">
        <w:rPr>
          <w:rFonts w:ascii="Arial" w:hAnsi="Arial" w:hint="cs"/>
          <w:rtl/>
        </w:rPr>
        <w:t xml:space="preserve"> </w:t>
      </w:r>
      <w:r w:rsidRPr="00301527">
        <w:rPr>
          <w:rFonts w:ascii="Arial" w:hAnsi="Arial" w:hint="cs"/>
          <w:b/>
          <w:bCs/>
          <w:rtl/>
        </w:rPr>
        <w:t>מדינת ישראל נ' שעבאן</w:t>
      </w:r>
      <w:r w:rsidRPr="00301527">
        <w:rPr>
          <w:rFonts w:ascii="Arial" w:hAnsi="Arial" w:hint="cs"/>
          <w:rtl/>
        </w:rPr>
        <w:t xml:space="preserve"> (26.4.2020) הורשע הנאשם בהחזקת סם שלא לצריכה עצמית בכך שהחזיק 39.8822 גרם סם מסוכן מסוג הרואין, וסם מסוכן מסוג קוקאין במשקל 2.5275 גרם (הנאשם הורשע אף בעבירות נשק, שאינן רלוונטיות למקרה דנא, ונקבע להן מתחם ענישה נפרד). בית המשפט קבע כי מתחם העונש ההולם, ביחס לעבירת הסמים, </w:t>
      </w:r>
      <w:r w:rsidRPr="00301527">
        <w:rPr>
          <w:rFonts w:ascii="Arial" w:hAnsi="Arial" w:hint="cs"/>
          <w:b/>
          <w:bCs/>
          <w:rtl/>
        </w:rPr>
        <w:t>נע בין 10 ועד 30 חודשי מאסר בפועל</w:t>
      </w:r>
      <w:r w:rsidRPr="00301527">
        <w:rPr>
          <w:rFonts w:ascii="Arial" w:hAnsi="Arial" w:hint="cs"/>
          <w:rtl/>
        </w:rPr>
        <w:t xml:space="preserve">, והשית על הנאשם 26 חודשי מאסר בפועל בהתאם לנסיבותיו האישיות. </w:t>
      </w:r>
      <w:r w:rsidRPr="00301527">
        <w:rPr>
          <w:rFonts w:ascii="Arial" w:hAnsi="Arial"/>
          <w:rtl/>
        </w:rPr>
        <w:tab/>
      </w:r>
      <w:r w:rsidRPr="00301527">
        <w:rPr>
          <w:rFonts w:ascii="Arial" w:hAnsi="Arial"/>
          <w:rtl/>
        </w:rPr>
        <w:br/>
      </w:r>
      <w:r w:rsidRPr="00301527">
        <w:rPr>
          <w:rFonts w:ascii="Arial" w:hAnsi="Arial"/>
          <w:rtl/>
        </w:rPr>
        <w:br/>
      </w:r>
      <w:r w:rsidRPr="00301527">
        <w:rPr>
          <w:rFonts w:ascii="Arial" w:hAnsi="Arial" w:hint="cs"/>
          <w:rtl/>
        </w:rPr>
        <w:t>ראוי לציין, כי גזר דין זה הוא ה"נמוך" ביותר שמצאנו ביחס לעבירת החזקת סמים קשים לשימוש עצמי בכמות שכזו, כאשר מוזכרת נסיבה יוצאת דופן, לפיה החזיק את הסמים הללו "עבור אחר".</w:t>
      </w:r>
    </w:p>
    <w:p w14:paraId="4822EF17" w14:textId="77777777" w:rsidR="00665E06" w:rsidRPr="00301527" w:rsidRDefault="00665E06" w:rsidP="00665E06">
      <w:pPr>
        <w:rPr>
          <w:rFonts w:ascii="Arial" w:hAnsi="Arial"/>
          <w:rtl/>
        </w:rPr>
      </w:pPr>
    </w:p>
    <w:p w14:paraId="7F3B31FF"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הנה כי כן, לאור האמור לעיל, נוכח סוג הסמים המסוכנים בהם החזיק הנאשם, כמותם, ואופן החזקתם (מחולקים למנות רבות), ובהתאם למדיניות הענישה הנוהגת, </w:t>
      </w:r>
      <w:r w:rsidRPr="00301527">
        <w:rPr>
          <w:rFonts w:ascii="Arial" w:hAnsi="Arial" w:hint="cs"/>
          <w:b/>
          <w:bCs/>
          <w:rtl/>
        </w:rPr>
        <w:t>אני קובע כי מתחם העונש ההולם נע בין 16 ועד 30 חודשי מאסר</w:t>
      </w:r>
      <w:r w:rsidRPr="00301527">
        <w:rPr>
          <w:rFonts w:ascii="Arial" w:hAnsi="Arial" w:hint="cs"/>
          <w:rtl/>
        </w:rPr>
        <w:t xml:space="preserve">. </w:t>
      </w:r>
    </w:p>
    <w:p w14:paraId="1CFA1261" w14:textId="77777777" w:rsidR="00665E06" w:rsidRPr="00301527" w:rsidRDefault="00665E06" w:rsidP="00665E06">
      <w:pPr>
        <w:pStyle w:val="1"/>
        <w:spacing w:line="360" w:lineRule="auto"/>
        <w:ind w:left="360"/>
        <w:jc w:val="both"/>
        <w:rPr>
          <w:rFonts w:ascii="Arial" w:hAnsi="Arial"/>
          <w:rtl/>
        </w:rPr>
      </w:pPr>
    </w:p>
    <w:p w14:paraId="409FC7C3" w14:textId="77777777" w:rsidR="00665E06" w:rsidRPr="00301527" w:rsidRDefault="00665E06" w:rsidP="00665E06">
      <w:pPr>
        <w:spacing w:line="360" w:lineRule="auto"/>
        <w:jc w:val="both"/>
        <w:rPr>
          <w:rFonts w:ascii="Arial" w:hAnsi="Arial"/>
          <w:b/>
          <w:bCs/>
          <w:u w:val="single"/>
          <w:rtl/>
        </w:rPr>
      </w:pPr>
      <w:r w:rsidRPr="00301527">
        <w:rPr>
          <w:rFonts w:ascii="Arial" w:hAnsi="Arial"/>
          <w:b/>
          <w:bCs/>
          <w:u w:val="single"/>
          <w:rtl/>
        </w:rPr>
        <w:t xml:space="preserve">העונש המתאים </w:t>
      </w:r>
      <w:r w:rsidRPr="00301527">
        <w:rPr>
          <w:rFonts w:ascii="Arial" w:hAnsi="Arial" w:hint="cs"/>
          <w:b/>
          <w:bCs/>
          <w:u w:val="single"/>
          <w:rtl/>
        </w:rPr>
        <w:t xml:space="preserve">לנאשם </w:t>
      </w:r>
    </w:p>
    <w:p w14:paraId="4CBF6A57" w14:textId="77777777" w:rsidR="00665E06" w:rsidRPr="00301527" w:rsidRDefault="00665E06" w:rsidP="00665E06">
      <w:pPr>
        <w:pStyle w:val="1"/>
        <w:rPr>
          <w:rFonts w:ascii="Arial" w:hAnsi="Arial"/>
          <w:rtl/>
        </w:rPr>
      </w:pPr>
    </w:p>
    <w:p w14:paraId="665F7806"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 xml:space="preserve">הלכה למעשה, לא היתה מחלוקת בין הצדדים, כי שומה עלינו להענישו בתחתית המתחם. </w:t>
      </w:r>
      <w:r w:rsidRPr="00301527">
        <w:rPr>
          <w:rFonts w:ascii="Arial" w:hAnsi="Arial"/>
          <w:rtl/>
        </w:rPr>
        <w:tab/>
      </w:r>
      <w:r w:rsidRPr="00301527">
        <w:rPr>
          <w:rFonts w:ascii="Arial" w:hAnsi="Arial" w:hint="cs"/>
          <w:rtl/>
        </w:rPr>
        <w:tab/>
      </w:r>
      <w:r w:rsidRPr="00301527">
        <w:rPr>
          <w:rFonts w:ascii="Arial" w:hAnsi="Arial"/>
          <w:rtl/>
        </w:rPr>
        <w:br/>
      </w:r>
      <w:r w:rsidRPr="00301527">
        <w:rPr>
          <w:rFonts w:ascii="Arial" w:hAnsi="Arial" w:hint="cs"/>
          <w:rtl/>
        </w:rPr>
        <w:t xml:space="preserve">ואכן, פודבודוב הודה בעובדות כתבי האישום המתוקנים, לקח אחריות והביע צער על מעשיו, ויש ליתן לכך משקל לקולא במיקום עונשו בגדרי המתחם העונשי. </w:t>
      </w:r>
    </w:p>
    <w:p w14:paraId="778C7803" w14:textId="77777777" w:rsidR="00665E06" w:rsidRPr="00301527" w:rsidRDefault="00665E06" w:rsidP="00665E06">
      <w:pPr>
        <w:pStyle w:val="1"/>
        <w:spacing w:line="360" w:lineRule="auto"/>
        <w:ind w:left="360"/>
        <w:jc w:val="both"/>
        <w:rPr>
          <w:rFonts w:ascii="Arial" w:hAnsi="Arial"/>
        </w:rPr>
      </w:pPr>
    </w:p>
    <w:p w14:paraId="62E4F244"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לפודבודוב, בן 38, עבר פלילי הכולל הרשעה אחת משנת 2021, שאינה רלוונטית לענייננ</w:t>
      </w:r>
      <w:r w:rsidRPr="00301527">
        <w:rPr>
          <w:rFonts w:ascii="Arial" w:hAnsi="Arial" w:hint="eastAsia"/>
          <w:rtl/>
        </w:rPr>
        <w:t>ו</w:t>
      </w:r>
      <w:r w:rsidRPr="00301527">
        <w:rPr>
          <w:rFonts w:ascii="Arial" w:hAnsi="Arial" w:hint="cs"/>
          <w:rtl/>
        </w:rPr>
        <w:t xml:space="preserve">. </w:t>
      </w:r>
    </w:p>
    <w:p w14:paraId="042EF931" w14:textId="77777777" w:rsidR="00665E06" w:rsidRPr="00301527" w:rsidRDefault="00665E06" w:rsidP="00665E06">
      <w:pPr>
        <w:pStyle w:val="ac"/>
        <w:rPr>
          <w:rFonts w:ascii="Arial" w:hAnsi="Arial"/>
          <w:rtl/>
        </w:rPr>
      </w:pPr>
    </w:p>
    <w:p w14:paraId="191A8227"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תסקירי שירות המבחן עמדו על נסיבותיו האישיות של פודבודוב, אב לילד בן 9 אשר מתגורר אצל הוריו. שירות המבחן סקר את קורותי</w:t>
      </w:r>
      <w:r w:rsidRPr="00301527">
        <w:rPr>
          <w:rFonts w:ascii="Arial" w:hAnsi="Arial" w:hint="eastAsia"/>
          <w:rtl/>
        </w:rPr>
        <w:t>ו</w:t>
      </w:r>
      <w:r w:rsidRPr="00301527">
        <w:rPr>
          <w:rFonts w:ascii="Arial" w:hAnsi="Arial" w:hint="cs"/>
          <w:rtl/>
        </w:rPr>
        <w:t xml:space="preserve"> של פודבודוב, שהיו ברקע לביצוע העבירות, בהן פרידה מבת זוגו, לפני כעשור, אז החל שימוש אינטנסיבי, יום יומי, בסמים מסוכנים וקשים (הרואין וקוקאין). </w:t>
      </w:r>
    </w:p>
    <w:p w14:paraId="28FFD23C" w14:textId="77777777" w:rsidR="00665E06" w:rsidRPr="00301527" w:rsidRDefault="00665E06" w:rsidP="00665E06">
      <w:pPr>
        <w:pStyle w:val="ac"/>
        <w:rPr>
          <w:rFonts w:ascii="Arial" w:hAnsi="Arial"/>
          <w:rtl/>
        </w:rPr>
      </w:pPr>
    </w:p>
    <w:p w14:paraId="793106E2" w14:textId="77777777" w:rsidR="00665E06" w:rsidRPr="00301527" w:rsidRDefault="00665E06" w:rsidP="00665E06">
      <w:pPr>
        <w:pStyle w:val="1"/>
        <w:spacing w:line="360" w:lineRule="auto"/>
        <w:ind w:left="360"/>
        <w:jc w:val="both"/>
        <w:rPr>
          <w:rFonts w:ascii="Arial" w:hAnsi="Arial"/>
        </w:rPr>
      </w:pPr>
      <w:r w:rsidRPr="00301527">
        <w:rPr>
          <w:rFonts w:ascii="Arial" w:hAnsi="Arial" w:hint="cs"/>
          <w:rtl/>
        </w:rPr>
        <w:t xml:space="preserve">תסקיר שירות המבחן תאר כי התמכרותו של הנאשם לסמים מסוכנים שללה את יכולתו לתפקד באורח תקין בחברה; שירות המבחן התרשם כי הוא נעדר מסוגלות למלא את תפקידו ההורי כלפי בנו, נעדר מסגרת תעסוקתית, וחסר סדר יום; עוד נכתב בתסקיר כי קיים סיכון משמעותי להישנות ביצוע עבירות על ידו. </w:t>
      </w:r>
    </w:p>
    <w:p w14:paraId="68E20A0E" w14:textId="77777777" w:rsidR="00665E06" w:rsidRPr="00301527" w:rsidRDefault="00665E06" w:rsidP="00665E06">
      <w:pPr>
        <w:pStyle w:val="ac"/>
        <w:rPr>
          <w:rFonts w:ascii="Arial" w:hAnsi="Arial"/>
          <w:rtl/>
        </w:rPr>
      </w:pPr>
    </w:p>
    <w:p w14:paraId="42A8A1F6" w14:textId="77777777" w:rsidR="00665E06" w:rsidRPr="00301527" w:rsidRDefault="00665E06" w:rsidP="00665E06">
      <w:pPr>
        <w:pStyle w:val="1"/>
        <w:spacing w:line="360" w:lineRule="auto"/>
        <w:ind w:left="360"/>
        <w:jc w:val="both"/>
        <w:rPr>
          <w:rFonts w:ascii="Arial" w:hAnsi="Arial"/>
        </w:rPr>
      </w:pPr>
      <w:r w:rsidRPr="00301527">
        <w:rPr>
          <w:rFonts w:ascii="Arial" w:hAnsi="Arial" w:hint="cs"/>
          <w:rtl/>
        </w:rPr>
        <w:t xml:space="preserve">הנאשם שיתף את שירות המבחן כי לאורך העשור בו הוא מכור לסמים מסוכנים, ניסה לטפל בעצמו ולהיגמל משימוש בהם, אף בקהילות טיפוליות, אולם נכשל, פעם אחר פעם, ולא הצליח להתגבר על התמכרותו.  </w:t>
      </w:r>
    </w:p>
    <w:p w14:paraId="5A5A4344" w14:textId="77777777" w:rsidR="00665E06" w:rsidRPr="00301527" w:rsidRDefault="00665E06" w:rsidP="00665E06">
      <w:pPr>
        <w:pStyle w:val="1"/>
        <w:spacing w:line="360" w:lineRule="auto"/>
        <w:ind w:left="360"/>
        <w:jc w:val="both"/>
        <w:rPr>
          <w:rFonts w:ascii="Arial" w:hAnsi="Arial"/>
        </w:rPr>
      </w:pPr>
    </w:p>
    <w:p w14:paraId="53D36CEE"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hint="cs"/>
          <w:rtl/>
        </w:rPr>
        <w:t>הגם שהנאשם מכור במשך שנים ארוכות לסמים מסוכנים וקשים, על כך הכרוך בכך, עברו הפלילי אינו מכביד, וזהו לו מאסרו הראשון. הבאתי בחשבון גם את ניסיונותיו העצמאיים של פודבודו</w:t>
      </w:r>
      <w:r w:rsidRPr="00301527">
        <w:rPr>
          <w:rFonts w:ascii="Arial" w:hAnsi="Arial" w:hint="eastAsia"/>
          <w:rtl/>
        </w:rPr>
        <w:t>ב</w:t>
      </w:r>
      <w:r w:rsidRPr="00301527">
        <w:rPr>
          <w:rFonts w:ascii="Arial" w:hAnsi="Arial" w:hint="cs"/>
          <w:rtl/>
        </w:rPr>
        <w:t xml:space="preserve"> (שלא במסגרת הליך פלילי), הראויים להערכה, לנסות ולהיגמל מהתמכרותו, אף שאלו לא צלחו, למרבה הצער. </w:t>
      </w:r>
    </w:p>
    <w:p w14:paraId="7106CF82" w14:textId="77777777" w:rsidR="00665E06" w:rsidRPr="00301527" w:rsidRDefault="00665E06" w:rsidP="00665E06">
      <w:pPr>
        <w:pStyle w:val="1"/>
        <w:spacing w:line="360" w:lineRule="auto"/>
        <w:ind w:left="360"/>
        <w:jc w:val="both"/>
        <w:rPr>
          <w:rFonts w:ascii="Arial" w:hAnsi="Arial"/>
          <w:rtl/>
        </w:rPr>
      </w:pPr>
    </w:p>
    <w:p w14:paraId="2D53A165" w14:textId="77777777" w:rsidR="00665E06" w:rsidRPr="00301527" w:rsidRDefault="00665E06" w:rsidP="00665E06">
      <w:pPr>
        <w:pStyle w:val="1"/>
        <w:spacing w:line="360" w:lineRule="auto"/>
        <w:ind w:left="360"/>
        <w:jc w:val="both"/>
        <w:rPr>
          <w:rFonts w:ascii="Arial" w:hAnsi="Arial"/>
        </w:rPr>
      </w:pPr>
      <w:r w:rsidRPr="00301527">
        <w:rPr>
          <w:rFonts w:ascii="Arial" w:hAnsi="Arial" w:hint="cs"/>
          <w:rtl/>
        </w:rPr>
        <w:t xml:space="preserve">הכל יודעים, כי גמילה מסמים מסוכנים, קל וחומר מהסוג בו משתמש הנאשם, היא קשה ומורכבת. לאור היותו של הנאשם אב לילד קטן, יחד עם רצונו, וניסיונותיו החוזרים לאורך השנים להיגמל משימוש בסמים, אני מעודדו להשתלב בטיפול בתחליף סם במסגרת בית הסוהר (הנאשם הביע הסתייגות מכך באוזני קציני המבחן, נוכח סוג תחליף הסם הניתן בבית המעצר). הנאשם אמר בעצמו, בדיון ביום 16.2.2023 כי הוא מאס בדרך החיים ההתמכרותית, והוסיף: "אני רוצה חיים חדשים". </w:t>
      </w:r>
    </w:p>
    <w:p w14:paraId="7C635A35" w14:textId="77777777" w:rsidR="00665E06" w:rsidRPr="00301527" w:rsidRDefault="00665E06" w:rsidP="00665E06">
      <w:pPr>
        <w:pStyle w:val="1"/>
        <w:spacing w:line="360" w:lineRule="auto"/>
        <w:ind w:left="360"/>
        <w:jc w:val="both"/>
        <w:rPr>
          <w:rFonts w:ascii="Arial" w:hAnsi="Arial"/>
        </w:rPr>
      </w:pPr>
    </w:p>
    <w:p w14:paraId="0A889E24" w14:textId="77777777" w:rsidR="00665E06" w:rsidRPr="00301527" w:rsidRDefault="00665E06" w:rsidP="00665E06">
      <w:pPr>
        <w:pStyle w:val="1"/>
        <w:numPr>
          <w:ilvl w:val="0"/>
          <w:numId w:val="1"/>
        </w:numPr>
        <w:spacing w:line="360" w:lineRule="auto"/>
        <w:jc w:val="both"/>
        <w:rPr>
          <w:rFonts w:ascii="Arial" w:hAnsi="Arial"/>
        </w:rPr>
      </w:pPr>
      <w:r w:rsidRPr="00301527">
        <w:rPr>
          <w:rFonts w:ascii="Arial" w:hAnsi="Arial"/>
          <w:rtl/>
        </w:rPr>
        <w:t xml:space="preserve">בנסיבות אלה, </w:t>
      </w:r>
      <w:r w:rsidRPr="00301527">
        <w:rPr>
          <w:rFonts w:ascii="Arial" w:hAnsi="Arial" w:hint="cs"/>
          <w:rtl/>
        </w:rPr>
        <w:t>ולאור כל האמור לעיל, אני משית על הנאשם את העונשים הבאים:</w:t>
      </w:r>
    </w:p>
    <w:p w14:paraId="36277A5C" w14:textId="77777777" w:rsidR="00665E06" w:rsidRPr="00301527" w:rsidRDefault="00665E06" w:rsidP="00665E06">
      <w:pPr>
        <w:pStyle w:val="ac"/>
        <w:rPr>
          <w:rFonts w:ascii="Arial" w:hAnsi="Arial"/>
          <w:rtl/>
        </w:rPr>
      </w:pPr>
    </w:p>
    <w:p w14:paraId="238DE681" w14:textId="77777777" w:rsidR="00665E06" w:rsidRPr="00301527" w:rsidRDefault="00665E06" w:rsidP="00665E06">
      <w:pPr>
        <w:pStyle w:val="1"/>
        <w:numPr>
          <w:ilvl w:val="1"/>
          <w:numId w:val="1"/>
        </w:numPr>
        <w:spacing w:line="360" w:lineRule="auto"/>
        <w:jc w:val="both"/>
        <w:rPr>
          <w:rFonts w:ascii="Arial" w:hAnsi="Arial"/>
        </w:rPr>
      </w:pPr>
      <w:r w:rsidRPr="00301527">
        <w:rPr>
          <w:rFonts w:ascii="Arial" w:hAnsi="Arial" w:hint="cs"/>
          <w:rtl/>
        </w:rPr>
        <w:t xml:space="preserve">בתיק העיקרי: מאסר למשך 16 חודשים. </w:t>
      </w:r>
    </w:p>
    <w:p w14:paraId="15D0967E" w14:textId="77777777" w:rsidR="00665E06" w:rsidRPr="00301527" w:rsidRDefault="00665E06" w:rsidP="00665E06">
      <w:pPr>
        <w:pStyle w:val="1"/>
        <w:numPr>
          <w:ilvl w:val="1"/>
          <w:numId w:val="1"/>
        </w:numPr>
        <w:spacing w:line="360" w:lineRule="auto"/>
        <w:jc w:val="both"/>
        <w:rPr>
          <w:rFonts w:ascii="Arial" w:hAnsi="Arial"/>
        </w:rPr>
      </w:pPr>
      <w:r w:rsidRPr="00301527">
        <w:rPr>
          <w:rFonts w:ascii="Arial" w:hAnsi="Arial" w:hint="cs"/>
          <w:rtl/>
        </w:rPr>
        <w:t xml:space="preserve">בהתאם להסכמת הצדדים, אני משית על הנאשם עוד 9 חודשי מאסר בפועל בגין התיקים המצורפים, כאשר 6 חודשים מתוכם ירוצו בחופף לעונש בתיק העיקרי. </w:t>
      </w:r>
    </w:p>
    <w:p w14:paraId="7E2A1904" w14:textId="77777777" w:rsidR="00665E06" w:rsidRPr="00301527" w:rsidRDefault="00665E06" w:rsidP="00665E06">
      <w:pPr>
        <w:pStyle w:val="1"/>
        <w:spacing w:line="360" w:lineRule="auto"/>
        <w:ind w:left="1080"/>
        <w:jc w:val="both"/>
        <w:rPr>
          <w:rFonts w:ascii="Arial" w:hAnsi="Arial"/>
          <w:rtl/>
        </w:rPr>
      </w:pPr>
    </w:p>
    <w:p w14:paraId="300EA5F7" w14:textId="77777777" w:rsidR="00665E06" w:rsidRPr="00301527" w:rsidRDefault="00665E06" w:rsidP="00665E06">
      <w:pPr>
        <w:pStyle w:val="1"/>
        <w:spacing w:line="360" w:lineRule="auto"/>
        <w:ind w:left="1080"/>
        <w:jc w:val="both"/>
        <w:rPr>
          <w:rFonts w:ascii="Arial" w:hAnsi="Arial"/>
          <w:rtl/>
        </w:rPr>
      </w:pPr>
      <w:r w:rsidRPr="00301527">
        <w:rPr>
          <w:rFonts w:ascii="Arial" w:hAnsi="Arial" w:hint="cs"/>
          <w:b/>
          <w:bCs/>
          <w:rtl/>
        </w:rPr>
        <w:t>סך הכל איפוא יישא הנאשם בעונש כולל של  19 חודשי מאסר בפועל, בניכוי ימי מעצרו, בכל התיקים גם יחד, בהתאם לרישומי שב"ס.</w:t>
      </w:r>
    </w:p>
    <w:p w14:paraId="3D01C3C8" w14:textId="77777777" w:rsidR="00665E06" w:rsidRPr="00301527" w:rsidRDefault="00665E06" w:rsidP="00665E06">
      <w:pPr>
        <w:pStyle w:val="1"/>
        <w:spacing w:line="360" w:lineRule="auto"/>
        <w:ind w:left="1080"/>
        <w:jc w:val="both"/>
        <w:rPr>
          <w:rFonts w:ascii="Arial" w:hAnsi="Arial"/>
        </w:rPr>
      </w:pPr>
    </w:p>
    <w:p w14:paraId="07C09B56" w14:textId="77777777" w:rsidR="00665E06" w:rsidRPr="00301527" w:rsidRDefault="00665E06" w:rsidP="00665E06">
      <w:pPr>
        <w:pStyle w:val="1"/>
        <w:numPr>
          <w:ilvl w:val="1"/>
          <w:numId w:val="1"/>
        </w:numPr>
        <w:spacing w:line="360" w:lineRule="auto"/>
        <w:jc w:val="both"/>
        <w:rPr>
          <w:rFonts w:ascii="Arial" w:hAnsi="Arial"/>
        </w:rPr>
      </w:pPr>
      <w:r w:rsidRPr="00301527">
        <w:rPr>
          <w:rFonts w:ascii="Arial" w:hAnsi="Arial" w:hint="cs"/>
          <w:rtl/>
        </w:rPr>
        <w:t xml:space="preserve">8 חודשי מאסר, אולם הנאשם לא יישא בעונש זה אלא אם יעבור בתוך 36 חודשים מיום שחרורו עבירת סמים מסוג פשע. </w:t>
      </w:r>
    </w:p>
    <w:p w14:paraId="0313F741" w14:textId="77777777" w:rsidR="00665E06" w:rsidRPr="00301527" w:rsidRDefault="00665E06" w:rsidP="00665E06">
      <w:pPr>
        <w:pStyle w:val="1"/>
        <w:spacing w:line="360" w:lineRule="auto"/>
        <w:ind w:left="1080"/>
        <w:jc w:val="both"/>
        <w:rPr>
          <w:rFonts w:ascii="Arial" w:hAnsi="Arial"/>
        </w:rPr>
      </w:pPr>
    </w:p>
    <w:p w14:paraId="30013741" w14:textId="77777777" w:rsidR="00665E06" w:rsidRPr="00301527" w:rsidRDefault="00665E06" w:rsidP="00665E06">
      <w:pPr>
        <w:pStyle w:val="1"/>
        <w:numPr>
          <w:ilvl w:val="1"/>
          <w:numId w:val="1"/>
        </w:numPr>
        <w:spacing w:line="360" w:lineRule="auto"/>
        <w:jc w:val="both"/>
        <w:rPr>
          <w:rFonts w:ascii="Arial" w:hAnsi="Arial"/>
        </w:rPr>
      </w:pPr>
      <w:r w:rsidRPr="00301527">
        <w:rPr>
          <w:rFonts w:ascii="Arial" w:hAnsi="Arial" w:hint="cs"/>
          <w:rtl/>
        </w:rPr>
        <w:t xml:space="preserve">3 חודשי מאסר, אולם הנאשם לא יישא בעונש זה אלא אם יעבור בתוך 36 חודשים מיום שחרורו מי מהעברות בהן הורשע בתיקים המצורפים (גניבה, החזקת סכין שלא כדין, החזקת מכשירי פריצה, </w:t>
      </w:r>
      <w:r w:rsidRPr="00301527">
        <w:rPr>
          <w:rFonts w:ascii="Arial" w:hAnsi="Arial" w:hint="cs"/>
          <w:b/>
          <w:bCs/>
          <w:rtl/>
        </w:rPr>
        <w:t>ולמעט</w:t>
      </w:r>
      <w:r w:rsidRPr="00301527">
        <w:rPr>
          <w:rFonts w:ascii="Arial" w:hAnsi="Arial" w:hint="cs"/>
          <w:rtl/>
        </w:rPr>
        <w:t xml:space="preserve"> החזקת נכס חשוד כגנוב). </w:t>
      </w:r>
    </w:p>
    <w:p w14:paraId="39B18CC3" w14:textId="77777777" w:rsidR="00665E06" w:rsidRPr="00301527" w:rsidRDefault="00665E06" w:rsidP="00665E06">
      <w:pPr>
        <w:pStyle w:val="ac"/>
        <w:rPr>
          <w:rFonts w:ascii="Arial" w:hAnsi="Arial"/>
          <w:rtl/>
        </w:rPr>
      </w:pPr>
    </w:p>
    <w:p w14:paraId="6B71DEA4" w14:textId="77777777" w:rsidR="00665E06" w:rsidRPr="00301527" w:rsidRDefault="00665E06" w:rsidP="00665E06">
      <w:pPr>
        <w:pStyle w:val="1"/>
        <w:numPr>
          <w:ilvl w:val="1"/>
          <w:numId w:val="1"/>
        </w:numPr>
        <w:spacing w:line="360" w:lineRule="auto"/>
        <w:jc w:val="both"/>
        <w:rPr>
          <w:rFonts w:ascii="Arial" w:hAnsi="Arial"/>
        </w:rPr>
      </w:pPr>
      <w:r w:rsidRPr="00301527">
        <w:rPr>
          <w:rFonts w:ascii="Arial" w:hAnsi="Arial" w:hint="cs"/>
          <w:rtl/>
        </w:rPr>
        <w:t xml:space="preserve">רשמתי לפניי את התחייבות הנאשם, בסך 1,500 ₪, שלא לעבור עבירות סם מסוג פשע, או גניבה, או החזקת סכין שלא כדין, משך 36 חודשים מיום שחרורו, והצהרתו זו (הניתנת עתה, בעת מתן גזר הדין) יפה ומחליפה חתימתו בכתב. </w:t>
      </w:r>
    </w:p>
    <w:p w14:paraId="0A773690" w14:textId="77777777" w:rsidR="00665E06" w:rsidRPr="00301527" w:rsidRDefault="00665E06" w:rsidP="00665E06">
      <w:pPr>
        <w:pStyle w:val="1"/>
        <w:spacing w:line="360" w:lineRule="auto"/>
        <w:jc w:val="both"/>
        <w:rPr>
          <w:rFonts w:ascii="Arial" w:hAnsi="Arial"/>
          <w:rtl/>
        </w:rPr>
      </w:pPr>
    </w:p>
    <w:p w14:paraId="1A74E4E4" w14:textId="77777777" w:rsidR="00665E06" w:rsidRPr="00301527" w:rsidRDefault="00665E06" w:rsidP="00665E06">
      <w:pPr>
        <w:pStyle w:val="1"/>
        <w:spacing w:line="360" w:lineRule="auto"/>
        <w:jc w:val="both"/>
        <w:rPr>
          <w:rFonts w:ascii="Arial" w:hAnsi="Arial"/>
        </w:rPr>
      </w:pPr>
    </w:p>
    <w:p w14:paraId="117DC99C" w14:textId="77777777" w:rsidR="00665E06" w:rsidRPr="00301527" w:rsidRDefault="00665E06" w:rsidP="00665E06">
      <w:pPr>
        <w:spacing w:line="360" w:lineRule="auto"/>
        <w:jc w:val="both"/>
        <w:rPr>
          <w:rFonts w:ascii="David" w:hAnsi="David"/>
          <w:color w:val="000000"/>
          <w:rtl/>
        </w:rPr>
      </w:pPr>
      <w:r w:rsidRPr="00301527">
        <w:rPr>
          <w:rFonts w:ascii="David" w:hAnsi="David" w:hint="cs"/>
          <w:color w:val="000000"/>
          <w:rtl/>
        </w:rPr>
        <w:t>הסמים יושמדו.</w:t>
      </w:r>
    </w:p>
    <w:p w14:paraId="21AC23CA" w14:textId="77777777" w:rsidR="00665E06" w:rsidRPr="00301527" w:rsidRDefault="00665E06" w:rsidP="00665E06">
      <w:pPr>
        <w:spacing w:line="360" w:lineRule="auto"/>
        <w:jc w:val="both"/>
        <w:rPr>
          <w:rFonts w:ascii="David" w:hAnsi="David"/>
          <w:color w:val="000000"/>
          <w:rtl/>
        </w:rPr>
      </w:pPr>
    </w:p>
    <w:p w14:paraId="63E5C61C" w14:textId="77777777" w:rsidR="00665E06" w:rsidRPr="00301527" w:rsidRDefault="00665E06" w:rsidP="00665E06">
      <w:pPr>
        <w:spacing w:line="360" w:lineRule="auto"/>
        <w:jc w:val="both"/>
        <w:rPr>
          <w:rFonts w:ascii="David" w:hAnsi="David"/>
          <w:color w:val="000000"/>
          <w:rtl/>
        </w:rPr>
      </w:pPr>
      <w:r w:rsidRPr="00301527">
        <w:rPr>
          <w:rFonts w:ascii="David" w:hAnsi="David" w:hint="cs"/>
          <w:color w:val="000000"/>
          <w:rtl/>
        </w:rPr>
        <w:t xml:space="preserve">יתר המוצגים </w:t>
      </w:r>
      <w:r w:rsidRPr="00301527">
        <w:rPr>
          <w:rFonts w:ascii="David" w:hAnsi="David"/>
          <w:color w:val="000000"/>
          <w:rtl/>
        </w:rPr>
        <w:t>–</w:t>
      </w:r>
      <w:r w:rsidRPr="00301527">
        <w:rPr>
          <w:rFonts w:ascii="David" w:hAnsi="David" w:hint="cs"/>
          <w:color w:val="000000"/>
          <w:rtl/>
        </w:rPr>
        <w:t xml:space="preserve"> לשיקול דעת קצין החקירות.</w:t>
      </w:r>
    </w:p>
    <w:p w14:paraId="00EE1630" w14:textId="77777777" w:rsidR="00665E06" w:rsidRPr="00301527" w:rsidRDefault="00665E06" w:rsidP="00665E06">
      <w:pPr>
        <w:spacing w:line="360" w:lineRule="auto"/>
        <w:jc w:val="both"/>
        <w:rPr>
          <w:rFonts w:ascii="David" w:hAnsi="David"/>
          <w:color w:val="000000"/>
          <w:rtl/>
        </w:rPr>
      </w:pPr>
    </w:p>
    <w:p w14:paraId="48D5E623" w14:textId="77777777" w:rsidR="00665E06" w:rsidRPr="00301527" w:rsidRDefault="00665E06" w:rsidP="00665E06">
      <w:pPr>
        <w:spacing w:line="360" w:lineRule="auto"/>
        <w:jc w:val="both"/>
        <w:rPr>
          <w:rFonts w:ascii="David" w:hAnsi="David"/>
          <w:color w:val="000000"/>
          <w:rtl/>
        </w:rPr>
      </w:pPr>
      <w:r w:rsidRPr="00301527">
        <w:rPr>
          <w:rFonts w:ascii="David" w:hAnsi="David" w:hint="cs"/>
          <w:color w:val="000000"/>
          <w:rtl/>
        </w:rPr>
        <w:t xml:space="preserve">כל ההפקדות, בכל התיקים </w:t>
      </w:r>
      <w:r w:rsidRPr="00301527">
        <w:rPr>
          <w:rFonts w:ascii="David" w:hAnsi="David"/>
          <w:color w:val="000000"/>
          <w:rtl/>
        </w:rPr>
        <w:t>–</w:t>
      </w:r>
      <w:r w:rsidRPr="00301527">
        <w:rPr>
          <w:rFonts w:ascii="David" w:hAnsi="David" w:hint="cs"/>
          <w:color w:val="000000"/>
          <w:rtl/>
        </w:rPr>
        <w:t xml:space="preserve"> יוחזרו לידי הנאשם.</w:t>
      </w:r>
    </w:p>
    <w:p w14:paraId="50EA971E" w14:textId="77777777" w:rsidR="00665E06" w:rsidRPr="00301527" w:rsidRDefault="00665E06" w:rsidP="00665E06">
      <w:pPr>
        <w:spacing w:line="360" w:lineRule="auto"/>
        <w:jc w:val="both"/>
        <w:rPr>
          <w:rFonts w:ascii="David" w:hAnsi="David"/>
          <w:color w:val="000000"/>
          <w:rtl/>
        </w:rPr>
      </w:pPr>
    </w:p>
    <w:p w14:paraId="52B44D5D" w14:textId="77777777" w:rsidR="00665E06" w:rsidRPr="00301527" w:rsidRDefault="00665E06" w:rsidP="00665E06">
      <w:pPr>
        <w:spacing w:line="360" w:lineRule="auto"/>
        <w:jc w:val="both"/>
        <w:rPr>
          <w:b/>
          <w:bCs/>
          <w:rtl/>
        </w:rPr>
      </w:pPr>
      <w:r w:rsidRPr="00301527">
        <w:rPr>
          <w:rFonts w:ascii="David" w:hAnsi="David" w:hint="cs"/>
          <w:b/>
          <w:bCs/>
          <w:color w:val="000000"/>
          <w:rtl/>
        </w:rPr>
        <w:t xml:space="preserve">המזכירות תשלח בבקשה העתק גזר הדין לשירות המבחן, בתודה. </w:t>
      </w:r>
    </w:p>
    <w:p w14:paraId="6A08BF1A" w14:textId="77777777" w:rsidR="00665E06" w:rsidRPr="00301527" w:rsidRDefault="00665E06" w:rsidP="00665E06">
      <w:pPr>
        <w:spacing w:line="360" w:lineRule="auto"/>
        <w:jc w:val="both"/>
        <w:rPr>
          <w:rtl/>
        </w:rPr>
      </w:pPr>
    </w:p>
    <w:p w14:paraId="6C982BDF" w14:textId="77777777" w:rsidR="00665E06" w:rsidRPr="00301527" w:rsidRDefault="00071C29" w:rsidP="00665E06">
      <w:pPr>
        <w:spacing w:line="360" w:lineRule="auto"/>
        <w:jc w:val="both"/>
        <w:rPr>
          <w:b/>
          <w:bCs/>
          <w:rtl/>
        </w:rPr>
      </w:pPr>
      <w:r w:rsidRPr="00301527">
        <w:rPr>
          <w:b/>
          <w:bCs/>
          <w:color w:val="FFFFFF"/>
          <w:sz w:val="2"/>
          <w:szCs w:val="2"/>
          <w:rtl/>
        </w:rPr>
        <w:t>5129371</w:t>
      </w:r>
      <w:r w:rsidR="00665E06" w:rsidRPr="00301527">
        <w:rPr>
          <w:b/>
          <w:bCs/>
          <w:rtl/>
        </w:rPr>
        <w:t xml:space="preserve">זכות ערעור לבית המשפט המחוזי בתל אביב תוך 45 ימים. </w:t>
      </w:r>
    </w:p>
    <w:p w14:paraId="24D80BA4" w14:textId="77777777" w:rsidR="00665E06" w:rsidRPr="00301527" w:rsidRDefault="00071C29" w:rsidP="00665E06">
      <w:pPr>
        <w:rPr>
          <w:rFonts w:ascii="Arial" w:hAnsi="Arial"/>
          <w:b/>
          <w:bCs/>
          <w:color w:val="FFFFFF"/>
          <w:sz w:val="2"/>
          <w:szCs w:val="2"/>
          <w:rtl/>
        </w:rPr>
      </w:pPr>
      <w:r w:rsidRPr="00301527">
        <w:rPr>
          <w:rFonts w:ascii="Arial" w:hAnsi="Arial"/>
          <w:b/>
          <w:bCs/>
          <w:color w:val="FFFFFF"/>
          <w:sz w:val="2"/>
          <w:szCs w:val="2"/>
          <w:rtl/>
        </w:rPr>
        <w:t>54678313</w:t>
      </w:r>
    </w:p>
    <w:p w14:paraId="0F434F59" w14:textId="77777777" w:rsidR="00665E06" w:rsidRPr="00301527" w:rsidRDefault="00665E06" w:rsidP="00665E06">
      <w:pPr>
        <w:rPr>
          <w:rFonts w:ascii="Arial" w:hAnsi="Arial"/>
          <w:b/>
          <w:bCs/>
          <w:sz w:val="26"/>
          <w:szCs w:val="26"/>
          <w:rtl/>
        </w:rPr>
      </w:pPr>
    </w:p>
    <w:p w14:paraId="2447C8B9" w14:textId="77777777" w:rsidR="00665E06" w:rsidRPr="00301527" w:rsidRDefault="00071C29" w:rsidP="00665E06">
      <w:pPr>
        <w:spacing w:line="360" w:lineRule="auto"/>
        <w:jc w:val="both"/>
        <w:rPr>
          <w:rFonts w:ascii="Arial" w:hAnsi="Arial"/>
          <w:b/>
          <w:bCs/>
          <w:sz w:val="26"/>
          <w:szCs w:val="26"/>
          <w:rtl/>
        </w:rPr>
      </w:pPr>
      <w:bookmarkStart w:id="8" w:name="Nitan"/>
      <w:r w:rsidRPr="00301527">
        <w:rPr>
          <w:rFonts w:ascii="Arial" w:hAnsi="Arial"/>
          <w:b/>
          <w:bCs/>
          <w:sz w:val="26"/>
          <w:szCs w:val="26"/>
          <w:rtl/>
        </w:rPr>
        <w:t xml:space="preserve">ניתן היום,  ג' תשרי תשפ"ד, 18 ספטמבר 2023, במעמד הצדדים. </w:t>
      </w:r>
      <w:bookmarkEnd w:id="8"/>
      <w:r w:rsidR="00665E06" w:rsidRPr="00301527">
        <w:rPr>
          <w:rFonts w:ascii="Arial" w:hAnsi="Arial"/>
          <w:b/>
          <w:bCs/>
          <w:sz w:val="26"/>
          <w:szCs w:val="26"/>
          <w:rtl/>
        </w:rPr>
        <w:tab/>
      </w:r>
      <w:r w:rsidR="00665E06" w:rsidRPr="00301527">
        <w:rPr>
          <w:rFonts w:ascii="Arial" w:hAnsi="Arial"/>
          <w:b/>
          <w:bCs/>
          <w:sz w:val="26"/>
          <w:szCs w:val="26"/>
          <w:rtl/>
        </w:rPr>
        <w:tab/>
      </w:r>
      <w:r w:rsidR="00665E06" w:rsidRPr="00301527">
        <w:rPr>
          <w:rFonts w:ascii="Arial" w:hAnsi="Arial"/>
          <w:b/>
          <w:bCs/>
          <w:sz w:val="26"/>
          <w:szCs w:val="26"/>
          <w:rtl/>
        </w:rPr>
        <w:tab/>
      </w:r>
      <w:r w:rsidR="00665E06" w:rsidRPr="00301527">
        <w:rPr>
          <w:rFonts w:ascii="Arial" w:hAnsi="Arial"/>
          <w:b/>
          <w:bCs/>
          <w:sz w:val="26"/>
          <w:szCs w:val="26"/>
          <w:rtl/>
        </w:rPr>
        <w:tab/>
      </w:r>
      <w:r w:rsidR="00665E06" w:rsidRPr="00301527">
        <w:rPr>
          <w:rFonts w:ascii="Arial" w:hAnsi="Arial"/>
          <w:b/>
          <w:bCs/>
          <w:sz w:val="26"/>
          <w:szCs w:val="26"/>
          <w:rtl/>
        </w:rPr>
        <w:tab/>
      </w:r>
      <w:r w:rsidR="00665E06" w:rsidRPr="00301527">
        <w:rPr>
          <w:rFonts w:ascii="Arial" w:hAnsi="Arial"/>
          <w:b/>
          <w:bCs/>
          <w:sz w:val="26"/>
          <w:szCs w:val="26"/>
          <w:rtl/>
        </w:rPr>
        <w:tab/>
      </w:r>
      <w:r w:rsidR="00665E06" w:rsidRPr="00301527">
        <w:rPr>
          <w:rFonts w:ascii="Arial" w:hAnsi="Arial"/>
          <w:b/>
          <w:bCs/>
          <w:sz w:val="26"/>
          <w:szCs w:val="26"/>
          <w:rtl/>
        </w:rPr>
        <w:tab/>
      </w:r>
      <w:r w:rsidR="00665E06" w:rsidRPr="00301527">
        <w:rPr>
          <w:rFonts w:ascii="Arial" w:hAnsi="Arial" w:hint="cs"/>
          <w:b/>
          <w:bCs/>
          <w:sz w:val="26"/>
          <w:szCs w:val="26"/>
          <w:rtl/>
        </w:rPr>
        <w:t xml:space="preserve">         </w:t>
      </w:r>
    </w:p>
    <w:p w14:paraId="70EC2E4E" w14:textId="77777777" w:rsidR="00071C29" w:rsidRPr="00301527" w:rsidRDefault="00071C29" w:rsidP="00071C29">
      <w:pPr>
        <w:rPr>
          <w:rtl/>
        </w:rPr>
      </w:pPr>
    </w:p>
    <w:p w14:paraId="2FB96305" w14:textId="77777777" w:rsidR="00071C29" w:rsidRPr="00301527" w:rsidRDefault="00071C29" w:rsidP="00071C29">
      <w:pPr>
        <w:jc w:val="center"/>
        <w:rPr>
          <w:color w:val="0000FF"/>
          <w:u w:val="single"/>
        </w:rPr>
      </w:pPr>
      <w:hyperlink r:id="rId56" w:history="1">
        <w:r w:rsidRPr="00301527">
          <w:rPr>
            <w:color w:val="0000FF"/>
            <w:u w:val="single"/>
            <w:rtl/>
          </w:rPr>
          <w:t>בעניין עריכה ושינויים במסמכי פסיקה, חקיקה ועוד באתר נבו – הקש כאן</w:t>
        </w:r>
      </w:hyperlink>
    </w:p>
    <w:p w14:paraId="761873E1" w14:textId="77777777" w:rsidR="00301527" w:rsidRPr="00301527" w:rsidRDefault="00301527" w:rsidP="00301527">
      <w:pPr>
        <w:keepNext/>
        <w:rPr>
          <w:rFonts w:ascii="David" w:hAnsi="David"/>
          <w:color w:val="000000"/>
          <w:sz w:val="22"/>
          <w:szCs w:val="22"/>
          <w:rtl/>
        </w:rPr>
      </w:pPr>
    </w:p>
    <w:p w14:paraId="2322805E" w14:textId="77777777" w:rsidR="00301527" w:rsidRPr="00301527" w:rsidRDefault="00301527" w:rsidP="00301527">
      <w:pPr>
        <w:keepNext/>
        <w:rPr>
          <w:rFonts w:ascii="David" w:hAnsi="David"/>
          <w:color w:val="000000"/>
          <w:sz w:val="22"/>
          <w:szCs w:val="22"/>
          <w:rtl/>
        </w:rPr>
      </w:pPr>
      <w:r w:rsidRPr="00301527">
        <w:rPr>
          <w:rFonts w:ascii="David" w:hAnsi="David"/>
          <w:color w:val="000000"/>
          <w:sz w:val="22"/>
          <w:szCs w:val="22"/>
          <w:rtl/>
        </w:rPr>
        <w:t>שמאי בקר 54678313-/</w:t>
      </w:r>
    </w:p>
    <w:p w14:paraId="7DA352E9" w14:textId="77777777" w:rsidR="00071C29" w:rsidRPr="00301527" w:rsidRDefault="00301527" w:rsidP="00301527">
      <w:pPr>
        <w:rPr>
          <w:color w:val="0000FF"/>
          <w:u w:val="single"/>
        </w:rPr>
      </w:pPr>
      <w:r w:rsidRPr="00301527">
        <w:rPr>
          <w:color w:val="000000"/>
          <w:u w:val="single"/>
          <w:rtl/>
        </w:rPr>
        <w:t>נוסח מסמך זה כפוף לשינויי ניסוח ועריכה</w:t>
      </w:r>
    </w:p>
    <w:sectPr w:rsidR="00071C29" w:rsidRPr="00301527" w:rsidSect="00301527">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B873A" w14:textId="77777777" w:rsidR="001D1C46" w:rsidRDefault="001D1C46" w:rsidP="00665E06">
      <w:r>
        <w:separator/>
      </w:r>
    </w:p>
  </w:endnote>
  <w:endnote w:type="continuationSeparator" w:id="0">
    <w:p w14:paraId="1BB5DA29" w14:textId="77777777" w:rsidR="001D1C46" w:rsidRDefault="001D1C46" w:rsidP="00665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2BEAA" w14:textId="77777777" w:rsidR="00301527" w:rsidRDefault="00301527" w:rsidP="0030152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A9770B" w14:textId="77777777" w:rsidR="004B5298" w:rsidRPr="00301527" w:rsidRDefault="00301527" w:rsidP="00301527">
    <w:pPr>
      <w:pStyle w:val="a5"/>
      <w:pBdr>
        <w:top w:val="single" w:sz="4" w:space="1" w:color="auto"/>
        <w:between w:val="single" w:sz="4" w:space="0" w:color="auto"/>
      </w:pBdr>
      <w:spacing w:after="60"/>
      <w:jc w:val="center"/>
      <w:rPr>
        <w:rFonts w:ascii="FrankRuehl" w:hAnsi="FrankRuehl" w:cs="FrankRuehl"/>
        <w:color w:val="000000"/>
      </w:rPr>
    </w:pPr>
    <w:r w:rsidRPr="0030152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16A09" w14:textId="77777777" w:rsidR="00301527" w:rsidRDefault="00301527" w:rsidP="0030152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3F0B">
      <w:rPr>
        <w:rFonts w:ascii="FrankRuehl" w:hAnsi="FrankRuehl" w:cs="FrankRuehl"/>
        <w:noProof/>
        <w:rtl/>
      </w:rPr>
      <w:t>1</w:t>
    </w:r>
    <w:r>
      <w:rPr>
        <w:rFonts w:ascii="FrankRuehl" w:hAnsi="FrankRuehl" w:cs="FrankRuehl"/>
        <w:rtl/>
      </w:rPr>
      <w:fldChar w:fldCharType="end"/>
    </w:r>
  </w:p>
  <w:p w14:paraId="2CBDA36D" w14:textId="77777777" w:rsidR="004B5298" w:rsidRPr="00301527" w:rsidRDefault="00301527" w:rsidP="00301527">
    <w:pPr>
      <w:pStyle w:val="a5"/>
      <w:pBdr>
        <w:top w:val="single" w:sz="4" w:space="1" w:color="auto"/>
        <w:between w:val="single" w:sz="4" w:space="0" w:color="auto"/>
      </w:pBdr>
      <w:spacing w:after="60"/>
      <w:jc w:val="center"/>
      <w:rPr>
        <w:rFonts w:ascii="FrankRuehl" w:hAnsi="FrankRuehl" w:cs="FrankRuehl"/>
        <w:color w:val="000000"/>
      </w:rPr>
    </w:pPr>
    <w:r w:rsidRPr="00301527">
      <w:rPr>
        <w:rFonts w:ascii="FrankRuehl" w:hAnsi="FrankRuehl" w:cs="FrankRuehl"/>
        <w:color w:val="000000"/>
      </w:rPr>
      <w:pict w14:anchorId="7719B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FC618" w14:textId="77777777" w:rsidR="001D1C46" w:rsidRDefault="001D1C46" w:rsidP="00665E06">
      <w:r>
        <w:separator/>
      </w:r>
    </w:p>
  </w:footnote>
  <w:footnote w:type="continuationSeparator" w:id="0">
    <w:p w14:paraId="7BBACFBA" w14:textId="77777777" w:rsidR="001D1C46" w:rsidRDefault="001D1C46" w:rsidP="00665E06">
      <w:r>
        <w:continuationSeparator/>
      </w:r>
    </w:p>
  </w:footnote>
  <w:footnote w:id="1">
    <w:p w14:paraId="304CFA78" w14:textId="77777777" w:rsidR="00665E06" w:rsidRDefault="00665E06" w:rsidP="00665E06">
      <w:pPr>
        <w:pStyle w:val="a9"/>
      </w:pPr>
      <w:r>
        <w:rPr>
          <w:rStyle w:val="ab"/>
        </w:rPr>
        <w:footnoteRef/>
      </w:r>
      <w:r>
        <w:rPr>
          <w:rtl/>
        </w:rPr>
        <w:t xml:space="preserve"> </w:t>
      </w:r>
      <w:r>
        <w:rPr>
          <w:rFonts w:hint="cs"/>
          <w:rtl/>
        </w:rPr>
        <w:t xml:space="preserve">כל ההדגשות לאורך גזר הדין אינן במקור והן שלי, ש.ב. </w:t>
      </w:r>
    </w:p>
  </w:footnote>
  <w:footnote w:id="2">
    <w:p w14:paraId="14319E72" w14:textId="77777777" w:rsidR="00665E06" w:rsidRDefault="00665E06" w:rsidP="00665E06">
      <w:pPr>
        <w:pStyle w:val="a9"/>
        <w:jc w:val="both"/>
        <w:rPr>
          <w:rtl/>
        </w:rPr>
      </w:pPr>
      <w:r>
        <w:rPr>
          <w:rStyle w:val="ab"/>
        </w:rPr>
        <w:footnoteRef/>
      </w:r>
      <w:r>
        <w:rPr>
          <w:rtl/>
        </w:rPr>
        <w:t xml:space="preserve"> </w:t>
      </w:r>
      <w:r>
        <w:rPr>
          <w:rFonts w:hint="cs"/>
          <w:rtl/>
        </w:rPr>
        <w:t xml:space="preserve">אעיר בעניין זה כי </w:t>
      </w:r>
      <w:hyperlink r:id="rId1" w:history="1">
        <w:r w:rsidR="00071C29" w:rsidRPr="00071C29">
          <w:rPr>
            <w:color w:val="0000FF"/>
            <w:u w:val="single"/>
            <w:rtl/>
          </w:rPr>
          <w:t>ת"פ (י-ם) 7414-01-15</w:t>
        </w:r>
      </w:hyperlink>
      <w:r>
        <w:rPr>
          <w:rFonts w:hint="cs"/>
          <w:rtl/>
        </w:rPr>
        <w:t xml:space="preserve"> </w:t>
      </w:r>
      <w:r w:rsidRPr="003D4255">
        <w:rPr>
          <w:rFonts w:hint="cs"/>
          <w:b/>
          <w:bCs/>
          <w:rtl/>
        </w:rPr>
        <w:t>מדינת ישראל נ' שגב</w:t>
      </w:r>
      <w:r>
        <w:rPr>
          <w:rFonts w:hint="cs"/>
          <w:rtl/>
        </w:rPr>
        <w:t xml:space="preserve"> (8.3.2018), שהוגש מאת ההגנה, לא רלוונטי לעניינו משום שמתחם העונש ההולם הושפע, לקולא, מנסיבות ייחודיות שהתקיימו שם.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A53EF" w14:textId="77777777" w:rsidR="00071C29" w:rsidRPr="00301527" w:rsidRDefault="00301527" w:rsidP="0030152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59888-08-22</w:t>
    </w:r>
    <w:r>
      <w:rPr>
        <w:rFonts w:ascii="David" w:hAnsi="David"/>
        <w:color w:val="000000"/>
        <w:sz w:val="22"/>
        <w:szCs w:val="22"/>
        <w:rtl/>
      </w:rPr>
      <w:tab/>
      <w:t xml:space="preserve"> מדינת ישראל נ' ולדימיר פודובדוב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A9194" w14:textId="77777777" w:rsidR="00071C29" w:rsidRPr="00301527" w:rsidRDefault="00301527" w:rsidP="0030152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59888-08-22</w:t>
    </w:r>
    <w:r>
      <w:rPr>
        <w:rFonts w:ascii="David" w:hAnsi="David"/>
        <w:color w:val="000000"/>
        <w:sz w:val="22"/>
        <w:szCs w:val="22"/>
        <w:rtl/>
      </w:rPr>
      <w:tab/>
      <w:t xml:space="preserve"> מדינת ישראל נ' ולדימיר פודובדוב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112EB"/>
    <w:multiLevelType w:val="hybridMultilevel"/>
    <w:tmpl w:val="DC961118"/>
    <w:lvl w:ilvl="0" w:tplc="041C0546">
      <w:start w:val="1"/>
      <w:numFmt w:val="decimal"/>
      <w:lvlText w:val="%1."/>
      <w:lvlJc w:val="left"/>
      <w:pPr>
        <w:ind w:left="360" w:hanging="360"/>
      </w:pPr>
      <w:rPr>
        <w:b w:val="0"/>
        <w:bCs w:val="0"/>
      </w:rPr>
    </w:lvl>
    <w:lvl w:ilvl="1" w:tplc="04090013">
      <w:start w:val="1"/>
      <w:numFmt w:val="hebrew1"/>
      <w:lvlText w:val="%2."/>
      <w:lvlJc w:val="center"/>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6451151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65E06"/>
    <w:rsid w:val="00027A7B"/>
    <w:rsid w:val="00071C29"/>
    <w:rsid w:val="00097609"/>
    <w:rsid w:val="001B5A3B"/>
    <w:rsid w:val="001D1C46"/>
    <w:rsid w:val="00242D21"/>
    <w:rsid w:val="002B255C"/>
    <w:rsid w:val="00301527"/>
    <w:rsid w:val="00390290"/>
    <w:rsid w:val="004B5298"/>
    <w:rsid w:val="005D3F0B"/>
    <w:rsid w:val="00604509"/>
    <w:rsid w:val="00665E06"/>
    <w:rsid w:val="00B820F6"/>
    <w:rsid w:val="00C55B09"/>
    <w:rsid w:val="00C62FE7"/>
    <w:rsid w:val="00F547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ABA070"/>
  <w15:chartTrackingRefBased/>
  <w15:docId w15:val="{2068912C-BDCF-42BD-9E1B-C81BCFFE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5E0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65E06"/>
    <w:pPr>
      <w:tabs>
        <w:tab w:val="center" w:pos="4153"/>
        <w:tab w:val="right" w:pos="8306"/>
      </w:tabs>
    </w:pPr>
  </w:style>
  <w:style w:type="character" w:customStyle="1" w:styleId="a4">
    <w:name w:val="כותרת עליונה תו"/>
    <w:link w:val="a3"/>
    <w:rsid w:val="00665E06"/>
    <w:rPr>
      <w:rFonts w:ascii="Times New Roman" w:eastAsia="Times New Roman" w:hAnsi="Times New Roman" w:cs="David"/>
      <w:sz w:val="24"/>
      <w:szCs w:val="24"/>
    </w:rPr>
  </w:style>
  <w:style w:type="paragraph" w:styleId="a5">
    <w:name w:val="footer"/>
    <w:basedOn w:val="a"/>
    <w:link w:val="a6"/>
    <w:rsid w:val="00665E06"/>
    <w:pPr>
      <w:tabs>
        <w:tab w:val="center" w:pos="4153"/>
        <w:tab w:val="right" w:pos="8306"/>
      </w:tabs>
    </w:pPr>
  </w:style>
  <w:style w:type="character" w:customStyle="1" w:styleId="a6">
    <w:name w:val="כותרת תחתונה תו"/>
    <w:link w:val="a5"/>
    <w:rsid w:val="00665E06"/>
    <w:rPr>
      <w:rFonts w:ascii="Times New Roman" w:eastAsia="Times New Roman" w:hAnsi="Times New Roman" w:cs="David"/>
      <w:sz w:val="24"/>
      <w:szCs w:val="24"/>
    </w:rPr>
  </w:style>
  <w:style w:type="table" w:styleId="a7">
    <w:name w:val="Table Grid"/>
    <w:basedOn w:val="a1"/>
    <w:rsid w:val="00665E0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65E06"/>
  </w:style>
  <w:style w:type="paragraph" w:styleId="a9">
    <w:name w:val="footnote text"/>
    <w:basedOn w:val="a"/>
    <w:link w:val="aa"/>
    <w:rsid w:val="00665E06"/>
    <w:rPr>
      <w:sz w:val="20"/>
      <w:szCs w:val="20"/>
    </w:rPr>
  </w:style>
  <w:style w:type="character" w:customStyle="1" w:styleId="aa">
    <w:name w:val="טקסט הערת שוליים תו"/>
    <w:link w:val="a9"/>
    <w:rsid w:val="00665E06"/>
    <w:rPr>
      <w:rFonts w:ascii="Times New Roman" w:eastAsia="Times New Roman" w:hAnsi="Times New Roman" w:cs="David"/>
      <w:sz w:val="20"/>
      <w:szCs w:val="20"/>
    </w:rPr>
  </w:style>
  <w:style w:type="paragraph" w:customStyle="1" w:styleId="1">
    <w:name w:val="פיסקת רשימה1"/>
    <w:basedOn w:val="a"/>
    <w:rsid w:val="00665E06"/>
    <w:pPr>
      <w:ind w:left="720"/>
      <w:contextualSpacing/>
    </w:pPr>
  </w:style>
  <w:style w:type="character" w:styleId="ab">
    <w:name w:val="footnote reference"/>
    <w:rsid w:val="00665E06"/>
    <w:rPr>
      <w:vertAlign w:val="superscript"/>
    </w:rPr>
  </w:style>
  <w:style w:type="paragraph" w:styleId="ac">
    <w:name w:val="List Paragraph"/>
    <w:basedOn w:val="a"/>
    <w:qFormat/>
    <w:rsid w:val="00665E06"/>
    <w:pPr>
      <w:ind w:left="720"/>
      <w:contextualSpacing/>
    </w:pPr>
  </w:style>
  <w:style w:type="character" w:styleId="Hyperlink">
    <w:name w:val="Hyperlink"/>
    <w:rsid w:val="00071C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4" TargetMode="External"/><Relationship Id="rId18" Type="http://schemas.openxmlformats.org/officeDocument/2006/relationships/hyperlink" Target="http://www.nevo.co.il/law/70301/384" TargetMode="External"/><Relationship Id="rId26" Type="http://schemas.openxmlformats.org/officeDocument/2006/relationships/hyperlink" Target="http://www.nevo.co.il/case/6119015" TargetMode="External"/><Relationship Id="rId39" Type="http://schemas.openxmlformats.org/officeDocument/2006/relationships/hyperlink" Target="http://www.nevo.co.il/case/6085666" TargetMode="External"/><Relationship Id="rId21" Type="http://schemas.openxmlformats.org/officeDocument/2006/relationships/hyperlink" Target="http://www.nevo.co.il/law/70301/29.a" TargetMode="External"/><Relationship Id="rId34" Type="http://schemas.openxmlformats.org/officeDocument/2006/relationships/hyperlink" Target="http://www.nevo.co.il/case/6180833" TargetMode="External"/><Relationship Id="rId42" Type="http://schemas.openxmlformats.org/officeDocument/2006/relationships/hyperlink" Target="http://www.nevo.co.il/case/22182887" TargetMode="External"/><Relationship Id="rId47" Type="http://schemas.openxmlformats.org/officeDocument/2006/relationships/hyperlink" Target="http://www.nevo.co.il/case/5590169" TargetMode="External"/><Relationship Id="rId50" Type="http://schemas.openxmlformats.org/officeDocument/2006/relationships/hyperlink" Target="http://www.nevo.co.il/case/27420212" TargetMode="External"/><Relationship Id="rId55" Type="http://schemas.openxmlformats.org/officeDocument/2006/relationships/hyperlink" Target="http://www.nevo.co.il/case/25812869"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5738608" TargetMode="External"/><Relationship Id="rId11" Type="http://schemas.openxmlformats.org/officeDocument/2006/relationships/hyperlink" Target="http://www.nevo.co.il/law/70301/29.a" TargetMode="External"/><Relationship Id="rId24" Type="http://schemas.openxmlformats.org/officeDocument/2006/relationships/hyperlink" Target="http://www.nevo.co.il/law/70301/409" TargetMode="External"/><Relationship Id="rId32" Type="http://schemas.openxmlformats.org/officeDocument/2006/relationships/hyperlink" Target="http://www.nevo.co.il/case/18753213" TargetMode="External"/><Relationship Id="rId37" Type="http://schemas.openxmlformats.org/officeDocument/2006/relationships/hyperlink" Target="http://www.nevo.co.il/case/17942553" TargetMode="External"/><Relationship Id="rId40" Type="http://schemas.openxmlformats.org/officeDocument/2006/relationships/hyperlink" Target="http://www.nevo.co.il/case/29973219" TargetMode="External"/><Relationship Id="rId45" Type="http://schemas.openxmlformats.org/officeDocument/2006/relationships/hyperlink" Target="http://www.nevo.co.il/case/20956295" TargetMode="External"/><Relationship Id="rId53" Type="http://schemas.openxmlformats.org/officeDocument/2006/relationships/hyperlink" Target="http://www.nevo.co.il/case/29125707"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0301" TargetMode="External"/><Relationship Id="rId14" Type="http://schemas.openxmlformats.org/officeDocument/2006/relationships/hyperlink" Target="http://www.nevo.co.il/law/70301/409" TargetMode="External"/><Relationship Id="rId22" Type="http://schemas.openxmlformats.org/officeDocument/2006/relationships/hyperlink" Target="http://www.nevo.co.il/law/70301/186.a" TargetMode="External"/><Relationship Id="rId27" Type="http://schemas.openxmlformats.org/officeDocument/2006/relationships/hyperlink" Target="http://www.nevo.co.il/case/5726579" TargetMode="External"/><Relationship Id="rId30" Type="http://schemas.openxmlformats.org/officeDocument/2006/relationships/hyperlink" Target="http://www.nevo.co.il/case/5698919" TargetMode="External"/><Relationship Id="rId35" Type="http://schemas.openxmlformats.org/officeDocument/2006/relationships/hyperlink" Target="http://www.nevo.co.il/case/7980156" TargetMode="External"/><Relationship Id="rId43" Type="http://schemas.openxmlformats.org/officeDocument/2006/relationships/hyperlink" Target="http://www.nevo.co.il/case/26246488" TargetMode="External"/><Relationship Id="rId48" Type="http://schemas.openxmlformats.org/officeDocument/2006/relationships/hyperlink" Target="http://www.nevo.co.il/case/26220458"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22032249" TargetMode="External"/><Relationship Id="rId3" Type="http://schemas.openxmlformats.org/officeDocument/2006/relationships/settings" Target="settings.xml"/><Relationship Id="rId12" Type="http://schemas.openxmlformats.org/officeDocument/2006/relationships/hyperlink" Target="http://www.nevo.co.il/law/70301/186.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5738608" TargetMode="External"/><Relationship Id="rId33" Type="http://schemas.openxmlformats.org/officeDocument/2006/relationships/hyperlink" Target="http://www.nevo.co.il/case/5590128" TargetMode="External"/><Relationship Id="rId38" Type="http://schemas.openxmlformats.org/officeDocument/2006/relationships/hyperlink" Target="http://www.nevo.co.il/case/17945621" TargetMode="External"/><Relationship Id="rId46" Type="http://schemas.openxmlformats.org/officeDocument/2006/relationships/hyperlink" Target="http://www.nevo.co.il/case/20052568" TargetMode="External"/><Relationship Id="rId59" Type="http://schemas.openxmlformats.org/officeDocument/2006/relationships/footer" Target="footer1.xml"/><Relationship Id="rId20" Type="http://schemas.openxmlformats.org/officeDocument/2006/relationships/hyperlink" Target="http://www.nevo.co.il/law/70301/384" TargetMode="External"/><Relationship Id="rId41" Type="http://schemas.openxmlformats.org/officeDocument/2006/relationships/hyperlink" Target="http://www.nevo.co.il/case/26191532" TargetMode="External"/><Relationship Id="rId54" Type="http://schemas.openxmlformats.org/officeDocument/2006/relationships/hyperlink" Target="http://www.nevo.co.il/case/2829767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13" TargetMode="External"/><Relationship Id="rId23" Type="http://schemas.openxmlformats.org/officeDocument/2006/relationships/hyperlink" Target="http://www.nevo.co.il/law/70301/413" TargetMode="External"/><Relationship Id="rId28" Type="http://schemas.openxmlformats.org/officeDocument/2006/relationships/hyperlink" Target="http://www.nevo.co.il/case/17932979" TargetMode="External"/><Relationship Id="rId36" Type="http://schemas.openxmlformats.org/officeDocument/2006/relationships/hyperlink" Target="http://www.nevo.co.il/case/20061696" TargetMode="External"/><Relationship Id="rId49" Type="http://schemas.openxmlformats.org/officeDocument/2006/relationships/hyperlink" Target="http://www.nevo.co.il/case/25156420" TargetMode="External"/><Relationship Id="rId57" Type="http://schemas.openxmlformats.org/officeDocument/2006/relationships/header" Target="header1.xml"/><Relationship Id="rId10" Type="http://schemas.openxmlformats.org/officeDocument/2006/relationships/hyperlink" Target="http://www.nevo.co.il/law/70301" TargetMode="External"/><Relationship Id="rId31" Type="http://schemas.openxmlformats.org/officeDocument/2006/relationships/hyperlink" Target="http://www.nevo.co.il/case/20412551" TargetMode="External"/><Relationship Id="rId44" Type="http://schemas.openxmlformats.org/officeDocument/2006/relationships/hyperlink" Target="http://www.nevo.co.il/case/23751286" TargetMode="External"/><Relationship Id="rId52" Type="http://schemas.openxmlformats.org/officeDocument/2006/relationships/hyperlink" Target="http://www.nevo.co.il/case/29178621"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nevo.co.il/case/18791199"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3968</Words>
  <Characters>19845</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23766</CharactersWithSpaces>
  <SharedDoc>false</SharedDoc>
  <HLinks>
    <vt:vector size="306" baseType="variant">
      <vt:variant>
        <vt:i4>393283</vt:i4>
      </vt:variant>
      <vt:variant>
        <vt:i4>147</vt:i4>
      </vt:variant>
      <vt:variant>
        <vt:i4>0</vt:i4>
      </vt:variant>
      <vt:variant>
        <vt:i4>5</vt:i4>
      </vt:variant>
      <vt:variant>
        <vt:lpwstr>http://www.nevo.co.il/advertisements/nevo-100.doc</vt:lpwstr>
      </vt:variant>
      <vt:variant>
        <vt:lpwstr/>
      </vt:variant>
      <vt:variant>
        <vt:i4>4063352</vt:i4>
      </vt:variant>
      <vt:variant>
        <vt:i4>144</vt:i4>
      </vt:variant>
      <vt:variant>
        <vt:i4>0</vt:i4>
      </vt:variant>
      <vt:variant>
        <vt:i4>5</vt:i4>
      </vt:variant>
      <vt:variant>
        <vt:lpwstr>http://www.nevo.co.il/case/25812869</vt:lpwstr>
      </vt:variant>
      <vt:variant>
        <vt:lpwstr/>
      </vt:variant>
      <vt:variant>
        <vt:i4>3145843</vt:i4>
      </vt:variant>
      <vt:variant>
        <vt:i4>141</vt:i4>
      </vt:variant>
      <vt:variant>
        <vt:i4>0</vt:i4>
      </vt:variant>
      <vt:variant>
        <vt:i4>5</vt:i4>
      </vt:variant>
      <vt:variant>
        <vt:lpwstr>http://www.nevo.co.il/case/28297670</vt:lpwstr>
      </vt:variant>
      <vt:variant>
        <vt:lpwstr/>
      </vt:variant>
      <vt:variant>
        <vt:i4>3539064</vt:i4>
      </vt:variant>
      <vt:variant>
        <vt:i4>138</vt:i4>
      </vt:variant>
      <vt:variant>
        <vt:i4>0</vt:i4>
      </vt:variant>
      <vt:variant>
        <vt:i4>5</vt:i4>
      </vt:variant>
      <vt:variant>
        <vt:lpwstr>http://www.nevo.co.il/case/29125707</vt:lpwstr>
      </vt:variant>
      <vt:variant>
        <vt:lpwstr/>
      </vt:variant>
      <vt:variant>
        <vt:i4>3735676</vt:i4>
      </vt:variant>
      <vt:variant>
        <vt:i4>135</vt:i4>
      </vt:variant>
      <vt:variant>
        <vt:i4>0</vt:i4>
      </vt:variant>
      <vt:variant>
        <vt:i4>5</vt:i4>
      </vt:variant>
      <vt:variant>
        <vt:lpwstr>http://www.nevo.co.il/case/29178621</vt:lpwstr>
      </vt:variant>
      <vt:variant>
        <vt:lpwstr/>
      </vt:variant>
      <vt:variant>
        <vt:i4>3407991</vt:i4>
      </vt:variant>
      <vt:variant>
        <vt:i4>132</vt:i4>
      </vt:variant>
      <vt:variant>
        <vt:i4>0</vt:i4>
      </vt:variant>
      <vt:variant>
        <vt:i4>5</vt:i4>
      </vt:variant>
      <vt:variant>
        <vt:lpwstr>http://www.nevo.co.il/case/22032249</vt:lpwstr>
      </vt:variant>
      <vt:variant>
        <vt:lpwstr/>
      </vt:variant>
      <vt:variant>
        <vt:i4>3604595</vt:i4>
      </vt:variant>
      <vt:variant>
        <vt:i4>129</vt:i4>
      </vt:variant>
      <vt:variant>
        <vt:i4>0</vt:i4>
      </vt:variant>
      <vt:variant>
        <vt:i4>5</vt:i4>
      </vt:variant>
      <vt:variant>
        <vt:lpwstr>http://www.nevo.co.il/case/27420212</vt:lpwstr>
      </vt:variant>
      <vt:variant>
        <vt:lpwstr/>
      </vt:variant>
      <vt:variant>
        <vt:i4>3604592</vt:i4>
      </vt:variant>
      <vt:variant>
        <vt:i4>126</vt:i4>
      </vt:variant>
      <vt:variant>
        <vt:i4>0</vt:i4>
      </vt:variant>
      <vt:variant>
        <vt:i4>5</vt:i4>
      </vt:variant>
      <vt:variant>
        <vt:lpwstr>http://www.nevo.co.il/case/25156420</vt:lpwstr>
      </vt:variant>
      <vt:variant>
        <vt:lpwstr/>
      </vt:variant>
      <vt:variant>
        <vt:i4>3473524</vt:i4>
      </vt:variant>
      <vt:variant>
        <vt:i4>123</vt:i4>
      </vt:variant>
      <vt:variant>
        <vt:i4>0</vt:i4>
      </vt:variant>
      <vt:variant>
        <vt:i4>5</vt:i4>
      </vt:variant>
      <vt:variant>
        <vt:lpwstr>http://www.nevo.co.il/case/26220458</vt:lpwstr>
      </vt:variant>
      <vt:variant>
        <vt:lpwstr/>
      </vt:variant>
      <vt:variant>
        <vt:i4>3407991</vt:i4>
      </vt:variant>
      <vt:variant>
        <vt:i4>120</vt:i4>
      </vt:variant>
      <vt:variant>
        <vt:i4>0</vt:i4>
      </vt:variant>
      <vt:variant>
        <vt:i4>5</vt:i4>
      </vt:variant>
      <vt:variant>
        <vt:lpwstr>http://www.nevo.co.il/case/5590169</vt:lpwstr>
      </vt:variant>
      <vt:variant>
        <vt:lpwstr/>
      </vt:variant>
      <vt:variant>
        <vt:i4>3539060</vt:i4>
      </vt:variant>
      <vt:variant>
        <vt:i4>117</vt:i4>
      </vt:variant>
      <vt:variant>
        <vt:i4>0</vt:i4>
      </vt:variant>
      <vt:variant>
        <vt:i4>5</vt:i4>
      </vt:variant>
      <vt:variant>
        <vt:lpwstr>http://www.nevo.co.il/case/20052568</vt:lpwstr>
      </vt:variant>
      <vt:variant>
        <vt:lpwstr/>
      </vt:variant>
      <vt:variant>
        <vt:i4>3407987</vt:i4>
      </vt:variant>
      <vt:variant>
        <vt:i4>114</vt:i4>
      </vt:variant>
      <vt:variant>
        <vt:i4>0</vt:i4>
      </vt:variant>
      <vt:variant>
        <vt:i4>5</vt:i4>
      </vt:variant>
      <vt:variant>
        <vt:lpwstr>http://www.nevo.co.il/case/20956295</vt:lpwstr>
      </vt:variant>
      <vt:variant>
        <vt:lpwstr/>
      </vt:variant>
      <vt:variant>
        <vt:i4>3932272</vt:i4>
      </vt:variant>
      <vt:variant>
        <vt:i4>111</vt:i4>
      </vt:variant>
      <vt:variant>
        <vt:i4>0</vt:i4>
      </vt:variant>
      <vt:variant>
        <vt:i4>5</vt:i4>
      </vt:variant>
      <vt:variant>
        <vt:lpwstr>http://www.nevo.co.il/case/23751286</vt:lpwstr>
      </vt:variant>
      <vt:variant>
        <vt:lpwstr/>
      </vt:variant>
      <vt:variant>
        <vt:i4>4063346</vt:i4>
      </vt:variant>
      <vt:variant>
        <vt:i4>108</vt:i4>
      </vt:variant>
      <vt:variant>
        <vt:i4>0</vt:i4>
      </vt:variant>
      <vt:variant>
        <vt:i4>5</vt:i4>
      </vt:variant>
      <vt:variant>
        <vt:lpwstr>http://www.nevo.co.il/case/26246488</vt:lpwstr>
      </vt:variant>
      <vt:variant>
        <vt:lpwstr/>
      </vt:variant>
      <vt:variant>
        <vt:i4>3735670</vt:i4>
      </vt:variant>
      <vt:variant>
        <vt:i4>105</vt:i4>
      </vt:variant>
      <vt:variant>
        <vt:i4>0</vt:i4>
      </vt:variant>
      <vt:variant>
        <vt:i4>5</vt:i4>
      </vt:variant>
      <vt:variant>
        <vt:lpwstr>http://www.nevo.co.il/case/22182887</vt:lpwstr>
      </vt:variant>
      <vt:variant>
        <vt:lpwstr/>
      </vt:variant>
      <vt:variant>
        <vt:i4>3211390</vt:i4>
      </vt:variant>
      <vt:variant>
        <vt:i4>102</vt:i4>
      </vt:variant>
      <vt:variant>
        <vt:i4>0</vt:i4>
      </vt:variant>
      <vt:variant>
        <vt:i4>5</vt:i4>
      </vt:variant>
      <vt:variant>
        <vt:lpwstr>http://www.nevo.co.il/case/26191532</vt:lpwstr>
      </vt:variant>
      <vt:variant>
        <vt:lpwstr/>
      </vt:variant>
      <vt:variant>
        <vt:i4>3735672</vt:i4>
      </vt:variant>
      <vt:variant>
        <vt:i4>99</vt:i4>
      </vt:variant>
      <vt:variant>
        <vt:i4>0</vt:i4>
      </vt:variant>
      <vt:variant>
        <vt:i4>5</vt:i4>
      </vt:variant>
      <vt:variant>
        <vt:lpwstr>http://www.nevo.co.il/case/29973219</vt:lpwstr>
      </vt:variant>
      <vt:variant>
        <vt:lpwstr/>
      </vt:variant>
      <vt:variant>
        <vt:i4>4063351</vt:i4>
      </vt:variant>
      <vt:variant>
        <vt:i4>96</vt:i4>
      </vt:variant>
      <vt:variant>
        <vt:i4>0</vt:i4>
      </vt:variant>
      <vt:variant>
        <vt:i4>5</vt:i4>
      </vt:variant>
      <vt:variant>
        <vt:lpwstr>http://www.nevo.co.il/case/6085666</vt:lpwstr>
      </vt:variant>
      <vt:variant>
        <vt:lpwstr/>
      </vt:variant>
      <vt:variant>
        <vt:i4>4128881</vt:i4>
      </vt:variant>
      <vt:variant>
        <vt:i4>93</vt:i4>
      </vt:variant>
      <vt:variant>
        <vt:i4>0</vt:i4>
      </vt:variant>
      <vt:variant>
        <vt:i4>5</vt:i4>
      </vt:variant>
      <vt:variant>
        <vt:lpwstr>http://www.nevo.co.il/case/17945621</vt:lpwstr>
      </vt:variant>
      <vt:variant>
        <vt:lpwstr/>
      </vt:variant>
      <vt:variant>
        <vt:i4>4128882</vt:i4>
      </vt:variant>
      <vt:variant>
        <vt:i4>90</vt:i4>
      </vt:variant>
      <vt:variant>
        <vt:i4>0</vt:i4>
      </vt:variant>
      <vt:variant>
        <vt:i4>5</vt:i4>
      </vt:variant>
      <vt:variant>
        <vt:lpwstr>http://www.nevo.co.il/case/17942553</vt:lpwstr>
      </vt:variant>
      <vt:variant>
        <vt:lpwstr/>
      </vt:variant>
      <vt:variant>
        <vt:i4>3801204</vt:i4>
      </vt:variant>
      <vt:variant>
        <vt:i4>87</vt:i4>
      </vt:variant>
      <vt:variant>
        <vt:i4>0</vt:i4>
      </vt:variant>
      <vt:variant>
        <vt:i4>5</vt:i4>
      </vt:variant>
      <vt:variant>
        <vt:lpwstr>http://www.nevo.co.il/case/20061696</vt:lpwstr>
      </vt:variant>
      <vt:variant>
        <vt:lpwstr/>
      </vt:variant>
      <vt:variant>
        <vt:i4>3670136</vt:i4>
      </vt:variant>
      <vt:variant>
        <vt:i4>84</vt:i4>
      </vt:variant>
      <vt:variant>
        <vt:i4>0</vt:i4>
      </vt:variant>
      <vt:variant>
        <vt:i4>5</vt:i4>
      </vt:variant>
      <vt:variant>
        <vt:lpwstr>http://www.nevo.co.il/case/7980156</vt:lpwstr>
      </vt:variant>
      <vt:variant>
        <vt:lpwstr/>
      </vt:variant>
      <vt:variant>
        <vt:i4>3473526</vt:i4>
      </vt:variant>
      <vt:variant>
        <vt:i4>81</vt:i4>
      </vt:variant>
      <vt:variant>
        <vt:i4>0</vt:i4>
      </vt:variant>
      <vt:variant>
        <vt:i4>5</vt:i4>
      </vt:variant>
      <vt:variant>
        <vt:lpwstr>http://www.nevo.co.il/case/6180833</vt:lpwstr>
      </vt:variant>
      <vt:variant>
        <vt:lpwstr/>
      </vt:variant>
      <vt:variant>
        <vt:i4>3473523</vt:i4>
      </vt:variant>
      <vt:variant>
        <vt:i4>78</vt:i4>
      </vt:variant>
      <vt:variant>
        <vt:i4>0</vt:i4>
      </vt:variant>
      <vt:variant>
        <vt:i4>5</vt:i4>
      </vt:variant>
      <vt:variant>
        <vt:lpwstr>http://www.nevo.co.il/case/5590128</vt:lpwstr>
      </vt:variant>
      <vt:variant>
        <vt:lpwstr/>
      </vt:variant>
      <vt:variant>
        <vt:i4>3407995</vt:i4>
      </vt:variant>
      <vt:variant>
        <vt:i4>75</vt:i4>
      </vt:variant>
      <vt:variant>
        <vt:i4>0</vt:i4>
      </vt:variant>
      <vt:variant>
        <vt:i4>5</vt:i4>
      </vt:variant>
      <vt:variant>
        <vt:lpwstr>http://www.nevo.co.il/case/18753213</vt:lpwstr>
      </vt:variant>
      <vt:variant>
        <vt:lpwstr/>
      </vt:variant>
      <vt:variant>
        <vt:i4>3211376</vt:i4>
      </vt:variant>
      <vt:variant>
        <vt:i4>72</vt:i4>
      </vt:variant>
      <vt:variant>
        <vt:i4>0</vt:i4>
      </vt:variant>
      <vt:variant>
        <vt:i4>5</vt:i4>
      </vt:variant>
      <vt:variant>
        <vt:lpwstr>http://www.nevo.co.il/case/20412551</vt:lpwstr>
      </vt:variant>
      <vt:variant>
        <vt:lpwstr/>
      </vt:variant>
      <vt:variant>
        <vt:i4>3932283</vt:i4>
      </vt:variant>
      <vt:variant>
        <vt:i4>69</vt:i4>
      </vt:variant>
      <vt:variant>
        <vt:i4>0</vt:i4>
      </vt:variant>
      <vt:variant>
        <vt:i4>5</vt:i4>
      </vt:variant>
      <vt:variant>
        <vt:lpwstr>http://www.nevo.co.il/case/5698919</vt:lpwstr>
      </vt:variant>
      <vt:variant>
        <vt:lpwstr/>
      </vt:variant>
      <vt:variant>
        <vt:i4>3670139</vt:i4>
      </vt:variant>
      <vt:variant>
        <vt:i4>66</vt:i4>
      </vt:variant>
      <vt:variant>
        <vt:i4>0</vt:i4>
      </vt:variant>
      <vt:variant>
        <vt:i4>5</vt:i4>
      </vt:variant>
      <vt:variant>
        <vt:lpwstr>http://www.nevo.co.il/case/5738608</vt:lpwstr>
      </vt:variant>
      <vt:variant>
        <vt:lpwstr/>
      </vt:variant>
      <vt:variant>
        <vt:i4>3997817</vt:i4>
      </vt:variant>
      <vt:variant>
        <vt:i4>63</vt:i4>
      </vt:variant>
      <vt:variant>
        <vt:i4>0</vt:i4>
      </vt:variant>
      <vt:variant>
        <vt:i4>5</vt:i4>
      </vt:variant>
      <vt:variant>
        <vt:lpwstr>http://www.nevo.co.il/case/17932979</vt:lpwstr>
      </vt:variant>
      <vt:variant>
        <vt:lpwstr/>
      </vt:variant>
      <vt:variant>
        <vt:i4>3866738</vt:i4>
      </vt:variant>
      <vt:variant>
        <vt:i4>60</vt:i4>
      </vt:variant>
      <vt:variant>
        <vt:i4>0</vt:i4>
      </vt:variant>
      <vt:variant>
        <vt:i4>5</vt:i4>
      </vt:variant>
      <vt:variant>
        <vt:lpwstr>http://www.nevo.co.il/case/5726579</vt:lpwstr>
      </vt:variant>
      <vt:variant>
        <vt:lpwstr/>
      </vt:variant>
      <vt:variant>
        <vt:i4>3276925</vt:i4>
      </vt:variant>
      <vt:variant>
        <vt:i4>57</vt:i4>
      </vt:variant>
      <vt:variant>
        <vt:i4>0</vt:i4>
      </vt:variant>
      <vt:variant>
        <vt:i4>5</vt:i4>
      </vt:variant>
      <vt:variant>
        <vt:lpwstr>http://www.nevo.co.il/case/6119015</vt:lpwstr>
      </vt:variant>
      <vt:variant>
        <vt:lpwstr/>
      </vt:variant>
      <vt:variant>
        <vt:i4>3670139</vt:i4>
      </vt:variant>
      <vt:variant>
        <vt:i4>54</vt:i4>
      </vt:variant>
      <vt:variant>
        <vt:i4>0</vt:i4>
      </vt:variant>
      <vt:variant>
        <vt:i4>5</vt:i4>
      </vt:variant>
      <vt:variant>
        <vt:lpwstr>http://www.nevo.co.il/case/5738608</vt:lpwstr>
      </vt:variant>
      <vt:variant>
        <vt:lpwstr/>
      </vt:variant>
      <vt:variant>
        <vt:i4>6619233</vt:i4>
      </vt:variant>
      <vt:variant>
        <vt:i4>51</vt:i4>
      </vt:variant>
      <vt:variant>
        <vt:i4>0</vt:i4>
      </vt:variant>
      <vt:variant>
        <vt:i4>5</vt:i4>
      </vt:variant>
      <vt:variant>
        <vt:lpwstr>http://www.nevo.co.il/law/70301/409</vt:lpwstr>
      </vt:variant>
      <vt:variant>
        <vt:lpwstr/>
      </vt:variant>
      <vt:variant>
        <vt:i4>6553697</vt:i4>
      </vt:variant>
      <vt:variant>
        <vt:i4>48</vt:i4>
      </vt:variant>
      <vt:variant>
        <vt:i4>0</vt:i4>
      </vt:variant>
      <vt:variant>
        <vt:i4>5</vt:i4>
      </vt:variant>
      <vt:variant>
        <vt:lpwstr>http://www.nevo.co.il/law/70301/413</vt:lpwstr>
      </vt:variant>
      <vt:variant>
        <vt:lpwstr/>
      </vt:variant>
      <vt:variant>
        <vt:i4>4390994</vt:i4>
      </vt:variant>
      <vt:variant>
        <vt:i4>45</vt:i4>
      </vt:variant>
      <vt:variant>
        <vt:i4>0</vt:i4>
      </vt:variant>
      <vt:variant>
        <vt:i4>5</vt:i4>
      </vt:variant>
      <vt:variant>
        <vt:lpwstr>http://www.nevo.co.il/law/70301/186.a</vt:lpwstr>
      </vt:variant>
      <vt:variant>
        <vt:lpwstr/>
      </vt:variant>
      <vt:variant>
        <vt:i4>852041</vt:i4>
      </vt:variant>
      <vt:variant>
        <vt:i4>42</vt:i4>
      </vt:variant>
      <vt:variant>
        <vt:i4>0</vt:i4>
      </vt:variant>
      <vt:variant>
        <vt:i4>5</vt:i4>
      </vt:variant>
      <vt:variant>
        <vt:lpwstr>http://www.nevo.co.il/law/70301/29.a</vt:lpwstr>
      </vt:variant>
      <vt:variant>
        <vt:lpwstr/>
      </vt:variant>
      <vt:variant>
        <vt:i4>7143526</vt:i4>
      </vt:variant>
      <vt:variant>
        <vt:i4>39</vt:i4>
      </vt:variant>
      <vt:variant>
        <vt:i4>0</vt:i4>
      </vt:variant>
      <vt:variant>
        <vt:i4>5</vt:i4>
      </vt:variant>
      <vt:variant>
        <vt:lpwstr>http://www.nevo.co.il/law/70301/384</vt:lpwstr>
      </vt:variant>
      <vt:variant>
        <vt:lpwstr/>
      </vt:variant>
      <vt:variant>
        <vt:i4>7995492</vt:i4>
      </vt:variant>
      <vt:variant>
        <vt:i4>36</vt:i4>
      </vt:variant>
      <vt:variant>
        <vt:i4>0</vt:i4>
      </vt:variant>
      <vt:variant>
        <vt:i4>5</vt:i4>
      </vt:variant>
      <vt:variant>
        <vt:lpwstr>http://www.nevo.co.il/law/70301</vt:lpwstr>
      </vt:variant>
      <vt:variant>
        <vt:lpwstr/>
      </vt:variant>
      <vt:variant>
        <vt:i4>7143526</vt:i4>
      </vt:variant>
      <vt:variant>
        <vt:i4>33</vt:i4>
      </vt:variant>
      <vt:variant>
        <vt:i4>0</vt:i4>
      </vt:variant>
      <vt:variant>
        <vt:i4>5</vt:i4>
      </vt:variant>
      <vt:variant>
        <vt:lpwstr>http://www.nevo.co.il/law/70301/384</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6553697</vt:i4>
      </vt:variant>
      <vt:variant>
        <vt:i4>24</vt:i4>
      </vt:variant>
      <vt:variant>
        <vt:i4>0</vt:i4>
      </vt:variant>
      <vt:variant>
        <vt:i4>5</vt:i4>
      </vt:variant>
      <vt:variant>
        <vt:lpwstr>http://www.nevo.co.il/law/70301/413</vt:lpwstr>
      </vt:variant>
      <vt:variant>
        <vt:lpwstr/>
      </vt:variant>
      <vt:variant>
        <vt:i4>6619233</vt:i4>
      </vt:variant>
      <vt:variant>
        <vt:i4>21</vt:i4>
      </vt:variant>
      <vt:variant>
        <vt:i4>0</vt:i4>
      </vt:variant>
      <vt:variant>
        <vt:i4>5</vt:i4>
      </vt:variant>
      <vt:variant>
        <vt:lpwstr>http://www.nevo.co.il/law/70301/409</vt:lpwstr>
      </vt:variant>
      <vt:variant>
        <vt:lpwstr/>
      </vt:variant>
      <vt:variant>
        <vt:i4>7143526</vt:i4>
      </vt:variant>
      <vt:variant>
        <vt:i4>18</vt:i4>
      </vt:variant>
      <vt:variant>
        <vt:i4>0</vt:i4>
      </vt:variant>
      <vt:variant>
        <vt:i4>5</vt:i4>
      </vt:variant>
      <vt:variant>
        <vt:lpwstr>http://www.nevo.co.il/law/70301/384</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ariant>
        <vt:i4>4063348</vt:i4>
      </vt:variant>
      <vt:variant>
        <vt:i4>0</vt:i4>
      </vt:variant>
      <vt:variant>
        <vt:i4>0</vt:i4>
      </vt:variant>
      <vt:variant>
        <vt:i4>5</vt:i4>
      </vt:variant>
      <vt:variant>
        <vt:lpwstr>http://www.nevo.co.il/case/18791199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2025-04-23T01:34:00Z</dcterms:created>
  <dcterms:modified xsi:type="dcterms:W3CDTF">2025-04-23T01:34:00Z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59888</vt:lpwstr>
  </property>
  <property fmtid="{D5CDD505-2E9C-101B-9397-08002B2CF9AE}" pid="6" name="NEWPARTB">
    <vt:lpwstr>08</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ולדימיר פודובדוב</vt:lpwstr>
  </property>
  <property fmtid="{D5CDD505-2E9C-101B-9397-08002B2CF9AE}" pid="10" name="LAWYER">
    <vt:lpwstr>שרונה שטראובר;אמין טרבייה;עדן פוליטקין</vt:lpwstr>
  </property>
  <property fmtid="{D5CDD505-2E9C-101B-9397-08002B2CF9AE}" pid="11" name="JUDGE">
    <vt:lpwstr>שמאי בקר</vt:lpwstr>
  </property>
  <property fmtid="{D5CDD505-2E9C-101B-9397-08002B2CF9AE}" pid="12" name="CITY">
    <vt:lpwstr>ת"א</vt:lpwstr>
  </property>
  <property fmtid="{D5CDD505-2E9C-101B-9397-08002B2CF9AE}" pid="13" name="DATE">
    <vt:lpwstr>20230918</vt:lpwstr>
  </property>
  <property fmtid="{D5CDD505-2E9C-101B-9397-08002B2CF9AE}" pid="14" name="TYPE_N_DATE">
    <vt:lpwstr>38020230918</vt:lpwstr>
  </property>
  <property fmtid="{D5CDD505-2E9C-101B-9397-08002B2CF9AE}" pid="15" name="WORDNUMPAGES">
    <vt:lpwstr>13</vt:lpwstr>
  </property>
  <property fmtid="{D5CDD505-2E9C-101B-9397-08002B2CF9AE}" pid="16" name="TYPE_ABS_DATE">
    <vt:lpwstr>380020230918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5738608:2;6119015;5726579;17932979;5698919;20412551;18753213;5590128;6180833;7980156;20061696;17942553;17945621;6085666;29973219;26191532;22182887;26246488;23751286;20956295;20052568;5590169;26220458;25156420;27420212;22032249;29178621;29125707;28297670</vt:lpwstr>
  </property>
  <property fmtid="{D5CDD505-2E9C-101B-9397-08002B2CF9AE}" pid="36" name="CASESLISTTMP2">
    <vt:lpwstr>25812869;18791199</vt:lpwstr>
  </property>
  <property fmtid="{D5CDD505-2E9C-101B-9397-08002B2CF9AE}" pid="37" name="LAWLISTTMP1">
    <vt:lpwstr>4216/007.a:2;007.c:2</vt:lpwstr>
  </property>
  <property fmtid="{D5CDD505-2E9C-101B-9397-08002B2CF9AE}" pid="38" name="LAWLISTTMP2">
    <vt:lpwstr>70301/384:4;029.a:2;186.a:2;413:2;409:2</vt:lpwstr>
  </property>
</Properties>
</file>