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2"/>
        <w:gridCol w:w="1479"/>
        <w:gridCol w:w="3667"/>
        <w:gridCol w:w="99"/>
      </w:tblGrid>
      <w:tr w:rsidR="0082475F" w:rsidRPr="00E832AD" w14:paraId="2A29B4AC" w14:textId="77777777" w:rsidTr="001463DD">
        <w:trPr>
          <w:gridAfter w:val="1"/>
          <w:wAfter w:w="99" w:type="dxa"/>
          <w:trHeight w:hRule="exact" w:val="418"/>
          <w:jc w:val="center"/>
        </w:trPr>
        <w:tc>
          <w:tcPr>
            <w:tcW w:w="8721" w:type="dxa"/>
            <w:gridSpan w:val="4"/>
          </w:tcPr>
          <w:p w14:paraId="6F7D04B0" w14:textId="77777777" w:rsidR="0082475F" w:rsidRPr="00E832AD" w:rsidRDefault="0082475F" w:rsidP="001637B3">
            <w:pPr>
              <w:pStyle w:val="a3"/>
              <w:jc w:val="center"/>
              <w:rPr>
                <w:rFonts w:ascii="Tahoma" w:hAnsi="Tahoma" w:cs="Tahoma"/>
                <w:color w:val="000080"/>
                <w:rtl/>
              </w:rPr>
            </w:pPr>
            <w:bookmarkStart w:id="0" w:name="LastJudge"/>
            <w:r w:rsidRPr="00E832AD">
              <w:rPr>
                <w:rFonts w:ascii="Tahoma" w:hAnsi="Tahoma" w:cs="Tahoma"/>
                <w:b/>
                <w:bCs/>
                <w:color w:val="000080"/>
                <w:rtl/>
              </w:rPr>
              <w:t>בית משפט השלום בחדרה</w:t>
            </w:r>
          </w:p>
        </w:tc>
      </w:tr>
      <w:tr w:rsidR="0082475F" w:rsidRPr="00E832AD" w14:paraId="7ABFF54F" w14:textId="77777777" w:rsidTr="001463DD">
        <w:trPr>
          <w:gridAfter w:val="1"/>
          <w:wAfter w:w="99" w:type="dxa"/>
          <w:trHeight w:val="337"/>
          <w:jc w:val="center"/>
        </w:trPr>
        <w:tc>
          <w:tcPr>
            <w:tcW w:w="5054" w:type="dxa"/>
            <w:gridSpan w:val="3"/>
          </w:tcPr>
          <w:p w14:paraId="1D04F125" w14:textId="77777777" w:rsidR="0082475F" w:rsidRPr="00E832AD" w:rsidRDefault="0082475F" w:rsidP="001637B3">
            <w:pPr>
              <w:rPr>
                <w:rFonts w:cs="FrankRuehl"/>
                <w:sz w:val="28"/>
                <w:szCs w:val="28"/>
                <w:rtl/>
              </w:rPr>
            </w:pPr>
            <w:r w:rsidRPr="00E832AD">
              <w:rPr>
                <w:rFonts w:cs="FrankRuehl"/>
                <w:sz w:val="28"/>
                <w:szCs w:val="28"/>
                <w:rtl/>
              </w:rPr>
              <w:t>ת"פ</w:t>
            </w:r>
            <w:r w:rsidRPr="00E832AD">
              <w:rPr>
                <w:rFonts w:cs="FrankRuehl" w:hint="cs"/>
                <w:sz w:val="28"/>
                <w:szCs w:val="28"/>
                <w:rtl/>
              </w:rPr>
              <w:t xml:space="preserve"> </w:t>
            </w:r>
            <w:r w:rsidRPr="00E832AD">
              <w:rPr>
                <w:rFonts w:cs="FrankRuehl"/>
                <w:sz w:val="28"/>
                <w:szCs w:val="28"/>
                <w:rtl/>
              </w:rPr>
              <w:t>9850-08-22</w:t>
            </w:r>
            <w:r w:rsidRPr="00E832AD">
              <w:rPr>
                <w:rFonts w:cs="FrankRuehl" w:hint="cs"/>
                <w:sz w:val="28"/>
                <w:szCs w:val="28"/>
                <w:rtl/>
              </w:rPr>
              <w:t xml:space="preserve"> </w:t>
            </w:r>
            <w:r w:rsidRPr="00E832AD">
              <w:rPr>
                <w:rFonts w:cs="FrankRuehl"/>
                <w:sz w:val="28"/>
                <w:szCs w:val="28"/>
                <w:rtl/>
              </w:rPr>
              <w:t>מדינת ישראל נ' עמאש</w:t>
            </w:r>
          </w:p>
          <w:p w14:paraId="61A3D6EE" w14:textId="77777777" w:rsidR="0082475F" w:rsidRPr="00E832AD" w:rsidRDefault="0082475F" w:rsidP="001637B3">
            <w:pPr>
              <w:pStyle w:val="a3"/>
              <w:rPr>
                <w:rFonts w:cs="FrankRuehl"/>
                <w:sz w:val="28"/>
                <w:szCs w:val="28"/>
                <w:rtl/>
              </w:rPr>
            </w:pPr>
          </w:p>
        </w:tc>
        <w:tc>
          <w:tcPr>
            <w:tcW w:w="3667" w:type="dxa"/>
          </w:tcPr>
          <w:p w14:paraId="65795508" w14:textId="77777777" w:rsidR="0082475F" w:rsidRPr="00E832AD" w:rsidRDefault="0082475F" w:rsidP="001637B3">
            <w:pPr>
              <w:pStyle w:val="a3"/>
              <w:jc w:val="right"/>
              <w:rPr>
                <w:rFonts w:cs="FrankRuehl"/>
                <w:sz w:val="28"/>
                <w:szCs w:val="28"/>
                <w:rtl/>
              </w:rPr>
            </w:pPr>
          </w:p>
        </w:tc>
      </w:tr>
      <w:tr w:rsidR="0082475F" w:rsidRPr="00E832AD" w14:paraId="1E1A0896" w14:textId="77777777" w:rsidTr="00146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132DCFF" w14:textId="77777777" w:rsidR="0082475F" w:rsidRPr="00E832AD" w:rsidRDefault="0082475F" w:rsidP="0082475F">
            <w:pPr>
              <w:jc w:val="both"/>
              <w:rPr>
                <w:rFonts w:ascii="David" w:hAnsi="David"/>
                <w:sz w:val="26"/>
                <w:szCs w:val="26"/>
              </w:rPr>
            </w:pPr>
            <w:r w:rsidRPr="00E832AD">
              <w:rPr>
                <w:rFonts w:hint="cs"/>
                <w:rtl/>
              </w:rPr>
              <w:t xml:space="preserve"> </w:t>
            </w:r>
            <w:r w:rsidRPr="00E832A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75501E0" w14:textId="77777777" w:rsidR="0082475F" w:rsidRPr="00E832AD" w:rsidRDefault="0082475F" w:rsidP="001637B3">
            <w:pPr>
              <w:rPr>
                <w:rFonts w:ascii="David" w:hAnsi="David"/>
                <w:b/>
                <w:bCs/>
                <w:sz w:val="26"/>
                <w:szCs w:val="26"/>
                <w:rtl/>
              </w:rPr>
            </w:pPr>
            <w:r w:rsidRPr="00E832AD">
              <w:rPr>
                <w:rFonts w:ascii="David" w:hAnsi="David"/>
                <w:b/>
                <w:bCs/>
                <w:sz w:val="26"/>
                <w:szCs w:val="26"/>
                <w:rtl/>
              </w:rPr>
              <w:t>כבוד השופט  אלכס אחטר</w:t>
            </w:r>
          </w:p>
          <w:p w14:paraId="63359CAE" w14:textId="77777777" w:rsidR="0082475F" w:rsidRPr="00E832AD" w:rsidRDefault="0082475F" w:rsidP="001637B3">
            <w:pPr>
              <w:rPr>
                <w:rFonts w:ascii="David" w:hAnsi="David"/>
                <w:sz w:val="26"/>
                <w:szCs w:val="26"/>
                <w:rtl/>
              </w:rPr>
            </w:pPr>
          </w:p>
          <w:p w14:paraId="1AC8A2CB" w14:textId="77777777" w:rsidR="0082475F" w:rsidRPr="00E832AD" w:rsidRDefault="0082475F" w:rsidP="0082475F">
            <w:pPr>
              <w:jc w:val="both"/>
              <w:rPr>
                <w:rFonts w:ascii="David" w:hAnsi="David"/>
                <w:sz w:val="26"/>
                <w:szCs w:val="26"/>
              </w:rPr>
            </w:pPr>
          </w:p>
        </w:tc>
      </w:tr>
      <w:tr w:rsidR="0082475F" w:rsidRPr="00E832AD" w14:paraId="5BBF15A4" w14:textId="77777777" w:rsidTr="00146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C816DD" w14:textId="77777777" w:rsidR="0082475F" w:rsidRPr="00E832AD" w:rsidRDefault="0082475F" w:rsidP="0082475F">
            <w:pPr>
              <w:jc w:val="both"/>
              <w:rPr>
                <w:rFonts w:ascii="David" w:hAnsi="David"/>
                <w:sz w:val="26"/>
                <w:szCs w:val="26"/>
              </w:rPr>
            </w:pPr>
            <w:bookmarkStart w:id="1" w:name="FirstAppellant"/>
            <w:bookmarkStart w:id="2" w:name="FirstLawyer"/>
            <w:r w:rsidRPr="00E832AD">
              <w:rPr>
                <w:rFonts w:ascii="David" w:hAnsi="David"/>
                <w:sz w:val="26"/>
                <w:szCs w:val="26"/>
                <w:rtl/>
              </w:rPr>
              <w:t>בעניין:</w:t>
            </w:r>
          </w:p>
        </w:tc>
        <w:tc>
          <w:tcPr>
            <w:tcW w:w="2652" w:type="dxa"/>
            <w:tcBorders>
              <w:top w:val="nil"/>
              <w:left w:val="nil"/>
              <w:bottom w:val="nil"/>
              <w:right w:val="nil"/>
            </w:tcBorders>
            <w:shd w:val="clear" w:color="auto" w:fill="auto"/>
          </w:tcPr>
          <w:p w14:paraId="02221B38" w14:textId="77777777" w:rsidR="0082475F" w:rsidRPr="00E832AD" w:rsidRDefault="0082475F" w:rsidP="0082475F">
            <w:pPr>
              <w:suppressLineNumbers/>
            </w:pPr>
            <w:r w:rsidRPr="00E832AD">
              <w:rPr>
                <w:rFonts w:ascii="Arial" w:hAnsi="Arial" w:hint="cs"/>
                <w:b/>
                <w:bCs/>
                <w:sz w:val="26"/>
                <w:szCs w:val="26"/>
                <w:rtl/>
              </w:rPr>
              <w:t>ה</w:t>
            </w:r>
            <w:r w:rsidRPr="00E832AD">
              <w:rPr>
                <w:rFonts w:ascii="Arial" w:hAnsi="Arial"/>
                <w:b/>
                <w:bCs/>
                <w:sz w:val="26"/>
                <w:szCs w:val="26"/>
                <w:rtl/>
              </w:rPr>
              <w:t>מאשימה</w:t>
            </w:r>
          </w:p>
          <w:p w14:paraId="717ADB47" w14:textId="77777777" w:rsidR="0082475F" w:rsidRPr="00E832AD" w:rsidRDefault="0082475F" w:rsidP="001637B3">
            <w:pPr>
              <w:rPr>
                <w:rFonts w:ascii="David" w:hAnsi="David"/>
                <w:sz w:val="26"/>
                <w:szCs w:val="26"/>
              </w:rPr>
            </w:pPr>
          </w:p>
        </w:tc>
        <w:tc>
          <w:tcPr>
            <w:tcW w:w="5245" w:type="dxa"/>
            <w:gridSpan w:val="3"/>
            <w:tcBorders>
              <w:top w:val="nil"/>
              <w:left w:val="nil"/>
              <w:bottom w:val="nil"/>
              <w:right w:val="nil"/>
            </w:tcBorders>
            <w:shd w:val="clear" w:color="auto" w:fill="auto"/>
            <w:vAlign w:val="center"/>
          </w:tcPr>
          <w:p w14:paraId="113B2BE2" w14:textId="77777777" w:rsidR="0082475F" w:rsidRPr="00E832AD" w:rsidRDefault="0082475F" w:rsidP="0082475F">
            <w:pPr>
              <w:suppressLineNumbers/>
              <w:rPr>
                <w:rFonts w:ascii="Arial" w:hAnsi="Arial"/>
                <w:b/>
                <w:bCs/>
                <w:sz w:val="26"/>
                <w:szCs w:val="26"/>
                <w:rtl/>
              </w:rPr>
            </w:pPr>
            <w:r w:rsidRPr="00E832AD">
              <w:rPr>
                <w:rFonts w:ascii="Arial" w:hAnsi="Arial"/>
                <w:b/>
                <w:bCs/>
                <w:sz w:val="26"/>
                <w:szCs w:val="26"/>
                <w:rtl/>
              </w:rPr>
              <w:t>מדינת ישראל</w:t>
            </w:r>
            <w:r w:rsidRPr="00E832AD">
              <w:rPr>
                <w:rFonts w:ascii="Arial" w:hAnsi="Arial" w:hint="cs"/>
                <w:b/>
                <w:bCs/>
                <w:sz w:val="26"/>
                <w:szCs w:val="26"/>
                <w:rtl/>
              </w:rPr>
              <w:t xml:space="preserve"> </w:t>
            </w:r>
          </w:p>
          <w:p w14:paraId="260F35AD" w14:textId="77777777" w:rsidR="0082475F" w:rsidRPr="00E832AD" w:rsidRDefault="0082475F" w:rsidP="0082475F">
            <w:pPr>
              <w:suppressLineNumbers/>
              <w:rPr>
                <w:b/>
                <w:bCs/>
              </w:rPr>
            </w:pPr>
            <w:r w:rsidRPr="00E832AD">
              <w:rPr>
                <w:rFonts w:ascii="Arial" w:hAnsi="Arial"/>
                <w:b/>
                <w:bCs/>
                <w:rtl/>
              </w:rPr>
              <w:t>ע"י ב"כ עוה"ד</w:t>
            </w:r>
            <w:r w:rsidRPr="00E832AD">
              <w:rPr>
                <w:rFonts w:hint="cs"/>
                <w:b/>
                <w:bCs/>
                <w:rtl/>
              </w:rPr>
              <w:t xml:space="preserve"> יעל פנחסי</w:t>
            </w:r>
          </w:p>
          <w:p w14:paraId="308AE6A5" w14:textId="77777777" w:rsidR="0082475F" w:rsidRPr="00E832AD" w:rsidRDefault="0082475F" w:rsidP="001637B3">
            <w:pPr>
              <w:rPr>
                <w:rFonts w:ascii="David" w:hAnsi="David"/>
                <w:sz w:val="26"/>
                <w:szCs w:val="26"/>
              </w:rPr>
            </w:pPr>
          </w:p>
        </w:tc>
      </w:tr>
      <w:bookmarkEnd w:id="1"/>
      <w:bookmarkEnd w:id="2"/>
      <w:tr w:rsidR="0082475F" w:rsidRPr="00E832AD" w14:paraId="192E1134" w14:textId="77777777" w:rsidTr="00146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4CAE1C47" w14:textId="77777777" w:rsidR="0082475F" w:rsidRPr="00E832AD" w:rsidRDefault="0082475F" w:rsidP="0082475F">
            <w:pPr>
              <w:jc w:val="center"/>
              <w:rPr>
                <w:rFonts w:ascii="David" w:hAnsi="David"/>
                <w:b/>
                <w:bCs/>
                <w:sz w:val="26"/>
                <w:szCs w:val="26"/>
                <w:rtl/>
              </w:rPr>
            </w:pPr>
          </w:p>
          <w:p w14:paraId="4E7FB89E" w14:textId="77777777" w:rsidR="0082475F" w:rsidRPr="00E832AD" w:rsidRDefault="0082475F" w:rsidP="0082475F">
            <w:pPr>
              <w:jc w:val="center"/>
              <w:rPr>
                <w:rFonts w:ascii="David" w:hAnsi="David"/>
                <w:b/>
                <w:bCs/>
                <w:sz w:val="26"/>
                <w:szCs w:val="26"/>
                <w:rtl/>
              </w:rPr>
            </w:pPr>
            <w:r w:rsidRPr="00E832AD">
              <w:rPr>
                <w:rFonts w:ascii="David" w:hAnsi="David"/>
                <w:b/>
                <w:bCs/>
                <w:sz w:val="26"/>
                <w:szCs w:val="26"/>
                <w:rtl/>
              </w:rPr>
              <w:t>נגד</w:t>
            </w:r>
          </w:p>
          <w:p w14:paraId="14DA63A9" w14:textId="77777777" w:rsidR="0082475F" w:rsidRPr="00E832AD" w:rsidRDefault="0082475F" w:rsidP="0082475F">
            <w:pPr>
              <w:jc w:val="both"/>
              <w:rPr>
                <w:rFonts w:ascii="David" w:hAnsi="David"/>
                <w:sz w:val="26"/>
                <w:szCs w:val="26"/>
              </w:rPr>
            </w:pPr>
          </w:p>
        </w:tc>
      </w:tr>
      <w:tr w:rsidR="0082475F" w:rsidRPr="00E832AD" w14:paraId="7FE77ECD" w14:textId="77777777" w:rsidTr="00146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56C452" w14:textId="77777777" w:rsidR="0082475F" w:rsidRPr="00E832AD" w:rsidRDefault="0082475F" w:rsidP="001637B3">
            <w:pPr>
              <w:rPr>
                <w:rFonts w:ascii="David" w:hAnsi="David"/>
                <w:sz w:val="26"/>
                <w:szCs w:val="26"/>
                <w:rtl/>
              </w:rPr>
            </w:pPr>
          </w:p>
        </w:tc>
        <w:tc>
          <w:tcPr>
            <w:tcW w:w="2652" w:type="dxa"/>
            <w:tcBorders>
              <w:top w:val="nil"/>
              <w:left w:val="nil"/>
              <w:bottom w:val="nil"/>
              <w:right w:val="nil"/>
            </w:tcBorders>
            <w:shd w:val="clear" w:color="auto" w:fill="auto"/>
          </w:tcPr>
          <w:p w14:paraId="76B63BC0" w14:textId="77777777" w:rsidR="0082475F" w:rsidRPr="00E832AD" w:rsidRDefault="0082475F" w:rsidP="001637B3">
            <w:pPr>
              <w:rPr>
                <w:rFonts w:ascii="Arial" w:hAnsi="Arial"/>
                <w:b/>
                <w:bCs/>
                <w:sz w:val="26"/>
                <w:szCs w:val="26"/>
                <w:rtl/>
              </w:rPr>
            </w:pPr>
            <w:r w:rsidRPr="00E832AD">
              <w:rPr>
                <w:rFonts w:ascii="Arial" w:hAnsi="Arial"/>
                <w:b/>
                <w:bCs/>
                <w:sz w:val="26"/>
                <w:szCs w:val="26"/>
                <w:rtl/>
              </w:rPr>
              <w:t>הנאשם</w:t>
            </w:r>
          </w:p>
        </w:tc>
        <w:tc>
          <w:tcPr>
            <w:tcW w:w="5245" w:type="dxa"/>
            <w:gridSpan w:val="3"/>
            <w:tcBorders>
              <w:top w:val="nil"/>
              <w:left w:val="nil"/>
              <w:bottom w:val="nil"/>
              <w:right w:val="nil"/>
            </w:tcBorders>
            <w:shd w:val="clear" w:color="auto" w:fill="auto"/>
            <w:vAlign w:val="center"/>
          </w:tcPr>
          <w:p w14:paraId="481F3D45" w14:textId="77777777" w:rsidR="0082475F" w:rsidRPr="00E832AD" w:rsidRDefault="0082475F" w:rsidP="0082475F">
            <w:pPr>
              <w:suppressLineNumbers/>
              <w:rPr>
                <w:rFonts w:ascii="Arial" w:hAnsi="Arial"/>
                <w:b/>
                <w:bCs/>
                <w:sz w:val="26"/>
                <w:szCs w:val="26"/>
                <w:rtl/>
              </w:rPr>
            </w:pPr>
            <w:r w:rsidRPr="00E832AD">
              <w:rPr>
                <w:rFonts w:ascii="Arial" w:hAnsi="Arial"/>
                <w:b/>
                <w:bCs/>
                <w:sz w:val="26"/>
                <w:szCs w:val="26"/>
                <w:rtl/>
              </w:rPr>
              <w:t>עטייה עמאש</w:t>
            </w:r>
            <w:r w:rsidRPr="00E832AD">
              <w:rPr>
                <w:rFonts w:ascii="Arial" w:hAnsi="Arial" w:hint="cs"/>
                <w:b/>
                <w:bCs/>
                <w:sz w:val="26"/>
                <w:szCs w:val="26"/>
                <w:rtl/>
              </w:rPr>
              <w:t xml:space="preserve"> </w:t>
            </w:r>
          </w:p>
          <w:p w14:paraId="717E581B" w14:textId="77777777" w:rsidR="0082475F" w:rsidRPr="00E832AD" w:rsidRDefault="0082475F" w:rsidP="0082475F">
            <w:pPr>
              <w:suppressLineNumbers/>
              <w:rPr>
                <w:b/>
                <w:bCs/>
              </w:rPr>
            </w:pPr>
            <w:r w:rsidRPr="00E832AD">
              <w:rPr>
                <w:rFonts w:ascii="Arial" w:hAnsi="Arial"/>
                <w:b/>
                <w:bCs/>
                <w:rtl/>
              </w:rPr>
              <w:t>ע"י ב"כ עוה"ד</w:t>
            </w:r>
            <w:r w:rsidRPr="00E832AD">
              <w:rPr>
                <w:rFonts w:ascii="Arial" w:hAnsi="Arial" w:hint="cs"/>
                <w:b/>
                <w:bCs/>
                <w:rtl/>
              </w:rPr>
              <w:t xml:space="preserve"> עאדל בויארת</w:t>
            </w:r>
          </w:p>
          <w:p w14:paraId="1706EE0F" w14:textId="77777777" w:rsidR="0082475F" w:rsidRPr="00E832AD" w:rsidRDefault="0082475F" w:rsidP="001637B3">
            <w:pPr>
              <w:rPr>
                <w:rFonts w:ascii="David" w:hAnsi="David"/>
                <w:sz w:val="26"/>
                <w:szCs w:val="26"/>
              </w:rPr>
            </w:pPr>
          </w:p>
        </w:tc>
      </w:tr>
    </w:tbl>
    <w:p w14:paraId="6EF87801" w14:textId="77777777" w:rsidR="001463DD" w:rsidRDefault="001463DD" w:rsidP="00E832AD">
      <w:pPr>
        <w:rPr>
          <w:sz w:val="26"/>
          <w:szCs w:val="26"/>
          <w:rtl/>
        </w:rPr>
      </w:pPr>
    </w:p>
    <w:p w14:paraId="4D20B02E" w14:textId="77777777" w:rsidR="001463DD" w:rsidRPr="001463DD" w:rsidRDefault="001463DD" w:rsidP="001463DD">
      <w:pPr>
        <w:spacing w:after="120" w:line="240" w:lineRule="exact"/>
        <w:ind w:left="283" w:hanging="283"/>
        <w:jc w:val="both"/>
        <w:rPr>
          <w:rFonts w:ascii="FrankRuehl" w:hAnsi="FrankRuehl" w:cs="FrankRuehl"/>
          <w:rtl/>
        </w:rPr>
      </w:pPr>
    </w:p>
    <w:p w14:paraId="7A13AB40" w14:textId="77777777" w:rsidR="00F56EAB" w:rsidRPr="00F56EAB" w:rsidRDefault="00F56EAB" w:rsidP="00F56EAB">
      <w:pPr>
        <w:spacing w:before="120" w:after="120" w:line="240" w:lineRule="exact"/>
        <w:ind w:left="283" w:hanging="283"/>
        <w:jc w:val="both"/>
        <w:rPr>
          <w:rFonts w:ascii="FrankRuehl" w:hAnsi="FrankRuehl" w:cs="FrankRuehl"/>
          <w:rtl/>
        </w:rPr>
      </w:pPr>
    </w:p>
    <w:p w14:paraId="5F9DAE95" w14:textId="77777777" w:rsidR="00165AD6" w:rsidRDefault="00165AD6" w:rsidP="00165AD6">
      <w:pPr>
        <w:rPr>
          <w:sz w:val="26"/>
          <w:szCs w:val="26"/>
          <w:rtl/>
        </w:rPr>
      </w:pPr>
      <w:bookmarkStart w:id="3" w:name="LawTable"/>
      <w:bookmarkEnd w:id="3"/>
    </w:p>
    <w:p w14:paraId="3F3F7F8B" w14:textId="77777777" w:rsidR="00165AD6" w:rsidRPr="00165AD6" w:rsidRDefault="00165AD6" w:rsidP="00165AD6">
      <w:pPr>
        <w:spacing w:before="120" w:after="120" w:line="240" w:lineRule="exact"/>
        <w:ind w:left="283" w:hanging="283"/>
        <w:jc w:val="both"/>
        <w:rPr>
          <w:rFonts w:ascii="FrankRuehl" w:hAnsi="FrankRuehl" w:cs="FrankRuehl"/>
          <w:rtl/>
        </w:rPr>
      </w:pPr>
    </w:p>
    <w:p w14:paraId="020CC32E" w14:textId="77777777" w:rsidR="00165AD6" w:rsidRPr="00165AD6" w:rsidRDefault="00165AD6" w:rsidP="00165AD6">
      <w:pPr>
        <w:spacing w:before="120" w:after="120" w:line="240" w:lineRule="exact"/>
        <w:ind w:left="283" w:hanging="283"/>
        <w:jc w:val="both"/>
        <w:rPr>
          <w:rFonts w:ascii="FrankRuehl" w:hAnsi="FrankRuehl" w:cs="FrankRuehl"/>
          <w:rtl/>
        </w:rPr>
      </w:pPr>
    </w:p>
    <w:p w14:paraId="3EA85A5B" w14:textId="77777777" w:rsidR="00165AD6" w:rsidRPr="00165AD6" w:rsidRDefault="00165AD6" w:rsidP="00165AD6">
      <w:pPr>
        <w:spacing w:before="120" w:after="120" w:line="240" w:lineRule="exact"/>
        <w:ind w:left="283" w:hanging="283"/>
        <w:jc w:val="both"/>
        <w:rPr>
          <w:rFonts w:ascii="FrankRuehl" w:hAnsi="FrankRuehl" w:cs="FrankRuehl"/>
          <w:rtl/>
        </w:rPr>
      </w:pPr>
      <w:r w:rsidRPr="00165AD6">
        <w:rPr>
          <w:rFonts w:ascii="FrankRuehl" w:hAnsi="FrankRuehl" w:cs="FrankRuehl"/>
          <w:rtl/>
        </w:rPr>
        <w:t xml:space="preserve">חקיקה שאוזכרה: </w:t>
      </w:r>
    </w:p>
    <w:p w14:paraId="5B9F3A10" w14:textId="77777777" w:rsidR="00165AD6" w:rsidRPr="00165AD6" w:rsidRDefault="00165AD6" w:rsidP="00165AD6">
      <w:pPr>
        <w:spacing w:before="120" w:after="120" w:line="240" w:lineRule="exact"/>
        <w:ind w:left="283" w:hanging="283"/>
        <w:jc w:val="both"/>
        <w:rPr>
          <w:rFonts w:ascii="FrankRuehl" w:hAnsi="FrankRuehl" w:cs="FrankRuehl"/>
          <w:rtl/>
        </w:rPr>
      </w:pPr>
      <w:hyperlink r:id="rId7" w:history="1">
        <w:r w:rsidRPr="00165AD6">
          <w:rPr>
            <w:rFonts w:ascii="FrankRuehl" w:hAnsi="FrankRuehl" w:cs="FrankRuehl"/>
            <w:color w:val="0000FF"/>
            <w:rtl/>
          </w:rPr>
          <w:t>פקודת הסמים המסוכנים [נוסח חדש], תשל"ג-1973</w:t>
        </w:r>
      </w:hyperlink>
      <w:r w:rsidRPr="00165AD6">
        <w:rPr>
          <w:rFonts w:ascii="FrankRuehl" w:hAnsi="FrankRuehl" w:cs="FrankRuehl"/>
          <w:rtl/>
        </w:rPr>
        <w:t xml:space="preserve">: סע'  </w:t>
      </w:r>
      <w:hyperlink r:id="rId8" w:history="1">
        <w:r w:rsidRPr="00165AD6">
          <w:rPr>
            <w:rFonts w:ascii="FrankRuehl" w:hAnsi="FrankRuehl" w:cs="FrankRuehl"/>
            <w:color w:val="0000FF"/>
            <w:rtl/>
          </w:rPr>
          <w:t>13.א</w:t>
        </w:r>
      </w:hyperlink>
      <w:r w:rsidRPr="00165AD6">
        <w:rPr>
          <w:rFonts w:ascii="FrankRuehl" w:hAnsi="FrankRuehl" w:cs="FrankRuehl"/>
          <w:rtl/>
        </w:rPr>
        <w:t xml:space="preserve">, </w:t>
      </w:r>
      <w:hyperlink r:id="rId9" w:history="1">
        <w:r w:rsidRPr="00165AD6">
          <w:rPr>
            <w:rFonts w:ascii="FrankRuehl" w:hAnsi="FrankRuehl" w:cs="FrankRuehl"/>
            <w:color w:val="0000FF"/>
            <w:rtl/>
          </w:rPr>
          <w:t>19</w:t>
        </w:r>
      </w:hyperlink>
    </w:p>
    <w:p w14:paraId="068362F7" w14:textId="77777777" w:rsidR="00165AD6" w:rsidRPr="00165AD6" w:rsidRDefault="00165AD6" w:rsidP="00165AD6">
      <w:pPr>
        <w:spacing w:before="120" w:after="120" w:line="240" w:lineRule="exact"/>
        <w:ind w:left="283" w:hanging="283"/>
        <w:jc w:val="both"/>
        <w:rPr>
          <w:rFonts w:ascii="FrankRuehl" w:hAnsi="FrankRuehl" w:cs="FrankRuehl"/>
          <w:rtl/>
        </w:rPr>
      </w:pPr>
      <w:hyperlink r:id="rId10" w:history="1">
        <w:r w:rsidRPr="00165AD6">
          <w:rPr>
            <w:rFonts w:ascii="FrankRuehl" w:hAnsi="FrankRuehl" w:cs="FrankRuehl"/>
            <w:color w:val="0000FF"/>
            <w:rtl/>
          </w:rPr>
          <w:t>חוק העונשין, תשל"ז-1977</w:t>
        </w:r>
      </w:hyperlink>
      <w:r w:rsidRPr="00165AD6">
        <w:rPr>
          <w:rFonts w:ascii="FrankRuehl" w:hAnsi="FrankRuehl" w:cs="FrankRuehl"/>
          <w:rtl/>
        </w:rPr>
        <w:t xml:space="preserve">: סע'  </w:t>
      </w:r>
      <w:hyperlink r:id="rId11" w:history="1">
        <w:r w:rsidRPr="00165AD6">
          <w:rPr>
            <w:rFonts w:ascii="FrankRuehl" w:hAnsi="FrankRuehl" w:cs="FrankRuehl"/>
            <w:color w:val="0000FF"/>
            <w:rtl/>
          </w:rPr>
          <w:t>40ד'</w:t>
        </w:r>
      </w:hyperlink>
      <w:r w:rsidRPr="00165AD6">
        <w:rPr>
          <w:rFonts w:ascii="FrankRuehl" w:hAnsi="FrankRuehl" w:cs="FrankRuehl"/>
          <w:rtl/>
        </w:rPr>
        <w:t xml:space="preserve">, </w:t>
      </w:r>
      <w:hyperlink r:id="rId12" w:history="1">
        <w:r w:rsidRPr="00165AD6">
          <w:rPr>
            <w:rFonts w:ascii="FrankRuehl" w:hAnsi="FrankRuehl" w:cs="FrankRuehl"/>
            <w:color w:val="0000FF"/>
            <w:rtl/>
          </w:rPr>
          <w:t>40 ה'</w:t>
        </w:r>
      </w:hyperlink>
      <w:r w:rsidRPr="00165AD6">
        <w:rPr>
          <w:rFonts w:ascii="FrankRuehl" w:hAnsi="FrankRuehl" w:cs="FrankRuehl"/>
          <w:rtl/>
        </w:rPr>
        <w:t xml:space="preserve">, </w:t>
      </w:r>
      <w:hyperlink r:id="rId13" w:history="1">
        <w:r w:rsidRPr="00165AD6">
          <w:rPr>
            <w:rFonts w:ascii="FrankRuehl" w:hAnsi="FrankRuehl" w:cs="FrankRuehl"/>
            <w:color w:val="0000FF"/>
            <w:rtl/>
          </w:rPr>
          <w:t>40ט'</w:t>
        </w:r>
      </w:hyperlink>
      <w:r w:rsidRPr="00165AD6">
        <w:rPr>
          <w:rFonts w:ascii="FrankRuehl" w:hAnsi="FrankRuehl" w:cs="FrankRuehl"/>
          <w:rtl/>
        </w:rPr>
        <w:t xml:space="preserve">, </w:t>
      </w:r>
      <w:hyperlink r:id="rId14" w:history="1">
        <w:r w:rsidRPr="00165AD6">
          <w:rPr>
            <w:rFonts w:ascii="FrankRuehl" w:hAnsi="FrankRuehl" w:cs="FrankRuehl"/>
            <w:color w:val="0000FF"/>
            <w:rtl/>
          </w:rPr>
          <w:t>40יא'</w:t>
        </w:r>
      </w:hyperlink>
    </w:p>
    <w:p w14:paraId="79784776" w14:textId="77777777" w:rsidR="00165AD6" w:rsidRPr="00165AD6" w:rsidRDefault="00165AD6" w:rsidP="00165AD6">
      <w:pPr>
        <w:rPr>
          <w:sz w:val="26"/>
          <w:szCs w:val="26"/>
          <w:rtl/>
        </w:rPr>
      </w:pPr>
      <w:bookmarkStart w:id="4" w:name="LawTable_End"/>
      <w:bookmarkEnd w:id="4"/>
    </w:p>
    <w:p w14:paraId="165A80BE" w14:textId="77777777" w:rsidR="0082475F" w:rsidRPr="00F56EAB" w:rsidRDefault="0082475F" w:rsidP="00F56EA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475F" w14:paraId="0FAD9000" w14:textId="77777777" w:rsidTr="0082475F">
        <w:trPr>
          <w:trHeight w:val="355"/>
          <w:jc w:val="center"/>
        </w:trPr>
        <w:tc>
          <w:tcPr>
            <w:tcW w:w="8820" w:type="dxa"/>
            <w:tcBorders>
              <w:top w:val="nil"/>
              <w:left w:val="nil"/>
              <w:bottom w:val="nil"/>
              <w:right w:val="nil"/>
            </w:tcBorders>
            <w:shd w:val="clear" w:color="auto" w:fill="auto"/>
          </w:tcPr>
          <w:p w14:paraId="2909AAB4" w14:textId="77777777" w:rsidR="00E832AD" w:rsidRPr="00E832AD" w:rsidRDefault="00E832AD" w:rsidP="00E832AD">
            <w:pPr>
              <w:jc w:val="center"/>
              <w:rPr>
                <w:rFonts w:ascii="David" w:hAnsi="David"/>
                <w:b/>
                <w:bCs/>
                <w:sz w:val="32"/>
                <w:szCs w:val="32"/>
                <w:u w:val="single"/>
                <w:rtl/>
              </w:rPr>
            </w:pPr>
            <w:bookmarkStart w:id="5" w:name="PsakDin" w:colFirst="0" w:colLast="0"/>
            <w:bookmarkEnd w:id="0"/>
            <w:r w:rsidRPr="00E832AD">
              <w:rPr>
                <w:rFonts w:ascii="David" w:hAnsi="David"/>
                <w:b/>
                <w:bCs/>
                <w:sz w:val="32"/>
                <w:szCs w:val="32"/>
                <w:u w:val="single"/>
                <w:rtl/>
              </w:rPr>
              <w:t>גזר דין</w:t>
            </w:r>
          </w:p>
          <w:p w14:paraId="72E67F46" w14:textId="77777777" w:rsidR="0082475F" w:rsidRPr="00E832AD" w:rsidRDefault="0082475F" w:rsidP="00E832AD">
            <w:pPr>
              <w:jc w:val="center"/>
              <w:rPr>
                <w:rFonts w:ascii="David" w:hAnsi="David"/>
                <w:bCs/>
                <w:sz w:val="32"/>
                <w:szCs w:val="32"/>
                <w:u w:val="single"/>
                <w:rtl/>
              </w:rPr>
            </w:pPr>
          </w:p>
        </w:tc>
      </w:tr>
      <w:bookmarkEnd w:id="5"/>
    </w:tbl>
    <w:p w14:paraId="107A1550" w14:textId="77777777" w:rsidR="0082475F" w:rsidRPr="000F2247" w:rsidRDefault="0082475F" w:rsidP="0082475F">
      <w:pPr>
        <w:rPr>
          <w:rFonts w:ascii="Arial" w:hAnsi="Arial"/>
          <w:b/>
          <w:bCs/>
          <w:sz w:val="26"/>
          <w:szCs w:val="26"/>
          <w:rtl/>
        </w:rPr>
      </w:pPr>
    </w:p>
    <w:p w14:paraId="36905237" w14:textId="77777777" w:rsidR="0082475F" w:rsidRPr="000F2247" w:rsidRDefault="0082475F" w:rsidP="0082475F">
      <w:pPr>
        <w:rPr>
          <w:rFonts w:ascii="Arial" w:hAnsi="Arial"/>
          <w:b/>
          <w:bCs/>
          <w:sz w:val="26"/>
          <w:szCs w:val="26"/>
          <w:rtl/>
        </w:rPr>
      </w:pPr>
    </w:p>
    <w:p w14:paraId="59AECBA4" w14:textId="77777777" w:rsidR="0082475F" w:rsidRPr="00275FDE" w:rsidRDefault="0082475F" w:rsidP="0082475F">
      <w:pPr>
        <w:spacing w:line="360" w:lineRule="auto"/>
        <w:rPr>
          <w:b/>
          <w:bCs/>
          <w:u w:val="single"/>
          <w:rtl/>
        </w:rPr>
      </w:pPr>
      <w:r w:rsidRPr="00275FDE">
        <w:rPr>
          <w:b/>
          <w:bCs/>
          <w:u w:val="single"/>
          <w:rtl/>
        </w:rPr>
        <w:t xml:space="preserve">מבוא: </w:t>
      </w:r>
    </w:p>
    <w:p w14:paraId="21C72D3E" w14:textId="77777777" w:rsidR="0082475F" w:rsidRPr="00275FDE" w:rsidRDefault="0082475F" w:rsidP="0082475F">
      <w:pPr>
        <w:spacing w:line="360" w:lineRule="auto"/>
        <w:jc w:val="both"/>
        <w:rPr>
          <w:rtl/>
        </w:rPr>
      </w:pPr>
      <w:bookmarkStart w:id="6" w:name="ABSTRACT_START"/>
      <w:bookmarkEnd w:id="6"/>
      <w:r w:rsidRPr="00275FDE">
        <w:rPr>
          <w:noProof/>
          <w:rtl/>
        </w:rPr>
        <w:t>הנאשם הורשע בהתאם להודאתו בכתב האישום ב-3 עבירות של</w:t>
      </w:r>
      <w:r w:rsidRPr="00275FDE">
        <w:rPr>
          <w:b/>
          <w:bCs/>
          <w:noProof/>
          <w:rtl/>
        </w:rPr>
        <w:t xml:space="preserve"> יצוא, יבוא, מסחר, הספקה סמים מסוכנים</w:t>
      </w:r>
      <w:r w:rsidRPr="00275FDE">
        <w:rPr>
          <w:noProof/>
          <w:rtl/>
        </w:rPr>
        <w:t xml:space="preserve"> – לפי </w:t>
      </w:r>
      <w:hyperlink r:id="rId15" w:history="1">
        <w:r w:rsidR="001463DD" w:rsidRPr="001463DD">
          <w:rPr>
            <w:rStyle w:val="Hyperlink"/>
            <w:noProof/>
            <w:rtl/>
          </w:rPr>
          <w:t>סעיף 13+19א</w:t>
        </w:r>
      </w:hyperlink>
      <w:r w:rsidRPr="00275FDE">
        <w:rPr>
          <w:noProof/>
          <w:rtl/>
        </w:rPr>
        <w:t xml:space="preserve"> ל</w:t>
      </w:r>
      <w:hyperlink r:id="rId16" w:history="1">
        <w:r w:rsidR="00E832AD" w:rsidRPr="00E832AD">
          <w:rPr>
            <w:noProof/>
            <w:color w:val="0000FF"/>
            <w:u w:val="single"/>
            <w:rtl/>
          </w:rPr>
          <w:t>פקודת הסמים המסוכנים</w:t>
        </w:r>
      </w:hyperlink>
      <w:r w:rsidRPr="00275FDE">
        <w:rPr>
          <w:noProof/>
          <w:rtl/>
        </w:rPr>
        <w:t xml:space="preserve"> [נוסח חדש] התשל"ג-1973.</w:t>
      </w:r>
    </w:p>
    <w:p w14:paraId="711F751E" w14:textId="77777777" w:rsidR="0082475F" w:rsidRPr="00275FDE" w:rsidRDefault="0082475F" w:rsidP="0082475F">
      <w:pPr>
        <w:spacing w:line="360" w:lineRule="auto"/>
        <w:rPr>
          <w:rtl/>
        </w:rPr>
      </w:pPr>
    </w:p>
    <w:p w14:paraId="5EDCF8AE" w14:textId="77777777" w:rsidR="0082475F" w:rsidRPr="00275FDE" w:rsidRDefault="0082475F" w:rsidP="0082475F">
      <w:pPr>
        <w:spacing w:line="360" w:lineRule="auto"/>
        <w:jc w:val="both"/>
        <w:rPr>
          <w:rtl/>
        </w:rPr>
      </w:pPr>
      <w:r w:rsidRPr="00275FDE">
        <w:rPr>
          <w:rtl/>
        </w:rPr>
        <w:t>על פי עובדות כתב האישום, בתאריך 11.04.22, מכר הנאשם לאחר סם מסוכן מסוג חשיש במשקל 2.06 ג' בתמורה לסכום כסף לא ידוע. בתאריך 01.05.22 מכר הנאשם לאחר סם מסוכן מסוג קוקאין במשקל 0.167 בתמורה ל-100 ₪. בתאריך 11.05.22 מכר הנאשם לאחר סם מסוכן מסוג חשיש במשקל 2.01 ג' בתמורה ל-50 ₪. כל זאת, ללא היתר וללא אישור מהמנהל.</w:t>
      </w:r>
    </w:p>
    <w:p w14:paraId="5E3D23EB" w14:textId="77777777" w:rsidR="0082475F" w:rsidRPr="00275FDE" w:rsidRDefault="0082475F" w:rsidP="0082475F">
      <w:pPr>
        <w:spacing w:line="360" w:lineRule="auto"/>
        <w:jc w:val="both"/>
        <w:rPr>
          <w:rtl/>
        </w:rPr>
      </w:pPr>
    </w:p>
    <w:p w14:paraId="6A97E01C" w14:textId="77777777" w:rsidR="0082475F" w:rsidRPr="00275FDE" w:rsidRDefault="0082475F" w:rsidP="0082475F">
      <w:pPr>
        <w:spacing w:line="360" w:lineRule="auto"/>
        <w:jc w:val="both"/>
        <w:rPr>
          <w:rtl/>
        </w:rPr>
      </w:pPr>
      <w:bookmarkStart w:id="7" w:name="ABSTRACT_END"/>
      <w:bookmarkEnd w:id="7"/>
      <w:r w:rsidRPr="00275FDE">
        <w:rPr>
          <w:rtl/>
        </w:rPr>
        <w:lastRenderedPageBreak/>
        <w:t>הנאשם נעצר בתאריך 24.07.22 והיה נתון במעצר מאחורי סורג ובריח עד לתאריך 11.08.22 מועד בו שוחרר בתנאי מעצר בית מלא.</w:t>
      </w:r>
    </w:p>
    <w:p w14:paraId="5F7D8808" w14:textId="77777777" w:rsidR="0082475F" w:rsidRPr="00275FDE" w:rsidRDefault="0082475F" w:rsidP="0082475F">
      <w:pPr>
        <w:spacing w:line="360" w:lineRule="auto"/>
        <w:jc w:val="both"/>
        <w:rPr>
          <w:rtl/>
        </w:rPr>
      </w:pPr>
    </w:p>
    <w:p w14:paraId="6DD89064" w14:textId="77777777" w:rsidR="0082475F" w:rsidRPr="00275FDE" w:rsidRDefault="0082475F" w:rsidP="0082475F">
      <w:pPr>
        <w:spacing w:line="360" w:lineRule="auto"/>
        <w:jc w:val="both"/>
        <w:rPr>
          <w:noProof/>
          <w:rtl/>
        </w:rPr>
      </w:pPr>
      <w:r w:rsidRPr="00275FDE">
        <w:rPr>
          <w:noProof/>
          <w:rtl/>
        </w:rPr>
        <w:t>בתאריך 04.12.22 הודה הנאשם במיוחס לו בכתב האישום ולבקשת בא כוחו, הופנה הנאשם אל הממונה על עבודות השירות לקבלת חוות דעת שתבדוק שאלת התאמתו לביצוע עבודות שירות ככל שכך ייגזר.</w:t>
      </w:r>
    </w:p>
    <w:p w14:paraId="28284557" w14:textId="77777777" w:rsidR="0082475F" w:rsidRPr="00275FDE" w:rsidRDefault="0082475F" w:rsidP="0082475F">
      <w:pPr>
        <w:spacing w:line="360" w:lineRule="auto"/>
        <w:jc w:val="both"/>
        <w:rPr>
          <w:b/>
          <w:bCs/>
          <w:noProof/>
          <w:u w:val="single"/>
          <w:rtl/>
        </w:rPr>
      </w:pPr>
      <w:r w:rsidRPr="00275FDE">
        <w:rPr>
          <w:b/>
          <w:bCs/>
          <w:noProof/>
          <w:u w:val="single"/>
          <w:rtl/>
        </w:rPr>
        <w:t xml:space="preserve"> </w:t>
      </w:r>
    </w:p>
    <w:p w14:paraId="2BF8DB92" w14:textId="77777777" w:rsidR="0082475F" w:rsidRDefault="0082475F" w:rsidP="0082475F">
      <w:pPr>
        <w:spacing w:line="360" w:lineRule="auto"/>
        <w:jc w:val="both"/>
        <w:rPr>
          <w:noProof/>
          <w:rtl/>
        </w:rPr>
      </w:pPr>
      <w:r w:rsidRPr="00275FDE">
        <w:rPr>
          <w:noProof/>
          <w:rtl/>
        </w:rPr>
        <w:t>בתאריך 17.01.23 התקבלה חוות דעת הממונה על עבודות השירות לפיה הנאשם נמצא כשיר במגבלות לבצע עבודות שירות בעמותה למען הקשיש בחדרה.</w:t>
      </w:r>
    </w:p>
    <w:p w14:paraId="050C3607" w14:textId="77777777" w:rsidR="0082475F" w:rsidRDefault="0082475F" w:rsidP="0082475F">
      <w:pPr>
        <w:spacing w:line="360" w:lineRule="auto"/>
        <w:jc w:val="both"/>
        <w:rPr>
          <w:noProof/>
          <w:rtl/>
        </w:rPr>
      </w:pPr>
    </w:p>
    <w:p w14:paraId="408150AF" w14:textId="77777777" w:rsidR="0082475F" w:rsidRPr="00275FDE" w:rsidRDefault="0082475F" w:rsidP="0082475F">
      <w:pPr>
        <w:spacing w:line="360" w:lineRule="auto"/>
        <w:jc w:val="both"/>
        <w:rPr>
          <w:noProof/>
          <w:rtl/>
        </w:rPr>
      </w:pPr>
    </w:p>
    <w:p w14:paraId="3C010E82" w14:textId="77777777" w:rsidR="0082475F" w:rsidRPr="00275FDE" w:rsidRDefault="0082475F" w:rsidP="0082475F">
      <w:pPr>
        <w:spacing w:line="360" w:lineRule="auto"/>
        <w:jc w:val="both"/>
        <w:rPr>
          <w:noProof/>
          <w:rtl/>
        </w:rPr>
      </w:pPr>
    </w:p>
    <w:p w14:paraId="0F966F44" w14:textId="77777777" w:rsidR="0082475F" w:rsidRPr="00275FDE" w:rsidRDefault="0082475F" w:rsidP="0082475F">
      <w:pPr>
        <w:spacing w:line="360" w:lineRule="auto"/>
        <w:jc w:val="both"/>
        <w:rPr>
          <w:b/>
          <w:bCs/>
          <w:noProof/>
          <w:color w:val="FF0000"/>
          <w:sz w:val="40"/>
          <w:szCs w:val="40"/>
          <w:rtl/>
        </w:rPr>
      </w:pPr>
      <w:r w:rsidRPr="00275FDE">
        <w:rPr>
          <w:b/>
          <w:bCs/>
          <w:noProof/>
          <w:u w:val="single"/>
          <w:rtl/>
        </w:rPr>
        <w:t>טיעונים וראיות הצדדים לעונש</w:t>
      </w:r>
      <w:r w:rsidRPr="00275FDE">
        <w:rPr>
          <w:b/>
          <w:bCs/>
          <w:noProof/>
          <w:rtl/>
        </w:rPr>
        <w:t xml:space="preserve">: </w:t>
      </w:r>
    </w:p>
    <w:p w14:paraId="1937359C" w14:textId="77777777" w:rsidR="0082475F" w:rsidRPr="00275FDE" w:rsidRDefault="0082475F" w:rsidP="0082475F">
      <w:pPr>
        <w:spacing w:line="360" w:lineRule="auto"/>
        <w:jc w:val="both"/>
        <w:rPr>
          <w:noProof/>
          <w:rtl/>
        </w:rPr>
      </w:pPr>
      <w:r w:rsidRPr="00275FDE">
        <w:rPr>
          <w:noProof/>
          <w:rtl/>
        </w:rPr>
        <w:t>המאשימה הפנתה לעובדות כתב האישום וכן לפגיעה בערכים המוגנים של בריאות הציבור כאשר בתי המשפט עמדו על כך שיש לנהוג בחומרה עם מבצעי העבירות על מנת למגר אותן גם כאשר מדובר ב"סמים קלים".</w:t>
      </w:r>
    </w:p>
    <w:p w14:paraId="76105418" w14:textId="77777777" w:rsidR="0082475F" w:rsidRPr="00275FDE" w:rsidRDefault="0082475F" w:rsidP="0082475F">
      <w:pPr>
        <w:spacing w:line="360" w:lineRule="auto"/>
        <w:jc w:val="both"/>
        <w:rPr>
          <w:noProof/>
          <w:rtl/>
        </w:rPr>
      </w:pPr>
    </w:p>
    <w:p w14:paraId="6B772649" w14:textId="77777777" w:rsidR="0082475F" w:rsidRPr="00275FDE" w:rsidRDefault="0082475F" w:rsidP="0082475F">
      <w:pPr>
        <w:spacing w:line="360" w:lineRule="auto"/>
        <w:jc w:val="both"/>
        <w:rPr>
          <w:noProof/>
          <w:rtl/>
        </w:rPr>
      </w:pPr>
      <w:r w:rsidRPr="00275FDE">
        <w:rPr>
          <w:noProof/>
          <w:rtl/>
        </w:rPr>
        <w:t>לאחר שהפנתה למספר העסקאות והמשקלים בהן, המאשימה עתרה לקביעת מתחם ענישה בין 10-24 חודשי מאסר בפועל תוך שהפנתה לפסיקה בה נקבעו מתחמים דומים.</w:t>
      </w:r>
    </w:p>
    <w:p w14:paraId="5504AB3D" w14:textId="77777777" w:rsidR="0082475F" w:rsidRPr="00275FDE" w:rsidRDefault="0082475F" w:rsidP="0082475F">
      <w:pPr>
        <w:spacing w:line="360" w:lineRule="auto"/>
        <w:jc w:val="both"/>
        <w:rPr>
          <w:noProof/>
          <w:rtl/>
        </w:rPr>
      </w:pPr>
    </w:p>
    <w:p w14:paraId="2F2A3294" w14:textId="77777777" w:rsidR="0082475F" w:rsidRPr="00275FDE" w:rsidRDefault="0082475F" w:rsidP="0082475F">
      <w:pPr>
        <w:spacing w:line="360" w:lineRule="auto"/>
        <w:jc w:val="both"/>
        <w:rPr>
          <w:noProof/>
          <w:rtl/>
        </w:rPr>
      </w:pPr>
      <w:r w:rsidRPr="00275FDE">
        <w:rPr>
          <w:noProof/>
          <w:rtl/>
        </w:rPr>
        <w:t>אשר לנסיבותיו של הנאשם, לחובתו 2 הרשעות קודמות משנים 2018 ו-2019 בגין עבירות נשק ורכוש (ת/1) כאשר בגין הרשעתו האחרונה נדון לעונש מאסר בפועל. המאשימה הפנתה לכך שהנאשם לא הופנה לשירות המבחן ולא עבר הליך טיפולי כלשהו ולכן ביקשה המאשימה לגזור על הנאשם עונש ברף העליון לצד ענישה צופה פני עתיד, פסילת רישיון נהיגה וקנס.</w:t>
      </w:r>
    </w:p>
    <w:p w14:paraId="00E3356E" w14:textId="77777777" w:rsidR="0082475F" w:rsidRPr="00275FDE" w:rsidRDefault="0082475F" w:rsidP="0082475F">
      <w:pPr>
        <w:spacing w:line="360" w:lineRule="auto"/>
        <w:jc w:val="both"/>
        <w:rPr>
          <w:noProof/>
          <w:rtl/>
        </w:rPr>
      </w:pPr>
    </w:p>
    <w:p w14:paraId="27857263" w14:textId="77777777" w:rsidR="0082475F" w:rsidRDefault="0082475F" w:rsidP="0082475F">
      <w:pPr>
        <w:spacing w:line="360" w:lineRule="auto"/>
        <w:jc w:val="both"/>
        <w:rPr>
          <w:noProof/>
          <w:rtl/>
        </w:rPr>
      </w:pPr>
      <w:r w:rsidRPr="00275FDE">
        <w:rPr>
          <w:noProof/>
          <w:rtl/>
        </w:rPr>
        <w:t xml:space="preserve">ב"כ הנאשם הפנה בטיעוניו לסוג הסם ולכמות המזערית בכל עסקה כאשר לטענתו, מדובר בהפקת רווח מזערי. בנסיבות אלה ותוך הפניה לפסיקה רלוונטית ביקש לקבוע מתחם מקל בהרבה מהמתחם לו עתרה המאשימה. </w:t>
      </w:r>
    </w:p>
    <w:p w14:paraId="458206FF" w14:textId="77777777" w:rsidR="0082475F" w:rsidRPr="00275FDE" w:rsidRDefault="0082475F" w:rsidP="0082475F">
      <w:pPr>
        <w:spacing w:line="360" w:lineRule="auto"/>
        <w:jc w:val="both"/>
        <w:rPr>
          <w:noProof/>
          <w:rtl/>
        </w:rPr>
      </w:pPr>
    </w:p>
    <w:p w14:paraId="28535179" w14:textId="77777777" w:rsidR="0082475F" w:rsidRPr="00275FDE" w:rsidRDefault="0082475F" w:rsidP="0082475F">
      <w:pPr>
        <w:spacing w:line="360" w:lineRule="auto"/>
        <w:jc w:val="both"/>
        <w:rPr>
          <w:noProof/>
          <w:rtl/>
        </w:rPr>
      </w:pPr>
      <w:r w:rsidRPr="00275FDE">
        <w:rPr>
          <w:noProof/>
          <w:rtl/>
        </w:rPr>
        <w:t>לאור גילו של הנאשם, העובדה שהודה בהזדמנות הראשונה, חסך מזמנם היקר של העדים והביע חרטה כנה, ביקש בא כוח הנאשם להסתפק בתקופת מעצרו של הנאשם או לחלופי להשית עליו עד 4 חודשי מאסר בפועל בעבודות שירות.</w:t>
      </w:r>
    </w:p>
    <w:p w14:paraId="1F694F3F" w14:textId="77777777" w:rsidR="0082475F" w:rsidRPr="00275FDE" w:rsidRDefault="0082475F" w:rsidP="0082475F">
      <w:pPr>
        <w:spacing w:after="120" w:line="360" w:lineRule="auto"/>
        <w:jc w:val="both"/>
        <w:rPr>
          <w:rFonts w:ascii="Tahoma" w:hAnsi="Tahoma"/>
          <w:b/>
          <w:bCs/>
          <w:noProof/>
          <w:u w:val="single"/>
          <w:rtl/>
        </w:rPr>
      </w:pPr>
    </w:p>
    <w:p w14:paraId="2611F7E2" w14:textId="77777777" w:rsidR="0082475F" w:rsidRPr="00275FDE" w:rsidRDefault="0082475F" w:rsidP="0082475F">
      <w:pPr>
        <w:spacing w:after="120" w:line="360" w:lineRule="auto"/>
        <w:jc w:val="both"/>
        <w:rPr>
          <w:rFonts w:ascii="Tahoma" w:hAnsi="Tahoma"/>
          <w:b/>
          <w:bCs/>
          <w:noProof/>
          <w:u w:val="single"/>
          <w:rtl/>
        </w:rPr>
      </w:pPr>
      <w:r w:rsidRPr="00275FDE">
        <w:rPr>
          <w:rFonts w:ascii="Tahoma" w:hAnsi="Tahoma"/>
          <w:b/>
          <w:bCs/>
          <w:noProof/>
          <w:u w:val="single"/>
          <w:rtl/>
        </w:rPr>
        <w:t>דיון והכרעה</w:t>
      </w:r>
      <w:r w:rsidRPr="00275FDE">
        <w:rPr>
          <w:rFonts w:ascii="Tahoma" w:hAnsi="Tahoma"/>
          <w:b/>
          <w:bCs/>
          <w:noProof/>
          <w:rtl/>
        </w:rPr>
        <w:t>:</w:t>
      </w:r>
    </w:p>
    <w:p w14:paraId="1A5F6455" w14:textId="77777777" w:rsidR="0082475F" w:rsidRPr="00275FDE" w:rsidRDefault="0082475F" w:rsidP="0082475F">
      <w:pPr>
        <w:spacing w:line="360" w:lineRule="auto"/>
        <w:jc w:val="both"/>
        <w:rPr>
          <w:rFonts w:ascii="Arial" w:hAnsi="Arial" w:cs="Arial"/>
          <w:noProof/>
          <w:rtl/>
        </w:rPr>
      </w:pPr>
      <w:r w:rsidRPr="00275FDE">
        <w:rPr>
          <w:noProof/>
          <w:rtl/>
        </w:rPr>
        <w:lastRenderedPageBreak/>
        <w:t>תיקון 113 ל</w:t>
      </w:r>
      <w:hyperlink r:id="rId17" w:history="1">
        <w:r w:rsidR="00E832AD" w:rsidRPr="00E832AD">
          <w:rPr>
            <w:noProof/>
            <w:color w:val="0000FF"/>
            <w:u w:val="single"/>
            <w:rtl/>
          </w:rPr>
          <w:t>חוק העונשין</w:t>
        </w:r>
      </w:hyperlink>
      <w:r w:rsidRPr="00275FDE">
        <w:rPr>
          <w:noProof/>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8" w:history="1">
        <w:r w:rsidR="001463DD" w:rsidRPr="001463DD">
          <w:rPr>
            <w:rStyle w:val="Hyperlink"/>
            <w:noProof/>
            <w:rtl/>
          </w:rPr>
          <w:t>בסעיף 40ט'</w:t>
        </w:r>
      </w:hyperlink>
      <w:r w:rsidRPr="00275FDE">
        <w:rPr>
          <w:noProof/>
          <w:rtl/>
        </w:rPr>
        <w:t xml:space="preserve"> ל</w:t>
      </w:r>
      <w:hyperlink r:id="rId19" w:history="1">
        <w:r w:rsidR="00E832AD" w:rsidRPr="00E832AD">
          <w:rPr>
            <w:noProof/>
            <w:color w:val="0000FF"/>
            <w:u w:val="single"/>
            <w:rtl/>
          </w:rPr>
          <w:t>חוק העונשין</w:t>
        </w:r>
      </w:hyperlink>
      <w:r w:rsidRPr="00275FDE">
        <w:rPr>
          <w:noProof/>
          <w:rtl/>
        </w:rPr>
        <w:t xml:space="preserve">. </w:t>
      </w:r>
    </w:p>
    <w:p w14:paraId="5898D271" w14:textId="77777777" w:rsidR="0082475F" w:rsidRPr="00275FDE" w:rsidRDefault="0082475F" w:rsidP="0082475F">
      <w:pPr>
        <w:spacing w:line="360" w:lineRule="auto"/>
        <w:jc w:val="both"/>
        <w:rPr>
          <w:noProof/>
          <w:rtl/>
        </w:rPr>
      </w:pPr>
    </w:p>
    <w:p w14:paraId="79CE106A" w14:textId="77777777" w:rsidR="0082475F" w:rsidRPr="00275FDE" w:rsidRDefault="0082475F" w:rsidP="0082475F">
      <w:pPr>
        <w:spacing w:line="360" w:lineRule="auto"/>
        <w:jc w:val="both"/>
        <w:rPr>
          <w:noProof/>
          <w:rtl/>
        </w:rPr>
      </w:pPr>
      <w:r w:rsidRPr="00275FDE">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0" w:history="1">
        <w:r w:rsidR="001463DD" w:rsidRPr="001463DD">
          <w:rPr>
            <w:rStyle w:val="Hyperlink"/>
            <w:noProof/>
            <w:rtl/>
          </w:rPr>
          <w:t>בסעיף 40יא'</w:t>
        </w:r>
      </w:hyperlink>
      <w:r w:rsidRPr="00275FDE">
        <w:rPr>
          <w:noProof/>
          <w:rtl/>
        </w:rPr>
        <w:t xml:space="preserve"> לחוק. </w:t>
      </w:r>
    </w:p>
    <w:p w14:paraId="7158AAC4" w14:textId="77777777" w:rsidR="0082475F" w:rsidRPr="00275FDE" w:rsidRDefault="0082475F" w:rsidP="0082475F">
      <w:pPr>
        <w:spacing w:line="360" w:lineRule="auto"/>
        <w:jc w:val="both"/>
        <w:rPr>
          <w:noProof/>
        </w:rPr>
      </w:pPr>
    </w:p>
    <w:p w14:paraId="719C0F92" w14:textId="77777777" w:rsidR="0082475F" w:rsidRPr="00275FDE" w:rsidRDefault="0082475F" w:rsidP="0082475F">
      <w:pPr>
        <w:spacing w:line="360" w:lineRule="auto"/>
        <w:jc w:val="both"/>
        <w:rPr>
          <w:noProof/>
        </w:rPr>
      </w:pPr>
      <w:r w:rsidRPr="00275FDE">
        <w:rPr>
          <w:noProof/>
          <w:rtl/>
        </w:rPr>
        <w:t xml:space="preserve">בית המשפט רשאי לחרוג ממתחם העונש ההולם בשל שיקולי שיקום או הגנה על שלום הציבור לפי </w:t>
      </w:r>
      <w:hyperlink r:id="rId21" w:history="1">
        <w:r w:rsidR="001463DD" w:rsidRPr="001463DD">
          <w:rPr>
            <w:rStyle w:val="Hyperlink"/>
            <w:noProof/>
            <w:rtl/>
          </w:rPr>
          <w:t>סעיפים 40ד'</w:t>
        </w:r>
      </w:hyperlink>
      <w:r w:rsidRPr="00275FDE">
        <w:rPr>
          <w:noProof/>
          <w:rtl/>
        </w:rPr>
        <w:t xml:space="preserve"> ו</w:t>
      </w:r>
      <w:hyperlink r:id="rId22" w:history="1">
        <w:r w:rsidR="001463DD" w:rsidRPr="001463DD">
          <w:rPr>
            <w:rStyle w:val="Hyperlink"/>
            <w:noProof/>
            <w:rtl/>
          </w:rPr>
          <w:t>40 ה'</w:t>
        </w:r>
      </w:hyperlink>
      <w:r w:rsidRPr="00275FDE">
        <w:rPr>
          <w:noProof/>
          <w:rtl/>
        </w:rPr>
        <w:t xml:space="preserve"> לחוק.</w:t>
      </w:r>
    </w:p>
    <w:p w14:paraId="0B0E4350" w14:textId="77777777" w:rsidR="0082475F" w:rsidRPr="00275FDE" w:rsidRDefault="0082475F" w:rsidP="0082475F">
      <w:pPr>
        <w:spacing w:line="360" w:lineRule="auto"/>
        <w:jc w:val="both"/>
        <w:rPr>
          <w:rFonts w:ascii="Arial" w:hAnsi="Arial"/>
          <w:noProof/>
          <w:rtl/>
        </w:rPr>
      </w:pPr>
    </w:p>
    <w:p w14:paraId="3D38FD80" w14:textId="77777777" w:rsidR="0082475F" w:rsidRPr="00275FDE" w:rsidRDefault="0082475F" w:rsidP="0082475F">
      <w:pPr>
        <w:spacing w:after="120" w:line="360" w:lineRule="auto"/>
        <w:jc w:val="both"/>
        <w:rPr>
          <w:rFonts w:ascii="Tahoma" w:hAnsi="Tahoma"/>
          <w:b/>
          <w:bCs/>
          <w:u w:val="single"/>
          <w:rtl/>
        </w:rPr>
      </w:pPr>
      <w:r w:rsidRPr="00275FDE">
        <w:rPr>
          <w:rFonts w:ascii="Tahoma" w:hAnsi="Tahoma"/>
          <w:u w:val="single"/>
          <w:rtl/>
        </w:rPr>
        <w:t>קביעת מתחם העונש ההולם</w:t>
      </w:r>
      <w:r w:rsidRPr="00275FDE">
        <w:rPr>
          <w:rFonts w:ascii="Tahoma" w:hAnsi="Tahoma"/>
          <w:rtl/>
        </w:rPr>
        <w:t xml:space="preserve">: </w:t>
      </w:r>
    </w:p>
    <w:p w14:paraId="4E61DC22" w14:textId="77777777" w:rsidR="0082475F" w:rsidRPr="00275FDE" w:rsidRDefault="0082475F" w:rsidP="0082475F">
      <w:pPr>
        <w:spacing w:after="240" w:line="360" w:lineRule="auto"/>
        <w:jc w:val="both"/>
        <w:rPr>
          <w:rFonts w:ascii="David" w:hAnsi="David"/>
          <w:color w:val="000000"/>
          <w:rtl/>
        </w:rPr>
      </w:pPr>
      <w:r w:rsidRPr="00275FDE">
        <w:rPr>
          <w:rFonts w:ascii="David" w:hAnsi="David"/>
          <w:color w:val="000000"/>
          <w:rtl/>
        </w:rPr>
        <w:t>עבירות הסמים פוגעות בשלומו ובריאותו של הציבור. גידול סם, החזקה שלא לצריכה עצמית, יבוא סם וסחר בסם תורמות להפצת הסם. בנוסף לשימוש בסם עצמו, ההתמכרות לסמים והצורך במימונם יוצרת מעגלים רחבים של פשיעה בתחום הרכוש ובתחומים</w:t>
      </w:r>
      <w:r w:rsidRPr="00275FDE">
        <w:rPr>
          <w:rFonts w:cs="Times New Roman"/>
          <w:color w:val="000000"/>
          <w:rtl/>
        </w:rPr>
        <w:t xml:space="preserve"> </w:t>
      </w:r>
      <w:r w:rsidRPr="00275FDE">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3" w:history="1">
        <w:r w:rsidR="00E832AD" w:rsidRPr="00E832AD">
          <w:rPr>
            <w:rFonts w:ascii="David" w:hAnsi="David"/>
            <w:color w:val="0000FF"/>
            <w:u w:val="single"/>
            <w:rtl/>
          </w:rPr>
          <w:t>רע"פ 7906/19</w:t>
        </w:r>
      </w:hyperlink>
      <w:r w:rsidRPr="00275FDE">
        <w:rPr>
          <w:rFonts w:ascii="David" w:hAnsi="David"/>
          <w:color w:val="000000"/>
          <w:rtl/>
        </w:rPr>
        <w:t xml:space="preserve"> </w:t>
      </w:r>
      <w:r w:rsidRPr="00275FDE">
        <w:rPr>
          <w:rFonts w:ascii="David" w:hAnsi="David"/>
          <w:b/>
          <w:bCs/>
          <w:color w:val="000000"/>
          <w:rtl/>
        </w:rPr>
        <w:t>אדרי נ' מדינת ישראל</w:t>
      </w:r>
      <w:r w:rsidRPr="00275FDE">
        <w:rPr>
          <w:rFonts w:ascii="David" w:hAnsi="David"/>
          <w:color w:val="000000"/>
          <w:rtl/>
        </w:rPr>
        <w:t xml:space="preserve"> (03.12.19)). </w:t>
      </w:r>
    </w:p>
    <w:p w14:paraId="1B46ECE1" w14:textId="77777777" w:rsidR="0082475F" w:rsidRPr="00275FDE" w:rsidRDefault="0082475F" w:rsidP="0082475F">
      <w:pPr>
        <w:spacing w:before="240" w:after="240" w:line="360" w:lineRule="auto"/>
        <w:jc w:val="both"/>
        <w:rPr>
          <w:rFonts w:ascii="David" w:hAnsi="David"/>
          <w:color w:val="000000"/>
          <w:rtl/>
        </w:rPr>
      </w:pPr>
      <w:r w:rsidRPr="00275FDE">
        <w:rPr>
          <w:rFonts w:ascii="David" w:hAnsi="David"/>
          <w:color w:val="000000"/>
          <w:rtl/>
        </w:rPr>
        <w:t>עוד הודגש בפסיקה כי אף שרשויות האכיפה מציגות מדיניות אכיפה מקלה יותר לגבי שימוש בקנבוס – השימוש בקנבוס אסור ויש להמשיך להילחם בתופעות של גידול והפצה של סם זה:</w:t>
      </w:r>
    </w:p>
    <w:p w14:paraId="0AFA3621" w14:textId="77777777" w:rsidR="0082475F" w:rsidRPr="00275FDE" w:rsidRDefault="0082475F" w:rsidP="0082475F">
      <w:pPr>
        <w:spacing w:after="240" w:line="360" w:lineRule="auto"/>
        <w:ind w:left="567" w:right="567"/>
        <w:jc w:val="both"/>
        <w:rPr>
          <w:rFonts w:ascii="David" w:hAnsi="David"/>
          <w:color w:val="000000"/>
        </w:rPr>
      </w:pPr>
      <w:r w:rsidRPr="00275FDE">
        <w:rPr>
          <w:rFonts w:ascii="David" w:hAnsi="David"/>
          <w:color w:val="000000"/>
          <w:rtl/>
        </w:rPr>
        <w:t>"</w:t>
      </w:r>
      <w:r w:rsidRPr="00275FDE">
        <w:rPr>
          <w:rFonts w:ascii="David" w:hAnsi="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sidRPr="00275FDE">
        <w:rPr>
          <w:rFonts w:ascii="David" w:hAnsi="David"/>
          <w:b/>
          <w:bCs/>
          <w:rtl/>
        </w:rPr>
        <w:t>לחוד</w:t>
      </w:r>
      <w:r w:rsidRPr="00275FDE">
        <w:rPr>
          <w:rFonts w:ascii="David" w:hAnsi="David"/>
          <w:rtl/>
        </w:rPr>
        <w:t>" (</w:t>
      </w:r>
      <w:hyperlink r:id="rId24" w:history="1">
        <w:r w:rsidR="00E832AD" w:rsidRPr="00E832AD">
          <w:rPr>
            <w:rFonts w:ascii="David" w:hAnsi="David"/>
            <w:color w:val="0000FF"/>
            <w:u w:val="single"/>
            <w:rtl/>
          </w:rPr>
          <w:t>ע"פ 5807/17</w:t>
        </w:r>
      </w:hyperlink>
      <w:r w:rsidR="00E832AD">
        <w:rPr>
          <w:rFonts w:ascii="David" w:hAnsi="David"/>
          <w:b/>
          <w:bCs/>
          <w:rtl/>
        </w:rPr>
        <w:t xml:space="preserve"> </w:t>
      </w:r>
      <w:r w:rsidRPr="00275FDE">
        <w:rPr>
          <w:rFonts w:ascii="David" w:hAnsi="David"/>
          <w:b/>
          <w:bCs/>
          <w:rtl/>
        </w:rPr>
        <w:t xml:space="preserve">דרחי </w:t>
      </w:r>
      <w:r w:rsidRPr="00275FDE">
        <w:rPr>
          <w:rFonts w:ascii="David" w:hAnsi="David"/>
          <w:b/>
          <w:bCs/>
          <w:color w:val="000000"/>
          <w:rtl/>
        </w:rPr>
        <w:t>נ' מדינת ישראל</w:t>
      </w:r>
      <w:r w:rsidRPr="00275FDE">
        <w:rPr>
          <w:rFonts w:ascii="David" w:hAnsi="David"/>
          <w:color w:val="000000"/>
          <w:rtl/>
        </w:rPr>
        <w:t xml:space="preserve"> (18.6.2018))</w:t>
      </w:r>
    </w:p>
    <w:p w14:paraId="3BFB40EB" w14:textId="77777777" w:rsidR="0082475F" w:rsidRPr="00275FDE" w:rsidRDefault="0082475F" w:rsidP="0082475F">
      <w:pPr>
        <w:spacing w:after="240" w:line="360" w:lineRule="auto"/>
        <w:jc w:val="both"/>
        <w:rPr>
          <w:rFonts w:ascii="David" w:eastAsia="Calibri" w:hAnsi="David"/>
          <w:spacing w:val="10"/>
          <w:rtl/>
        </w:rPr>
      </w:pPr>
      <w:r w:rsidRPr="00275FDE">
        <w:rPr>
          <w:rFonts w:ascii="David" w:hAnsi="David"/>
          <w:color w:val="000000"/>
          <w:rtl/>
        </w:rPr>
        <w:t>כוחם של דברים אלו יפה גם ביחס לסם מסוג קנבוס, כבענייננו, שלגביו כבר נקבע ב</w:t>
      </w:r>
      <w:hyperlink r:id="rId25" w:history="1">
        <w:r w:rsidR="00E832AD" w:rsidRPr="00E832AD">
          <w:rPr>
            <w:rFonts w:ascii="David" w:hAnsi="David"/>
            <w:color w:val="0000FF"/>
            <w:u w:val="single"/>
            <w:rtl/>
          </w:rPr>
          <w:t>ע"פ 2596/18</w:t>
        </w:r>
      </w:hyperlink>
      <w:r w:rsidR="00E832AD">
        <w:rPr>
          <w:rFonts w:ascii="David" w:eastAsia="Calibri" w:hAnsi="David"/>
          <w:b/>
          <w:bCs/>
          <w:spacing w:val="10"/>
          <w:rtl/>
        </w:rPr>
        <w:t xml:space="preserve"> </w:t>
      </w:r>
      <w:r w:rsidRPr="00275FDE">
        <w:rPr>
          <w:rFonts w:ascii="David" w:eastAsia="Calibri" w:hAnsi="David"/>
          <w:b/>
          <w:bCs/>
          <w:rtl/>
        </w:rPr>
        <w:t>זנזורי נ' מדינת ישראל</w:t>
      </w:r>
      <w:r w:rsidRPr="00275FDE">
        <w:rPr>
          <w:rFonts w:ascii="David" w:eastAsia="Calibri" w:hAnsi="David"/>
          <w:b/>
          <w:bCs/>
          <w:spacing w:val="10"/>
          <w:rtl/>
        </w:rPr>
        <w:t xml:space="preserve"> </w:t>
      </w:r>
      <w:r w:rsidRPr="00275FDE">
        <w:rPr>
          <w:rFonts w:ascii="David" w:eastAsia="Calibri" w:hAnsi="David"/>
          <w:spacing w:val="10"/>
          <w:rtl/>
        </w:rPr>
        <w:t xml:space="preserve">(12.8.2018) </w:t>
      </w:r>
      <w:r w:rsidRPr="00275FDE">
        <w:rPr>
          <w:rFonts w:ascii="David" w:hAnsi="David"/>
          <w:color w:val="000000"/>
          <w:rtl/>
        </w:rPr>
        <w:t>כי</w:t>
      </w:r>
      <w:r w:rsidRPr="00275FDE">
        <w:rPr>
          <w:rFonts w:ascii="David" w:hAnsi="David"/>
          <w:b/>
          <w:bCs/>
          <w:color w:val="000000"/>
          <w:rtl/>
        </w:rPr>
        <w:t xml:space="preserve">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275FDE">
        <w:rPr>
          <w:rFonts w:ascii="David" w:eastAsia="Calibri" w:hAnsi="David"/>
          <w:b/>
          <w:bCs/>
          <w:spacing w:val="10"/>
          <w:rtl/>
        </w:rPr>
        <w:t xml:space="preserve">" </w:t>
      </w:r>
      <w:r w:rsidRPr="00275FDE">
        <w:rPr>
          <w:rFonts w:ascii="David" w:eastAsia="Calibri" w:hAnsi="David"/>
          <w:spacing w:val="10"/>
          <w:rtl/>
        </w:rPr>
        <w:t xml:space="preserve">(וכן </w:t>
      </w:r>
      <w:hyperlink r:id="rId26" w:history="1">
        <w:r w:rsidR="00E832AD" w:rsidRPr="00E832AD">
          <w:rPr>
            <w:rFonts w:ascii="David" w:eastAsia="Calibri" w:hAnsi="David"/>
            <w:color w:val="0000FF"/>
            <w:spacing w:val="10"/>
            <w:u w:val="single"/>
            <w:rtl/>
          </w:rPr>
          <w:t>ע"פ 6299/20</w:t>
        </w:r>
      </w:hyperlink>
      <w:r w:rsidR="00E832AD">
        <w:rPr>
          <w:rFonts w:ascii="David" w:eastAsia="Calibri" w:hAnsi="David"/>
          <w:spacing w:val="10"/>
          <w:rtl/>
        </w:rPr>
        <w:t xml:space="preserve"> </w:t>
      </w:r>
      <w:r w:rsidRPr="00275FDE">
        <w:rPr>
          <w:rFonts w:ascii="David" w:eastAsia="Calibri" w:hAnsi="David"/>
          <w:rtl/>
        </w:rPr>
        <w:t>חן נ' מדינת ישראל</w:t>
      </w:r>
      <w:r w:rsidRPr="00275FDE">
        <w:rPr>
          <w:rFonts w:ascii="David" w:eastAsia="Calibri" w:hAnsi="David"/>
          <w:spacing w:val="10"/>
          <w:rtl/>
        </w:rPr>
        <w:t xml:space="preserve"> (4.2.2021)).</w:t>
      </w:r>
      <w:r w:rsidR="00E832AD">
        <w:rPr>
          <w:rFonts w:ascii="David" w:eastAsia="Calibri" w:hAnsi="David"/>
          <w:spacing w:val="10"/>
          <w:rtl/>
        </w:rPr>
        <w:t xml:space="preserve"> </w:t>
      </w:r>
    </w:p>
    <w:p w14:paraId="30F6424D" w14:textId="77777777" w:rsidR="0082475F" w:rsidRPr="00275FDE" w:rsidRDefault="0082475F" w:rsidP="0082475F">
      <w:pPr>
        <w:spacing w:after="240" w:line="360" w:lineRule="auto"/>
        <w:jc w:val="both"/>
        <w:rPr>
          <w:rFonts w:ascii="David" w:eastAsia="Calibri" w:hAnsi="David"/>
          <w:rtl/>
        </w:rPr>
      </w:pPr>
      <w:r w:rsidRPr="00275FDE">
        <w:rPr>
          <w:rFonts w:ascii="David" w:hAnsi="David"/>
          <w:color w:val="000000"/>
          <w:rtl/>
        </w:rPr>
        <w:t xml:space="preserve">בענייננו הורשע הנאשם בעבירות סחר בסם. עם זאת, מעובדות כתב האישום אכן עולה תמונה של מספר עסקאות בודדות. כך גם, כמות הסם שנסחרה נמוכה והתמורה הכספית שניתנה עבורה איננה גבוהה (כ- 5 גרם וכמאה וחמישים ש"ח). </w:t>
      </w:r>
    </w:p>
    <w:p w14:paraId="725A5006" w14:textId="77777777" w:rsidR="0082475F" w:rsidRPr="00275FDE" w:rsidRDefault="0082475F" w:rsidP="0082475F">
      <w:pPr>
        <w:spacing w:after="240" w:line="360" w:lineRule="auto"/>
        <w:jc w:val="both"/>
        <w:rPr>
          <w:rFonts w:ascii="David" w:eastAsia="Calibri" w:hAnsi="David"/>
          <w:rtl/>
        </w:rPr>
      </w:pPr>
      <w:r w:rsidRPr="00275FDE">
        <w:rPr>
          <w:rFonts w:ascii="David" w:eastAsia="Calibri" w:hAnsi="David"/>
          <w:rtl/>
        </w:rPr>
        <w:t xml:space="preserve">סקירת מדיניות הענישה הנוהגת בתיקי סחר מלמדת על טווח ענישה רחב התלוי לרוב בנסיבותיו של כל מקרה ומקרה, זאת בהתחשב בכמות הסם שנסחרה, סוג הסם ומספר העסקאות. </w:t>
      </w:r>
    </w:p>
    <w:p w14:paraId="0DBCDE09" w14:textId="77777777" w:rsidR="0082475F" w:rsidRPr="00275FDE" w:rsidRDefault="0082475F" w:rsidP="0082475F">
      <w:pPr>
        <w:spacing w:after="240" w:line="360" w:lineRule="auto"/>
        <w:jc w:val="both"/>
        <w:rPr>
          <w:rFonts w:ascii="David" w:hAnsi="David"/>
          <w:rtl/>
        </w:rPr>
      </w:pPr>
      <w:r w:rsidRPr="00275FDE">
        <w:rPr>
          <w:rFonts w:ascii="David" w:eastAsia="Calibri" w:hAnsi="David"/>
          <w:rtl/>
        </w:rPr>
        <w:t>ב</w:t>
      </w:r>
      <w:hyperlink r:id="rId27" w:history="1">
        <w:r w:rsidR="00E832AD" w:rsidRPr="00E832AD">
          <w:rPr>
            <w:rFonts w:ascii="David" w:eastAsia="Calibri" w:hAnsi="David"/>
            <w:color w:val="0000FF"/>
            <w:u w:val="single"/>
            <w:rtl/>
          </w:rPr>
          <w:t>רע"פ 4894/21</w:t>
        </w:r>
      </w:hyperlink>
      <w:r w:rsidRPr="00275FDE">
        <w:rPr>
          <w:rFonts w:ascii="David" w:eastAsia="Calibri" w:hAnsi="David"/>
          <w:rtl/>
        </w:rPr>
        <w:t xml:space="preserve"> </w:t>
      </w:r>
      <w:r w:rsidRPr="00275FDE">
        <w:rPr>
          <w:rFonts w:ascii="David" w:eastAsia="Calibri" w:hAnsi="David"/>
          <w:b/>
          <w:bCs/>
          <w:rtl/>
        </w:rPr>
        <w:t>אלטוחי נ' מדינת ישראל</w:t>
      </w:r>
      <w:r w:rsidRPr="00275FDE">
        <w:rPr>
          <w:rFonts w:ascii="David" w:eastAsia="Calibri" w:hAnsi="David"/>
          <w:rtl/>
        </w:rPr>
        <w:t xml:space="preserve"> (18.07.21) – נדחתה בקשת ערעור של נאשם שבית המשפט השלום דן אותו ל-12 חודשי מאסר בפועל לצד ענישה נלווית לאחר שהורשע במכירת 12 פלטות חשיש במשקל של 1,050 גרם תמורת 21,600 ₪.</w:t>
      </w:r>
    </w:p>
    <w:p w14:paraId="219EA975" w14:textId="77777777" w:rsidR="0082475F" w:rsidRPr="00275FDE" w:rsidRDefault="0082475F" w:rsidP="0082475F">
      <w:pPr>
        <w:spacing w:after="240" w:line="360" w:lineRule="auto"/>
        <w:jc w:val="both"/>
        <w:rPr>
          <w:rFonts w:ascii="David" w:hAnsi="David"/>
          <w:rtl/>
        </w:rPr>
      </w:pPr>
      <w:r w:rsidRPr="00275FDE">
        <w:rPr>
          <w:rFonts w:ascii="David" w:eastAsia="Calibri" w:hAnsi="David"/>
          <w:rtl/>
        </w:rPr>
        <w:t xml:space="preserve">בע"פ </w:t>
      </w:r>
      <w:hyperlink r:id="rId28" w:history="1">
        <w:r w:rsidR="00F56EAB" w:rsidRPr="00F56EAB">
          <w:rPr>
            <w:rFonts w:ascii="David" w:eastAsia="Calibri" w:hAnsi="David"/>
            <w:color w:val="0000FF"/>
            <w:u w:val="single"/>
            <w:rtl/>
          </w:rPr>
          <w:t>3059/21</w:t>
        </w:r>
      </w:hyperlink>
      <w:r w:rsidR="00E832AD">
        <w:rPr>
          <w:rFonts w:ascii="David" w:eastAsia="Calibri" w:hAnsi="David"/>
          <w:rtl/>
        </w:rPr>
        <w:t xml:space="preserve"> </w:t>
      </w:r>
      <w:r w:rsidRPr="00275FDE">
        <w:rPr>
          <w:rFonts w:ascii="David" w:eastAsia="Calibri" w:hAnsi="David"/>
          <w:b/>
          <w:bCs/>
          <w:rtl/>
        </w:rPr>
        <w:t>ימין נ' מדינת ישראל</w:t>
      </w:r>
      <w:r w:rsidR="00E832AD">
        <w:rPr>
          <w:rFonts w:ascii="David" w:eastAsia="Calibri" w:hAnsi="David"/>
          <w:rtl/>
        </w:rPr>
        <w:t xml:space="preserve"> </w:t>
      </w:r>
      <w:r w:rsidRPr="00275FDE">
        <w:rPr>
          <w:rFonts w:ascii="David" w:eastAsia="Calibri" w:hAnsi="David"/>
          <w:rtl/>
        </w:rPr>
        <w:t>(05.05.21) – נדחתה בקשת ערעור של נאשם שבית המשפט השלום דן אותו ל-8 חודשי עבודות שירות תוך חריגה ממתחם ענישה שנקבע כנע בין 10 ל-20 חודשי מאסר בפועל לאחר שהורשע בחמש עבירות סחר בסם, החזקת סמים שלא צריכה עצמית והחזקת כלים להכנת סם.</w:t>
      </w:r>
      <w:r w:rsidRPr="00275FDE">
        <w:rPr>
          <w:rFonts w:ascii="David" w:hAnsi="David"/>
          <w:rtl/>
        </w:rPr>
        <w:t xml:space="preserve"> הנאשם ביצע עסקאות סם במסגרת "טלגראס", קיבל שכר יומי, החזיק ברכבו 50 ג' קנאביס מחולק למנות וכן שקיות חלוקה, משקל וסכום כסף של מעל  25,000 ₪ במזומן.</w:t>
      </w:r>
    </w:p>
    <w:p w14:paraId="5ED7AB18" w14:textId="77777777" w:rsidR="0082475F" w:rsidRPr="00275FDE" w:rsidRDefault="0082475F" w:rsidP="0082475F">
      <w:pPr>
        <w:shd w:val="clear" w:color="auto" w:fill="FFFFFF"/>
        <w:spacing w:after="240" w:line="360" w:lineRule="auto"/>
        <w:jc w:val="both"/>
        <w:rPr>
          <w:rFonts w:ascii="David" w:eastAsia="Calibri" w:hAnsi="David"/>
          <w:rtl/>
        </w:rPr>
      </w:pPr>
      <w:r w:rsidRPr="00275FDE">
        <w:rPr>
          <w:rFonts w:ascii="David" w:eastAsia="Calibri" w:hAnsi="David"/>
          <w:rtl/>
        </w:rPr>
        <w:t xml:space="preserve">בע"פ </w:t>
      </w:r>
      <w:hyperlink r:id="rId29" w:history="1">
        <w:r w:rsidR="00F56EAB" w:rsidRPr="00F56EAB">
          <w:rPr>
            <w:rFonts w:ascii="David" w:eastAsia="Calibri" w:hAnsi="David"/>
            <w:color w:val="0000FF"/>
            <w:u w:val="single"/>
            <w:rtl/>
          </w:rPr>
          <w:t xml:space="preserve">7858/19 </w:t>
        </w:r>
      </w:hyperlink>
      <w:r w:rsidR="00E832AD">
        <w:rPr>
          <w:rFonts w:ascii="David" w:eastAsia="Calibri" w:hAnsi="David"/>
          <w:rtl/>
        </w:rPr>
        <w:t xml:space="preserve"> </w:t>
      </w:r>
      <w:r w:rsidRPr="00275FDE">
        <w:rPr>
          <w:rFonts w:ascii="David" w:eastAsia="Calibri" w:hAnsi="David"/>
          <w:b/>
          <w:bCs/>
          <w:rtl/>
        </w:rPr>
        <w:t>וקנין נ' מדינת ישראל</w:t>
      </w:r>
      <w:r w:rsidR="00E832AD">
        <w:rPr>
          <w:rFonts w:ascii="David" w:eastAsia="Calibri" w:hAnsi="David"/>
          <w:b/>
          <w:bCs/>
          <w:rtl/>
        </w:rPr>
        <w:t xml:space="preserve"> </w:t>
      </w:r>
      <w:r w:rsidRPr="00275FDE">
        <w:rPr>
          <w:rFonts w:ascii="David" w:eastAsia="Calibri" w:hAnsi="David"/>
          <w:rtl/>
        </w:rPr>
        <w:t>(28.11.19) – נדחתה בקשת ערעור של נאשם שהורשע בבית משפט השלום בביצוע 2 עסקאות סם מסוג קנאביס וחשיש במשקל של כ-5 ג'. בית המשפט קבע מתחם ענישה שנע בין מספר חודשי מאסר בפועל ועד לשמונה חודשי עבודות שירות ודן את הנאשם לחמישה חודשי מאסר. לאחר הפעלת 3 מאסרים מותנים נדון הנאשם ל-12 חודשי מאסר.</w:t>
      </w:r>
    </w:p>
    <w:p w14:paraId="12CB9D66" w14:textId="77777777" w:rsidR="0082475F" w:rsidRPr="00275FDE" w:rsidRDefault="0082475F" w:rsidP="0082475F">
      <w:pPr>
        <w:spacing w:after="120" w:line="360" w:lineRule="auto"/>
        <w:jc w:val="both"/>
        <w:rPr>
          <w:rFonts w:ascii="David" w:eastAsia="Calibri" w:hAnsi="David"/>
          <w:noProof/>
          <w:rtl/>
        </w:rPr>
      </w:pPr>
      <w:r w:rsidRPr="00275FDE">
        <w:rPr>
          <w:rFonts w:ascii="David" w:hAnsi="David"/>
          <w:noProof/>
          <w:rtl/>
        </w:rPr>
        <w:t>על כן ולאור כל האמור לעיל, בהתחשב בשיקולים האמורים ובנסיבות המקרה דנא שהינן קלות יותר מנסיבות הפסיקה שנסקרה, אני קובע כי מתחם העונש ההולם ביחס לעבירות בהן הורשע הנאשם, הינו מ-3 חודשי מאסר בפועל ועד 9 חודשי מאסר בפועל לצד ענישה נלווית.</w:t>
      </w:r>
    </w:p>
    <w:p w14:paraId="28621830" w14:textId="77777777" w:rsidR="0082475F" w:rsidRPr="00275FDE" w:rsidRDefault="0082475F" w:rsidP="0082475F">
      <w:pPr>
        <w:spacing w:after="120" w:line="360" w:lineRule="auto"/>
        <w:jc w:val="both"/>
        <w:rPr>
          <w:rFonts w:ascii="Tahoma" w:hAnsi="Tahoma"/>
          <w:noProof/>
        </w:rPr>
      </w:pPr>
    </w:p>
    <w:p w14:paraId="5646C3E0" w14:textId="77777777" w:rsidR="0082475F" w:rsidRPr="00275FDE" w:rsidRDefault="0082475F" w:rsidP="0082475F">
      <w:pPr>
        <w:spacing w:after="120" w:line="360" w:lineRule="auto"/>
        <w:jc w:val="both"/>
        <w:rPr>
          <w:rFonts w:ascii="Tahoma" w:hAnsi="Tahoma"/>
          <w:b/>
          <w:bCs/>
          <w:u w:val="single"/>
          <w:rtl/>
        </w:rPr>
      </w:pPr>
      <w:r w:rsidRPr="00275FDE">
        <w:rPr>
          <w:rFonts w:ascii="Tahoma" w:hAnsi="Tahoma"/>
          <w:u w:val="single"/>
          <w:rtl/>
        </w:rPr>
        <w:t>גזירת עונשו של הנאשם בתוך מתחם העונש ההולם</w:t>
      </w:r>
      <w:r w:rsidRPr="00275FDE">
        <w:rPr>
          <w:rFonts w:ascii="Tahoma" w:hAnsi="Tahoma"/>
          <w:rtl/>
        </w:rPr>
        <w:t>:</w:t>
      </w:r>
    </w:p>
    <w:p w14:paraId="73D54B6D" w14:textId="77777777" w:rsidR="0082475F" w:rsidRPr="00275FDE" w:rsidRDefault="0082475F" w:rsidP="0082475F">
      <w:pPr>
        <w:spacing w:before="100" w:beforeAutospacing="1" w:after="100" w:afterAutospacing="1" w:line="360" w:lineRule="auto"/>
        <w:ind w:left="584" w:hanging="584"/>
        <w:jc w:val="both"/>
        <w:rPr>
          <w:rFonts w:ascii="David" w:hAnsi="David"/>
          <w:rtl/>
        </w:rPr>
      </w:pPr>
      <w:r w:rsidRPr="00275FDE">
        <w:rPr>
          <w:rFonts w:ascii="David" w:hAnsi="David"/>
          <w:rtl/>
        </w:rPr>
        <w:t>על שיקולי ענישה, עמד בהרחבה כב' בית המשפט העליון ב</w:t>
      </w:r>
      <w:hyperlink r:id="rId30" w:history="1">
        <w:r w:rsidR="00E832AD" w:rsidRPr="00E832AD">
          <w:rPr>
            <w:rFonts w:ascii="David" w:hAnsi="David"/>
            <w:color w:val="0000FF"/>
            <w:u w:val="single"/>
            <w:rtl/>
          </w:rPr>
          <w:t>ע"פ 11699/05</w:t>
        </w:r>
      </w:hyperlink>
      <w:r w:rsidRPr="00275FDE">
        <w:rPr>
          <w:rFonts w:ascii="David" w:hAnsi="David"/>
          <w:rtl/>
        </w:rPr>
        <w:t xml:space="preserve"> </w:t>
      </w:r>
      <w:r w:rsidRPr="00275FDE">
        <w:rPr>
          <w:rFonts w:ascii="David" w:hAnsi="David"/>
          <w:b/>
          <w:bCs/>
          <w:rtl/>
        </w:rPr>
        <w:t>סרפו נ' מ"י</w:t>
      </w:r>
      <w:r w:rsidRPr="00275FDE">
        <w:rPr>
          <w:rFonts w:ascii="David" w:hAnsi="David"/>
          <w:rtl/>
        </w:rPr>
        <w:t xml:space="preserve"> (23/6/08):</w:t>
      </w:r>
    </w:p>
    <w:p w14:paraId="58BB99BE" w14:textId="77777777" w:rsidR="0082475F" w:rsidRPr="00275FDE" w:rsidRDefault="0082475F" w:rsidP="0082475F">
      <w:pPr>
        <w:overflowPunct w:val="0"/>
        <w:spacing w:line="360" w:lineRule="auto"/>
        <w:ind w:left="851" w:right="851"/>
        <w:jc w:val="both"/>
        <w:rPr>
          <w:rFonts w:ascii="David" w:hAnsi="David"/>
          <w:b/>
          <w:bCs/>
        </w:rPr>
      </w:pPr>
      <w:r w:rsidRPr="00275FDE">
        <w:rPr>
          <w:rFonts w:ascii="David" w:hAnsi="David"/>
          <w:b/>
          <w:bCs/>
          <w:spacing w:val="1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300605AF" w14:textId="77777777" w:rsidR="0082475F" w:rsidRPr="00275FDE" w:rsidRDefault="00E832AD" w:rsidP="0082475F">
      <w:pPr>
        <w:overflowPunct w:val="0"/>
        <w:spacing w:line="360" w:lineRule="auto"/>
        <w:ind w:left="851" w:right="851"/>
        <w:jc w:val="both"/>
        <w:rPr>
          <w:rFonts w:ascii="David" w:hAnsi="David"/>
          <w:b/>
          <w:bCs/>
        </w:rPr>
      </w:pPr>
      <w:r>
        <w:rPr>
          <w:rFonts w:ascii="David" w:hAnsi="David"/>
          <w:b/>
          <w:bCs/>
          <w:spacing w:val="10"/>
          <w:rtl/>
        </w:rPr>
        <w:t xml:space="preserve"> </w:t>
      </w:r>
    </w:p>
    <w:p w14:paraId="7214E77C" w14:textId="77777777" w:rsidR="0082475F" w:rsidRPr="00275FDE" w:rsidRDefault="00E832AD" w:rsidP="0082475F">
      <w:pPr>
        <w:overflowPunct w:val="0"/>
        <w:spacing w:line="360" w:lineRule="auto"/>
        <w:ind w:left="851" w:right="851"/>
        <w:jc w:val="both"/>
        <w:rPr>
          <w:rFonts w:ascii="David" w:hAnsi="David"/>
          <w:rtl/>
        </w:rPr>
      </w:pPr>
      <w:r>
        <w:rPr>
          <w:rFonts w:ascii="David" w:hAnsi="David"/>
          <w:b/>
          <w:bCs/>
          <w:spacing w:val="10"/>
          <w:rtl/>
        </w:rPr>
        <w:t xml:space="preserve">       </w:t>
      </w:r>
      <w:r w:rsidR="0082475F" w:rsidRPr="00275FDE">
        <w:rPr>
          <w:rFonts w:ascii="David" w:hAnsi="David"/>
          <w:b/>
          <w:bCs/>
          <w:spacing w:val="1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w:t>
      </w:r>
      <w:r w:rsidR="0082475F" w:rsidRPr="005C2E03">
        <w:rPr>
          <w:rFonts w:ascii="David" w:hAnsi="David"/>
          <w:b/>
          <w:bCs/>
          <w:spacing w:val="10"/>
          <w:rtl/>
        </w:rPr>
        <w:t>" (</w:t>
      </w:r>
      <w:hyperlink r:id="rId31" w:history="1">
        <w:r w:rsidRPr="00E832AD">
          <w:rPr>
            <w:rFonts w:ascii="David" w:hAnsi="David"/>
            <w:b/>
            <w:bCs/>
            <w:color w:val="0000FF"/>
            <w:u w:val="single"/>
            <w:rtl/>
          </w:rPr>
          <w:t>ע"פ 212/79</w:t>
        </w:r>
      </w:hyperlink>
      <w:r w:rsidR="0082475F" w:rsidRPr="005C2E03">
        <w:rPr>
          <w:rFonts w:ascii="David" w:hAnsi="David"/>
          <w:b/>
          <w:bCs/>
          <w:rtl/>
        </w:rPr>
        <w:t xml:space="preserve"> פלוני נ' מדינת ישראל, פ"ד לד</w:t>
      </w:r>
      <w:r w:rsidR="0082475F" w:rsidRPr="005C2E03">
        <w:rPr>
          <w:rFonts w:ascii="David" w:hAnsi="David"/>
          <w:b/>
          <w:bCs/>
          <w:spacing w:val="10"/>
          <w:rtl/>
        </w:rPr>
        <w:t xml:space="preserve">(2) 421, </w:t>
      </w:r>
      <w:r w:rsidR="0082475F" w:rsidRPr="00275FDE">
        <w:rPr>
          <w:rFonts w:ascii="David" w:hAnsi="David"/>
          <w:b/>
          <w:bCs/>
          <w:spacing w:val="10"/>
          <w:rtl/>
        </w:rPr>
        <w:t>434 (1979))....".</w:t>
      </w:r>
    </w:p>
    <w:p w14:paraId="270162E1" w14:textId="77777777" w:rsidR="0082475F" w:rsidRPr="00275FDE" w:rsidRDefault="0082475F" w:rsidP="0082475F">
      <w:pPr>
        <w:overflowPunct w:val="0"/>
        <w:spacing w:line="360" w:lineRule="auto"/>
        <w:ind w:left="584" w:right="600" w:hanging="584"/>
        <w:jc w:val="both"/>
        <w:rPr>
          <w:rFonts w:cs="Times New Roman"/>
          <w:sz w:val="20"/>
          <w:szCs w:val="20"/>
          <w:rtl/>
        </w:rPr>
      </w:pPr>
    </w:p>
    <w:p w14:paraId="7B3B1BB0" w14:textId="77777777" w:rsidR="0082475F" w:rsidRPr="00275FDE" w:rsidRDefault="0082475F" w:rsidP="0082475F">
      <w:pPr>
        <w:spacing w:line="360" w:lineRule="auto"/>
        <w:jc w:val="both"/>
        <w:rPr>
          <w:rFonts w:ascii="David" w:eastAsia="Calibri" w:hAnsi="David"/>
          <w:rtl/>
        </w:rPr>
      </w:pPr>
      <w:r w:rsidRPr="00275FDE">
        <w:rPr>
          <w:rFonts w:ascii="David" w:eastAsia="Calibri" w:hAnsi="David"/>
          <w:rtl/>
        </w:rPr>
        <w:t>הנאשם, צעיר כבן 23, הודה בהזדמנות הראשונה, לקח אחריות, חסך את עדותם של עדים רבים ולכן חסך בזמן שיפוטי יקר.</w:t>
      </w:r>
    </w:p>
    <w:p w14:paraId="25A239DB" w14:textId="77777777" w:rsidR="0082475F" w:rsidRPr="00275FDE" w:rsidRDefault="0082475F" w:rsidP="0082475F">
      <w:pPr>
        <w:spacing w:line="360" w:lineRule="auto"/>
        <w:jc w:val="both"/>
        <w:rPr>
          <w:rFonts w:ascii="David" w:eastAsia="Calibri" w:hAnsi="David"/>
          <w:rtl/>
        </w:rPr>
      </w:pPr>
    </w:p>
    <w:p w14:paraId="5B925768" w14:textId="77777777" w:rsidR="0082475F" w:rsidRPr="00275FDE" w:rsidRDefault="0082475F" w:rsidP="0082475F">
      <w:pPr>
        <w:spacing w:line="360" w:lineRule="auto"/>
        <w:jc w:val="both"/>
        <w:rPr>
          <w:rFonts w:cs="Times New Roman"/>
          <w:color w:val="000000"/>
          <w:sz w:val="27"/>
          <w:szCs w:val="27"/>
          <w:rtl/>
        </w:rPr>
      </w:pPr>
      <w:r w:rsidRPr="00275FDE">
        <w:rPr>
          <w:rFonts w:ascii="David" w:hAnsi="David"/>
          <w:color w:val="000000"/>
          <w:rtl/>
        </w:rPr>
        <w:t>לחובת הנאשם 2 הרשעות קודמות שלא בעבירות סמים, בגין האחרונה שבהן נדון לשבעה חודשי מאסר בפועל.</w:t>
      </w:r>
    </w:p>
    <w:p w14:paraId="18300A40" w14:textId="77777777" w:rsidR="0082475F" w:rsidRPr="00275FDE" w:rsidRDefault="0082475F" w:rsidP="0082475F">
      <w:pPr>
        <w:spacing w:before="240" w:after="240" w:line="360" w:lineRule="auto"/>
        <w:rPr>
          <w:rFonts w:ascii="David" w:hAnsi="David"/>
          <w:color w:val="000000"/>
          <w:rtl/>
        </w:rPr>
      </w:pPr>
      <w:r w:rsidRPr="00275FDE">
        <w:rPr>
          <w:rFonts w:ascii="David" w:hAnsi="David"/>
          <w:color w:val="000000"/>
          <w:rtl/>
        </w:rPr>
        <w:t>לנוכח האמור,</w:t>
      </w:r>
      <w:r w:rsidR="00E832AD">
        <w:rPr>
          <w:rFonts w:ascii="David" w:hAnsi="David"/>
          <w:color w:val="000000"/>
          <w:rtl/>
        </w:rPr>
        <w:t xml:space="preserve"> </w:t>
      </w:r>
      <w:r w:rsidRPr="00275FDE">
        <w:rPr>
          <w:rFonts w:ascii="David" w:hAnsi="David"/>
          <w:color w:val="000000"/>
          <w:rtl/>
        </w:rPr>
        <w:t>אמקם את הנאשם ברף האמצעי</w:t>
      </w:r>
      <w:r w:rsidR="00E832AD">
        <w:rPr>
          <w:rFonts w:ascii="David" w:hAnsi="David"/>
          <w:color w:val="000000"/>
          <w:rtl/>
        </w:rPr>
        <w:t xml:space="preserve"> </w:t>
      </w:r>
      <w:r w:rsidRPr="00275FDE">
        <w:rPr>
          <w:rFonts w:ascii="David" w:hAnsi="David"/>
          <w:color w:val="000000"/>
          <w:rtl/>
        </w:rPr>
        <w:t>של מתחם העונש ההולם.</w:t>
      </w:r>
    </w:p>
    <w:p w14:paraId="0605E816" w14:textId="77777777" w:rsidR="0082475F" w:rsidRPr="00275FDE" w:rsidRDefault="0082475F" w:rsidP="0082475F">
      <w:pPr>
        <w:spacing w:line="360" w:lineRule="auto"/>
        <w:jc w:val="both"/>
        <w:rPr>
          <w:rFonts w:ascii="Arial" w:hAnsi="Arial"/>
          <w:rtl/>
        </w:rPr>
      </w:pPr>
      <w:r w:rsidRPr="00275FDE">
        <w:rPr>
          <w:rFonts w:ascii="Arial" w:hAnsi="Arial"/>
          <w:rtl/>
        </w:rPr>
        <w:t xml:space="preserve">משנאמר כל זאת, ולאחר שנשקלו כל השיקולים הרלוונטיים אשר צוינו לעיל, תוך עריכת איזון בין רכיבי הענישה השונים, אני מטיל על הנאשם את העונשים הבאים: </w:t>
      </w:r>
    </w:p>
    <w:p w14:paraId="2BA53543" w14:textId="77777777" w:rsidR="0082475F" w:rsidRPr="00275FDE" w:rsidRDefault="0082475F" w:rsidP="0082475F">
      <w:pPr>
        <w:spacing w:line="360" w:lineRule="auto"/>
        <w:jc w:val="both"/>
        <w:rPr>
          <w:rFonts w:ascii="Arial" w:hAnsi="Arial"/>
          <w:rtl/>
        </w:rPr>
      </w:pPr>
      <w:r w:rsidRPr="00275FDE">
        <w:rPr>
          <w:rFonts w:ascii="Arial" w:hAnsi="Arial"/>
          <w:rtl/>
        </w:rPr>
        <w:t xml:space="preserve"> </w:t>
      </w:r>
    </w:p>
    <w:p w14:paraId="7BF917B0" w14:textId="77777777" w:rsidR="0082475F" w:rsidRPr="00275FDE" w:rsidRDefault="0082475F" w:rsidP="0082475F">
      <w:pPr>
        <w:numPr>
          <w:ilvl w:val="0"/>
          <w:numId w:val="1"/>
        </w:numPr>
        <w:spacing w:after="160" w:line="360" w:lineRule="auto"/>
        <w:contextualSpacing/>
        <w:jc w:val="both"/>
        <w:rPr>
          <w:rFonts w:ascii="Calibri" w:hAnsi="Calibri" w:cs="Arial"/>
          <w:sz w:val="22"/>
          <w:szCs w:val="22"/>
          <w:rtl/>
        </w:rPr>
      </w:pPr>
      <w:r w:rsidRPr="00275FDE">
        <w:rPr>
          <w:rFonts w:ascii="David" w:hAnsi="David"/>
          <w:rtl/>
        </w:rPr>
        <w:t xml:space="preserve">6 חודשי מאסר בפועל שיבוצעו בעבודות שירות בעמותה למען הקשיש בחדרה בניכוי ימי מעצרו של הנאשם על פי רישומי שב"ס. </w:t>
      </w:r>
    </w:p>
    <w:p w14:paraId="1E0EBEAA" w14:textId="77777777" w:rsidR="0082475F" w:rsidRPr="00275FDE" w:rsidRDefault="0082475F" w:rsidP="0082475F">
      <w:pPr>
        <w:spacing w:line="360" w:lineRule="auto"/>
        <w:ind w:left="1080"/>
        <w:contextualSpacing/>
        <w:jc w:val="both"/>
        <w:rPr>
          <w:rFonts w:ascii="Calibri" w:hAnsi="Calibri" w:cs="Arial"/>
          <w:sz w:val="22"/>
          <w:szCs w:val="22"/>
        </w:rPr>
      </w:pPr>
      <w:r w:rsidRPr="00275FDE">
        <w:rPr>
          <w:rFonts w:ascii="David" w:hAnsi="David"/>
          <w:rtl/>
        </w:rPr>
        <w:t>הנאשם יתייצב בתאריך</w:t>
      </w:r>
      <w:r>
        <w:rPr>
          <w:rFonts w:ascii="David" w:hAnsi="David" w:hint="cs"/>
          <w:rtl/>
        </w:rPr>
        <w:t xml:space="preserve"> </w:t>
      </w:r>
      <w:r w:rsidRPr="00275FDE">
        <w:rPr>
          <w:rFonts w:ascii="David" w:hAnsi="David"/>
          <w:rtl/>
        </w:rPr>
        <w:t xml:space="preserve"> </w:t>
      </w:r>
      <w:r>
        <w:rPr>
          <w:rFonts w:ascii="David" w:hAnsi="David" w:hint="cs"/>
          <w:rtl/>
        </w:rPr>
        <w:t>19</w:t>
      </w:r>
      <w:r w:rsidRPr="00275FDE">
        <w:rPr>
          <w:rFonts w:ascii="David" w:hAnsi="David"/>
          <w:rtl/>
        </w:rPr>
        <w:t>.</w:t>
      </w:r>
      <w:r>
        <w:rPr>
          <w:rFonts w:ascii="David" w:hAnsi="David" w:hint="cs"/>
          <w:rtl/>
        </w:rPr>
        <w:t>02</w:t>
      </w:r>
      <w:r w:rsidRPr="00275FDE">
        <w:rPr>
          <w:rFonts w:ascii="David" w:hAnsi="David"/>
          <w:rtl/>
        </w:rPr>
        <w:t>.23 בשעה 08:00 במשרדי יחידת ברקאי – עבודות שירות – שלוחת צפון – סמוך לבית סוהר מגידו.</w:t>
      </w:r>
      <w:r w:rsidRPr="00275FDE">
        <w:rPr>
          <w:rFonts w:ascii="Calibri" w:hAnsi="Calibri" w:cs="Arial"/>
          <w:sz w:val="22"/>
          <w:szCs w:val="22"/>
          <w:rtl/>
        </w:rPr>
        <w:t xml:space="preserve"> </w:t>
      </w:r>
    </w:p>
    <w:p w14:paraId="36B53FD3" w14:textId="77777777" w:rsidR="0082475F" w:rsidRPr="00275FDE" w:rsidRDefault="0082475F" w:rsidP="0082475F">
      <w:pPr>
        <w:spacing w:line="360" w:lineRule="auto"/>
        <w:ind w:left="1080"/>
        <w:contextualSpacing/>
        <w:jc w:val="both"/>
        <w:rPr>
          <w:rFonts w:ascii="Calibri" w:hAnsi="Calibri" w:cs="Arial"/>
          <w:sz w:val="22"/>
          <w:szCs w:val="22"/>
          <w:rtl/>
        </w:rPr>
      </w:pPr>
    </w:p>
    <w:p w14:paraId="625E40BD" w14:textId="77777777" w:rsidR="0082475F" w:rsidRPr="00275FDE" w:rsidRDefault="0082475F" w:rsidP="0082475F">
      <w:pPr>
        <w:numPr>
          <w:ilvl w:val="0"/>
          <w:numId w:val="1"/>
        </w:numPr>
        <w:spacing w:after="160" w:line="360" w:lineRule="auto"/>
        <w:contextualSpacing/>
        <w:jc w:val="both"/>
        <w:rPr>
          <w:rFonts w:ascii="Calibri" w:hAnsi="Calibri" w:cs="Arial"/>
          <w:sz w:val="22"/>
          <w:szCs w:val="22"/>
        </w:rPr>
      </w:pPr>
      <w:r w:rsidRPr="00275FDE">
        <w:rPr>
          <w:rFonts w:ascii="David" w:hAnsi="David"/>
          <w:rtl/>
        </w:rPr>
        <w:t xml:space="preserve">מאסר על תנאי 6 חודשים שלא יעבור תוך 3 שנים מהיום על עבירה בה הורשע בתיק זה או כל עבירה לפי </w:t>
      </w:r>
      <w:hyperlink r:id="rId32" w:history="1">
        <w:r w:rsidR="00E832AD" w:rsidRPr="00E832AD">
          <w:rPr>
            <w:rFonts w:ascii="David" w:hAnsi="David"/>
            <w:color w:val="0000FF"/>
            <w:u w:val="single"/>
            <w:rtl/>
          </w:rPr>
          <w:t>פקודת הסמים המסוכנים</w:t>
        </w:r>
      </w:hyperlink>
      <w:r w:rsidRPr="00275FDE">
        <w:rPr>
          <w:rFonts w:ascii="David" w:hAnsi="David"/>
          <w:rtl/>
        </w:rPr>
        <w:t xml:space="preserve"> מסוג פשע ויורשע בה.</w:t>
      </w:r>
    </w:p>
    <w:p w14:paraId="54E6909D" w14:textId="77777777" w:rsidR="0082475F" w:rsidRDefault="0082475F" w:rsidP="0082475F">
      <w:pPr>
        <w:spacing w:line="360" w:lineRule="auto"/>
        <w:ind w:left="1088" w:hanging="720"/>
        <w:jc w:val="both"/>
        <w:rPr>
          <w:rtl/>
        </w:rPr>
      </w:pPr>
    </w:p>
    <w:p w14:paraId="2C46BDD7" w14:textId="77777777" w:rsidR="0082475F" w:rsidRDefault="0082475F" w:rsidP="0082475F">
      <w:pPr>
        <w:spacing w:line="360" w:lineRule="auto"/>
        <w:ind w:left="1088" w:hanging="720"/>
        <w:jc w:val="both"/>
        <w:rPr>
          <w:rtl/>
        </w:rPr>
      </w:pPr>
    </w:p>
    <w:p w14:paraId="30ED9CAD" w14:textId="77777777" w:rsidR="0082475F" w:rsidRPr="00275FDE" w:rsidRDefault="0082475F" w:rsidP="0082475F">
      <w:pPr>
        <w:spacing w:line="360" w:lineRule="auto"/>
        <w:ind w:left="1088" w:hanging="720"/>
        <w:jc w:val="both"/>
        <w:rPr>
          <w:rtl/>
        </w:rPr>
      </w:pPr>
    </w:p>
    <w:p w14:paraId="26A05BD6" w14:textId="77777777" w:rsidR="0082475F" w:rsidRDefault="0082475F" w:rsidP="0082475F">
      <w:pPr>
        <w:spacing w:line="360" w:lineRule="auto"/>
        <w:ind w:left="1088" w:hanging="720"/>
        <w:jc w:val="both"/>
        <w:rPr>
          <w:rFonts w:ascii="David" w:hAnsi="David"/>
        </w:rPr>
      </w:pPr>
      <w:r w:rsidRPr="00275FDE">
        <w:rPr>
          <w:rtl/>
        </w:rPr>
        <w:t>3.</w:t>
      </w:r>
      <w:r>
        <w:rPr>
          <w:rtl/>
        </w:rPr>
        <w:tab/>
      </w:r>
      <w:r w:rsidRPr="00275FDE">
        <w:rPr>
          <w:rtl/>
        </w:rPr>
        <w:t>קנס בסך 3,000 ₪.</w:t>
      </w:r>
      <w:r>
        <w:rPr>
          <w:rFonts w:ascii="David" w:hAnsi="David" w:hint="cs"/>
          <w:rtl/>
        </w:rPr>
        <w:t xml:space="preserve"> </w:t>
      </w:r>
      <w:r>
        <w:rPr>
          <w:rFonts w:ascii="David" w:hAnsi="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hint="cs"/>
          <w:rtl/>
        </w:rPr>
        <w:t>10/7/23</w:t>
      </w:r>
      <w:r>
        <w:rPr>
          <w:rFonts w:ascii="David" w:hAnsi="David"/>
          <w:rtl/>
        </w:rPr>
        <w:t xml:space="preserve"> וזאת באחת מהדרכים הבאות:</w:t>
      </w:r>
    </w:p>
    <w:p w14:paraId="70EFE30D" w14:textId="77777777" w:rsidR="0082475F" w:rsidRDefault="0082475F" w:rsidP="0082475F">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33" w:history="1">
        <w:r>
          <w:rPr>
            <w:rStyle w:val="Hyperlink"/>
            <w:rFonts w:ascii="Arial" w:hAnsi="Arial" w:cs="Arial"/>
          </w:rPr>
          <w:t>www.eca.gov.il</w:t>
        </w:r>
      </w:hyperlink>
      <w:r>
        <w:rPr>
          <w:rFonts w:ascii="Arial" w:hAnsi="Arial" w:cs="Arial"/>
        </w:rPr>
        <w:t xml:space="preserve"> </w:t>
      </w:r>
      <w:r w:rsidR="00E832AD">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3DE66069" w14:textId="77777777" w:rsidR="0082475F" w:rsidRDefault="0082475F" w:rsidP="0082475F">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E832AD">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4A0D6B32" w14:textId="77777777" w:rsidR="0082475F" w:rsidRDefault="0082475F" w:rsidP="0082475F">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7FD628D7" w14:textId="77777777" w:rsidR="0082475F" w:rsidRDefault="0082475F" w:rsidP="0082475F">
      <w:pPr>
        <w:spacing w:line="360" w:lineRule="auto"/>
        <w:rPr>
          <w:rFonts w:ascii="David" w:hAnsi="David"/>
          <w:b/>
          <w:bCs/>
        </w:rPr>
      </w:pPr>
    </w:p>
    <w:p w14:paraId="55E9AB7A" w14:textId="77777777" w:rsidR="0082475F" w:rsidRPr="00275FDE" w:rsidRDefault="0082475F" w:rsidP="0082475F">
      <w:pPr>
        <w:spacing w:after="160" w:line="360" w:lineRule="auto"/>
        <w:rPr>
          <w:b/>
          <w:bCs/>
          <w:rtl/>
        </w:rPr>
      </w:pPr>
      <w:r w:rsidRPr="00275FDE">
        <w:rPr>
          <w:b/>
          <w:bCs/>
          <w:rtl/>
        </w:rPr>
        <w:t>ניתן בזאת צו להשמדת הסמים.</w:t>
      </w:r>
    </w:p>
    <w:p w14:paraId="00644C67" w14:textId="77777777" w:rsidR="0082475F" w:rsidRPr="00275FDE" w:rsidRDefault="00E832AD" w:rsidP="0082475F">
      <w:pPr>
        <w:spacing w:after="160" w:line="360" w:lineRule="auto"/>
        <w:rPr>
          <w:rFonts w:ascii="Calibri" w:hAnsi="Calibri" w:cs="Arial"/>
          <w:sz w:val="22"/>
          <w:szCs w:val="22"/>
          <w:rtl/>
        </w:rPr>
      </w:pPr>
      <w:r w:rsidRPr="00E832AD">
        <w:rPr>
          <w:b/>
          <w:bCs/>
          <w:color w:val="FFFFFF"/>
          <w:sz w:val="2"/>
          <w:szCs w:val="2"/>
          <w:rtl/>
        </w:rPr>
        <w:t>5129371</w:t>
      </w:r>
      <w:r w:rsidR="0082475F" w:rsidRPr="00275FDE">
        <w:rPr>
          <w:b/>
          <w:bCs/>
          <w:rtl/>
        </w:rPr>
        <w:t>זכות ערעור לבית המשפט המחוזי בחיפה תוך 45 ימים מהיום.</w:t>
      </w:r>
      <w:r w:rsidR="0082475F" w:rsidRPr="00275FDE">
        <w:rPr>
          <w:rtl/>
        </w:rPr>
        <w:t xml:space="preserve">  </w:t>
      </w:r>
    </w:p>
    <w:p w14:paraId="22D3C02B" w14:textId="77777777" w:rsidR="0082475F" w:rsidRPr="00E832AD" w:rsidRDefault="00E832AD" w:rsidP="0082475F">
      <w:pPr>
        <w:rPr>
          <w:rFonts w:ascii="Arial" w:hAnsi="Arial"/>
          <w:b/>
          <w:bCs/>
          <w:color w:val="FFFFFF"/>
          <w:sz w:val="2"/>
          <w:szCs w:val="2"/>
          <w:rtl/>
        </w:rPr>
      </w:pPr>
      <w:r w:rsidRPr="00E832AD">
        <w:rPr>
          <w:rFonts w:ascii="Arial" w:hAnsi="Arial"/>
          <w:b/>
          <w:bCs/>
          <w:color w:val="FFFFFF"/>
          <w:sz w:val="2"/>
          <w:szCs w:val="2"/>
          <w:rtl/>
        </w:rPr>
        <w:t>54678313</w:t>
      </w:r>
    </w:p>
    <w:p w14:paraId="308006AB" w14:textId="77777777" w:rsidR="0082475F" w:rsidRPr="000F2247" w:rsidRDefault="0082475F" w:rsidP="0082475F">
      <w:pPr>
        <w:rPr>
          <w:rFonts w:ascii="Arial" w:hAnsi="Arial"/>
          <w:b/>
          <w:bCs/>
          <w:sz w:val="26"/>
          <w:szCs w:val="26"/>
          <w:rtl/>
        </w:rPr>
      </w:pPr>
    </w:p>
    <w:p w14:paraId="3A8C9634" w14:textId="77777777" w:rsidR="0082475F" w:rsidRPr="000F2247" w:rsidRDefault="00E832AD" w:rsidP="0082475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שבט תשפ"ג, 14 פברואר 2023, במעמד הצדדים. </w:t>
      </w:r>
      <w:bookmarkEnd w:id="8"/>
      <w:r w:rsidR="0082475F">
        <w:rPr>
          <w:rFonts w:ascii="Arial" w:hAnsi="Arial"/>
          <w:b/>
          <w:bCs/>
          <w:sz w:val="26"/>
          <w:szCs w:val="26"/>
          <w:rtl/>
        </w:rPr>
        <w:tab/>
      </w:r>
      <w:r w:rsidR="0082475F">
        <w:rPr>
          <w:rFonts w:ascii="Arial" w:hAnsi="Arial"/>
          <w:b/>
          <w:bCs/>
          <w:sz w:val="26"/>
          <w:szCs w:val="26"/>
          <w:rtl/>
        </w:rPr>
        <w:tab/>
      </w:r>
      <w:r w:rsidR="0082475F">
        <w:rPr>
          <w:rFonts w:ascii="Arial" w:hAnsi="Arial"/>
          <w:b/>
          <w:bCs/>
          <w:sz w:val="26"/>
          <w:szCs w:val="26"/>
          <w:rtl/>
        </w:rPr>
        <w:tab/>
      </w:r>
      <w:r w:rsidR="0082475F">
        <w:rPr>
          <w:rFonts w:ascii="Arial" w:hAnsi="Arial"/>
          <w:b/>
          <w:bCs/>
          <w:sz w:val="26"/>
          <w:szCs w:val="26"/>
          <w:rtl/>
        </w:rPr>
        <w:tab/>
      </w:r>
      <w:r w:rsidR="0082475F">
        <w:rPr>
          <w:rFonts w:ascii="Arial" w:hAnsi="Arial"/>
          <w:b/>
          <w:bCs/>
          <w:sz w:val="26"/>
          <w:szCs w:val="26"/>
          <w:rtl/>
        </w:rPr>
        <w:tab/>
      </w:r>
      <w:r w:rsidR="0082475F">
        <w:rPr>
          <w:rFonts w:ascii="Arial" w:hAnsi="Arial"/>
          <w:b/>
          <w:bCs/>
          <w:sz w:val="26"/>
          <w:szCs w:val="26"/>
          <w:rtl/>
        </w:rPr>
        <w:tab/>
      </w:r>
      <w:r w:rsidR="0082475F">
        <w:rPr>
          <w:rFonts w:ascii="Arial" w:hAnsi="Arial"/>
          <w:b/>
          <w:bCs/>
          <w:sz w:val="26"/>
          <w:szCs w:val="26"/>
          <w:rtl/>
        </w:rPr>
        <w:tab/>
      </w:r>
      <w:r w:rsidR="0082475F">
        <w:rPr>
          <w:rFonts w:ascii="Arial" w:hAnsi="Arial" w:hint="cs"/>
          <w:b/>
          <w:bCs/>
          <w:sz w:val="26"/>
          <w:szCs w:val="26"/>
          <w:rtl/>
        </w:rPr>
        <w:t xml:space="preserve">         </w:t>
      </w:r>
    </w:p>
    <w:p w14:paraId="3E6B18B1" w14:textId="77777777" w:rsidR="0082475F" w:rsidRPr="000F2247" w:rsidRDefault="0082475F" w:rsidP="00E832A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D9F02F0" w14:textId="77777777" w:rsidR="0082475F" w:rsidRPr="000F2247" w:rsidRDefault="0082475F" w:rsidP="0082475F">
      <w:pPr>
        <w:jc w:val="center"/>
        <w:rPr>
          <w:rFonts w:ascii="Arial" w:hAnsi="Arial"/>
          <w:b/>
          <w:bCs/>
          <w:sz w:val="26"/>
          <w:szCs w:val="26"/>
          <w:rtl/>
        </w:rPr>
      </w:pPr>
    </w:p>
    <w:p w14:paraId="48407359" w14:textId="77777777" w:rsidR="003F7DCC" w:rsidRPr="00E832AD" w:rsidRDefault="003F7DCC" w:rsidP="00E832AD">
      <w:pPr>
        <w:keepNext/>
        <w:rPr>
          <w:rFonts w:ascii="David" w:hAnsi="David"/>
          <w:color w:val="000000"/>
          <w:sz w:val="22"/>
          <w:szCs w:val="22"/>
          <w:rtl/>
        </w:rPr>
      </w:pPr>
    </w:p>
    <w:p w14:paraId="6B960614" w14:textId="77777777" w:rsidR="00E832AD" w:rsidRPr="00E832AD" w:rsidRDefault="00E832AD" w:rsidP="00E832AD">
      <w:pPr>
        <w:keepNext/>
        <w:rPr>
          <w:rFonts w:ascii="David" w:hAnsi="David"/>
          <w:color w:val="000000"/>
          <w:sz w:val="22"/>
          <w:szCs w:val="22"/>
          <w:rtl/>
        </w:rPr>
      </w:pPr>
      <w:r w:rsidRPr="00E832AD">
        <w:rPr>
          <w:rFonts w:ascii="David" w:hAnsi="David"/>
          <w:color w:val="000000"/>
          <w:sz w:val="22"/>
          <w:szCs w:val="22"/>
          <w:rtl/>
        </w:rPr>
        <w:t>אלכס אחטר 54678313</w:t>
      </w:r>
    </w:p>
    <w:p w14:paraId="75742AEB" w14:textId="77777777" w:rsidR="00E832AD" w:rsidRDefault="00E832AD" w:rsidP="00E832AD">
      <w:r w:rsidRPr="00E832AD">
        <w:rPr>
          <w:color w:val="000000"/>
          <w:rtl/>
        </w:rPr>
        <w:t>נוסח מסמך זה כפוף לשינויי ניסוח ועריכה</w:t>
      </w:r>
    </w:p>
    <w:p w14:paraId="049F6ABE" w14:textId="77777777" w:rsidR="00E832AD" w:rsidRDefault="00E832AD" w:rsidP="00E832AD">
      <w:pPr>
        <w:rPr>
          <w:rtl/>
        </w:rPr>
      </w:pPr>
    </w:p>
    <w:p w14:paraId="72CEA7C1" w14:textId="77777777" w:rsidR="00E832AD" w:rsidRDefault="00E832AD" w:rsidP="00E832A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D0681CF" w14:textId="77777777" w:rsidR="00E832AD" w:rsidRPr="00E832AD" w:rsidRDefault="00E832AD" w:rsidP="00E832AD">
      <w:pPr>
        <w:jc w:val="center"/>
        <w:rPr>
          <w:color w:val="0000FF"/>
          <w:u w:val="single"/>
        </w:rPr>
      </w:pPr>
    </w:p>
    <w:sectPr w:rsidR="00E832AD" w:rsidRPr="00E832AD" w:rsidSect="00E832AD">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85A65" w14:textId="77777777" w:rsidR="00DC0141" w:rsidRDefault="00DC0141" w:rsidP="00694299">
      <w:r>
        <w:separator/>
      </w:r>
    </w:p>
  </w:endnote>
  <w:endnote w:type="continuationSeparator" w:id="0">
    <w:p w14:paraId="7C5AA985" w14:textId="77777777" w:rsidR="00DC0141" w:rsidRDefault="00DC0141" w:rsidP="00694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6A729" w14:textId="77777777" w:rsidR="00E832AD" w:rsidRDefault="00E832AD" w:rsidP="00E83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379C79" w14:textId="77777777" w:rsidR="001637B3" w:rsidRPr="00E832AD" w:rsidRDefault="00E832AD" w:rsidP="00E83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D66D6" w14:textId="77777777" w:rsidR="00E832AD" w:rsidRDefault="00E832AD" w:rsidP="00E83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0E71">
      <w:rPr>
        <w:rFonts w:ascii="FrankRuehl" w:hAnsi="FrankRuehl" w:cs="FrankRuehl"/>
        <w:noProof/>
        <w:rtl/>
      </w:rPr>
      <w:t>1</w:t>
    </w:r>
    <w:r>
      <w:rPr>
        <w:rFonts w:ascii="FrankRuehl" w:hAnsi="FrankRuehl" w:cs="FrankRuehl"/>
        <w:rtl/>
      </w:rPr>
      <w:fldChar w:fldCharType="end"/>
    </w:r>
  </w:p>
  <w:p w14:paraId="340EF862" w14:textId="77777777" w:rsidR="001637B3" w:rsidRPr="00E832AD" w:rsidRDefault="00E832AD" w:rsidP="00E83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7E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671ED" w14:textId="77777777" w:rsidR="00DC0141" w:rsidRDefault="00DC0141" w:rsidP="00694299">
      <w:r>
        <w:separator/>
      </w:r>
    </w:p>
  </w:footnote>
  <w:footnote w:type="continuationSeparator" w:id="0">
    <w:p w14:paraId="042F45B1" w14:textId="77777777" w:rsidR="00DC0141" w:rsidRDefault="00DC0141" w:rsidP="00694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651DC" w14:textId="77777777" w:rsidR="00E832AD" w:rsidRPr="00E832AD" w:rsidRDefault="00E832AD" w:rsidP="00E83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9850-08-22</w:t>
    </w:r>
    <w:r>
      <w:rPr>
        <w:rFonts w:ascii="David" w:hAnsi="David"/>
        <w:color w:val="000000"/>
        <w:sz w:val="22"/>
        <w:szCs w:val="22"/>
        <w:rtl/>
      </w:rPr>
      <w:tab/>
      <w:t xml:space="preserve"> מדינת ישראל נ' עטייה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59058" w14:textId="77777777" w:rsidR="00E832AD" w:rsidRPr="00E832AD" w:rsidRDefault="00E832AD" w:rsidP="00E83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9850-08-22</w:t>
    </w:r>
    <w:r>
      <w:rPr>
        <w:rFonts w:ascii="David" w:hAnsi="David"/>
        <w:color w:val="000000"/>
        <w:sz w:val="22"/>
        <w:szCs w:val="22"/>
        <w:rtl/>
      </w:rPr>
      <w:tab/>
      <w:t xml:space="preserve"> מדינת ישראל נ' עטייה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669707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36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475F"/>
    <w:rsid w:val="001463DD"/>
    <w:rsid w:val="001637B3"/>
    <w:rsid w:val="00165AD6"/>
    <w:rsid w:val="001B5A3B"/>
    <w:rsid w:val="003F7DCC"/>
    <w:rsid w:val="00450E71"/>
    <w:rsid w:val="00694299"/>
    <w:rsid w:val="0082475F"/>
    <w:rsid w:val="00B557C2"/>
    <w:rsid w:val="00BF2588"/>
    <w:rsid w:val="00D44FDE"/>
    <w:rsid w:val="00DB11F8"/>
    <w:rsid w:val="00DB217A"/>
    <w:rsid w:val="00DC0141"/>
    <w:rsid w:val="00E832AD"/>
    <w:rsid w:val="00F56E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644172"/>
  <w15:chartTrackingRefBased/>
  <w15:docId w15:val="{82D7F2CD-7991-454C-A6CC-6570686A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47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475F"/>
    <w:pPr>
      <w:tabs>
        <w:tab w:val="center" w:pos="4153"/>
        <w:tab w:val="right" w:pos="8306"/>
      </w:tabs>
    </w:pPr>
  </w:style>
  <w:style w:type="character" w:customStyle="1" w:styleId="a4">
    <w:name w:val="כותרת עליונה תו"/>
    <w:link w:val="a3"/>
    <w:rsid w:val="0082475F"/>
    <w:rPr>
      <w:rFonts w:ascii="Times New Roman" w:eastAsia="Times New Roman" w:hAnsi="Times New Roman" w:cs="David"/>
      <w:sz w:val="24"/>
      <w:szCs w:val="24"/>
    </w:rPr>
  </w:style>
  <w:style w:type="paragraph" w:styleId="a5">
    <w:name w:val="footer"/>
    <w:basedOn w:val="a"/>
    <w:link w:val="a6"/>
    <w:rsid w:val="0082475F"/>
    <w:pPr>
      <w:tabs>
        <w:tab w:val="center" w:pos="4153"/>
        <w:tab w:val="right" w:pos="8306"/>
      </w:tabs>
    </w:pPr>
  </w:style>
  <w:style w:type="character" w:customStyle="1" w:styleId="a6">
    <w:name w:val="כותרת תחתונה תו"/>
    <w:link w:val="a5"/>
    <w:rsid w:val="0082475F"/>
    <w:rPr>
      <w:rFonts w:ascii="Times New Roman" w:eastAsia="Times New Roman" w:hAnsi="Times New Roman" w:cs="David"/>
      <w:sz w:val="24"/>
      <w:szCs w:val="24"/>
    </w:rPr>
  </w:style>
  <w:style w:type="table" w:styleId="a7">
    <w:name w:val="Table Grid"/>
    <w:basedOn w:val="a1"/>
    <w:rsid w:val="008247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475F"/>
  </w:style>
  <w:style w:type="paragraph" w:styleId="a9">
    <w:name w:val="List Paragraph"/>
    <w:basedOn w:val="a"/>
    <w:qFormat/>
    <w:rsid w:val="0082475F"/>
    <w:pPr>
      <w:ind w:left="720"/>
      <w:contextualSpacing/>
    </w:pPr>
    <w:rPr>
      <w:rFonts w:cs="Times New Roman"/>
    </w:rPr>
  </w:style>
  <w:style w:type="character" w:styleId="Hyperlink">
    <w:name w:val="Hyperlink"/>
    <w:rsid w:val="0082475F"/>
    <w:rPr>
      <w:color w:val="0000FF"/>
      <w:u w:val="single"/>
    </w:rPr>
  </w:style>
  <w:style w:type="character" w:styleId="aa">
    <w:name w:val="line number"/>
    <w:rsid w:val="0082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6991436" TargetMode="External"/><Relationship Id="rId39" Type="http://schemas.openxmlformats.org/officeDocument/2006/relationships/fontTable" Target="fontTable.xml"/><Relationship Id="rId21" Type="http://schemas.openxmlformats.org/officeDocument/2006/relationships/hyperlink" Target="http://www.nevo.co.il/law/70301/40d"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827604"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ja" TargetMode="External"/><Relationship Id="rId29" Type="http://schemas.openxmlformats.org/officeDocument/2006/relationships/hyperlink" Target="http://www.nevo.co.il/case/262226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13.a" TargetMode="External"/><Relationship Id="rId23" Type="http://schemas.openxmlformats.org/officeDocument/2006/relationships/hyperlink" Target="http://www.nevo.co.il/case/26230247" TargetMode="External"/><Relationship Id="rId28" Type="http://schemas.openxmlformats.org/officeDocument/2006/relationships/hyperlink" Target="http://www.nevo.co.il/case/27592536"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14714"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case/27782907" TargetMode="External"/><Relationship Id="rId30" Type="http://schemas.openxmlformats.org/officeDocument/2006/relationships/hyperlink" Target="http://www.nevo.co.il/case/5764903" TargetMode="External"/><Relationship Id="rId35" Type="http://schemas.openxmlformats.org/officeDocument/2006/relationships/header" Target="header1.xml"/><Relationship Id="rId8" Type="http://schemas.openxmlformats.org/officeDocument/2006/relationships/hyperlink" Target="http://www.nevo.co.il/law/4216/13.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1756</Words>
  <Characters>8781</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10516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3997813</vt:i4>
      </vt:variant>
      <vt:variant>
        <vt:i4>72</vt:i4>
      </vt:variant>
      <vt:variant>
        <vt:i4>0</vt:i4>
      </vt:variant>
      <vt:variant>
        <vt:i4>5</vt:i4>
      </vt:variant>
      <vt:variant>
        <vt:lpwstr>http://www.nevo.co.il/case/17914714</vt:lpwstr>
      </vt:variant>
      <vt:variant>
        <vt:lpwstr/>
      </vt:variant>
      <vt:variant>
        <vt:i4>3735671</vt:i4>
      </vt:variant>
      <vt:variant>
        <vt:i4>69</vt:i4>
      </vt:variant>
      <vt:variant>
        <vt:i4>0</vt:i4>
      </vt:variant>
      <vt:variant>
        <vt:i4>5</vt:i4>
      </vt:variant>
      <vt:variant>
        <vt:lpwstr>http://www.nevo.co.il/case/5764903</vt:lpwstr>
      </vt:variant>
      <vt:variant>
        <vt:lpwstr/>
      </vt:variant>
      <vt:variant>
        <vt:i4>3539062</vt:i4>
      </vt:variant>
      <vt:variant>
        <vt:i4>66</vt:i4>
      </vt:variant>
      <vt:variant>
        <vt:i4>0</vt:i4>
      </vt:variant>
      <vt:variant>
        <vt:i4>5</vt:i4>
      </vt:variant>
      <vt:variant>
        <vt:lpwstr>http://www.nevo.co.il/case/26222649</vt:lpwstr>
      </vt:variant>
      <vt:variant>
        <vt:lpwstr/>
      </vt:variant>
      <vt:variant>
        <vt:i4>3539071</vt:i4>
      </vt:variant>
      <vt:variant>
        <vt:i4>63</vt:i4>
      </vt:variant>
      <vt:variant>
        <vt:i4>0</vt:i4>
      </vt:variant>
      <vt:variant>
        <vt:i4>5</vt:i4>
      </vt:variant>
      <vt:variant>
        <vt:lpwstr>http://www.nevo.co.il/case/27592536</vt:lpwstr>
      </vt:variant>
      <vt:variant>
        <vt:lpwstr/>
      </vt:variant>
      <vt:variant>
        <vt:i4>3604594</vt:i4>
      </vt:variant>
      <vt:variant>
        <vt:i4>60</vt:i4>
      </vt:variant>
      <vt:variant>
        <vt:i4>0</vt:i4>
      </vt:variant>
      <vt:variant>
        <vt:i4>5</vt:i4>
      </vt:variant>
      <vt:variant>
        <vt:lpwstr>http://www.nevo.co.il/case/27782907</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3407987</vt:i4>
      </vt:variant>
      <vt:variant>
        <vt:i4>48</vt:i4>
      </vt:variant>
      <vt:variant>
        <vt:i4>0</vt:i4>
      </vt:variant>
      <vt:variant>
        <vt:i4>5</vt:i4>
      </vt:variant>
      <vt:variant>
        <vt:lpwstr>http://www.nevo.co.il/case/26230247</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2490476</vt:i4>
      </vt:variant>
      <vt:variant>
        <vt:i4>24</vt:i4>
      </vt:variant>
      <vt:variant>
        <vt:i4>0</vt:i4>
      </vt:variant>
      <vt:variant>
        <vt:i4>5</vt:i4>
      </vt:variant>
      <vt:variant>
        <vt:lpwstr>http://www.nevo.co.il/law/4216/19;13.a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9850</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עטייה עמאש</vt:lpwstr>
  </property>
  <property fmtid="{D5CDD505-2E9C-101B-9397-08002B2CF9AE}" pid="10" name="LAWYER">
    <vt:lpwstr>יעל פנחסי;עאדל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20230214</vt:lpwstr>
  </property>
  <property fmtid="{D5CDD505-2E9C-101B-9397-08002B2CF9AE}" pid="14" name="TYPE_N_DATE">
    <vt:lpwstr>38020230214</vt:lpwstr>
  </property>
  <property fmtid="{D5CDD505-2E9C-101B-9397-08002B2CF9AE}" pid="15" name="WORDNUMPAGES">
    <vt:lpwstr>6</vt:lpwstr>
  </property>
  <property fmtid="{D5CDD505-2E9C-101B-9397-08002B2CF9AE}" pid="16" name="TYPE_ABS_DATE">
    <vt:lpwstr>380020230214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26230247;22841413;23827604;26991436;27782907;27592536;26222649;5764903;17914714</vt:lpwstr>
  </property>
  <property fmtid="{D5CDD505-2E9C-101B-9397-08002B2CF9AE}" pid="36" name="LAWLISTTMP1">
    <vt:lpwstr>4216/019;013.a</vt:lpwstr>
  </property>
  <property fmtid="{D5CDD505-2E9C-101B-9397-08002B2CF9AE}" pid="37" name="LAWLISTTMP2">
    <vt:lpwstr>70301/040i;40ja;040d;040e</vt:lpwstr>
  </property>
</Properties>
</file>