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260"/>
        <w:gridCol w:w="2871"/>
        <w:gridCol w:w="3667"/>
        <w:gridCol w:w="99"/>
      </w:tblGrid>
      <w:tr w:rsidR="003474F7" w:rsidRPr="00BD5432" w14:paraId="6F6FEE5B" w14:textId="77777777" w:rsidTr="00883BED">
        <w:trPr>
          <w:gridAfter w:val="1"/>
          <w:wAfter w:w="99" w:type="dxa"/>
          <w:trHeight w:hRule="exact" w:val="418"/>
          <w:jc w:val="center"/>
        </w:trPr>
        <w:tc>
          <w:tcPr>
            <w:tcW w:w="8721" w:type="dxa"/>
            <w:gridSpan w:val="4"/>
          </w:tcPr>
          <w:p w14:paraId="5015CD40" w14:textId="77777777" w:rsidR="003474F7" w:rsidRPr="00BD5432" w:rsidRDefault="003474F7" w:rsidP="00FE5528">
            <w:pPr>
              <w:pStyle w:val="a3"/>
              <w:jc w:val="center"/>
              <w:rPr>
                <w:rFonts w:ascii="Tahoma" w:hAnsi="Tahoma" w:cs="Tahoma"/>
                <w:color w:val="000080"/>
                <w:rtl/>
              </w:rPr>
            </w:pPr>
            <w:bookmarkStart w:id="0" w:name="FirstLawyer"/>
            <w:bookmarkStart w:id="1" w:name="LastJudge"/>
            <w:r w:rsidRPr="00BD5432">
              <w:rPr>
                <w:rFonts w:ascii="Tahoma" w:hAnsi="Tahoma" w:cs="Tahoma"/>
                <w:b/>
                <w:bCs/>
                <w:color w:val="000080"/>
                <w:rtl/>
              </w:rPr>
              <w:t>בית משפט השלום בירושלים</w:t>
            </w:r>
          </w:p>
        </w:tc>
      </w:tr>
      <w:tr w:rsidR="003474F7" w:rsidRPr="003D5926" w14:paraId="3334817B" w14:textId="77777777" w:rsidTr="00883BED">
        <w:trPr>
          <w:gridAfter w:val="1"/>
          <w:wAfter w:w="99" w:type="dxa"/>
          <w:trHeight w:val="337"/>
          <w:jc w:val="center"/>
        </w:trPr>
        <w:tc>
          <w:tcPr>
            <w:tcW w:w="5054" w:type="dxa"/>
            <w:gridSpan w:val="3"/>
          </w:tcPr>
          <w:p w14:paraId="34181EA8" w14:textId="77777777" w:rsidR="003474F7" w:rsidRPr="003D5926" w:rsidRDefault="003474F7" w:rsidP="003D5926">
            <w:pPr>
              <w:pStyle w:val="a3"/>
              <w:spacing w:before="120" w:after="120" w:line="240" w:lineRule="exact"/>
              <w:rPr>
                <w:rFonts w:ascii="David" w:hAnsi="David"/>
                <w:b/>
                <w:bCs/>
                <w:sz w:val="26"/>
                <w:szCs w:val="26"/>
                <w:rtl/>
              </w:rPr>
            </w:pPr>
            <w:r w:rsidRPr="003D5926">
              <w:rPr>
                <w:rFonts w:ascii="David" w:hAnsi="David"/>
                <w:b/>
                <w:bCs/>
                <w:sz w:val="26"/>
                <w:szCs w:val="26"/>
                <w:rtl/>
              </w:rPr>
              <w:t>ת"פ 29664-09-22 מדינת ישראל נ' בן אבו</w:t>
            </w:r>
          </w:p>
        </w:tc>
        <w:tc>
          <w:tcPr>
            <w:tcW w:w="3667" w:type="dxa"/>
          </w:tcPr>
          <w:p w14:paraId="1C5CE7C7" w14:textId="77777777" w:rsidR="003474F7" w:rsidRPr="003D5926" w:rsidRDefault="003474F7" w:rsidP="003D5926">
            <w:pPr>
              <w:pStyle w:val="a3"/>
              <w:spacing w:before="120" w:after="120" w:line="240" w:lineRule="exact"/>
              <w:jc w:val="right"/>
              <w:rPr>
                <w:rFonts w:ascii="David" w:hAnsi="David"/>
                <w:b/>
                <w:bCs/>
                <w:sz w:val="26"/>
                <w:szCs w:val="26"/>
                <w:rtl/>
              </w:rPr>
            </w:pPr>
          </w:p>
        </w:tc>
      </w:tr>
      <w:tr w:rsidR="003474F7" w:rsidRPr="00BD5432" w14:paraId="5C2634AA" w14:textId="77777777" w:rsidTr="00883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0580A67" w14:textId="77777777" w:rsidR="003474F7" w:rsidRPr="003D5926" w:rsidRDefault="003474F7" w:rsidP="003D5926">
            <w:pPr>
              <w:spacing w:before="120" w:after="120" w:line="240" w:lineRule="exact"/>
              <w:jc w:val="both"/>
              <w:rPr>
                <w:rFonts w:ascii="David" w:hAnsi="David"/>
                <w:b/>
                <w:bCs/>
                <w:sz w:val="26"/>
                <w:szCs w:val="26"/>
              </w:rPr>
            </w:pPr>
            <w:r w:rsidRPr="003D5926">
              <w:rPr>
                <w:rFonts w:ascii="David" w:hAnsi="David"/>
                <w:b/>
                <w:bCs/>
                <w:sz w:val="26"/>
                <w:szCs w:val="26"/>
                <w:rtl/>
              </w:rPr>
              <w:t xml:space="preserve"> לפני </w:t>
            </w:r>
          </w:p>
        </w:tc>
        <w:tc>
          <w:tcPr>
            <w:tcW w:w="7897" w:type="dxa"/>
            <w:gridSpan w:val="4"/>
            <w:tcBorders>
              <w:top w:val="nil"/>
              <w:left w:val="nil"/>
              <w:bottom w:val="nil"/>
              <w:right w:val="nil"/>
            </w:tcBorders>
            <w:shd w:val="clear" w:color="auto" w:fill="auto"/>
          </w:tcPr>
          <w:p w14:paraId="4C93C62B" w14:textId="77777777" w:rsidR="003474F7" w:rsidRPr="003D5926" w:rsidRDefault="003474F7" w:rsidP="003D5926">
            <w:pPr>
              <w:spacing w:before="120" w:after="120" w:line="240" w:lineRule="exact"/>
              <w:jc w:val="both"/>
              <w:rPr>
                <w:rFonts w:ascii="David" w:hAnsi="David"/>
                <w:b/>
                <w:bCs/>
                <w:sz w:val="26"/>
                <w:szCs w:val="26"/>
              </w:rPr>
            </w:pPr>
            <w:r w:rsidRPr="003D5926">
              <w:rPr>
                <w:rFonts w:ascii="David" w:hAnsi="David"/>
                <w:b/>
                <w:bCs/>
                <w:sz w:val="26"/>
                <w:szCs w:val="26"/>
                <w:rtl/>
              </w:rPr>
              <w:t>כבוד השופט  ארנון איתן</w:t>
            </w:r>
          </w:p>
        </w:tc>
      </w:tr>
      <w:tr w:rsidR="003D5926" w:rsidRPr="00BD5432" w14:paraId="240EA8EC" w14:textId="77777777" w:rsidTr="003D59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183" w:type="dxa"/>
            <w:gridSpan w:val="2"/>
            <w:tcBorders>
              <w:top w:val="nil"/>
              <w:left w:val="nil"/>
              <w:bottom w:val="nil"/>
              <w:right w:val="nil"/>
            </w:tcBorders>
            <w:shd w:val="clear" w:color="auto" w:fill="auto"/>
          </w:tcPr>
          <w:p w14:paraId="40BF4C34" w14:textId="77777777" w:rsidR="003D5926" w:rsidRPr="003D5926" w:rsidRDefault="003D5926" w:rsidP="003D5926">
            <w:pPr>
              <w:spacing w:before="120" w:after="120" w:line="240" w:lineRule="exact"/>
              <w:jc w:val="both"/>
              <w:rPr>
                <w:rFonts w:ascii="David" w:hAnsi="David"/>
                <w:b/>
                <w:bCs/>
                <w:sz w:val="26"/>
                <w:szCs w:val="26"/>
              </w:rPr>
            </w:pPr>
            <w:bookmarkStart w:id="2" w:name="FirstAppellant"/>
            <w:r w:rsidRPr="003D5926">
              <w:rPr>
                <w:rFonts w:ascii="David" w:hAnsi="David"/>
                <w:b/>
                <w:bCs/>
                <w:sz w:val="26"/>
                <w:szCs w:val="26"/>
                <w:rtl/>
              </w:rPr>
              <w:t>בעניין:</w:t>
            </w:r>
          </w:p>
          <w:p w14:paraId="05DB36B1" w14:textId="77777777" w:rsidR="003D5926" w:rsidRPr="003D5926" w:rsidRDefault="003D5926" w:rsidP="003D5926">
            <w:pPr>
              <w:suppressLineNumbers/>
              <w:spacing w:before="120" w:after="120" w:line="240" w:lineRule="exact"/>
              <w:rPr>
                <w:rFonts w:ascii="David" w:hAnsi="David"/>
                <w:b/>
                <w:bCs/>
                <w:sz w:val="26"/>
                <w:szCs w:val="26"/>
              </w:rPr>
            </w:pPr>
            <w:r w:rsidRPr="003D5926">
              <w:rPr>
                <w:rFonts w:ascii="David" w:hAnsi="David"/>
                <w:b/>
                <w:bCs/>
                <w:sz w:val="26"/>
                <w:szCs w:val="26"/>
                <w:rtl/>
              </w:rPr>
              <w:t>המאשימה</w:t>
            </w:r>
          </w:p>
          <w:p w14:paraId="45CDE8EF" w14:textId="77777777" w:rsidR="003D5926" w:rsidRPr="003D5926" w:rsidRDefault="003D5926" w:rsidP="003D5926">
            <w:pPr>
              <w:spacing w:before="120" w:after="120" w:line="240" w:lineRule="exact"/>
              <w:rPr>
                <w:rFonts w:ascii="David" w:hAnsi="David"/>
                <w:b/>
                <w:bCs/>
                <w:sz w:val="26"/>
                <w:szCs w:val="26"/>
              </w:rPr>
            </w:pPr>
          </w:p>
        </w:tc>
        <w:tc>
          <w:tcPr>
            <w:tcW w:w="6637" w:type="dxa"/>
            <w:gridSpan w:val="3"/>
            <w:tcBorders>
              <w:top w:val="nil"/>
              <w:left w:val="nil"/>
              <w:bottom w:val="nil"/>
              <w:right w:val="nil"/>
            </w:tcBorders>
            <w:shd w:val="clear" w:color="auto" w:fill="auto"/>
            <w:vAlign w:val="center"/>
          </w:tcPr>
          <w:p w14:paraId="076E015A" w14:textId="77777777" w:rsidR="003D5926" w:rsidRPr="003D5926" w:rsidRDefault="003D5926" w:rsidP="003D5926">
            <w:pPr>
              <w:suppressLineNumbers/>
              <w:spacing w:before="120" w:after="120" w:line="240" w:lineRule="exact"/>
              <w:rPr>
                <w:rFonts w:ascii="David" w:eastAsia="Calibri" w:hAnsi="David"/>
                <w:b/>
                <w:bCs/>
                <w:sz w:val="26"/>
                <w:szCs w:val="26"/>
              </w:rPr>
            </w:pPr>
            <w:r w:rsidRPr="003D5926">
              <w:rPr>
                <w:rFonts w:ascii="David" w:eastAsia="Calibri" w:hAnsi="David"/>
                <w:b/>
                <w:bCs/>
                <w:sz w:val="26"/>
                <w:szCs w:val="26"/>
                <w:rtl/>
              </w:rPr>
              <w:t>מדינת ישראל</w:t>
            </w:r>
            <w:r w:rsidRPr="003D5926">
              <w:rPr>
                <w:rFonts w:ascii="David" w:eastAsia="Calibri" w:hAnsi="David"/>
                <w:b/>
                <w:bCs/>
                <w:sz w:val="26"/>
                <w:szCs w:val="26"/>
                <w:rtl/>
              </w:rPr>
              <w:br/>
              <w:t xml:space="preserve">באמצעות משטרת ישראל </w:t>
            </w:r>
          </w:p>
          <w:p w14:paraId="22369C15" w14:textId="77777777" w:rsidR="003D5926" w:rsidRPr="003D5926" w:rsidRDefault="003D5926" w:rsidP="003D5926">
            <w:pPr>
              <w:spacing w:before="120" w:after="120" w:line="240" w:lineRule="exact"/>
              <w:rPr>
                <w:rFonts w:ascii="David" w:hAnsi="David"/>
                <w:b/>
                <w:bCs/>
                <w:sz w:val="26"/>
                <w:szCs w:val="26"/>
              </w:rPr>
            </w:pPr>
            <w:r w:rsidRPr="003D5926">
              <w:rPr>
                <w:rFonts w:ascii="David" w:eastAsia="Calibri" w:hAnsi="David"/>
                <w:b/>
                <w:bCs/>
                <w:sz w:val="26"/>
                <w:szCs w:val="26"/>
                <w:rtl/>
              </w:rPr>
              <w:t>שלוחת תביעות מחוז ש"י</w:t>
            </w:r>
          </w:p>
        </w:tc>
      </w:tr>
      <w:bookmarkEnd w:id="2"/>
      <w:tr w:rsidR="003D5926" w:rsidRPr="00BD5432" w14:paraId="1B1EB5D0" w14:textId="77777777" w:rsidTr="00DB10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617330A9" w14:textId="77777777" w:rsidR="003D5926" w:rsidRPr="003D5926" w:rsidRDefault="003D5926" w:rsidP="003D5926">
            <w:pPr>
              <w:spacing w:before="240" w:after="240" w:line="240" w:lineRule="exact"/>
              <w:jc w:val="center"/>
              <w:rPr>
                <w:rFonts w:ascii="David" w:hAnsi="David" w:hint="cs"/>
                <w:b/>
                <w:bCs/>
                <w:sz w:val="26"/>
                <w:szCs w:val="26"/>
              </w:rPr>
            </w:pPr>
            <w:r w:rsidRPr="003D5926">
              <w:rPr>
                <w:rFonts w:ascii="David" w:hAnsi="David"/>
                <w:b/>
                <w:bCs/>
                <w:sz w:val="26"/>
                <w:szCs w:val="26"/>
                <w:rtl/>
              </w:rPr>
              <w:t>נגד</w:t>
            </w:r>
          </w:p>
        </w:tc>
      </w:tr>
      <w:tr w:rsidR="003D5926" w:rsidRPr="00BD5432" w14:paraId="6AD7F047" w14:textId="77777777" w:rsidTr="003D59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183" w:type="dxa"/>
            <w:gridSpan w:val="2"/>
            <w:tcBorders>
              <w:top w:val="nil"/>
              <w:left w:val="nil"/>
              <w:bottom w:val="nil"/>
              <w:right w:val="nil"/>
            </w:tcBorders>
            <w:shd w:val="clear" w:color="auto" w:fill="auto"/>
          </w:tcPr>
          <w:p w14:paraId="0431AE0E" w14:textId="77777777" w:rsidR="003D5926" w:rsidRPr="003D5926" w:rsidRDefault="003D5926" w:rsidP="003D5926">
            <w:pPr>
              <w:spacing w:before="120" w:after="120" w:line="240" w:lineRule="exact"/>
              <w:rPr>
                <w:rFonts w:ascii="David" w:hAnsi="David"/>
                <w:b/>
                <w:bCs/>
                <w:sz w:val="26"/>
                <w:szCs w:val="26"/>
                <w:rtl/>
              </w:rPr>
            </w:pPr>
            <w:r w:rsidRPr="003D5926">
              <w:rPr>
                <w:rFonts w:ascii="David" w:hAnsi="David"/>
                <w:b/>
                <w:bCs/>
                <w:sz w:val="26"/>
                <w:szCs w:val="26"/>
                <w:rtl/>
              </w:rPr>
              <w:t>הנאשם</w:t>
            </w:r>
          </w:p>
        </w:tc>
        <w:tc>
          <w:tcPr>
            <w:tcW w:w="6637" w:type="dxa"/>
            <w:gridSpan w:val="3"/>
            <w:tcBorders>
              <w:top w:val="nil"/>
              <w:left w:val="nil"/>
              <w:bottom w:val="nil"/>
              <w:right w:val="nil"/>
            </w:tcBorders>
            <w:shd w:val="clear" w:color="auto" w:fill="auto"/>
            <w:vAlign w:val="center"/>
          </w:tcPr>
          <w:p w14:paraId="00EEF920" w14:textId="77777777" w:rsidR="003D5926" w:rsidRPr="003D5926" w:rsidRDefault="003D5926" w:rsidP="003D5926">
            <w:pPr>
              <w:spacing w:before="120" w:after="120" w:line="240" w:lineRule="exact"/>
              <w:rPr>
                <w:rFonts w:ascii="David" w:hAnsi="David"/>
                <w:b/>
                <w:bCs/>
                <w:sz w:val="26"/>
                <w:szCs w:val="26"/>
              </w:rPr>
            </w:pPr>
            <w:r w:rsidRPr="003D5926">
              <w:rPr>
                <w:rFonts w:ascii="David" w:hAnsi="David"/>
                <w:b/>
                <w:bCs/>
                <w:sz w:val="26"/>
                <w:szCs w:val="26"/>
                <w:rtl/>
              </w:rPr>
              <w:t>דניאל בן אבו</w:t>
            </w:r>
            <w:r w:rsidRPr="003D5926">
              <w:rPr>
                <w:rFonts w:ascii="David" w:hAnsi="David"/>
                <w:b/>
                <w:bCs/>
                <w:sz w:val="26"/>
                <w:szCs w:val="26"/>
                <w:rtl/>
              </w:rPr>
              <w:br/>
              <w:t>ע"י ב"כ עוה"ד אלון ארז</w:t>
            </w:r>
          </w:p>
        </w:tc>
      </w:tr>
    </w:tbl>
    <w:p w14:paraId="7929C1B6" w14:textId="77777777" w:rsidR="00875946" w:rsidRDefault="00875946" w:rsidP="00665C19">
      <w:pPr>
        <w:spacing w:before="120" w:after="120" w:line="240" w:lineRule="exact"/>
        <w:ind w:left="283" w:hanging="283"/>
        <w:jc w:val="both"/>
        <w:rPr>
          <w:rFonts w:ascii="FrankRuehl" w:hAnsi="FrankRuehl" w:cs="FrankRuehl" w:hint="cs"/>
          <w:rtl/>
        </w:rPr>
      </w:pPr>
    </w:p>
    <w:p w14:paraId="51F95A7A" w14:textId="77777777" w:rsidR="00665C19" w:rsidRPr="00665C19" w:rsidRDefault="00665C19" w:rsidP="00665C19">
      <w:pPr>
        <w:spacing w:before="120" w:after="120" w:line="240" w:lineRule="exact"/>
        <w:ind w:left="283" w:hanging="283"/>
        <w:jc w:val="both"/>
        <w:rPr>
          <w:rFonts w:ascii="FrankRuehl" w:hAnsi="FrankRuehl" w:cs="FrankRuehl"/>
          <w:rtl/>
        </w:rPr>
      </w:pPr>
      <w:r w:rsidRPr="00665C19">
        <w:rPr>
          <w:rFonts w:ascii="FrankRuehl" w:hAnsi="FrankRuehl" w:cs="FrankRuehl"/>
          <w:rtl/>
        </w:rPr>
        <w:t xml:space="preserve">חקיקה שאוזכרה: </w:t>
      </w:r>
    </w:p>
    <w:p w14:paraId="6610E1CB" w14:textId="77777777" w:rsidR="00665C19" w:rsidRPr="00665C19" w:rsidRDefault="00665C19" w:rsidP="00665C19">
      <w:pPr>
        <w:spacing w:before="120" w:after="120" w:line="240" w:lineRule="exact"/>
        <w:ind w:left="283" w:hanging="283"/>
        <w:jc w:val="both"/>
        <w:rPr>
          <w:rFonts w:ascii="FrankRuehl" w:hAnsi="FrankRuehl" w:cs="FrankRuehl"/>
          <w:color w:val="0000FF"/>
          <w:rtl/>
        </w:rPr>
      </w:pPr>
      <w:hyperlink r:id="rId7" w:history="1">
        <w:r w:rsidRPr="00665C19">
          <w:rPr>
            <w:rStyle w:val="Hyperlink"/>
            <w:rFonts w:ascii="FrankRuehl" w:hAnsi="FrankRuehl" w:cs="FrankRuehl"/>
            <w:u w:val="none"/>
            <w:rtl/>
          </w:rPr>
          <w:t>פקודת הסמים המסוכנים [נוסח חדש], תשל"ג-1973</w:t>
        </w:r>
      </w:hyperlink>
      <w:r w:rsidRPr="00665C19">
        <w:rPr>
          <w:rFonts w:ascii="FrankRuehl" w:hAnsi="FrankRuehl" w:cs="FrankRuehl"/>
          <w:color w:val="0000FF"/>
          <w:rtl/>
        </w:rPr>
        <w:t xml:space="preserve">: סע'  </w:t>
      </w:r>
      <w:hyperlink r:id="rId8" w:history="1">
        <w:r w:rsidRPr="00665C19">
          <w:rPr>
            <w:rStyle w:val="Hyperlink"/>
            <w:rFonts w:ascii="FrankRuehl" w:hAnsi="FrankRuehl" w:cs="FrankRuehl"/>
            <w:u w:val="none"/>
          </w:rPr>
          <w:t>7</w:t>
        </w:r>
      </w:hyperlink>
      <w:r w:rsidRPr="00665C19">
        <w:rPr>
          <w:rFonts w:ascii="FrankRuehl" w:hAnsi="FrankRuehl" w:cs="FrankRuehl"/>
          <w:color w:val="0000FF"/>
          <w:rtl/>
        </w:rPr>
        <w:t xml:space="preserve">(א), </w:t>
      </w:r>
      <w:hyperlink r:id="rId9" w:history="1">
        <w:r w:rsidRPr="00665C19">
          <w:rPr>
            <w:rStyle w:val="Hyperlink"/>
            <w:rFonts w:ascii="FrankRuehl" w:hAnsi="FrankRuehl" w:cs="FrankRuehl"/>
            <w:u w:val="none"/>
          </w:rPr>
          <w:t>7</w:t>
        </w:r>
      </w:hyperlink>
      <w:r w:rsidRPr="00665C19">
        <w:rPr>
          <w:rFonts w:ascii="FrankRuehl" w:hAnsi="FrankRuehl" w:cs="FrankRuehl"/>
          <w:color w:val="0000FF"/>
          <w:rtl/>
        </w:rPr>
        <w:t xml:space="preserve">(ג), </w:t>
      </w:r>
      <w:hyperlink r:id="rId10" w:history="1">
        <w:r w:rsidRPr="00665C19">
          <w:rPr>
            <w:rStyle w:val="Hyperlink"/>
            <w:rFonts w:ascii="FrankRuehl" w:hAnsi="FrankRuehl" w:cs="FrankRuehl"/>
            <w:u w:val="none"/>
          </w:rPr>
          <w:t>37</w:t>
        </w:r>
        <w:r w:rsidRPr="00665C19">
          <w:rPr>
            <w:rStyle w:val="Hyperlink"/>
            <w:rFonts w:ascii="FrankRuehl" w:hAnsi="FrankRuehl" w:cs="FrankRuehl"/>
            <w:u w:val="none"/>
            <w:rtl/>
          </w:rPr>
          <w:t>א</w:t>
        </w:r>
      </w:hyperlink>
    </w:p>
    <w:p w14:paraId="30B32308" w14:textId="77777777" w:rsidR="00665C19" w:rsidRPr="00665C19" w:rsidRDefault="00665C19" w:rsidP="00665C19">
      <w:pPr>
        <w:spacing w:before="120" w:after="120" w:line="240" w:lineRule="exact"/>
        <w:ind w:left="283" w:hanging="283"/>
        <w:jc w:val="both"/>
        <w:rPr>
          <w:rFonts w:ascii="FrankRuehl" w:hAnsi="FrankRuehl" w:cs="FrankRuehl"/>
          <w:color w:val="0000FF"/>
          <w:rtl/>
        </w:rPr>
      </w:pPr>
      <w:hyperlink r:id="rId11" w:history="1">
        <w:r w:rsidRPr="00665C19">
          <w:rPr>
            <w:rStyle w:val="Hyperlink"/>
            <w:rFonts w:ascii="FrankRuehl" w:hAnsi="FrankRuehl" w:cs="FrankRuehl"/>
            <w:u w:val="none"/>
            <w:rtl/>
          </w:rPr>
          <w:t>צו בדבר סמים מסוכנים (יהודה והשומרון) (מס' 558), תשל"ה-1975 - רבדים</w:t>
        </w:r>
      </w:hyperlink>
      <w:r w:rsidRPr="00665C19">
        <w:rPr>
          <w:rFonts w:ascii="FrankRuehl" w:hAnsi="FrankRuehl" w:cs="FrankRuehl"/>
          <w:color w:val="0000FF"/>
          <w:rtl/>
        </w:rPr>
        <w:t xml:space="preserve">: סע'  </w:t>
      </w:r>
      <w:hyperlink r:id="rId12" w:history="1">
        <w:r w:rsidRPr="00665C19">
          <w:rPr>
            <w:rStyle w:val="Hyperlink"/>
            <w:rFonts w:ascii="FrankRuehl" w:hAnsi="FrankRuehl" w:cs="FrankRuehl"/>
            <w:u w:val="none"/>
          </w:rPr>
          <w:t>13</w:t>
        </w:r>
      </w:hyperlink>
    </w:p>
    <w:p w14:paraId="6353AE2A" w14:textId="77777777" w:rsidR="00665C19" w:rsidRPr="00665C19" w:rsidRDefault="00665C19" w:rsidP="00665C19">
      <w:pPr>
        <w:spacing w:before="120" w:after="120" w:line="240" w:lineRule="exact"/>
        <w:ind w:left="283" w:hanging="283"/>
        <w:jc w:val="both"/>
        <w:rPr>
          <w:rFonts w:ascii="FrankRuehl" w:hAnsi="FrankRuehl" w:cs="FrankRuehl"/>
          <w:color w:val="0000FF"/>
          <w:rtl/>
        </w:rPr>
      </w:pPr>
      <w:hyperlink r:id="rId13" w:history="1">
        <w:r w:rsidRPr="00665C19">
          <w:rPr>
            <w:rStyle w:val="Hyperlink"/>
            <w:rFonts w:ascii="FrankRuehl" w:hAnsi="FrankRuehl" w:cs="FrankRuehl"/>
            <w:u w:val="none"/>
            <w:rtl/>
          </w:rPr>
          <w:t>חוק העונשין, תשל"ז-1977</w:t>
        </w:r>
      </w:hyperlink>
      <w:r w:rsidRPr="00665C19">
        <w:rPr>
          <w:rFonts w:ascii="FrankRuehl" w:hAnsi="FrankRuehl" w:cs="FrankRuehl"/>
          <w:color w:val="0000FF"/>
          <w:rtl/>
        </w:rPr>
        <w:t xml:space="preserve">: סע'  </w:t>
      </w:r>
      <w:hyperlink r:id="rId14" w:history="1">
        <w:r w:rsidRPr="00665C19">
          <w:rPr>
            <w:rStyle w:val="Hyperlink"/>
            <w:rFonts w:ascii="FrankRuehl" w:hAnsi="FrankRuehl" w:cs="FrankRuehl"/>
            <w:u w:val="none"/>
          </w:rPr>
          <w:t>25</w:t>
        </w:r>
      </w:hyperlink>
      <w:r w:rsidRPr="00665C19">
        <w:rPr>
          <w:rFonts w:ascii="FrankRuehl" w:hAnsi="FrankRuehl" w:cs="FrankRuehl"/>
          <w:color w:val="0000FF"/>
          <w:rtl/>
        </w:rPr>
        <w:t xml:space="preserve">, </w:t>
      </w:r>
      <w:hyperlink r:id="rId15" w:history="1">
        <w:r w:rsidRPr="00665C19">
          <w:rPr>
            <w:rStyle w:val="Hyperlink"/>
            <w:rFonts w:ascii="FrankRuehl" w:hAnsi="FrankRuehl" w:cs="FrankRuehl"/>
            <w:u w:val="none"/>
          </w:rPr>
          <w:t>71</w:t>
        </w:r>
        <w:r w:rsidRPr="00665C19">
          <w:rPr>
            <w:rStyle w:val="Hyperlink"/>
            <w:rFonts w:ascii="FrankRuehl" w:hAnsi="FrankRuehl" w:cs="FrankRuehl"/>
            <w:u w:val="none"/>
            <w:rtl/>
          </w:rPr>
          <w:t>א</w:t>
        </w:r>
      </w:hyperlink>
      <w:r w:rsidRPr="00665C19">
        <w:rPr>
          <w:rFonts w:ascii="FrankRuehl" w:hAnsi="FrankRuehl" w:cs="FrankRuehl"/>
          <w:color w:val="0000FF"/>
          <w:rtl/>
        </w:rPr>
        <w:t xml:space="preserve">, </w:t>
      </w:r>
      <w:hyperlink r:id="rId16" w:history="1">
        <w:r w:rsidRPr="00665C19">
          <w:rPr>
            <w:rStyle w:val="Hyperlink"/>
            <w:rFonts w:ascii="FrankRuehl" w:hAnsi="FrankRuehl" w:cs="FrankRuehl"/>
            <w:u w:val="none"/>
          </w:rPr>
          <w:t>71</w:t>
        </w:r>
        <w:r w:rsidRPr="00665C19">
          <w:rPr>
            <w:rStyle w:val="Hyperlink"/>
            <w:rFonts w:ascii="FrankRuehl" w:hAnsi="FrankRuehl" w:cs="FrankRuehl"/>
            <w:u w:val="none"/>
            <w:rtl/>
          </w:rPr>
          <w:t>א</w:t>
        </w:r>
      </w:hyperlink>
      <w:r w:rsidRPr="00665C19">
        <w:rPr>
          <w:rFonts w:ascii="FrankRuehl" w:hAnsi="FrankRuehl" w:cs="FrankRuehl"/>
          <w:color w:val="0000FF"/>
          <w:rtl/>
        </w:rPr>
        <w:t>(ב)</w:t>
      </w:r>
    </w:p>
    <w:p w14:paraId="1C4D6D4F" w14:textId="77777777" w:rsidR="00665C19" w:rsidRPr="00665C19" w:rsidRDefault="00665C19" w:rsidP="00665C19">
      <w:pPr>
        <w:spacing w:before="120" w:after="120" w:line="240" w:lineRule="exact"/>
        <w:ind w:left="283" w:hanging="283"/>
        <w:jc w:val="both"/>
        <w:rPr>
          <w:rFonts w:ascii="FrankRuehl" w:hAnsi="FrankRuehl" w:cs="FrankRuehl"/>
          <w:color w:val="0000FF"/>
          <w:rtl/>
        </w:rPr>
      </w:pPr>
      <w:hyperlink r:id="rId17" w:history="1">
        <w:r w:rsidRPr="00665C19">
          <w:rPr>
            <w:rStyle w:val="Hyperlink"/>
            <w:rFonts w:ascii="FrankRuehl" w:hAnsi="FrankRuehl" w:cs="FrankRuehl"/>
            <w:u w:val="none"/>
            <w:rtl/>
          </w:rPr>
          <w:t>חוק סדר הדין הפלילי [נוסח משולב], תשמ"ב-1982</w:t>
        </w:r>
      </w:hyperlink>
      <w:r w:rsidRPr="00665C19">
        <w:rPr>
          <w:rFonts w:ascii="FrankRuehl" w:hAnsi="FrankRuehl" w:cs="FrankRuehl"/>
          <w:color w:val="0000FF"/>
          <w:rtl/>
        </w:rPr>
        <w:t xml:space="preserve">: סע'  </w:t>
      </w:r>
      <w:hyperlink r:id="rId18" w:history="1">
        <w:r w:rsidRPr="00665C19">
          <w:rPr>
            <w:rStyle w:val="Hyperlink"/>
            <w:rFonts w:ascii="FrankRuehl" w:hAnsi="FrankRuehl" w:cs="FrankRuehl"/>
            <w:u w:val="none"/>
          </w:rPr>
          <w:t>192</w:t>
        </w:r>
        <w:r w:rsidRPr="00665C19">
          <w:rPr>
            <w:rStyle w:val="Hyperlink"/>
            <w:rFonts w:ascii="FrankRuehl" w:hAnsi="FrankRuehl" w:cs="FrankRuehl"/>
            <w:u w:val="none"/>
            <w:rtl/>
          </w:rPr>
          <w:t>א</w:t>
        </w:r>
      </w:hyperlink>
    </w:p>
    <w:p w14:paraId="61672053" w14:textId="77777777" w:rsidR="00665C19" w:rsidRPr="00665C19" w:rsidRDefault="00665C19" w:rsidP="00665C19">
      <w:pPr>
        <w:spacing w:before="120" w:after="120" w:line="240" w:lineRule="exact"/>
        <w:ind w:left="283" w:hanging="283"/>
        <w:jc w:val="both"/>
        <w:rPr>
          <w:rFonts w:ascii="FrankRuehl" w:hAnsi="FrankRuehl" w:cs="FrankRuehl"/>
          <w:color w:val="0000FF"/>
          <w:rtl/>
        </w:rPr>
      </w:pPr>
      <w:hyperlink r:id="rId19" w:history="1">
        <w:r w:rsidRPr="00665C19">
          <w:rPr>
            <w:rStyle w:val="Hyperlink"/>
            <w:rFonts w:ascii="FrankRuehl" w:hAnsi="FrankRuehl" w:cs="FrankRuehl"/>
            <w:u w:val="none"/>
            <w:rtl/>
          </w:rPr>
          <w:t>פקודת המבחן [נוסח חדש], תשכ"ט-1969</w:t>
        </w:r>
      </w:hyperlink>
      <w:r w:rsidRPr="00665C19">
        <w:rPr>
          <w:rFonts w:ascii="FrankRuehl" w:hAnsi="FrankRuehl" w:cs="FrankRuehl"/>
          <w:color w:val="0000FF"/>
          <w:rtl/>
        </w:rPr>
        <w:t xml:space="preserve">: סע'  </w:t>
      </w:r>
      <w:hyperlink r:id="rId20" w:history="1">
        <w:r w:rsidRPr="00665C19">
          <w:rPr>
            <w:rStyle w:val="Hyperlink"/>
            <w:rFonts w:ascii="FrankRuehl" w:hAnsi="FrankRuehl" w:cs="FrankRuehl"/>
            <w:u w:val="none"/>
          </w:rPr>
          <w:t>1</w:t>
        </w:r>
      </w:hyperlink>
      <w:r w:rsidRPr="00665C19">
        <w:rPr>
          <w:rFonts w:ascii="FrankRuehl" w:hAnsi="FrankRuehl" w:cs="FrankRuehl"/>
          <w:color w:val="0000FF"/>
          <w:rtl/>
        </w:rPr>
        <w:t>(2)</w:t>
      </w:r>
    </w:p>
    <w:p w14:paraId="4C500BEF" w14:textId="77777777" w:rsidR="003474F7" w:rsidRDefault="003474F7" w:rsidP="00665C19">
      <w:pPr>
        <w:rPr>
          <w:rFonts w:hint="cs"/>
          <w:sz w:val="26"/>
          <w:szCs w:val="26"/>
          <w:rtl/>
        </w:rPr>
      </w:pPr>
      <w:bookmarkStart w:id="3" w:name="LawTable_End"/>
      <w:bookmarkEnd w:id="3"/>
    </w:p>
    <w:p w14:paraId="35E6AC5D"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Pr>
      </w:pPr>
      <w:bookmarkStart w:id="4" w:name="ABSTRACT_START"/>
      <w:bookmarkEnd w:id="4"/>
      <w:r w:rsidRPr="007867C8">
        <w:rPr>
          <w:rFonts w:cs="FrankRuehl"/>
          <w:szCs w:val="26"/>
          <w:rtl/>
        </w:rPr>
        <w:t>מיני-רציו:</w:t>
      </w:r>
    </w:p>
    <w:p w14:paraId="6D6F2BC5"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867C8">
        <w:rPr>
          <w:rFonts w:cs="FrankRuehl"/>
          <w:szCs w:val="26"/>
          <w:rtl/>
        </w:rPr>
        <w:t>בית המשפט ביטל את הרשעת הנאשם, ההליך הסתיים באי הרשעה, תוך קביעה שהנאשם ביצע עבירה של החזקה/שימוש בסמים שלא לצריכה עצמית, ועבירה של ניסיון יבוא/יצוא/מסחר/הספקת סמים</w:t>
      </w:r>
      <w:r w:rsidRPr="007867C8">
        <w:rPr>
          <w:rFonts w:cs="FrankRuehl" w:hint="cs"/>
          <w:szCs w:val="26"/>
          <w:rtl/>
        </w:rPr>
        <w:t>,</w:t>
      </w:r>
      <w:r w:rsidRPr="007867C8">
        <w:rPr>
          <w:rFonts w:cs="FrankRuehl"/>
          <w:szCs w:val="26"/>
          <w:rtl/>
        </w:rPr>
        <w:t xml:space="preserve"> והשית על הנאשם צו שירות לתועלת הציבור בהיקף של 300 שעות, צו מבחן לשנה והתחייבות. נקבע כי עלה בידי הנאשם להוכיח כי קיימים ביחס אליו סיכויי שיקום ממשיים המצדיקים לאמץ המלצת שרות המבחן, ולהורות על סיום ההליך באי הרשעה.</w:t>
      </w:r>
    </w:p>
    <w:p w14:paraId="5CEF296A"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867C8">
        <w:rPr>
          <w:rFonts w:cs="FrankRuehl"/>
          <w:szCs w:val="26"/>
          <w:rtl/>
        </w:rPr>
        <w:t>עונשין – ענישה – הימנעות מהרשעה</w:t>
      </w:r>
    </w:p>
    <w:p w14:paraId="5E14A34B"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867C8">
        <w:rPr>
          <w:rFonts w:cs="FrankRuehl"/>
          <w:szCs w:val="26"/>
          <w:rtl/>
        </w:rPr>
        <w:t>עונשין – ענישה – שירות לתועלת הציבור</w:t>
      </w:r>
    </w:p>
    <w:p w14:paraId="58C961A4" w14:textId="77777777" w:rsidR="00875946" w:rsidRPr="007867C8" w:rsidRDefault="00875946" w:rsidP="0087594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B3B1E9"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tl/>
        </w:rPr>
      </w:pPr>
      <w:r w:rsidRPr="007867C8">
        <w:rPr>
          <w:rFonts w:cs="FrankRuehl"/>
          <w:szCs w:val="26"/>
          <w:rtl/>
        </w:rPr>
        <w:t>הנאשם הורשע על פי הודאתו, במסגרת הסדר טיעון, בכתב אישום מתוקן בעבירות של החזקה/שימוש בסמים שלא לצריכה עצמית, ועבירה של ניסיון יבוא/יצוא/מסחר/הספקת סמים. הנאשם החזיק שקית בתוכה 133</w:t>
      </w:r>
      <w:r w:rsidRPr="007867C8">
        <w:rPr>
          <w:rFonts w:cs="FrankRuehl" w:hint="cs"/>
          <w:szCs w:val="26"/>
          <w:rtl/>
        </w:rPr>
        <w:t>.</w:t>
      </w:r>
      <w:r w:rsidRPr="007867C8">
        <w:rPr>
          <w:rFonts w:cs="FrankRuehl"/>
          <w:szCs w:val="26"/>
          <w:rtl/>
        </w:rPr>
        <w:t xml:space="preserve">54 גרם נטו קנבוס וניסה למכור 10 גרם מסם זה. שירות המבחן המליץ על ביטול הרשעת הנאשם בכדי לא לפגוע בשיקומו ובתעסוקתו. לטענת המאשימה מדובר בעבירות חמורות, ועל כן לא ניתן לבטל הרשעה בעבירות אלו ועל כן </w:t>
      </w:r>
      <w:r w:rsidRPr="007867C8">
        <w:rPr>
          <w:rFonts w:cs="FrankRuehl" w:hint="cs"/>
          <w:szCs w:val="26"/>
          <w:rtl/>
        </w:rPr>
        <w:t>טענה ל</w:t>
      </w:r>
      <w:r w:rsidRPr="007867C8">
        <w:rPr>
          <w:rFonts w:cs="FrankRuehl"/>
          <w:szCs w:val="26"/>
          <w:rtl/>
        </w:rPr>
        <w:t xml:space="preserve">מתחם הענישה </w:t>
      </w:r>
      <w:r w:rsidRPr="007867C8">
        <w:rPr>
          <w:rFonts w:cs="FrankRuehl" w:hint="cs"/>
          <w:szCs w:val="26"/>
          <w:rtl/>
        </w:rPr>
        <w:t>ש</w:t>
      </w:r>
      <w:r w:rsidRPr="007867C8">
        <w:rPr>
          <w:rFonts w:cs="FrankRuehl"/>
          <w:szCs w:val="26"/>
          <w:rtl/>
        </w:rPr>
        <w:t>נע בין 6 ל-18 חודשי מאסר בפועל</w:t>
      </w:r>
      <w:r w:rsidRPr="007867C8">
        <w:rPr>
          <w:rFonts w:cs="FrankRuehl" w:hint="cs"/>
          <w:szCs w:val="26"/>
          <w:rtl/>
        </w:rPr>
        <w:t xml:space="preserve"> כאשר מיקום </w:t>
      </w:r>
      <w:r w:rsidRPr="007867C8">
        <w:rPr>
          <w:rFonts w:cs="FrankRuehl"/>
          <w:szCs w:val="26"/>
          <w:rtl/>
        </w:rPr>
        <w:t>עונשו בתחתית המתחם. מנגד, ביקש הסנגור לאמץ את המלצת שירות המבחן.</w:t>
      </w:r>
    </w:p>
    <w:p w14:paraId="48BD0F9C" w14:textId="77777777" w:rsidR="00875946" w:rsidRPr="007867C8" w:rsidRDefault="00875946" w:rsidP="0087594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180CB6F4"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tl/>
        </w:rPr>
      </w:pPr>
      <w:r w:rsidRPr="007867C8">
        <w:rPr>
          <w:rFonts w:cs="FrankRuehl"/>
          <w:szCs w:val="26"/>
          <w:rtl/>
        </w:rPr>
        <w:t>בית משפט השלום קיבל את המלצת שירות המבחן, וקבע כדלקמן:</w:t>
      </w:r>
    </w:p>
    <w:p w14:paraId="3AD37BF8" w14:textId="77777777" w:rsidR="00875946" w:rsidRPr="007867C8" w:rsidRDefault="00875946" w:rsidP="00875946">
      <w:pPr>
        <w:pBdr>
          <w:top w:val="single" w:sz="4" w:space="1" w:color="auto"/>
          <w:bottom w:val="single" w:sz="4" w:space="1" w:color="auto"/>
        </w:pBdr>
        <w:spacing w:after="120" w:line="320" w:lineRule="exact"/>
        <w:jc w:val="both"/>
        <w:rPr>
          <w:rFonts w:cs="FrankRuehl"/>
          <w:szCs w:val="26"/>
          <w:rtl/>
        </w:rPr>
      </w:pPr>
      <w:r w:rsidRPr="007867C8">
        <w:rPr>
          <w:rFonts w:cs="FrankRuehl"/>
          <w:szCs w:val="26"/>
          <w:rtl/>
        </w:rPr>
        <w:t xml:space="preserve">בפסיקה נקבע, כי שימוש באי הרשעה ייעשה כאשר יתקיימו שני תנאים מצטברים: כאשר ההרשעה תוביל לפגיעה חמורה בשיקום הנאשם, וכשסוג העבירה מאפשר לוותר בנסיבות המקרה המסוים על ההרשעה בלי לפגוע באופן מהותי בשיקולי הענישה האחרים. בפסיקת בית המשפט העליון נקבע, כי אי הרשעה בעבירות של סחר בסם מסוכן הינה בגדר חריג שבחריגים. עם זאת, ישנם מקרים בהם העדיף בית המשפט לבקר שיקולי שיקום על פני שיקולי הרתעה והורה על ביטול ההרשעה. בענייננו, קבע בית המשפט כי ניתן לקבוע כי עלה בידי הנאשם להוכיח כי קיימים ביחס אליו סיכויי שיקום ממשיים המצדיקים לאמץ את המלצת שירות המבחן, ולהורות על סיום הליך באי-הרשעה. זאת, לצד צו שירות לתועלת הציבור בהיקף נרחב כפי המלצת שירות המבחן, צו מבחן, וחתימה על התחייבות. </w:t>
      </w:r>
    </w:p>
    <w:p w14:paraId="5E479DF4" w14:textId="77777777" w:rsidR="00875946" w:rsidRPr="00665C19" w:rsidRDefault="00875946" w:rsidP="00665C19">
      <w:pPr>
        <w:rPr>
          <w:rFonts w:hint="cs"/>
          <w:sz w:val="26"/>
          <w:szCs w:val="26"/>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74F7" w14:paraId="44E3B992" w14:textId="77777777" w:rsidTr="003474F7">
        <w:trPr>
          <w:trHeight w:val="355"/>
          <w:jc w:val="center"/>
        </w:trPr>
        <w:tc>
          <w:tcPr>
            <w:tcW w:w="8820" w:type="dxa"/>
            <w:tcBorders>
              <w:top w:val="nil"/>
              <w:left w:val="nil"/>
              <w:bottom w:val="nil"/>
              <w:right w:val="nil"/>
            </w:tcBorders>
            <w:shd w:val="clear" w:color="auto" w:fill="auto"/>
          </w:tcPr>
          <w:p w14:paraId="7C8370B4" w14:textId="77777777" w:rsidR="00BD5432" w:rsidRPr="00BD5432" w:rsidRDefault="00BD5432" w:rsidP="00BD5432">
            <w:pPr>
              <w:jc w:val="center"/>
              <w:rPr>
                <w:rFonts w:ascii="David" w:hAnsi="David"/>
                <w:b/>
                <w:bCs/>
                <w:u w:val="single"/>
                <w:rtl/>
              </w:rPr>
            </w:pPr>
            <w:bookmarkStart w:id="6" w:name="PsakDin" w:colFirst="0" w:colLast="0"/>
            <w:bookmarkEnd w:id="0"/>
            <w:bookmarkEnd w:id="1"/>
            <w:r w:rsidRPr="00BD5432">
              <w:rPr>
                <w:rFonts w:ascii="David" w:hAnsi="David"/>
                <w:b/>
                <w:bCs/>
                <w:u w:val="single"/>
                <w:rtl/>
              </w:rPr>
              <w:t>גזר דין</w:t>
            </w:r>
          </w:p>
          <w:p w14:paraId="5987AC24" w14:textId="77777777" w:rsidR="003474F7" w:rsidRPr="00BD5432" w:rsidRDefault="003474F7" w:rsidP="00BD5432">
            <w:pPr>
              <w:jc w:val="center"/>
              <w:rPr>
                <w:rFonts w:ascii="David" w:hAnsi="David"/>
                <w:bCs/>
                <w:u w:val="single"/>
                <w:rtl/>
              </w:rPr>
            </w:pPr>
          </w:p>
        </w:tc>
      </w:tr>
      <w:bookmarkEnd w:id="6"/>
    </w:tbl>
    <w:p w14:paraId="6F52DD5E" w14:textId="77777777" w:rsidR="003474F7" w:rsidRPr="000F2247" w:rsidRDefault="003474F7" w:rsidP="003474F7">
      <w:pPr>
        <w:rPr>
          <w:rFonts w:ascii="Arial" w:hAnsi="Arial"/>
          <w:b/>
          <w:bCs/>
          <w:sz w:val="26"/>
          <w:szCs w:val="26"/>
          <w:rtl/>
        </w:rPr>
      </w:pPr>
    </w:p>
    <w:p w14:paraId="59035C5A" w14:textId="77777777" w:rsidR="003474F7" w:rsidRPr="00E635B4" w:rsidRDefault="003474F7" w:rsidP="003474F7">
      <w:pPr>
        <w:spacing w:line="360" w:lineRule="auto"/>
        <w:ind w:left="360" w:firstLine="360"/>
        <w:contextualSpacing/>
        <w:jc w:val="both"/>
        <w:rPr>
          <w:rFonts w:ascii="Arial" w:hAnsi="Arial"/>
          <w:b/>
          <w:bCs/>
        </w:rPr>
      </w:pPr>
      <w:r w:rsidRPr="00E635B4">
        <w:rPr>
          <w:rFonts w:ascii="Arial" w:hAnsi="Arial" w:hint="cs"/>
          <w:b/>
          <w:bCs/>
          <w:u w:val="single"/>
          <w:rtl/>
        </w:rPr>
        <w:t>כתב האישום</w:t>
      </w:r>
      <w:r w:rsidRPr="00E635B4">
        <w:rPr>
          <w:rFonts w:ascii="Arial" w:hAnsi="Arial" w:hint="cs"/>
          <w:b/>
          <w:bCs/>
          <w:rtl/>
        </w:rPr>
        <w:t>:</w:t>
      </w:r>
    </w:p>
    <w:p w14:paraId="70FAD69D" w14:textId="77777777" w:rsidR="003474F7" w:rsidRPr="00B471FA" w:rsidRDefault="003474F7" w:rsidP="003474F7">
      <w:pPr>
        <w:pStyle w:val="ListParagraph"/>
        <w:numPr>
          <w:ilvl w:val="0"/>
          <w:numId w:val="1"/>
        </w:numPr>
        <w:spacing w:line="360" w:lineRule="auto"/>
        <w:jc w:val="both"/>
        <w:rPr>
          <w:rFonts w:ascii="Arial" w:hAnsi="Arial"/>
          <w:b/>
          <w:bCs/>
        </w:rPr>
      </w:pPr>
      <w:r w:rsidRPr="00B471FA">
        <w:rPr>
          <w:rFonts w:ascii="Arial" w:hAnsi="Arial"/>
          <w:rtl/>
        </w:rPr>
        <w:t xml:space="preserve">הנאשם הורשע ע"פ הודאתו, במסגרת הסדר טיעון, בכתב אישום מתוקן המייחס לו </w:t>
      </w:r>
      <w:r w:rsidRPr="00B471FA">
        <w:rPr>
          <w:rFonts w:ascii="David" w:hAnsi="David"/>
          <w:color w:val="000000"/>
          <w:shd w:val="clear" w:color="auto" w:fill="FFFFFF"/>
          <w:rtl/>
        </w:rPr>
        <w:t>עבירה של</w:t>
      </w:r>
      <w:r w:rsidRPr="00B471FA">
        <w:rPr>
          <w:rFonts w:ascii="Arial" w:hAnsi="Arial"/>
          <w:rtl/>
        </w:rPr>
        <w:t xml:space="preserve"> החזקה/שימוש בסמים שלא לצריכה עצמית, לפי </w:t>
      </w:r>
      <w:hyperlink r:id="rId21" w:history="1">
        <w:r w:rsidR="00883BED" w:rsidRPr="00883BED">
          <w:rPr>
            <w:rStyle w:val="Hyperlink"/>
            <w:rFonts w:ascii="David" w:hAnsi="David"/>
            <w:spacing w:val="10"/>
            <w:shd w:val="clear" w:color="auto" w:fill="FFFFFF"/>
            <w:rtl/>
          </w:rPr>
          <w:t>סעיף 7(א)</w:t>
        </w:r>
      </w:hyperlink>
      <w:r w:rsidR="00BD5432">
        <w:rPr>
          <w:rFonts w:ascii="David" w:hAnsi="David"/>
          <w:color w:val="000000"/>
          <w:spacing w:val="10"/>
          <w:shd w:val="clear" w:color="auto" w:fill="FFFFFF"/>
        </w:rPr>
        <w:t xml:space="preserve"> </w:t>
      </w:r>
      <w:r w:rsidRPr="00B471FA">
        <w:rPr>
          <w:rFonts w:ascii="David" w:hAnsi="David"/>
          <w:color w:val="000000"/>
          <w:spacing w:val="10"/>
          <w:shd w:val="clear" w:color="auto" w:fill="FFFFFF"/>
          <w:rtl/>
        </w:rPr>
        <w:t>בצירוף</w:t>
      </w:r>
      <w:r w:rsidR="00BD5432">
        <w:rPr>
          <w:rFonts w:ascii="David" w:hAnsi="David"/>
          <w:color w:val="000000"/>
          <w:spacing w:val="10"/>
          <w:shd w:val="clear" w:color="auto" w:fill="FFFFFF"/>
          <w:rtl/>
        </w:rPr>
        <w:t xml:space="preserve"> </w:t>
      </w:r>
      <w:r w:rsidRPr="00BD5432">
        <w:rPr>
          <w:rFonts w:ascii="David" w:hAnsi="David"/>
          <w:color w:val="000000"/>
          <w:spacing w:val="10"/>
          <w:shd w:val="clear" w:color="auto" w:fill="FFFFFF"/>
          <w:rtl/>
        </w:rPr>
        <w:t xml:space="preserve">סעיף </w:t>
      </w:r>
      <w:hyperlink r:id="rId22" w:history="1">
        <w:r w:rsidR="00883BED" w:rsidRPr="00883BED">
          <w:rPr>
            <w:rStyle w:val="Hyperlink"/>
            <w:rFonts w:ascii="David" w:hAnsi="David"/>
            <w:spacing w:val="10"/>
            <w:shd w:val="clear" w:color="auto" w:fill="FFFFFF"/>
            <w:rtl/>
          </w:rPr>
          <w:t>7(ג)</w:t>
        </w:r>
      </w:hyperlink>
      <w:r w:rsidR="00BD5432">
        <w:rPr>
          <w:rFonts w:ascii="David" w:hAnsi="David"/>
          <w:color w:val="000000"/>
          <w:spacing w:val="10"/>
          <w:shd w:val="clear" w:color="auto" w:fill="FFFFFF"/>
        </w:rPr>
        <w:t xml:space="preserve"> </w:t>
      </w:r>
      <w:r w:rsidRPr="00B471FA">
        <w:rPr>
          <w:rFonts w:ascii="David" w:hAnsi="David"/>
          <w:color w:val="000000"/>
          <w:spacing w:val="10"/>
          <w:shd w:val="clear" w:color="auto" w:fill="FFFFFF"/>
          <w:rtl/>
        </w:rPr>
        <w:t>רישא ל</w:t>
      </w:r>
      <w:hyperlink r:id="rId23" w:history="1">
        <w:r w:rsidR="00BD5432" w:rsidRPr="00BD5432">
          <w:rPr>
            <w:rFonts w:ascii="David" w:hAnsi="David"/>
            <w:color w:val="0000FF"/>
            <w:spacing w:val="10"/>
            <w:u w:val="single"/>
            <w:shd w:val="clear" w:color="auto" w:fill="FFFFFF"/>
            <w:rtl/>
          </w:rPr>
          <w:t>פקודת הסמים המסוכנים</w:t>
        </w:r>
      </w:hyperlink>
      <w:r w:rsidRPr="00B471FA">
        <w:rPr>
          <w:rFonts w:ascii="Arial" w:hAnsi="Arial"/>
          <w:rtl/>
        </w:rPr>
        <w:t xml:space="preserve"> </w:t>
      </w:r>
      <w:r w:rsidRPr="00B471FA">
        <w:rPr>
          <w:rFonts w:ascii="Arial" w:hAnsi="Arial" w:hint="cs"/>
          <w:rtl/>
        </w:rPr>
        <w:t xml:space="preserve">(נוסח חדש), תשל"ג – 1973, ועבירה של </w:t>
      </w:r>
      <w:r w:rsidRPr="00B471FA">
        <w:rPr>
          <w:rFonts w:ascii="David" w:hAnsi="David"/>
          <w:color w:val="000000"/>
          <w:shd w:val="clear" w:color="auto" w:fill="FFFFFF"/>
          <w:rtl/>
        </w:rPr>
        <w:t>ניסיון יבוא/יצוא/מסחר/הספקת סמים</w:t>
      </w:r>
      <w:r w:rsidRPr="00B471FA">
        <w:rPr>
          <w:rFonts w:ascii="Arial" w:hAnsi="Arial"/>
          <w:rtl/>
        </w:rPr>
        <w:t xml:space="preserve"> </w:t>
      </w:r>
      <w:r w:rsidRPr="00B471FA">
        <w:rPr>
          <w:rFonts w:ascii="David" w:hAnsi="David"/>
          <w:color w:val="000000"/>
          <w:shd w:val="clear" w:color="auto" w:fill="FFFFFF"/>
          <w:rtl/>
        </w:rPr>
        <w:t>לפי</w:t>
      </w:r>
      <w:r w:rsidR="00BD5432">
        <w:rPr>
          <w:rFonts w:ascii="David" w:hAnsi="David"/>
          <w:color w:val="000000"/>
          <w:shd w:val="clear" w:color="auto" w:fill="FFFFFF"/>
          <w:rtl/>
        </w:rPr>
        <w:t xml:space="preserve"> </w:t>
      </w:r>
      <w:r w:rsidRPr="00BD5432">
        <w:rPr>
          <w:rFonts w:ascii="David" w:hAnsi="David"/>
          <w:color w:val="000000"/>
          <w:shd w:val="clear" w:color="auto" w:fill="FFFFFF"/>
          <w:rtl/>
        </w:rPr>
        <w:t>סעיף</w:t>
      </w:r>
      <w:r w:rsidRPr="00B471FA">
        <w:rPr>
          <w:rFonts w:ascii="David" w:hAnsi="David"/>
          <w:color w:val="0000FF"/>
          <w:u w:val="single"/>
          <w:shd w:val="clear" w:color="auto" w:fill="FFFFFF"/>
          <w:rtl/>
        </w:rPr>
        <w:t xml:space="preserve"> </w:t>
      </w:r>
      <w:hyperlink r:id="rId24" w:history="1">
        <w:r w:rsidR="00883BED" w:rsidRPr="00883BED">
          <w:rPr>
            <w:rStyle w:val="Hyperlink"/>
            <w:rFonts w:ascii="David" w:hAnsi="David"/>
            <w:shd w:val="clear" w:color="auto" w:fill="FFFFFF"/>
            <w:rtl/>
          </w:rPr>
          <w:t>13</w:t>
        </w:r>
      </w:hyperlink>
      <w:r w:rsidR="00BD5432">
        <w:rPr>
          <w:rFonts w:ascii="David" w:hAnsi="David"/>
          <w:color w:val="000000"/>
          <w:shd w:val="clear" w:color="auto" w:fill="FFFFFF"/>
        </w:rPr>
        <w:t xml:space="preserve"> </w:t>
      </w:r>
      <w:r w:rsidRPr="00B471FA">
        <w:rPr>
          <w:rFonts w:ascii="David" w:hAnsi="David"/>
          <w:color w:val="000000"/>
          <w:shd w:val="clear" w:color="auto" w:fill="FFFFFF"/>
          <w:rtl/>
        </w:rPr>
        <w:t>ל</w:t>
      </w:r>
      <w:r w:rsidRPr="00BD5432">
        <w:rPr>
          <w:rFonts w:ascii="David" w:hAnsi="David"/>
          <w:color w:val="000000"/>
          <w:shd w:val="clear" w:color="auto" w:fill="FFFFFF"/>
          <w:rtl/>
        </w:rPr>
        <w:t>צו בדבר סמים מסוכנים (יהודה והשומרון)</w:t>
      </w:r>
      <w:r w:rsidR="00BD5432">
        <w:rPr>
          <w:rFonts w:ascii="David" w:hAnsi="David"/>
          <w:color w:val="000000"/>
          <w:shd w:val="clear" w:color="auto" w:fill="FFFFFF"/>
        </w:rPr>
        <w:t xml:space="preserve"> </w:t>
      </w:r>
      <w:r w:rsidRPr="00B471FA">
        <w:rPr>
          <w:rFonts w:ascii="David" w:hAnsi="David"/>
          <w:color w:val="000000"/>
          <w:shd w:val="clear" w:color="auto" w:fill="FFFFFF"/>
          <w:rtl/>
        </w:rPr>
        <w:t xml:space="preserve"> </w:t>
      </w:r>
      <w:r w:rsidRPr="00B471FA">
        <w:rPr>
          <w:rFonts w:ascii="David" w:hAnsi="David" w:hint="cs"/>
          <w:color w:val="000000"/>
          <w:shd w:val="clear" w:color="auto" w:fill="FFFFFF"/>
          <w:rtl/>
        </w:rPr>
        <w:t>(מס' 558), תשל"ה-1975</w:t>
      </w:r>
      <w:r w:rsidRPr="00B471FA">
        <w:rPr>
          <w:rFonts w:ascii="Arial" w:hAnsi="Arial"/>
          <w:rtl/>
        </w:rPr>
        <w:t xml:space="preserve"> + </w:t>
      </w:r>
      <w:hyperlink r:id="rId25" w:history="1">
        <w:r w:rsidR="00883BED" w:rsidRPr="00883BED">
          <w:rPr>
            <w:rStyle w:val="Hyperlink"/>
            <w:rFonts w:ascii="David" w:hAnsi="David"/>
            <w:shd w:val="clear" w:color="auto" w:fill="FFFFFF"/>
            <w:rtl/>
          </w:rPr>
          <w:t>סעיף 25</w:t>
        </w:r>
      </w:hyperlink>
      <w:r w:rsidR="00BD5432">
        <w:rPr>
          <w:rFonts w:ascii="David" w:hAnsi="David"/>
          <w:color w:val="000000"/>
          <w:shd w:val="clear" w:color="auto" w:fill="FFFFFF"/>
        </w:rPr>
        <w:t xml:space="preserve"> </w:t>
      </w:r>
      <w:r w:rsidRPr="00B471FA">
        <w:rPr>
          <w:rFonts w:ascii="David" w:hAnsi="David"/>
          <w:color w:val="000000"/>
          <w:shd w:val="clear" w:color="auto" w:fill="FFFFFF"/>
          <w:rtl/>
        </w:rPr>
        <w:t>ל</w:t>
      </w:r>
      <w:hyperlink r:id="rId26" w:history="1">
        <w:r w:rsidR="00BD5432" w:rsidRPr="00BD5432">
          <w:rPr>
            <w:rFonts w:ascii="David" w:hAnsi="David"/>
            <w:color w:val="0000FF"/>
            <w:u w:val="single"/>
            <w:shd w:val="clear" w:color="auto" w:fill="FFFFFF"/>
            <w:rtl/>
          </w:rPr>
          <w:t>חוק העונשין</w:t>
        </w:r>
      </w:hyperlink>
      <w:r w:rsidRPr="00B471FA">
        <w:rPr>
          <w:rFonts w:ascii="David" w:hAnsi="David"/>
          <w:color w:val="0000FF"/>
          <w:shd w:val="clear" w:color="auto" w:fill="FFFFFF"/>
        </w:rPr>
        <w:t xml:space="preserve"> </w:t>
      </w:r>
      <w:r w:rsidRPr="00B471FA">
        <w:rPr>
          <w:rFonts w:ascii="Arial" w:hAnsi="Arial"/>
          <w:rtl/>
        </w:rPr>
        <w:t>התשל"ז – 1977. סוכם</w:t>
      </w:r>
      <w:r w:rsidRPr="00B471FA">
        <w:rPr>
          <w:rFonts w:ascii="Arial" w:hAnsi="Arial" w:hint="cs"/>
          <w:rtl/>
        </w:rPr>
        <w:t>,</w:t>
      </w:r>
      <w:r w:rsidRPr="00B471FA">
        <w:rPr>
          <w:rFonts w:ascii="Arial" w:hAnsi="Arial"/>
          <w:rtl/>
        </w:rPr>
        <w:t xml:space="preserve"> כי</w:t>
      </w:r>
      <w:r w:rsidRPr="00670DE9">
        <w:rPr>
          <w:rtl/>
        </w:rPr>
        <w:t xml:space="preserve"> </w:t>
      </w:r>
      <w:r w:rsidRPr="00B471FA">
        <w:rPr>
          <w:rFonts w:ascii="Arial" w:hAnsi="Arial"/>
          <w:rtl/>
        </w:rPr>
        <w:t xml:space="preserve">הנאשם יישלח לתסקיר מבחן אשר יבחן גם את סוגיית ההרשעה, </w:t>
      </w:r>
      <w:r w:rsidRPr="00B471FA">
        <w:rPr>
          <w:rFonts w:ascii="Arial" w:hAnsi="Arial" w:hint="cs"/>
          <w:rtl/>
        </w:rPr>
        <w:t xml:space="preserve">כאשר </w:t>
      </w:r>
      <w:r w:rsidRPr="00B471FA">
        <w:rPr>
          <w:rFonts w:ascii="Arial" w:hAnsi="Arial"/>
          <w:rtl/>
        </w:rPr>
        <w:t xml:space="preserve">המאשימה תעתור למאסר </w:t>
      </w:r>
      <w:r>
        <w:rPr>
          <w:rFonts w:ascii="Arial" w:hAnsi="Arial" w:hint="cs"/>
          <w:rtl/>
        </w:rPr>
        <w:t xml:space="preserve">למשך </w:t>
      </w:r>
      <w:r w:rsidRPr="00B471FA">
        <w:rPr>
          <w:rFonts w:ascii="Arial" w:hAnsi="Arial"/>
          <w:rtl/>
        </w:rPr>
        <w:t>5 חודשים שיכול וי</w:t>
      </w:r>
      <w:r>
        <w:rPr>
          <w:rFonts w:ascii="Arial" w:hAnsi="Arial" w:hint="cs"/>
          <w:rtl/>
        </w:rPr>
        <w:t xml:space="preserve">בוצע </w:t>
      </w:r>
      <w:r w:rsidRPr="00B471FA">
        <w:rPr>
          <w:rFonts w:ascii="Arial" w:hAnsi="Arial"/>
          <w:rtl/>
        </w:rPr>
        <w:t xml:space="preserve">בעבודת שירות, מאסר על תנאי וענישה נלווית, </w:t>
      </w:r>
      <w:r w:rsidRPr="00B471FA">
        <w:rPr>
          <w:rFonts w:ascii="Arial" w:hAnsi="Arial" w:hint="cs"/>
          <w:rtl/>
        </w:rPr>
        <w:t>ו</w:t>
      </w:r>
      <w:r w:rsidRPr="00B471FA">
        <w:rPr>
          <w:rFonts w:ascii="Arial" w:hAnsi="Arial"/>
          <w:rtl/>
        </w:rPr>
        <w:t>ההגנה תהיה חופשית בטיעוניה.</w:t>
      </w:r>
    </w:p>
    <w:p w14:paraId="620830C8" w14:textId="77777777" w:rsidR="003474F7" w:rsidRPr="00B471FA" w:rsidRDefault="003474F7" w:rsidP="003474F7">
      <w:pPr>
        <w:pStyle w:val="ListParagraph"/>
        <w:numPr>
          <w:ilvl w:val="0"/>
          <w:numId w:val="1"/>
        </w:numPr>
        <w:spacing w:line="360" w:lineRule="auto"/>
        <w:jc w:val="both"/>
        <w:rPr>
          <w:rFonts w:ascii="Arial" w:hAnsi="Arial"/>
          <w:b/>
          <w:bCs/>
        </w:rPr>
      </w:pPr>
      <w:r w:rsidRPr="00B471FA">
        <w:rPr>
          <w:rFonts w:ascii="David" w:hAnsi="David"/>
          <w:rtl/>
        </w:rPr>
        <w:t>על פי עובדות כתב האישום</w:t>
      </w:r>
      <w:r w:rsidRPr="00B471FA">
        <w:rPr>
          <w:rFonts w:ascii="Arial" w:hAnsi="Arial"/>
          <w:rtl/>
        </w:rPr>
        <w:t>, בתאריך 12.8.2020 בשעה 17:15 לערך נסע הנאשם ברכב</w:t>
      </w:r>
      <w:r w:rsidRPr="00B471FA">
        <w:rPr>
          <w:rFonts w:ascii="Arial" w:hAnsi="Arial"/>
          <w:b/>
          <w:bCs/>
          <w:rtl/>
        </w:rPr>
        <w:t xml:space="preserve"> </w:t>
      </w:r>
      <w:r w:rsidRPr="00B471FA">
        <w:rPr>
          <w:rFonts w:ascii="Arial" w:hAnsi="Arial"/>
          <w:rtl/>
        </w:rPr>
        <w:t>מסוג ניסאן ל.ז 8419637 (להלן: "</w:t>
      </w:r>
      <w:r w:rsidRPr="00B471FA">
        <w:rPr>
          <w:rFonts w:ascii="Arial" w:hAnsi="Arial"/>
          <w:b/>
          <w:bCs/>
          <w:rtl/>
        </w:rPr>
        <w:t>הרכב"),</w:t>
      </w:r>
      <w:r w:rsidRPr="00B471FA">
        <w:rPr>
          <w:rFonts w:ascii="Arial" w:hAnsi="Arial"/>
          <w:rtl/>
        </w:rPr>
        <w:t xml:space="preserve"> בישוב אדם, כשאתו נמצא ישי כהן (להלן: "</w:t>
      </w:r>
      <w:r w:rsidRPr="00B471FA">
        <w:rPr>
          <w:rFonts w:ascii="Arial" w:hAnsi="Arial"/>
          <w:b/>
          <w:bCs/>
          <w:rtl/>
        </w:rPr>
        <w:t>ישי</w:t>
      </w:r>
      <w:r w:rsidRPr="00B471FA">
        <w:rPr>
          <w:rFonts w:ascii="Arial" w:hAnsi="Arial"/>
          <w:rtl/>
        </w:rPr>
        <w:t>").</w:t>
      </w:r>
    </w:p>
    <w:p w14:paraId="6F444A49"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באותן הנסיבות, החזיק הנאשם בין רגליו שקית ובתוכה 133.54 גרם נטו סם מסוכן מסוג קנבוס.</w:t>
      </w:r>
    </w:p>
    <w:p w14:paraId="29E2C65C"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בנסיבות המתוארות, ניסה הנאשם למכור לישי 10 גרם סם מסוכן מסוג קנבוס בתמורה ל-500 ₪.</w:t>
      </w:r>
    </w:p>
    <w:p w14:paraId="7BE08A5D" w14:textId="77777777" w:rsidR="003474F7" w:rsidRPr="00670DE9" w:rsidRDefault="003474F7" w:rsidP="003474F7">
      <w:pPr>
        <w:spacing w:line="360" w:lineRule="auto"/>
        <w:ind w:left="720"/>
        <w:contextualSpacing/>
        <w:jc w:val="both"/>
        <w:rPr>
          <w:rFonts w:ascii="Arial" w:hAnsi="Arial"/>
        </w:rPr>
      </w:pPr>
    </w:p>
    <w:p w14:paraId="702914E8" w14:textId="77777777" w:rsidR="003474F7" w:rsidRDefault="003474F7" w:rsidP="003474F7">
      <w:pPr>
        <w:spacing w:line="360" w:lineRule="auto"/>
        <w:ind w:left="360"/>
        <w:jc w:val="both"/>
        <w:rPr>
          <w:rFonts w:ascii="Arial" w:hAnsi="Arial"/>
          <w:b/>
          <w:bCs/>
          <w:u w:val="single"/>
          <w:rtl/>
        </w:rPr>
      </w:pPr>
    </w:p>
    <w:p w14:paraId="731403AF" w14:textId="77777777" w:rsidR="003474F7" w:rsidRDefault="003474F7" w:rsidP="003474F7">
      <w:pPr>
        <w:spacing w:line="360" w:lineRule="auto"/>
        <w:ind w:left="360"/>
        <w:jc w:val="both"/>
        <w:rPr>
          <w:rFonts w:ascii="Arial" w:hAnsi="Arial"/>
          <w:b/>
          <w:bCs/>
          <w:u w:val="single"/>
          <w:rtl/>
        </w:rPr>
      </w:pPr>
    </w:p>
    <w:p w14:paraId="61DE5712" w14:textId="77777777" w:rsidR="003474F7" w:rsidRPr="00670DE9" w:rsidRDefault="003474F7" w:rsidP="003474F7">
      <w:pPr>
        <w:spacing w:line="360" w:lineRule="auto"/>
        <w:ind w:left="360" w:firstLine="360"/>
        <w:jc w:val="both"/>
        <w:rPr>
          <w:rFonts w:ascii="Arial" w:hAnsi="Arial"/>
          <w:b/>
          <w:bCs/>
          <w:u w:val="single"/>
          <w:rtl/>
        </w:rPr>
      </w:pPr>
      <w:r w:rsidRPr="00670DE9">
        <w:rPr>
          <w:rFonts w:ascii="Arial" w:hAnsi="Arial"/>
          <w:b/>
          <w:bCs/>
          <w:u w:val="single"/>
          <w:rtl/>
        </w:rPr>
        <w:t>ראיות ההגנה לעונש</w:t>
      </w:r>
    </w:p>
    <w:p w14:paraId="29BF292E" w14:textId="77777777" w:rsidR="003474F7" w:rsidRPr="00B471FA" w:rsidRDefault="003474F7" w:rsidP="003474F7">
      <w:pPr>
        <w:pStyle w:val="ListParagraph"/>
        <w:numPr>
          <w:ilvl w:val="0"/>
          <w:numId w:val="4"/>
        </w:numPr>
        <w:spacing w:line="360" w:lineRule="auto"/>
        <w:jc w:val="both"/>
        <w:rPr>
          <w:rFonts w:ascii="Arial" w:hAnsi="Arial"/>
          <w:rtl/>
        </w:rPr>
      </w:pPr>
      <w:r w:rsidRPr="00B471FA">
        <w:rPr>
          <w:rFonts w:ascii="Arial" w:hAnsi="Arial"/>
          <w:rtl/>
        </w:rPr>
        <w:lastRenderedPageBreak/>
        <w:t xml:space="preserve">אמו של הנאשם, הגב' עדי בן אבו, סיפרה על הקשיים אותם חווה הנאשם מילדותו. לדבריה, הנאשם למד את הלקח והוא היום </w:t>
      </w:r>
      <w:r>
        <w:rPr>
          <w:rFonts w:ascii="Arial" w:hAnsi="Arial" w:hint="cs"/>
          <w:rtl/>
        </w:rPr>
        <w:t xml:space="preserve">מצוי </w:t>
      </w:r>
      <w:r w:rsidRPr="00B471FA">
        <w:rPr>
          <w:rFonts w:ascii="Arial" w:hAnsi="Arial"/>
          <w:rtl/>
        </w:rPr>
        <w:t>במקום אחר לגמרי. לדבריה, ככל והנאשם יורשע הוא יפגע מכך.</w:t>
      </w:r>
    </w:p>
    <w:p w14:paraId="259B82CF" w14:textId="77777777" w:rsidR="003474F7" w:rsidRPr="00B471FA" w:rsidRDefault="003474F7" w:rsidP="003474F7">
      <w:pPr>
        <w:pStyle w:val="ListParagraph"/>
        <w:numPr>
          <w:ilvl w:val="0"/>
          <w:numId w:val="4"/>
        </w:numPr>
        <w:spacing w:line="360" w:lineRule="auto"/>
        <w:jc w:val="both"/>
        <w:rPr>
          <w:rFonts w:ascii="Arial" w:hAnsi="Arial"/>
          <w:rtl/>
        </w:rPr>
      </w:pPr>
      <w:r w:rsidRPr="00B471FA">
        <w:rPr>
          <w:rFonts w:ascii="Arial" w:hAnsi="Arial"/>
          <w:rtl/>
        </w:rPr>
        <w:t>גזר דין בו הנאשם היה נפגע עבירה, ותמונות שהוגשו באותו תיק.</w:t>
      </w:r>
    </w:p>
    <w:p w14:paraId="59F60269" w14:textId="77777777" w:rsidR="003474F7" w:rsidRPr="00B471FA" w:rsidRDefault="003474F7" w:rsidP="003474F7">
      <w:pPr>
        <w:pStyle w:val="ListParagraph"/>
        <w:numPr>
          <w:ilvl w:val="0"/>
          <w:numId w:val="4"/>
        </w:numPr>
        <w:spacing w:line="360" w:lineRule="auto"/>
        <w:jc w:val="both"/>
        <w:rPr>
          <w:rFonts w:ascii="Arial" w:hAnsi="Arial"/>
        </w:rPr>
      </w:pPr>
      <w:r w:rsidRPr="00B471FA">
        <w:rPr>
          <w:rFonts w:ascii="Arial" w:hAnsi="Arial"/>
          <w:rtl/>
        </w:rPr>
        <w:t>מסמכים מתקופת השירות הצבאי של הנאשם, מסמכים של בריאות הנפש והפסיכיאטריה במסגרת הצבא.</w:t>
      </w:r>
    </w:p>
    <w:p w14:paraId="4DC74D5C" w14:textId="77777777" w:rsidR="003474F7" w:rsidRPr="00B471FA" w:rsidRDefault="003474F7" w:rsidP="003474F7">
      <w:pPr>
        <w:pStyle w:val="ListParagraph"/>
        <w:numPr>
          <w:ilvl w:val="0"/>
          <w:numId w:val="4"/>
        </w:numPr>
        <w:spacing w:line="360" w:lineRule="auto"/>
        <w:jc w:val="both"/>
        <w:rPr>
          <w:rFonts w:ascii="Arial" w:hAnsi="Arial"/>
        </w:rPr>
      </w:pPr>
      <w:r w:rsidRPr="00B471FA">
        <w:rPr>
          <w:rFonts w:ascii="Arial" w:hAnsi="Arial"/>
          <w:rtl/>
        </w:rPr>
        <w:t>חקיקה רלוונטית לגבי הוצאת רישיון השקעות.</w:t>
      </w:r>
    </w:p>
    <w:p w14:paraId="71EFACBE" w14:textId="77777777" w:rsidR="003474F7" w:rsidRPr="00B471FA" w:rsidRDefault="003474F7" w:rsidP="003474F7">
      <w:pPr>
        <w:pStyle w:val="ListParagraph"/>
        <w:numPr>
          <w:ilvl w:val="0"/>
          <w:numId w:val="4"/>
        </w:numPr>
        <w:spacing w:line="360" w:lineRule="auto"/>
        <w:jc w:val="both"/>
        <w:rPr>
          <w:rFonts w:ascii="Arial" w:hAnsi="Arial"/>
          <w:rtl/>
        </w:rPr>
      </w:pPr>
      <w:r w:rsidRPr="00B471FA">
        <w:rPr>
          <w:rFonts w:ascii="Arial" w:hAnsi="Arial"/>
          <w:rtl/>
        </w:rPr>
        <w:t>מסמכים של טיפולי הנאשם בקופת החולים.</w:t>
      </w:r>
    </w:p>
    <w:p w14:paraId="12C2EB90" w14:textId="77777777" w:rsidR="003474F7" w:rsidRPr="00670DE9" w:rsidRDefault="003474F7" w:rsidP="003474F7">
      <w:pPr>
        <w:spacing w:line="360" w:lineRule="auto"/>
        <w:jc w:val="both"/>
        <w:rPr>
          <w:rFonts w:ascii="Arial" w:hAnsi="Arial"/>
          <w:b/>
          <w:bCs/>
          <w:sz w:val="26"/>
          <w:szCs w:val="26"/>
          <w:rtl/>
        </w:rPr>
      </w:pPr>
    </w:p>
    <w:p w14:paraId="5AD3B493" w14:textId="77777777" w:rsidR="003474F7" w:rsidRPr="00670DE9" w:rsidRDefault="003474F7" w:rsidP="003474F7">
      <w:pPr>
        <w:spacing w:line="360" w:lineRule="auto"/>
        <w:ind w:firstLine="720"/>
        <w:jc w:val="both"/>
        <w:rPr>
          <w:rFonts w:ascii="Arial" w:hAnsi="Arial"/>
          <w:b/>
          <w:bCs/>
          <w:sz w:val="26"/>
          <w:szCs w:val="26"/>
          <w:u w:val="single"/>
          <w:rtl/>
        </w:rPr>
      </w:pPr>
      <w:r w:rsidRPr="00670DE9">
        <w:rPr>
          <w:rFonts w:ascii="Arial" w:hAnsi="Arial"/>
          <w:b/>
          <w:bCs/>
          <w:u w:val="single"/>
          <w:rtl/>
        </w:rPr>
        <w:t>תסקירי שירות המבחן</w:t>
      </w:r>
    </w:p>
    <w:p w14:paraId="06C34D43" w14:textId="77777777" w:rsidR="003474F7" w:rsidRPr="00B471FA" w:rsidRDefault="003474F7" w:rsidP="003474F7">
      <w:pPr>
        <w:pStyle w:val="ListParagraph"/>
        <w:numPr>
          <w:ilvl w:val="0"/>
          <w:numId w:val="1"/>
        </w:numPr>
        <w:spacing w:line="360" w:lineRule="auto"/>
        <w:jc w:val="both"/>
        <w:rPr>
          <w:rFonts w:ascii="Arial" w:hAnsi="Arial"/>
          <w:rtl/>
        </w:rPr>
      </w:pPr>
      <w:r w:rsidRPr="00B471FA">
        <w:rPr>
          <w:rFonts w:ascii="Arial" w:hAnsi="Arial"/>
          <w:rtl/>
        </w:rPr>
        <w:t xml:space="preserve">בתסקיר מיום 23.5.2023, תואר הנאשם כבן 26, רווק, מתגורר בדירת שותפים בראשון לציון ועובד כעצמאי בתחום מסחר ושוק ההון. הנאשם סיים 12 שנות לימוד עם תעודת בגרות מלאה במגמה טכנולוגית. אביו של הנאשם נפטר לפני כ-3 שנים, לאחר מאבק </w:t>
      </w:r>
      <w:r w:rsidRPr="00B471FA">
        <w:rPr>
          <w:rFonts w:ascii="Arial" w:hAnsi="Arial" w:hint="cs"/>
          <w:rtl/>
        </w:rPr>
        <w:t>ב</w:t>
      </w:r>
      <w:r w:rsidRPr="00B471FA">
        <w:rPr>
          <w:rFonts w:ascii="Arial" w:hAnsi="Arial"/>
          <w:rtl/>
        </w:rPr>
        <w:t xml:space="preserve">מחלת </w:t>
      </w:r>
      <w:r w:rsidRPr="00B471FA">
        <w:rPr>
          <w:rFonts w:ascii="Arial" w:hAnsi="Arial" w:hint="cs"/>
          <w:rtl/>
        </w:rPr>
        <w:t>קשה</w:t>
      </w:r>
      <w:r w:rsidRPr="00B471FA">
        <w:rPr>
          <w:rFonts w:ascii="Arial" w:hAnsi="Arial"/>
          <w:rtl/>
        </w:rPr>
        <w:t>. לעניין נסיבות אישיות וחברתיות אפנה לעמ' 1 פסקאות 2 ו-3.</w:t>
      </w:r>
    </w:p>
    <w:p w14:paraId="0D77BF5C"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 xml:space="preserve">הנאשם שירת שירות מלא בחיל האוויר, אותו השלים לאחר חצי שנה של הפסקה עקב מחלת  אביו. הנאשם מסר כי עול הטיפול באביו הוטל עליו, ולאחר פטירת אביו פנה לקב"ן (הוצג מסמך) בשל הפרעות אכילה, קשיי שינה, מצב רוח ירוד, מתח ולחץ. </w:t>
      </w:r>
    </w:p>
    <w:p w14:paraId="45F4F2DB"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בסיום שירותו הצבאי, עבר הנאשם להתגורר בדירת שותפים, ופתח עסק המתמחה בייעוץ בתחומי מסחר ושוק ההון. לפני כשנה חווה הנאשם אירוע אלימות חמור על ידי שותפו לדירה, על רקע סכסוך מקצועי ביניהם. בעקבות האירוע אושפז הנאשם למשך מספר שבועות עם פציעת ראש חמורה</w:t>
      </w:r>
      <w:r>
        <w:rPr>
          <w:rFonts w:ascii="Arial" w:hAnsi="Arial" w:hint="cs"/>
          <w:rtl/>
        </w:rPr>
        <w:t xml:space="preserve">. הנאשם </w:t>
      </w:r>
      <w:r w:rsidRPr="00B471FA">
        <w:rPr>
          <w:rFonts w:ascii="Arial" w:hAnsi="Arial"/>
          <w:rtl/>
        </w:rPr>
        <w:t>מסר</w:t>
      </w:r>
      <w:r>
        <w:rPr>
          <w:rFonts w:ascii="Arial" w:hAnsi="Arial" w:hint="cs"/>
          <w:rtl/>
        </w:rPr>
        <w:t>,</w:t>
      </w:r>
      <w:r w:rsidRPr="00B471FA">
        <w:rPr>
          <w:rFonts w:ascii="Arial" w:hAnsi="Arial"/>
          <w:rtl/>
        </w:rPr>
        <w:t xml:space="preserve"> כי מאז האירוע חווה קשיי שינה, מתח ולחץ. כתוצאה מכך פנה הנאשם לרופא משפחה שיפנה אותו לטיפול נפשי אך מאז לא פנה לטיפול כאמור.</w:t>
      </w:r>
    </w:p>
    <w:p w14:paraId="61158B81"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ביחס לשימוש בחומרים משני תודעה מסר הנאשם</w:t>
      </w:r>
      <w:r>
        <w:rPr>
          <w:rFonts w:ascii="Arial" w:hAnsi="Arial" w:hint="cs"/>
          <w:rtl/>
        </w:rPr>
        <w:t>,</w:t>
      </w:r>
      <w:r w:rsidRPr="00B471FA">
        <w:rPr>
          <w:rFonts w:ascii="Arial" w:hAnsi="Arial"/>
          <w:rtl/>
        </w:rPr>
        <w:t xml:space="preserve"> כי התנסה לראשונה בשימוש בסם מסוג קנאביס בהיותו בצבא, לדבריו על רקע המתח והלחץ בו היה שרוי בזמן מחלתו של אביו. לאחר מקרה האלימות אותו חווה הנאשם לפני כשנה, קיבל אישור רפואי לצריכת קנאביס (הוצג רישיון). הנאשם מסר בדיקות לגילוי שרידי סם שנמצאו נקיות. באשר לשימוש באלכוהול מסר</w:t>
      </w:r>
      <w:r>
        <w:rPr>
          <w:rFonts w:ascii="Arial" w:hAnsi="Arial" w:hint="cs"/>
          <w:rtl/>
        </w:rPr>
        <w:t>,</w:t>
      </w:r>
      <w:r w:rsidRPr="00B471FA">
        <w:rPr>
          <w:rFonts w:ascii="Arial" w:hAnsi="Arial"/>
          <w:rtl/>
        </w:rPr>
        <w:t xml:space="preserve"> כי </w:t>
      </w:r>
      <w:r>
        <w:rPr>
          <w:rFonts w:ascii="Arial" w:hAnsi="Arial" w:hint="cs"/>
          <w:rtl/>
        </w:rPr>
        <w:t xml:space="preserve">הוא נוהג לשתות </w:t>
      </w:r>
      <w:r w:rsidRPr="00B471FA">
        <w:rPr>
          <w:rFonts w:ascii="Arial" w:hAnsi="Arial"/>
          <w:rtl/>
        </w:rPr>
        <w:t>באירועים חברתיים בלבד.</w:t>
      </w:r>
    </w:p>
    <w:p w14:paraId="1295CCCD"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 xml:space="preserve">הנאשם נעדר </w:t>
      </w:r>
      <w:r w:rsidRPr="00B471FA">
        <w:rPr>
          <w:rFonts w:ascii="Arial" w:hAnsi="Arial" w:hint="cs"/>
          <w:rtl/>
        </w:rPr>
        <w:t xml:space="preserve">רישום </w:t>
      </w:r>
      <w:r w:rsidRPr="00B471FA">
        <w:rPr>
          <w:rFonts w:ascii="Arial" w:hAnsi="Arial"/>
          <w:rtl/>
        </w:rPr>
        <w:t>פלילי. ביחס לעבירה הנוכחית, הנאשם לקח אחריות על מעשיו והודה בעובדות כתב האישום, מתוך רצון להתבוננות פנימית על המניעים לביצועה ובהבנה</w:t>
      </w:r>
      <w:r>
        <w:rPr>
          <w:rFonts w:ascii="Arial" w:hAnsi="Arial" w:hint="cs"/>
          <w:rtl/>
        </w:rPr>
        <w:t>,</w:t>
      </w:r>
      <w:r w:rsidRPr="00B471FA">
        <w:rPr>
          <w:rFonts w:ascii="Arial" w:hAnsi="Arial"/>
          <w:rtl/>
        </w:rPr>
        <w:t xml:space="preserve"> כי עליו לשאת בהשלכות מעשיו.</w:t>
      </w:r>
    </w:p>
    <w:p w14:paraId="17DE8E65"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בבחינת גורמי הסיכון צוין התא המשפחתי המורכב בו גדל הנאשם, לצד העדר נראות וגורמי תמיכה, אשר להערכת שירות המבחן הובילו</w:t>
      </w:r>
      <w:r>
        <w:rPr>
          <w:rFonts w:ascii="Arial" w:hAnsi="Arial" w:hint="cs"/>
          <w:rtl/>
        </w:rPr>
        <w:t>הו</w:t>
      </w:r>
      <w:r w:rsidRPr="00B471FA">
        <w:rPr>
          <w:rFonts w:ascii="Arial" w:hAnsi="Arial"/>
          <w:rtl/>
        </w:rPr>
        <w:t xml:space="preserve"> לאימוץ דפוסים הישרדותיים במצבי לחץ ומשבר, ומהווים גורמי סיכון לעבריינות.</w:t>
      </w:r>
      <w:r w:rsidRPr="00B471FA">
        <w:rPr>
          <w:rFonts w:ascii="Arial" w:hAnsi="Arial" w:hint="cs"/>
          <w:rtl/>
        </w:rPr>
        <w:t xml:space="preserve"> </w:t>
      </w:r>
      <w:r w:rsidRPr="00B471FA">
        <w:rPr>
          <w:rFonts w:ascii="Arial" w:hAnsi="Arial"/>
          <w:rtl/>
        </w:rPr>
        <w:t xml:space="preserve">מנגד, בבחינת גורמי הסיכוי לשיקום, צוין העדר </w:t>
      </w:r>
      <w:r w:rsidRPr="00B471FA">
        <w:rPr>
          <w:rFonts w:ascii="Arial" w:hAnsi="Arial" w:hint="cs"/>
          <w:rtl/>
        </w:rPr>
        <w:t>רישום</w:t>
      </w:r>
      <w:r w:rsidRPr="00B471FA">
        <w:rPr>
          <w:rFonts w:ascii="Arial" w:hAnsi="Arial"/>
          <w:rtl/>
        </w:rPr>
        <w:t xml:space="preserve"> פלילי, וכן העובדה שהנאשם לקח אחריות מלאה על ביצוע העבירות</w:t>
      </w:r>
      <w:r w:rsidRPr="00B471FA">
        <w:rPr>
          <w:rFonts w:ascii="Arial" w:hAnsi="Arial" w:hint="cs"/>
          <w:rtl/>
        </w:rPr>
        <w:t>.</w:t>
      </w:r>
      <w:r w:rsidRPr="00B471FA">
        <w:rPr>
          <w:rFonts w:ascii="Arial" w:hAnsi="Arial"/>
          <w:rtl/>
        </w:rPr>
        <w:t xml:space="preserve"> כמו כן, למרות קשייו בילדות</w:t>
      </w:r>
      <w:r w:rsidRPr="00B471FA">
        <w:rPr>
          <w:rFonts w:ascii="Arial" w:hAnsi="Arial" w:hint="cs"/>
          <w:rtl/>
        </w:rPr>
        <w:t>ו</w:t>
      </w:r>
      <w:r w:rsidRPr="00B471FA">
        <w:rPr>
          <w:rFonts w:ascii="Arial" w:hAnsi="Arial"/>
          <w:rtl/>
        </w:rPr>
        <w:t xml:space="preserve">, הנאשם סיים את לימודיו, </w:t>
      </w:r>
      <w:r w:rsidRPr="00B471FA">
        <w:rPr>
          <w:rFonts w:ascii="Arial" w:hAnsi="Arial" w:hint="cs"/>
          <w:rtl/>
        </w:rPr>
        <w:t xml:space="preserve">שירת </w:t>
      </w:r>
      <w:r w:rsidRPr="00B471FA">
        <w:rPr>
          <w:rFonts w:ascii="Arial" w:hAnsi="Arial"/>
          <w:rtl/>
        </w:rPr>
        <w:t>שירות צבאי מלא וגייס כוחות לתעסוקה. להערכת השירות הנאשם אינו בעל קווי עבריינות מגובשים, ואף הביע נכונות להתחיל את ההליך הטיפולי. עוד צוין כי ההליך המשפטי היווה עבורו גורם מרתיע ומחדד גבול.</w:t>
      </w:r>
    </w:p>
    <w:p w14:paraId="50097BD4"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 xml:space="preserve">לאור המתואר, המלצת שירות המבחן </w:t>
      </w:r>
      <w:r>
        <w:rPr>
          <w:rFonts w:ascii="Arial" w:hAnsi="Arial" w:hint="cs"/>
          <w:rtl/>
        </w:rPr>
        <w:t>הינה ל</w:t>
      </w:r>
      <w:r w:rsidRPr="00B471FA">
        <w:rPr>
          <w:rFonts w:ascii="Arial" w:hAnsi="Arial"/>
          <w:rtl/>
        </w:rPr>
        <w:t>הטלת צו של"צ בהיקף של 200 שעות, וכן צו מבחן למשך שנה, במסגרתו יופנה הנאשם להשתלבות בטיפול רגשי ומעקב</w:t>
      </w:r>
      <w:r>
        <w:rPr>
          <w:rFonts w:ascii="Arial" w:hAnsi="Arial" w:hint="cs"/>
          <w:rtl/>
        </w:rPr>
        <w:t xml:space="preserve"> של שרות המבחן</w:t>
      </w:r>
      <w:r w:rsidRPr="00B471FA">
        <w:rPr>
          <w:rFonts w:ascii="Arial" w:hAnsi="Arial"/>
          <w:rtl/>
        </w:rPr>
        <w:t>.</w:t>
      </w:r>
    </w:p>
    <w:p w14:paraId="16E04444"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 xml:space="preserve">באשר לשאלת ההרשעה, צוין כי לאור היותו של הנאשם עצמאי בתחום ייעוץ ההשקעות, </w:t>
      </w:r>
      <w:r>
        <w:rPr>
          <w:rFonts w:ascii="Arial" w:hAnsi="Arial" w:hint="cs"/>
          <w:rtl/>
        </w:rPr>
        <w:t xml:space="preserve">כאשר </w:t>
      </w:r>
      <w:r w:rsidRPr="00B471FA">
        <w:rPr>
          <w:rFonts w:ascii="Arial" w:hAnsi="Arial"/>
          <w:rtl/>
        </w:rPr>
        <w:t>אף התחיל בלימודים לקבלת רישיון, קיים חשש כי הרשעה תפגע בתעסוקת הנאשם בעתיד, וכן בדימויו העצמי, ולפיכך הומלץ על ביטול</w:t>
      </w:r>
      <w:r>
        <w:rPr>
          <w:rFonts w:ascii="Arial" w:hAnsi="Arial" w:hint="cs"/>
          <w:rtl/>
        </w:rPr>
        <w:t>ה</w:t>
      </w:r>
      <w:r w:rsidRPr="00B471FA">
        <w:rPr>
          <w:rFonts w:ascii="Arial" w:hAnsi="Arial"/>
          <w:rtl/>
        </w:rPr>
        <w:t>.</w:t>
      </w:r>
    </w:p>
    <w:p w14:paraId="34A7ACC9"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בתסקיר משלים מיום 8.11.2023 צוין</w:t>
      </w:r>
      <w:r>
        <w:rPr>
          <w:rFonts w:ascii="Arial" w:hAnsi="Arial" w:hint="cs"/>
          <w:rtl/>
        </w:rPr>
        <w:t>,</w:t>
      </w:r>
      <w:r w:rsidRPr="00B471FA">
        <w:rPr>
          <w:rFonts w:ascii="Arial" w:hAnsi="Arial"/>
          <w:rtl/>
        </w:rPr>
        <w:t xml:space="preserve"> כי הנאשם החל בטיפול פסיכיאטרי מעקבי</w:t>
      </w:r>
      <w:r>
        <w:rPr>
          <w:rFonts w:ascii="Arial" w:hAnsi="Arial" w:hint="cs"/>
          <w:rtl/>
        </w:rPr>
        <w:t xml:space="preserve">. הנאשם </w:t>
      </w:r>
      <w:r w:rsidRPr="00B471FA">
        <w:rPr>
          <w:rFonts w:ascii="Arial" w:hAnsi="Arial"/>
          <w:rtl/>
        </w:rPr>
        <w:t>מסר</w:t>
      </w:r>
      <w:r>
        <w:rPr>
          <w:rFonts w:ascii="Arial" w:hAnsi="Arial" w:hint="cs"/>
          <w:rtl/>
        </w:rPr>
        <w:t>,</w:t>
      </w:r>
      <w:r w:rsidRPr="00B471FA">
        <w:rPr>
          <w:rFonts w:ascii="Arial" w:hAnsi="Arial"/>
          <w:rtl/>
        </w:rPr>
        <w:t xml:space="preserve"> כי העסק העצמאי שלו מתפתח מקצועית וכלכלית. עוד צוין כי לא נפתחו תיקים חדשים כנגד הנאשם. שירות </w:t>
      </w:r>
      <w:r w:rsidRPr="00B471FA">
        <w:rPr>
          <w:rFonts w:ascii="Arial" w:hAnsi="Arial" w:hint="cs"/>
          <w:rtl/>
        </w:rPr>
        <w:t xml:space="preserve">המבחן שב </w:t>
      </w:r>
      <w:r w:rsidRPr="00B471FA">
        <w:rPr>
          <w:rFonts w:ascii="Arial" w:hAnsi="Arial"/>
          <w:rtl/>
        </w:rPr>
        <w:t xml:space="preserve">על המלצתו להטיל על הנאשם 200 שעות של"צ וצו מבחן למשך שנה, וכן </w:t>
      </w:r>
      <w:r w:rsidRPr="00B471FA">
        <w:rPr>
          <w:rFonts w:ascii="Arial" w:hAnsi="Arial" w:hint="cs"/>
          <w:rtl/>
        </w:rPr>
        <w:t xml:space="preserve">שב </w:t>
      </w:r>
      <w:r w:rsidRPr="00B471FA">
        <w:rPr>
          <w:rFonts w:ascii="Arial" w:hAnsi="Arial"/>
          <w:rtl/>
        </w:rPr>
        <w:t xml:space="preserve">על המלצתו </w:t>
      </w:r>
      <w:r w:rsidRPr="00B471FA">
        <w:rPr>
          <w:rFonts w:ascii="Arial" w:hAnsi="Arial" w:hint="cs"/>
          <w:rtl/>
        </w:rPr>
        <w:t xml:space="preserve">שלא להרשיע את </w:t>
      </w:r>
      <w:r w:rsidRPr="00B471FA">
        <w:rPr>
          <w:rFonts w:ascii="Arial" w:hAnsi="Arial"/>
          <w:rtl/>
        </w:rPr>
        <w:t>הנאשם, עקב הפגיעה הפוטנציאלית בתעסוקתו העתידית.</w:t>
      </w:r>
    </w:p>
    <w:p w14:paraId="1F9C6AD2"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בתסקיר משלים נוסף מיום 14.4.2024 תואר</w:t>
      </w:r>
      <w:r w:rsidRPr="00B471FA">
        <w:rPr>
          <w:rFonts w:ascii="Arial" w:hAnsi="Arial" w:hint="cs"/>
          <w:rtl/>
        </w:rPr>
        <w:t>,</w:t>
      </w:r>
      <w:r w:rsidRPr="00B471FA">
        <w:rPr>
          <w:rFonts w:ascii="Arial" w:hAnsi="Arial"/>
          <w:rtl/>
        </w:rPr>
        <w:t xml:space="preserve"> כי הנאשם ממשיך בטיפול פסיכיאטרי ופסיכולוגי. הנאשם מסר</w:t>
      </w:r>
      <w:r>
        <w:rPr>
          <w:rFonts w:ascii="Arial" w:hAnsi="Arial" w:hint="cs"/>
          <w:rtl/>
        </w:rPr>
        <w:t>,</w:t>
      </w:r>
      <w:r w:rsidRPr="00B471FA">
        <w:rPr>
          <w:rFonts w:ascii="Arial" w:hAnsi="Arial"/>
          <w:rtl/>
        </w:rPr>
        <w:t xml:space="preserve"> כי מצבו הרגשי השתפר, וכי העסק העצמאי שלו ממשיך להתפתח. כמו כן הנאשם זומן למספר בדיקות לגילוי שרידי סם ונמצא נקי בכולן. עוד צוין כי לא נפתחו כנגד הנאשם תיקים נוספים. </w:t>
      </w:r>
    </w:p>
    <w:p w14:paraId="4EBABEEC"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לאור האמור התרשמות השירות כי לנאשם הכוחות לתפקוד חיובי ותקין. משכך, חזר השירות על המלצתו להטיל על הנאשם 200 שעות של"צ וצו מבחן למשך שנה</w:t>
      </w:r>
      <w:r w:rsidRPr="00B471FA">
        <w:rPr>
          <w:rFonts w:ascii="Arial" w:hAnsi="Arial" w:hint="cs"/>
          <w:rtl/>
        </w:rPr>
        <w:t xml:space="preserve">. </w:t>
      </w:r>
      <w:r w:rsidRPr="00B471FA">
        <w:rPr>
          <w:rFonts w:ascii="Arial" w:hAnsi="Arial"/>
          <w:rtl/>
        </w:rPr>
        <w:t xml:space="preserve">הוצע כי </w:t>
      </w:r>
      <w:r w:rsidRPr="00B471FA">
        <w:rPr>
          <w:rFonts w:ascii="Arial" w:hAnsi="Arial" w:hint="cs"/>
          <w:rtl/>
        </w:rPr>
        <w:t xml:space="preserve">צו </w:t>
      </w:r>
      <w:r w:rsidRPr="00B471FA">
        <w:rPr>
          <w:rFonts w:ascii="Arial" w:hAnsi="Arial"/>
          <w:rtl/>
        </w:rPr>
        <w:t xml:space="preserve">השל"צ יבוצע במסגרת "יד שרה – מחלקת נכויות" בראשון לציון.  כמו כן </w:t>
      </w:r>
      <w:r w:rsidRPr="00B471FA">
        <w:rPr>
          <w:rFonts w:ascii="Arial" w:hAnsi="Arial" w:hint="cs"/>
          <w:rtl/>
        </w:rPr>
        <w:t xml:space="preserve">שב </w:t>
      </w:r>
      <w:r w:rsidRPr="00B471FA">
        <w:rPr>
          <w:rFonts w:ascii="Arial" w:hAnsi="Arial"/>
          <w:rtl/>
        </w:rPr>
        <w:t xml:space="preserve">שירות </w:t>
      </w:r>
      <w:r w:rsidRPr="00B471FA">
        <w:rPr>
          <w:rFonts w:ascii="Arial" w:hAnsi="Arial" w:hint="cs"/>
          <w:rtl/>
        </w:rPr>
        <w:t xml:space="preserve">המבחן </w:t>
      </w:r>
      <w:r w:rsidRPr="00B471FA">
        <w:rPr>
          <w:rFonts w:ascii="Arial" w:hAnsi="Arial"/>
          <w:rtl/>
        </w:rPr>
        <w:t xml:space="preserve">על המלצתו </w:t>
      </w:r>
      <w:r w:rsidRPr="00B471FA">
        <w:rPr>
          <w:rFonts w:ascii="Arial" w:hAnsi="Arial" w:hint="cs"/>
          <w:rtl/>
        </w:rPr>
        <w:t xml:space="preserve">שלא להרשיע את </w:t>
      </w:r>
      <w:r w:rsidRPr="00B471FA">
        <w:rPr>
          <w:rFonts w:ascii="Arial" w:hAnsi="Arial"/>
          <w:rtl/>
        </w:rPr>
        <w:t xml:space="preserve">הנאשם, עקב הפגיעה הפוטנציאלית בתעסוקתו העתידית. </w:t>
      </w:r>
    </w:p>
    <w:p w14:paraId="6D3B4C42"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בתסקיר אחרון מיום 30.4.2024</w:t>
      </w:r>
      <w:r>
        <w:rPr>
          <w:rFonts w:ascii="Arial" w:hAnsi="Arial" w:hint="cs"/>
          <w:rtl/>
        </w:rPr>
        <w:t xml:space="preserve"> צ</w:t>
      </w:r>
      <w:r w:rsidRPr="00B471FA">
        <w:rPr>
          <w:rFonts w:ascii="Arial" w:hAnsi="Arial"/>
          <w:rtl/>
        </w:rPr>
        <w:t>וין</w:t>
      </w:r>
      <w:r>
        <w:rPr>
          <w:rFonts w:ascii="Arial" w:hAnsi="Arial" w:hint="cs"/>
          <w:rtl/>
        </w:rPr>
        <w:t>,</w:t>
      </w:r>
      <w:r w:rsidRPr="00B471FA">
        <w:rPr>
          <w:rFonts w:ascii="Arial" w:hAnsi="Arial"/>
          <w:rtl/>
        </w:rPr>
        <w:t xml:space="preserve"> כי שירות </w:t>
      </w:r>
      <w:r>
        <w:rPr>
          <w:rFonts w:ascii="Arial" w:hAnsi="Arial" w:hint="cs"/>
          <w:rtl/>
        </w:rPr>
        <w:t xml:space="preserve">המבחן </w:t>
      </w:r>
      <w:r w:rsidRPr="00B471FA">
        <w:rPr>
          <w:rFonts w:ascii="Arial" w:hAnsi="Arial"/>
          <w:rtl/>
        </w:rPr>
        <w:t xml:space="preserve">ערך שיחה טלפונית עם הפסיכולוגית המטפלת בנאשם. </w:t>
      </w:r>
      <w:r>
        <w:rPr>
          <w:rFonts w:ascii="Arial" w:hAnsi="Arial" w:hint="cs"/>
          <w:rtl/>
        </w:rPr>
        <w:t xml:space="preserve">נמסר, </w:t>
      </w:r>
      <w:r w:rsidRPr="00B471FA">
        <w:rPr>
          <w:rFonts w:ascii="Arial" w:hAnsi="Arial"/>
          <w:rtl/>
        </w:rPr>
        <w:t xml:space="preserve">כי הנאשם מגיע למפגשים באופן יציב, בזמן, ומשתף פעולה במידה רבה. </w:t>
      </w:r>
      <w:r>
        <w:rPr>
          <w:rFonts w:ascii="Arial" w:hAnsi="Arial" w:hint="cs"/>
          <w:rtl/>
        </w:rPr>
        <w:t xml:space="preserve">לצד </w:t>
      </w:r>
      <w:r w:rsidRPr="00B471FA">
        <w:rPr>
          <w:rFonts w:ascii="Arial" w:hAnsi="Arial"/>
          <w:rtl/>
        </w:rPr>
        <w:t>זאת, קיימים נושאים מסוימים בהם מתקשה הנאשם להתעמק, אולם קשיים אלו תואמים את השלב הטיפולי בו הוא מצוי, וכי צפוי לנאשם טיפול ארוך טווח.</w:t>
      </w:r>
    </w:p>
    <w:p w14:paraId="16E968BB" w14:textId="77777777" w:rsidR="003474F7" w:rsidRPr="00B471FA" w:rsidRDefault="003474F7" w:rsidP="003474F7">
      <w:pPr>
        <w:spacing w:line="360" w:lineRule="auto"/>
        <w:ind w:left="360" w:firstLine="360"/>
        <w:jc w:val="both"/>
        <w:rPr>
          <w:rFonts w:ascii="Arial" w:hAnsi="Arial"/>
          <w:b/>
          <w:bCs/>
          <w:u w:val="single"/>
          <w:rtl/>
        </w:rPr>
      </w:pPr>
      <w:r w:rsidRPr="00B471FA">
        <w:rPr>
          <w:rFonts w:ascii="Arial" w:hAnsi="Arial" w:hint="cs"/>
          <w:b/>
          <w:bCs/>
          <w:u w:val="single"/>
          <w:rtl/>
        </w:rPr>
        <w:t xml:space="preserve">תמצית טיעוני </w:t>
      </w:r>
      <w:r w:rsidRPr="00B471FA">
        <w:rPr>
          <w:rFonts w:ascii="Arial" w:hAnsi="Arial"/>
          <w:b/>
          <w:bCs/>
          <w:u w:val="single"/>
          <w:rtl/>
        </w:rPr>
        <w:t>הצדדים</w:t>
      </w:r>
      <w:r w:rsidRPr="00B471FA">
        <w:rPr>
          <w:rFonts w:ascii="Arial" w:hAnsi="Arial" w:hint="cs"/>
          <w:b/>
          <w:bCs/>
          <w:rtl/>
        </w:rPr>
        <w:t>:</w:t>
      </w:r>
    </w:p>
    <w:p w14:paraId="13637F04" w14:textId="77777777" w:rsidR="003474F7" w:rsidRPr="00B471FA" w:rsidRDefault="003474F7" w:rsidP="003474F7">
      <w:pPr>
        <w:numPr>
          <w:ilvl w:val="0"/>
          <w:numId w:val="1"/>
        </w:numPr>
        <w:spacing w:line="360" w:lineRule="auto"/>
        <w:contextualSpacing/>
        <w:jc w:val="both"/>
        <w:rPr>
          <w:rFonts w:ascii="Arial" w:hAnsi="Arial"/>
        </w:rPr>
      </w:pPr>
      <w:r w:rsidRPr="00B471FA">
        <w:rPr>
          <w:rFonts w:ascii="Arial" w:hAnsi="Arial"/>
          <w:rtl/>
        </w:rPr>
        <w:t xml:space="preserve"> המאשימה סבורה</w:t>
      </w:r>
      <w:r>
        <w:rPr>
          <w:rFonts w:ascii="Arial" w:hAnsi="Arial" w:hint="cs"/>
          <w:rtl/>
        </w:rPr>
        <w:t>,</w:t>
      </w:r>
      <w:r w:rsidRPr="00B471FA">
        <w:rPr>
          <w:rFonts w:ascii="Arial" w:hAnsi="Arial"/>
          <w:rtl/>
        </w:rPr>
        <w:t xml:space="preserve"> כי לאור המעשים המתוארים בכתב האישום, מתחם הענישה נע בין 6 ל-18 חודשי מאסר בפועל. לעניין זה הפנתה המאשימה למספר גזרי דין בהם מתוארים החזקות בכמות הדומה למקרה דנן, בהם מ</w:t>
      </w:r>
      <w:r w:rsidRPr="00B471FA">
        <w:rPr>
          <w:rFonts w:ascii="Arial" w:hAnsi="Arial" w:hint="cs"/>
          <w:rtl/>
        </w:rPr>
        <w:t xml:space="preserve">תחם הענישה </w:t>
      </w:r>
      <w:r>
        <w:rPr>
          <w:rFonts w:ascii="Arial" w:hAnsi="Arial" w:hint="cs"/>
          <w:rtl/>
        </w:rPr>
        <w:t>החל ב</w:t>
      </w:r>
      <w:r w:rsidRPr="00B471FA">
        <w:rPr>
          <w:rFonts w:ascii="Arial" w:hAnsi="Arial"/>
          <w:rtl/>
        </w:rPr>
        <w:t xml:space="preserve">עבודת שירות. </w:t>
      </w:r>
    </w:p>
    <w:p w14:paraId="6B0C6EF4"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ביחס לתסקיר תואר</w:t>
      </w:r>
      <w:r>
        <w:rPr>
          <w:rFonts w:ascii="Arial" w:hAnsi="Arial" w:hint="cs"/>
          <w:rtl/>
        </w:rPr>
        <w:t>,</w:t>
      </w:r>
      <w:r w:rsidRPr="00B471FA">
        <w:rPr>
          <w:rFonts w:ascii="Arial" w:hAnsi="Arial"/>
          <w:rtl/>
        </w:rPr>
        <w:t xml:space="preserve"> כי הנאשם </w:t>
      </w:r>
      <w:r>
        <w:rPr>
          <w:rFonts w:ascii="Arial" w:hAnsi="Arial" w:hint="cs"/>
          <w:rtl/>
        </w:rPr>
        <w:t xml:space="preserve">נטל </w:t>
      </w:r>
      <w:r w:rsidRPr="00B471FA">
        <w:rPr>
          <w:rFonts w:ascii="Arial" w:hAnsi="Arial"/>
          <w:rtl/>
        </w:rPr>
        <w:t>אחריות ומסר בדיקות שתן נקיות מסמים. עם זאת, בתסקיר האחרון נכתב כי הטיפול טרם הסתיים וצפויה לנאשם עוד כברת דרך.</w:t>
      </w:r>
    </w:p>
    <w:p w14:paraId="570970D0"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לעניין ההרשעה, לטענת המאשימה, מדובר בעבירות חמורות, ו</w:t>
      </w:r>
      <w:r>
        <w:rPr>
          <w:rFonts w:ascii="Arial" w:hAnsi="Arial" w:hint="cs"/>
          <w:rtl/>
        </w:rPr>
        <w:t xml:space="preserve">על כן </w:t>
      </w:r>
      <w:r w:rsidRPr="00B471FA">
        <w:rPr>
          <w:rFonts w:ascii="Arial" w:hAnsi="Arial"/>
          <w:rtl/>
        </w:rPr>
        <w:t>לא ניתן לבטל הרשעה בעבירות אלו. נטען</w:t>
      </w:r>
      <w:r>
        <w:rPr>
          <w:rFonts w:ascii="Arial" w:hAnsi="Arial" w:hint="cs"/>
          <w:rtl/>
        </w:rPr>
        <w:t>,</w:t>
      </w:r>
      <w:r w:rsidRPr="00B471FA">
        <w:rPr>
          <w:rFonts w:ascii="Arial" w:hAnsi="Arial"/>
          <w:rtl/>
        </w:rPr>
        <w:t xml:space="preserve"> כי הנאשם לא עומד בתבחינים של הלכת כתב, שכן המסמכים שהוגשו לבית המשפט מעידים על חשש לפגיעה עתידית בעיסוק – אותו טרם התחיל הנאשם. כמו כן, בלאו הכי, לאור כניסתו לתוקף של חוק המרשם הפלילי החדש, הגופים אשר המרשם הפלילי חשוף אליהם הינם מצומצמים מאוד, ולא ניתן לבקש גיליון הרשעות בהליך פלילי. </w:t>
      </w:r>
      <w:r w:rsidRPr="00B471FA">
        <w:rPr>
          <w:rFonts w:ascii="Arial" w:hAnsi="Arial" w:hint="cs"/>
          <w:rtl/>
        </w:rPr>
        <w:t xml:space="preserve">לדעת המאשימה, </w:t>
      </w:r>
      <w:r w:rsidRPr="00B471FA">
        <w:rPr>
          <w:rFonts w:ascii="Arial" w:hAnsi="Arial"/>
          <w:rtl/>
        </w:rPr>
        <w:t xml:space="preserve">הנאשם ניסה למכור סמים והחזיק </w:t>
      </w:r>
      <w:r w:rsidRPr="00B471FA">
        <w:rPr>
          <w:rFonts w:ascii="Arial" w:hAnsi="Arial" w:hint="cs"/>
          <w:rtl/>
        </w:rPr>
        <w:t>ב</w:t>
      </w:r>
      <w:r w:rsidRPr="00B471FA">
        <w:rPr>
          <w:rFonts w:ascii="Arial" w:hAnsi="Arial"/>
          <w:rtl/>
        </w:rPr>
        <w:t xml:space="preserve">סמים בכמות </w:t>
      </w:r>
      <w:r w:rsidRPr="00B471FA">
        <w:rPr>
          <w:rFonts w:ascii="Arial" w:hAnsi="Arial" w:hint="cs"/>
          <w:rtl/>
        </w:rPr>
        <w:t xml:space="preserve">שאינה </w:t>
      </w:r>
      <w:r w:rsidRPr="00B471FA">
        <w:rPr>
          <w:rFonts w:ascii="Arial" w:hAnsi="Arial"/>
          <w:rtl/>
        </w:rPr>
        <w:t xml:space="preserve">מבוטלת, </w:t>
      </w:r>
      <w:r w:rsidRPr="00B471FA">
        <w:rPr>
          <w:rFonts w:ascii="Arial" w:hAnsi="Arial" w:hint="cs"/>
          <w:rtl/>
        </w:rPr>
        <w:t xml:space="preserve">ועל כן </w:t>
      </w:r>
      <w:r w:rsidRPr="00B471FA">
        <w:rPr>
          <w:rFonts w:ascii="Arial" w:hAnsi="Arial"/>
          <w:rtl/>
        </w:rPr>
        <w:t>יש לעמוד על הרשע</w:t>
      </w:r>
      <w:r w:rsidRPr="00B471FA">
        <w:rPr>
          <w:rFonts w:ascii="Arial" w:hAnsi="Arial" w:hint="cs"/>
          <w:rtl/>
        </w:rPr>
        <w:t xml:space="preserve">ה </w:t>
      </w:r>
      <w:r w:rsidRPr="00B471FA">
        <w:rPr>
          <w:rFonts w:ascii="Arial" w:hAnsi="Arial"/>
          <w:rtl/>
        </w:rPr>
        <w:t>בתיק.</w:t>
      </w:r>
      <w:r w:rsidRPr="00B471FA">
        <w:rPr>
          <w:rFonts w:ascii="Arial" w:hAnsi="Arial" w:hint="cs"/>
          <w:rtl/>
        </w:rPr>
        <w:t xml:space="preserve"> </w:t>
      </w:r>
      <w:r w:rsidRPr="00B471FA">
        <w:rPr>
          <w:rFonts w:ascii="Arial" w:hAnsi="Arial"/>
          <w:rtl/>
        </w:rPr>
        <w:t xml:space="preserve">עם זאת, </w:t>
      </w:r>
      <w:r w:rsidRPr="00B471FA">
        <w:rPr>
          <w:rFonts w:ascii="Arial" w:hAnsi="Arial" w:hint="cs"/>
          <w:rtl/>
        </w:rPr>
        <w:t>ו</w:t>
      </w:r>
      <w:r w:rsidRPr="00B471FA">
        <w:rPr>
          <w:rFonts w:ascii="Arial" w:hAnsi="Arial"/>
          <w:rtl/>
        </w:rPr>
        <w:t xml:space="preserve">מכיוון שלא נפתחו לנאשם תיקים נוספים, הנאשם </w:t>
      </w:r>
      <w:r w:rsidRPr="00B471FA">
        <w:rPr>
          <w:rFonts w:ascii="Arial" w:hAnsi="Arial" w:hint="cs"/>
          <w:rtl/>
        </w:rPr>
        <w:t xml:space="preserve">נטל </w:t>
      </w:r>
      <w:r w:rsidRPr="00B471FA">
        <w:rPr>
          <w:rFonts w:ascii="Arial" w:hAnsi="Arial"/>
          <w:rtl/>
        </w:rPr>
        <w:t>אחריות ושיתף פעולה עם שירות המבחן, יש ל</w:t>
      </w:r>
      <w:r w:rsidRPr="00B471FA">
        <w:rPr>
          <w:rFonts w:ascii="Arial" w:hAnsi="Arial" w:hint="cs"/>
          <w:rtl/>
        </w:rPr>
        <w:t>קבוע את עונשו ב</w:t>
      </w:r>
      <w:r w:rsidRPr="00B471FA">
        <w:rPr>
          <w:rFonts w:ascii="Arial" w:hAnsi="Arial"/>
          <w:rtl/>
        </w:rPr>
        <w:t>תחתית המתחם</w:t>
      </w:r>
      <w:r w:rsidRPr="00B471FA">
        <w:rPr>
          <w:rFonts w:ascii="Arial" w:hAnsi="Arial" w:hint="cs"/>
          <w:rtl/>
        </w:rPr>
        <w:t xml:space="preserve">, כך שיוטלו עליו </w:t>
      </w:r>
      <w:r w:rsidRPr="00B471FA">
        <w:rPr>
          <w:rFonts w:ascii="Arial" w:hAnsi="Arial"/>
          <w:rtl/>
        </w:rPr>
        <w:t xml:space="preserve">5 חודשי </w:t>
      </w:r>
      <w:r w:rsidRPr="00B471FA">
        <w:rPr>
          <w:rFonts w:ascii="Arial" w:hAnsi="Arial" w:hint="cs"/>
          <w:rtl/>
        </w:rPr>
        <w:t>מאסר ב</w:t>
      </w:r>
      <w:r w:rsidRPr="00B471FA">
        <w:rPr>
          <w:rFonts w:ascii="Arial" w:hAnsi="Arial"/>
          <w:rtl/>
        </w:rPr>
        <w:t xml:space="preserve">עבודת שירות, מאסר על תנאי, פסילה בפועל, פסילה על תנאי בהתאם </w:t>
      </w:r>
      <w:hyperlink r:id="rId27" w:history="1">
        <w:r w:rsidR="00883BED" w:rsidRPr="00883BED">
          <w:rPr>
            <w:rStyle w:val="Hyperlink"/>
            <w:rFonts w:ascii="Arial" w:hAnsi="Arial"/>
            <w:rtl/>
          </w:rPr>
          <w:t>לסעיף 37א</w:t>
        </w:r>
      </w:hyperlink>
      <w:r w:rsidRPr="00B471FA">
        <w:rPr>
          <w:rFonts w:ascii="Arial" w:hAnsi="Arial"/>
          <w:rtl/>
        </w:rPr>
        <w:t xml:space="preserve"> לפקודת הסמים, קנס, התחייבות, והשמדת המוצגים.</w:t>
      </w:r>
    </w:p>
    <w:p w14:paraId="2039C43D"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הסניגור</w:t>
      </w:r>
      <w:r w:rsidRPr="00B471FA">
        <w:rPr>
          <w:rFonts w:ascii="Arial" w:hAnsi="Arial" w:hint="cs"/>
          <w:rtl/>
        </w:rPr>
        <w:t>,</w:t>
      </w:r>
      <w:r w:rsidRPr="00B471FA">
        <w:rPr>
          <w:rFonts w:ascii="Arial" w:hAnsi="Arial"/>
          <w:rtl/>
        </w:rPr>
        <w:t xml:space="preserve"> טען כי הפסיקה אותה ה</w:t>
      </w:r>
      <w:r w:rsidRPr="00B471FA">
        <w:rPr>
          <w:rFonts w:ascii="Arial" w:hAnsi="Arial" w:hint="cs"/>
          <w:rtl/>
        </w:rPr>
        <w:t xml:space="preserve">ציגה </w:t>
      </w:r>
      <w:r w:rsidRPr="00B471FA">
        <w:rPr>
          <w:rFonts w:ascii="Arial" w:hAnsi="Arial"/>
          <w:rtl/>
        </w:rPr>
        <w:t xml:space="preserve">המאשימה אינה </w:t>
      </w:r>
      <w:r>
        <w:rPr>
          <w:rFonts w:ascii="Arial" w:hAnsi="Arial" w:hint="cs"/>
          <w:rtl/>
        </w:rPr>
        <w:t>מתאימה לענייננו</w:t>
      </w:r>
      <w:r w:rsidRPr="00B471FA">
        <w:rPr>
          <w:rFonts w:ascii="Arial" w:hAnsi="Arial"/>
          <w:rtl/>
        </w:rPr>
        <w:t xml:space="preserve">, שכן שם מדובר בנאשמים שבחרו לנהל הליך הוכחות, או כאלו שסחרו מספר פעמים </w:t>
      </w:r>
      <w:r>
        <w:rPr>
          <w:rFonts w:ascii="Arial" w:hAnsi="Arial" w:hint="cs"/>
          <w:rtl/>
        </w:rPr>
        <w:t xml:space="preserve">בסמים </w:t>
      </w:r>
      <w:r w:rsidRPr="00B471FA">
        <w:rPr>
          <w:rFonts w:ascii="Arial" w:hAnsi="Arial"/>
          <w:rtl/>
        </w:rPr>
        <w:t>מול סוכן משטרתי, וכן מקרים בהם נאשמים הורשעו בעבירות נוספות. הסניגור ביקש כי בית המשפט י</w:t>
      </w:r>
      <w:r w:rsidRPr="00B471FA">
        <w:rPr>
          <w:rFonts w:ascii="Arial" w:hAnsi="Arial" w:hint="cs"/>
          <w:rtl/>
        </w:rPr>
        <w:t xml:space="preserve">אמץ באופן מלא </w:t>
      </w:r>
      <w:r w:rsidRPr="00B471FA">
        <w:rPr>
          <w:rFonts w:ascii="Arial" w:hAnsi="Arial"/>
          <w:rtl/>
        </w:rPr>
        <w:t>את המלצת שירות המבחן, כפי שהובאה בשלושה תסקירים שונים. עוד נטען</w:t>
      </w:r>
      <w:r w:rsidRPr="00B471FA">
        <w:rPr>
          <w:rFonts w:ascii="Arial" w:hAnsi="Arial" w:hint="cs"/>
          <w:rtl/>
        </w:rPr>
        <w:t>,</w:t>
      </w:r>
      <w:r w:rsidRPr="00B471FA">
        <w:rPr>
          <w:rFonts w:ascii="Arial" w:hAnsi="Arial"/>
          <w:rtl/>
        </w:rPr>
        <w:t xml:space="preserve"> כי מדובר באירוע אחד של החזקה וניסיון </w:t>
      </w:r>
      <w:r>
        <w:rPr>
          <w:rFonts w:ascii="Arial" w:hAnsi="Arial" w:hint="cs"/>
          <w:rtl/>
        </w:rPr>
        <w:t xml:space="preserve">בודד </w:t>
      </w:r>
      <w:r w:rsidRPr="00B471FA">
        <w:rPr>
          <w:rFonts w:ascii="Arial" w:hAnsi="Arial"/>
          <w:rtl/>
        </w:rPr>
        <w:t>לסחר בסמים, ומשכך בהתאם להלכת ג</w:t>
      </w:r>
      <w:r w:rsidRPr="00B471FA">
        <w:rPr>
          <w:rFonts w:ascii="Arial" w:hAnsi="Arial" w:hint="cs"/>
          <w:rtl/>
        </w:rPr>
        <w:t>'</w:t>
      </w:r>
      <w:r w:rsidRPr="00B471FA">
        <w:rPr>
          <w:rFonts w:ascii="Arial" w:hAnsi="Arial"/>
          <w:rtl/>
        </w:rPr>
        <w:t>בר</w:t>
      </w:r>
      <w:r w:rsidRPr="00B471FA">
        <w:rPr>
          <w:rFonts w:ascii="Arial" w:hAnsi="Arial" w:hint="cs"/>
          <w:rtl/>
        </w:rPr>
        <w:t xml:space="preserve"> יש לקבוע </w:t>
      </w:r>
      <w:r w:rsidRPr="00B471FA">
        <w:rPr>
          <w:rFonts w:ascii="Arial" w:hAnsi="Arial"/>
          <w:rtl/>
        </w:rPr>
        <w:t>מתחם ענישה אחד לכל</w:t>
      </w:r>
      <w:r w:rsidRPr="00B471FA">
        <w:rPr>
          <w:rFonts w:ascii="Arial" w:hAnsi="Arial" w:hint="cs"/>
          <w:rtl/>
        </w:rPr>
        <w:t>ל</w:t>
      </w:r>
      <w:r w:rsidRPr="00B471FA">
        <w:rPr>
          <w:rFonts w:ascii="Arial" w:hAnsi="Arial"/>
          <w:rtl/>
        </w:rPr>
        <w:t xml:space="preserve"> העבירות. </w:t>
      </w:r>
    </w:p>
    <w:p w14:paraId="632A287B"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 xml:space="preserve">הסניגור הפנה לקשיים מהם סבל הנאשם בילדותו, כפי שעולה מהתסקירים ומעדותה של אמו. חרף זאת הנאשם סעד את אביו, וסיים את שירותו הצבאי. לדברי הסניגור, הנאשם לקח אחריות מלאה על מעשיו, ביטא בושה וצער עליהם, וביצע את העבירות בתקופת הקורונה בה צעירים רבים סבלו ממצוקה כלכלית, ובסמוך לפטירת אביו. נטען כי כפי שעולה מהתסקיר, לנאשם אין קווים עבריינים, וההליך המשפטי היווה עבורו גורם מרתיע. עוד הפנה הסניגור לכך שהנאשם החל בטיפול פסיכולוגי רציף במסגרת קופת החולים. </w:t>
      </w:r>
    </w:p>
    <w:p w14:paraId="635FEC18"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 xml:space="preserve">הסניגור הפנה לפסיקה </w:t>
      </w:r>
      <w:r w:rsidRPr="00B471FA">
        <w:rPr>
          <w:rFonts w:ascii="Arial" w:hAnsi="Arial" w:hint="cs"/>
          <w:rtl/>
        </w:rPr>
        <w:t xml:space="preserve">במקרים דומים </w:t>
      </w:r>
      <w:r w:rsidRPr="00B471FA">
        <w:rPr>
          <w:rFonts w:ascii="Arial" w:hAnsi="Arial"/>
          <w:rtl/>
        </w:rPr>
        <w:t>בה</w:t>
      </w:r>
      <w:r w:rsidRPr="00B471FA">
        <w:rPr>
          <w:rFonts w:ascii="Arial" w:hAnsi="Arial" w:hint="cs"/>
          <w:rtl/>
        </w:rPr>
        <w:t>ם</w:t>
      </w:r>
      <w:r w:rsidRPr="00B471FA">
        <w:rPr>
          <w:rFonts w:ascii="Arial" w:hAnsi="Arial"/>
          <w:rtl/>
        </w:rPr>
        <w:t xml:space="preserve"> הוחלט על ביטול הרשעה, עקב חשש עתידי קונקרטי לפגיעה בתעסוקה, וכן החשש לפגיעה בדימויו העצמי של הנאשם. לפיכך </w:t>
      </w:r>
      <w:r w:rsidRPr="00B471FA">
        <w:rPr>
          <w:rFonts w:ascii="Arial" w:hAnsi="Arial" w:hint="cs"/>
          <w:rtl/>
        </w:rPr>
        <w:t>ביקש להורות על ביטול ה</w:t>
      </w:r>
      <w:r w:rsidRPr="00B471FA">
        <w:rPr>
          <w:rFonts w:ascii="Arial" w:hAnsi="Arial"/>
          <w:rtl/>
        </w:rPr>
        <w:t>הרשעה. עוד טען</w:t>
      </w:r>
      <w:r>
        <w:rPr>
          <w:rFonts w:ascii="Arial" w:hAnsi="Arial" w:hint="cs"/>
          <w:rtl/>
        </w:rPr>
        <w:t>,</w:t>
      </w:r>
      <w:r w:rsidRPr="00B471FA">
        <w:rPr>
          <w:rFonts w:ascii="Arial" w:hAnsi="Arial"/>
          <w:rtl/>
        </w:rPr>
        <w:t xml:space="preserve"> כי הנזק שיגרם לנאשם כתוצאה מהרשעה, גובר על הנזק שיגרם לאינטרס הציבורי כתוצאה מאי</w:t>
      </w:r>
      <w:r w:rsidRPr="00B471FA">
        <w:rPr>
          <w:rFonts w:ascii="Arial" w:hAnsi="Arial" w:hint="cs"/>
          <w:rtl/>
        </w:rPr>
        <w:t>-</w:t>
      </w:r>
      <w:r w:rsidRPr="00B471FA">
        <w:rPr>
          <w:rFonts w:ascii="Arial" w:hAnsi="Arial"/>
          <w:rtl/>
        </w:rPr>
        <w:t xml:space="preserve"> הרשעה.</w:t>
      </w:r>
    </w:p>
    <w:p w14:paraId="71F146C2" w14:textId="77777777" w:rsidR="003474F7" w:rsidRPr="00B471FA" w:rsidRDefault="003474F7" w:rsidP="003474F7">
      <w:pPr>
        <w:pStyle w:val="ListParagraph"/>
        <w:numPr>
          <w:ilvl w:val="0"/>
          <w:numId w:val="1"/>
        </w:numPr>
        <w:spacing w:line="360" w:lineRule="auto"/>
        <w:jc w:val="both"/>
        <w:rPr>
          <w:rFonts w:ascii="Arial" w:hAnsi="Arial"/>
        </w:rPr>
      </w:pPr>
      <w:r w:rsidRPr="00B471FA">
        <w:rPr>
          <w:rFonts w:ascii="Arial" w:hAnsi="Arial"/>
          <w:rtl/>
        </w:rPr>
        <w:t>הנאשם</w:t>
      </w:r>
      <w:r w:rsidRPr="00B471FA">
        <w:rPr>
          <w:rFonts w:ascii="Arial" w:hAnsi="Arial" w:hint="cs"/>
          <w:rtl/>
        </w:rPr>
        <w:t xml:space="preserve"> הביע צער על המעשים והוסיף שלא יחזור </w:t>
      </w:r>
      <w:r w:rsidRPr="00B471FA">
        <w:rPr>
          <w:rFonts w:ascii="Arial" w:hAnsi="Arial"/>
          <w:rtl/>
        </w:rPr>
        <w:t xml:space="preserve">עליהם. הנאשם </w:t>
      </w:r>
      <w:r w:rsidRPr="00B471FA">
        <w:rPr>
          <w:rFonts w:ascii="Arial" w:hAnsi="Arial" w:hint="cs"/>
          <w:rtl/>
        </w:rPr>
        <w:t>ציין, כי י</w:t>
      </w:r>
      <w:r w:rsidRPr="00B471FA">
        <w:rPr>
          <w:rFonts w:ascii="Arial" w:hAnsi="Arial"/>
          <w:rtl/>
        </w:rPr>
        <w:t>משיך בהלי</w:t>
      </w:r>
      <w:r w:rsidRPr="00B471FA">
        <w:rPr>
          <w:rFonts w:ascii="Arial" w:hAnsi="Arial" w:hint="cs"/>
          <w:rtl/>
        </w:rPr>
        <w:t xml:space="preserve">כים הטיפוליים </w:t>
      </w:r>
      <w:r w:rsidRPr="00B471FA">
        <w:rPr>
          <w:rFonts w:ascii="Arial" w:hAnsi="Arial"/>
          <w:rtl/>
        </w:rPr>
        <w:t>הן במסגרת שירות המבחן והן אצל הפסיכולוג והפסיכיאטר</w:t>
      </w:r>
      <w:r w:rsidRPr="00B471FA">
        <w:rPr>
          <w:rFonts w:ascii="Arial" w:hAnsi="Arial" w:hint="cs"/>
          <w:rtl/>
        </w:rPr>
        <w:t xml:space="preserve"> המטפלים בו.</w:t>
      </w:r>
      <w:r w:rsidRPr="00B471FA">
        <w:rPr>
          <w:rFonts w:ascii="Arial" w:hAnsi="Arial"/>
          <w:rtl/>
        </w:rPr>
        <w:t xml:space="preserve"> הנאשם ביקש כי בית המשפט יבטל את ההרשעה, כדי שלא יפגע, הן מבחינה תעסוקתית והן מבחינת דימויו העצמי. לדבריו הוא בעל בית ספר למסחר ואף פיתח סטרטאפים אותם הוא מקדם, והוא בדרך להוציא רישיון לייעוץ וניהול השקעות. </w:t>
      </w:r>
    </w:p>
    <w:p w14:paraId="50346BD9" w14:textId="77777777" w:rsidR="003474F7" w:rsidRDefault="003474F7" w:rsidP="003474F7">
      <w:pPr>
        <w:spacing w:line="360" w:lineRule="auto"/>
        <w:ind w:left="360" w:firstLine="360"/>
        <w:jc w:val="both"/>
        <w:rPr>
          <w:rFonts w:ascii="Arial" w:hAnsi="Arial"/>
          <w:b/>
          <w:bCs/>
          <w:u w:val="single"/>
          <w:rtl/>
        </w:rPr>
      </w:pPr>
    </w:p>
    <w:p w14:paraId="061A48EA" w14:textId="77777777" w:rsidR="003474F7" w:rsidRDefault="003474F7" w:rsidP="003474F7">
      <w:pPr>
        <w:spacing w:line="360" w:lineRule="auto"/>
        <w:ind w:left="360" w:firstLine="360"/>
        <w:jc w:val="both"/>
        <w:rPr>
          <w:rFonts w:ascii="Arial" w:hAnsi="Arial"/>
          <w:b/>
          <w:bCs/>
          <w:u w:val="single"/>
          <w:rtl/>
        </w:rPr>
      </w:pPr>
    </w:p>
    <w:p w14:paraId="396BEDC2" w14:textId="77777777" w:rsidR="003474F7" w:rsidRPr="00670DE9" w:rsidRDefault="003474F7" w:rsidP="003474F7">
      <w:pPr>
        <w:spacing w:line="360" w:lineRule="auto"/>
        <w:ind w:left="360" w:firstLine="360"/>
        <w:jc w:val="both"/>
        <w:rPr>
          <w:rFonts w:ascii="Arial" w:hAnsi="Arial"/>
          <w:b/>
          <w:bCs/>
          <w:u w:val="single"/>
          <w:rtl/>
        </w:rPr>
      </w:pPr>
      <w:r w:rsidRPr="00670DE9">
        <w:rPr>
          <w:rFonts w:ascii="Arial" w:hAnsi="Arial"/>
          <w:b/>
          <w:bCs/>
          <w:u w:val="single"/>
          <w:rtl/>
        </w:rPr>
        <w:t>דיון</w:t>
      </w:r>
      <w:r w:rsidRPr="004B22D7">
        <w:rPr>
          <w:rFonts w:ascii="Arial" w:hAnsi="Arial" w:hint="cs"/>
          <w:b/>
          <w:bCs/>
          <w:rtl/>
        </w:rPr>
        <w:t>:</w:t>
      </w:r>
    </w:p>
    <w:p w14:paraId="7C8D0084" w14:textId="77777777" w:rsidR="003474F7" w:rsidRPr="00B471FA" w:rsidRDefault="003474F7" w:rsidP="003474F7">
      <w:pPr>
        <w:pStyle w:val="ListParagraph"/>
        <w:numPr>
          <w:ilvl w:val="0"/>
          <w:numId w:val="1"/>
        </w:numPr>
        <w:shd w:val="clear" w:color="auto" w:fill="FFFFFF"/>
        <w:spacing w:line="360" w:lineRule="atLeast"/>
        <w:jc w:val="both"/>
        <w:rPr>
          <w:rFonts w:ascii="David" w:hAnsi="David"/>
          <w:color w:val="000000"/>
          <w:rtl/>
        </w:rPr>
      </w:pPr>
      <w:r w:rsidRPr="00B471FA">
        <w:rPr>
          <w:rFonts w:ascii="David" w:hAnsi="David"/>
          <w:color w:val="000000"/>
          <w:rtl/>
        </w:rPr>
        <w:t>לטעמי השאלה המרכזית הנתונה להכרעה במקרה דנן, הינה האם ישנו מקום להורות על ביטול ההרשעה. אציין, כי אין המדובר בתוצאה פשוטה, שכן בפסיקה נקבע כי לרוב נהוג לגזור בגין עבירות סחר בסם מסוכן עונשי מאסר לריצוי בפועל. בית המשפט קבע כי נוכח הצורך החשוב שבמאבק בעבירות הסחר בסם, על בית המשפט לתת משקל ממשי לשיקולי הרתעתה אל מול שיקולים האישיים. עוד נקבע בפסיקה כי אי ההרשעה, והטלת עונש של צו של"צ, הינה בגדר חריג שבחריגים, נוכח חומרת העבירה, והיות הנאשם חוטא ומחטיא את הזולת. (ראו לדוגמה:</w:t>
      </w:r>
      <w:r w:rsidR="00BD5432">
        <w:rPr>
          <w:rFonts w:ascii="David" w:hAnsi="David"/>
          <w:color w:val="000000"/>
          <w:rtl/>
        </w:rPr>
        <w:t xml:space="preserve"> </w:t>
      </w:r>
      <w:hyperlink r:id="rId28" w:history="1">
        <w:r w:rsidR="00BD5432" w:rsidRPr="00BD5432">
          <w:rPr>
            <w:rFonts w:ascii="David" w:hAnsi="David"/>
            <w:color w:val="0000FF"/>
            <w:u w:val="single"/>
            <w:rtl/>
          </w:rPr>
          <w:t>ע"פ 9482/09</w:t>
        </w:r>
      </w:hyperlink>
      <w:r w:rsidR="00BD5432">
        <w:rPr>
          <w:rFonts w:ascii="David" w:hAnsi="David"/>
          <w:color w:val="000000"/>
          <w:rtl/>
        </w:rPr>
        <w:t xml:space="preserve"> </w:t>
      </w:r>
      <w:r w:rsidRPr="00B471FA">
        <w:rPr>
          <w:rFonts w:ascii="David" w:hAnsi="David"/>
          <w:color w:val="000000"/>
          <w:rtl/>
        </w:rPr>
        <w:t>ביטון נ' מדינת ישראל [פורסם בנבו] (24.7.11);</w:t>
      </w:r>
      <w:r w:rsidR="00BD5432">
        <w:rPr>
          <w:rFonts w:ascii="David" w:hAnsi="David"/>
          <w:color w:val="000000"/>
          <w:rtl/>
        </w:rPr>
        <w:t xml:space="preserve"> </w:t>
      </w:r>
      <w:hyperlink r:id="rId29" w:history="1">
        <w:r w:rsidR="00BD5432" w:rsidRPr="00BD5432">
          <w:rPr>
            <w:rFonts w:ascii="David" w:hAnsi="David"/>
            <w:color w:val="0000FF"/>
            <w:u w:val="single"/>
            <w:rtl/>
          </w:rPr>
          <w:t>רע"פ 873/12</w:t>
        </w:r>
      </w:hyperlink>
      <w:r w:rsidR="00BD5432">
        <w:rPr>
          <w:rFonts w:ascii="David" w:hAnsi="David"/>
          <w:color w:val="000000"/>
          <w:rtl/>
        </w:rPr>
        <w:t xml:space="preserve"> </w:t>
      </w:r>
      <w:r w:rsidRPr="00B471FA">
        <w:rPr>
          <w:rFonts w:ascii="David" w:hAnsi="David"/>
          <w:color w:val="000000"/>
          <w:rtl/>
        </w:rPr>
        <w:t>פלוני נ' מדינת ישראל [פורסם בנבו] (2.2.12). וראו גם:</w:t>
      </w:r>
      <w:r w:rsidR="00BD5432">
        <w:rPr>
          <w:rFonts w:ascii="David" w:hAnsi="David"/>
          <w:color w:val="000000"/>
          <w:rtl/>
        </w:rPr>
        <w:t xml:space="preserve"> </w:t>
      </w:r>
      <w:hyperlink r:id="rId30" w:history="1">
        <w:r w:rsidR="00BD5432" w:rsidRPr="00BD5432">
          <w:rPr>
            <w:rFonts w:ascii="David" w:hAnsi="David"/>
            <w:color w:val="0000FF"/>
            <w:u w:val="single"/>
            <w:rtl/>
          </w:rPr>
          <w:t>רע"פ 5478/19</w:t>
        </w:r>
      </w:hyperlink>
      <w:r w:rsidR="00BD5432">
        <w:rPr>
          <w:rFonts w:ascii="David" w:hAnsi="David"/>
          <w:color w:val="000000"/>
          <w:rtl/>
        </w:rPr>
        <w:t xml:space="preserve"> </w:t>
      </w:r>
      <w:r w:rsidRPr="00B471FA">
        <w:rPr>
          <w:rFonts w:ascii="David" w:hAnsi="David"/>
          <w:color w:val="000000"/>
          <w:rtl/>
        </w:rPr>
        <w:t>נטע לוין נ' מדינת ישראל [פורסם בנבו] (25.08.19);</w:t>
      </w:r>
      <w:r w:rsidR="00BD5432">
        <w:rPr>
          <w:rFonts w:ascii="David" w:hAnsi="David"/>
          <w:color w:val="000000"/>
          <w:rtl/>
        </w:rPr>
        <w:t xml:space="preserve"> </w:t>
      </w:r>
      <w:hyperlink r:id="rId31" w:history="1">
        <w:r w:rsidR="00BD5432" w:rsidRPr="00BD5432">
          <w:rPr>
            <w:rFonts w:ascii="David" w:hAnsi="David"/>
            <w:color w:val="0000FF"/>
            <w:u w:val="single"/>
            <w:rtl/>
          </w:rPr>
          <w:t>רע"פ 1623/14</w:t>
        </w:r>
      </w:hyperlink>
      <w:r w:rsidR="00BD5432">
        <w:rPr>
          <w:rFonts w:ascii="David" w:hAnsi="David"/>
          <w:color w:val="000000"/>
          <w:rtl/>
        </w:rPr>
        <w:t xml:space="preserve"> </w:t>
      </w:r>
      <w:r w:rsidRPr="00B471FA">
        <w:rPr>
          <w:rFonts w:ascii="David" w:hAnsi="David"/>
          <w:color w:val="000000"/>
          <w:rtl/>
        </w:rPr>
        <w:t>סיראג גבארה נ' מדינת ישראל [פורסם בנבו] (01.04.14)).</w:t>
      </w:r>
    </w:p>
    <w:p w14:paraId="4859CE60" w14:textId="77777777" w:rsidR="003474F7" w:rsidRPr="00B471FA" w:rsidRDefault="003474F7" w:rsidP="003474F7">
      <w:pPr>
        <w:pStyle w:val="ListParagraph"/>
        <w:numPr>
          <w:ilvl w:val="0"/>
          <w:numId w:val="1"/>
        </w:numPr>
        <w:shd w:val="clear" w:color="auto" w:fill="FFFFFF"/>
        <w:spacing w:line="360" w:lineRule="atLeast"/>
        <w:jc w:val="both"/>
        <w:rPr>
          <w:rFonts w:ascii="David" w:hAnsi="David"/>
          <w:color w:val="000000"/>
          <w:rtl/>
        </w:rPr>
      </w:pPr>
      <w:r w:rsidRPr="00B471FA">
        <w:rPr>
          <w:rFonts w:ascii="David" w:hAnsi="David"/>
          <w:color w:val="000000"/>
          <w:rtl/>
        </w:rPr>
        <w:t>סוגיית אי ההרשעה מעוגנת</w:t>
      </w:r>
      <w:r w:rsidR="00BD5432">
        <w:rPr>
          <w:rFonts w:ascii="David" w:hAnsi="David"/>
          <w:color w:val="000000"/>
          <w:rtl/>
        </w:rPr>
        <w:t xml:space="preserve"> </w:t>
      </w:r>
      <w:hyperlink r:id="rId32" w:history="1">
        <w:r w:rsidR="00883BED" w:rsidRPr="00883BED">
          <w:rPr>
            <w:rStyle w:val="Hyperlink"/>
            <w:rFonts w:ascii="David" w:hAnsi="David"/>
            <w:rtl/>
          </w:rPr>
          <w:t>בסעיף 192א</w:t>
        </w:r>
      </w:hyperlink>
      <w:r w:rsidR="00BD5432">
        <w:rPr>
          <w:rFonts w:ascii="David" w:hAnsi="David"/>
          <w:color w:val="000000"/>
          <w:rtl/>
        </w:rPr>
        <w:t xml:space="preserve"> </w:t>
      </w:r>
      <w:r w:rsidRPr="00B471FA">
        <w:rPr>
          <w:rFonts w:ascii="David" w:hAnsi="David"/>
          <w:color w:val="000000"/>
          <w:rtl/>
        </w:rPr>
        <w:t>ל</w:t>
      </w:r>
      <w:hyperlink r:id="rId33" w:history="1">
        <w:r w:rsidR="00BD5432" w:rsidRPr="00BD5432">
          <w:rPr>
            <w:rFonts w:ascii="David" w:hAnsi="David"/>
            <w:color w:val="0000FF"/>
            <w:u w:val="single"/>
            <w:rtl/>
          </w:rPr>
          <w:t>חסד"פ</w:t>
        </w:r>
      </w:hyperlink>
      <w:r w:rsidRPr="00B471FA">
        <w:rPr>
          <w:rFonts w:ascii="David" w:hAnsi="David"/>
          <w:color w:val="000000"/>
          <w:rtl/>
        </w:rPr>
        <w:t>, וכן</w:t>
      </w:r>
      <w:r w:rsidR="00BD5432">
        <w:rPr>
          <w:rFonts w:ascii="David" w:hAnsi="David"/>
          <w:color w:val="000000"/>
          <w:rtl/>
        </w:rPr>
        <w:t xml:space="preserve"> </w:t>
      </w:r>
      <w:hyperlink r:id="rId34" w:history="1">
        <w:r w:rsidR="00883BED" w:rsidRPr="00883BED">
          <w:rPr>
            <w:rStyle w:val="Hyperlink"/>
            <w:rFonts w:ascii="David" w:hAnsi="David"/>
            <w:rtl/>
          </w:rPr>
          <w:t>בסעיף 71א(ב)</w:t>
        </w:r>
      </w:hyperlink>
      <w:r w:rsidR="00BD5432">
        <w:rPr>
          <w:rFonts w:ascii="David" w:hAnsi="David"/>
          <w:color w:val="000000"/>
          <w:rtl/>
        </w:rPr>
        <w:t xml:space="preserve"> </w:t>
      </w:r>
      <w:r w:rsidRPr="00B471FA">
        <w:rPr>
          <w:rFonts w:ascii="David" w:hAnsi="David"/>
          <w:color w:val="000000"/>
          <w:rtl/>
        </w:rPr>
        <w:t>ל</w:t>
      </w:r>
      <w:hyperlink r:id="rId35" w:history="1">
        <w:r w:rsidR="00BD5432" w:rsidRPr="00BD5432">
          <w:rPr>
            <w:rFonts w:ascii="David" w:hAnsi="David"/>
            <w:color w:val="0000FF"/>
            <w:u w:val="single"/>
            <w:rtl/>
          </w:rPr>
          <w:t>חוק העונשין</w:t>
        </w:r>
      </w:hyperlink>
      <w:r w:rsidR="00BD5432">
        <w:rPr>
          <w:rFonts w:ascii="David" w:hAnsi="David"/>
          <w:color w:val="000000"/>
          <w:rtl/>
        </w:rPr>
        <w:t xml:space="preserve"> </w:t>
      </w:r>
      <w:r w:rsidRPr="00B471FA">
        <w:rPr>
          <w:rFonts w:ascii="David" w:hAnsi="David"/>
          <w:color w:val="000000"/>
          <w:rtl/>
        </w:rPr>
        <w:t>ובסעיף</w:t>
      </w:r>
      <w:r w:rsidR="00BD5432">
        <w:rPr>
          <w:rFonts w:ascii="David" w:hAnsi="David"/>
          <w:color w:val="000000"/>
          <w:rtl/>
        </w:rPr>
        <w:t xml:space="preserve"> </w:t>
      </w:r>
      <w:hyperlink r:id="rId36" w:history="1">
        <w:r w:rsidR="00883BED" w:rsidRPr="00883BED">
          <w:rPr>
            <w:rStyle w:val="Hyperlink"/>
            <w:rFonts w:ascii="David" w:hAnsi="David"/>
            <w:rtl/>
          </w:rPr>
          <w:t>1(2)</w:t>
        </w:r>
      </w:hyperlink>
      <w:r w:rsidR="00BD5432">
        <w:rPr>
          <w:rFonts w:ascii="David" w:hAnsi="David"/>
          <w:color w:val="000000"/>
          <w:rtl/>
        </w:rPr>
        <w:t xml:space="preserve"> </w:t>
      </w:r>
      <w:r w:rsidRPr="00B471FA">
        <w:rPr>
          <w:rFonts w:ascii="David" w:hAnsi="David"/>
          <w:color w:val="000000"/>
          <w:rtl/>
        </w:rPr>
        <w:t>ל</w:t>
      </w:r>
      <w:hyperlink r:id="rId37" w:history="1">
        <w:r w:rsidR="00BD5432" w:rsidRPr="00BD5432">
          <w:rPr>
            <w:rFonts w:ascii="David" w:hAnsi="David"/>
            <w:color w:val="0000FF"/>
            <w:u w:val="single"/>
            <w:rtl/>
          </w:rPr>
          <w:t>פקודת המבחן</w:t>
        </w:r>
      </w:hyperlink>
      <w:r w:rsidR="00BD5432">
        <w:rPr>
          <w:rFonts w:ascii="David" w:hAnsi="David"/>
          <w:color w:val="000000"/>
          <w:rtl/>
        </w:rPr>
        <w:t xml:space="preserve"> </w:t>
      </w:r>
      <w:r w:rsidRPr="00B471FA">
        <w:rPr>
          <w:rFonts w:ascii="David" w:hAnsi="David"/>
          <w:color w:val="000000"/>
          <w:rtl/>
        </w:rPr>
        <w:t>אשר בכולם הוסמך בית המשפט ליתן צו מבחן או צו שירות לתועלת הציבור, תוך הימנעות מהרשעה.</w:t>
      </w:r>
    </w:p>
    <w:p w14:paraId="384F0D9F" w14:textId="77777777" w:rsidR="003474F7" w:rsidRPr="00670DE9" w:rsidRDefault="003474F7" w:rsidP="003474F7">
      <w:pPr>
        <w:shd w:val="clear" w:color="auto" w:fill="FFFFFF"/>
        <w:spacing w:line="360" w:lineRule="atLeast"/>
        <w:ind w:left="720"/>
        <w:jc w:val="both"/>
        <w:rPr>
          <w:rFonts w:ascii="David" w:hAnsi="David"/>
          <w:color w:val="000000"/>
          <w:rtl/>
        </w:rPr>
      </w:pPr>
      <w:r w:rsidRPr="00670DE9">
        <w:rPr>
          <w:rFonts w:ascii="David" w:hAnsi="David"/>
          <w:color w:val="000000"/>
          <w:rtl/>
        </w:rPr>
        <w:t>ב</w:t>
      </w:r>
      <w:hyperlink r:id="rId38" w:history="1">
        <w:r w:rsidR="00BD5432" w:rsidRPr="00BD5432">
          <w:rPr>
            <w:rFonts w:ascii="David" w:hAnsi="David"/>
            <w:color w:val="0000FF"/>
            <w:u w:val="single"/>
            <w:rtl/>
          </w:rPr>
          <w:t>ע"פ 2083/96</w:t>
        </w:r>
      </w:hyperlink>
      <w:r w:rsidR="00BD5432">
        <w:rPr>
          <w:rFonts w:ascii="David" w:hAnsi="David"/>
          <w:color w:val="000000"/>
          <w:rtl/>
        </w:rPr>
        <w:t xml:space="preserve"> </w:t>
      </w:r>
      <w:r w:rsidRPr="00670DE9">
        <w:rPr>
          <w:rFonts w:ascii="David" w:hAnsi="David"/>
          <w:color w:val="000000"/>
          <w:rtl/>
        </w:rPr>
        <w:t>כתב נ' מדינת ישראל פ"ד, נב(3) 337 (21.8.97) (להלן: "פס"ד כתב") נקבע כי משהוכח ביצועה של עבירה, יש להרשיע את הנאשם, זולת מקרים יוצאי דופן בהם אין יחס סביר בין הנזק הצפוי לנאשם מן ההרשעה לבין חומרתה של העבירה. עוד נקבע בפס"ד כתב כי מטרת השימוש בכלי זה היא שיקומית, והיא תובא במכלול השיקולים לפטור את הנאשם מהרשעה.</w:t>
      </w:r>
      <w:r w:rsidRPr="00670DE9">
        <w:rPr>
          <w:rFonts w:ascii="David" w:hAnsi="David"/>
          <w:color w:val="008080"/>
          <w:rtl/>
        </w:rPr>
        <w:br/>
      </w:r>
    </w:p>
    <w:p w14:paraId="4BCA50F2" w14:textId="77777777" w:rsidR="003474F7" w:rsidRPr="00B471FA" w:rsidRDefault="003474F7" w:rsidP="003474F7">
      <w:pPr>
        <w:pStyle w:val="ListParagraph"/>
        <w:numPr>
          <w:ilvl w:val="0"/>
          <w:numId w:val="1"/>
        </w:numPr>
        <w:shd w:val="clear" w:color="auto" w:fill="FFFFFF"/>
        <w:spacing w:line="360" w:lineRule="atLeast"/>
        <w:jc w:val="both"/>
        <w:rPr>
          <w:rFonts w:ascii="David" w:hAnsi="David"/>
          <w:color w:val="000000"/>
          <w:rtl/>
        </w:rPr>
      </w:pPr>
      <w:r w:rsidRPr="00B471FA">
        <w:rPr>
          <w:rFonts w:ascii="David" w:hAnsi="David"/>
          <w:color w:val="000000"/>
          <w:rtl/>
        </w:rPr>
        <w:t>בפסה"ד נקבע כי ייעשה שימוש באי ההרשעה כאשר יתקיימו שני תנאים אלו במצטבר:</w:t>
      </w:r>
    </w:p>
    <w:p w14:paraId="2B9038FE" w14:textId="77777777" w:rsidR="003474F7" w:rsidRPr="00B471FA" w:rsidRDefault="003474F7" w:rsidP="003474F7">
      <w:pPr>
        <w:pStyle w:val="ListParagraph"/>
        <w:numPr>
          <w:ilvl w:val="0"/>
          <w:numId w:val="3"/>
        </w:numPr>
        <w:shd w:val="clear" w:color="auto" w:fill="FFFFFF"/>
        <w:spacing w:line="360" w:lineRule="atLeast"/>
        <w:jc w:val="both"/>
        <w:rPr>
          <w:rFonts w:ascii="David" w:hAnsi="David"/>
          <w:color w:val="000000"/>
          <w:rtl/>
        </w:rPr>
      </w:pPr>
      <w:r w:rsidRPr="00B471FA">
        <w:rPr>
          <w:rFonts w:ascii="David" w:hAnsi="David"/>
          <w:color w:val="000000"/>
          <w:rtl/>
        </w:rPr>
        <w:t>הרשעה תוביל לפגיעה חמורה בשיקום הנאשם.</w:t>
      </w:r>
    </w:p>
    <w:p w14:paraId="56E74363" w14:textId="77777777" w:rsidR="003474F7" w:rsidRPr="00B471FA" w:rsidRDefault="003474F7" w:rsidP="003474F7">
      <w:pPr>
        <w:pStyle w:val="ListParagraph"/>
        <w:numPr>
          <w:ilvl w:val="0"/>
          <w:numId w:val="3"/>
        </w:numPr>
        <w:shd w:val="clear" w:color="auto" w:fill="FFFFFF"/>
        <w:spacing w:line="360" w:lineRule="atLeast"/>
        <w:jc w:val="both"/>
        <w:rPr>
          <w:rFonts w:ascii="David" w:hAnsi="David"/>
          <w:color w:val="000000"/>
          <w:rtl/>
        </w:rPr>
      </w:pPr>
      <w:r w:rsidRPr="00B471FA">
        <w:rPr>
          <w:rFonts w:ascii="David" w:hAnsi="David"/>
          <w:color w:val="000000"/>
          <w:rtl/>
        </w:rPr>
        <w:t>סוג העבירה מאפשר לוותר בנסיבות המקרה המסוים על ההרשעה בלי לפגוע באופן מהותי  בשיקולי הענישה האחרים שפורטו בפסה"ד.</w:t>
      </w:r>
    </w:p>
    <w:p w14:paraId="01110203" w14:textId="77777777" w:rsidR="003474F7" w:rsidRPr="00B471FA" w:rsidRDefault="003474F7" w:rsidP="003474F7">
      <w:pPr>
        <w:pStyle w:val="ListParagraph"/>
        <w:numPr>
          <w:ilvl w:val="0"/>
          <w:numId w:val="1"/>
        </w:numPr>
        <w:shd w:val="clear" w:color="auto" w:fill="FFFFFF"/>
        <w:spacing w:line="360" w:lineRule="atLeast"/>
        <w:jc w:val="both"/>
        <w:rPr>
          <w:rFonts w:ascii="David" w:hAnsi="David"/>
          <w:color w:val="000000"/>
          <w:rtl/>
        </w:rPr>
      </w:pPr>
      <w:r w:rsidRPr="00B471FA">
        <w:rPr>
          <w:rFonts w:ascii="David" w:hAnsi="David"/>
          <w:color w:val="000000"/>
          <w:rtl/>
        </w:rPr>
        <w:t>הרציונל העומד בבסיס הוראות</w:t>
      </w:r>
      <w:r w:rsidR="00BD5432">
        <w:rPr>
          <w:rFonts w:ascii="David" w:hAnsi="David"/>
          <w:color w:val="000000"/>
          <w:rtl/>
        </w:rPr>
        <w:t xml:space="preserve"> </w:t>
      </w:r>
      <w:hyperlink r:id="rId39" w:history="1">
        <w:r w:rsidR="00883BED" w:rsidRPr="00883BED">
          <w:rPr>
            <w:rStyle w:val="Hyperlink"/>
            <w:rFonts w:ascii="David" w:hAnsi="David"/>
            <w:rtl/>
          </w:rPr>
          <w:t>סעיף 71א</w:t>
        </w:r>
      </w:hyperlink>
      <w:r w:rsidR="00BD5432">
        <w:rPr>
          <w:rFonts w:ascii="David" w:hAnsi="David"/>
          <w:color w:val="000000"/>
          <w:rtl/>
        </w:rPr>
        <w:t xml:space="preserve"> </w:t>
      </w:r>
      <w:r w:rsidRPr="00B471FA">
        <w:rPr>
          <w:rFonts w:ascii="David" w:hAnsi="David"/>
          <w:color w:val="000000"/>
          <w:rtl/>
        </w:rPr>
        <w:t>לחוק הוא חינוכי בעיקרו: השירות לציבור יקנה לעבריין ערכי עבודה ומוסר, ולפיכך בעל פוטנציאל לשקמו (הוועדה הציבורית לבחינת מדיניות הענישה והטיפול בעבריינים, דין וחשבון, אוגוסט 2015). בחוק לא הוגבל שיקול דעתו של ביהמ"ש בנוגע ליישום הסעיף, והסעיף מאפשר לבית המשפט לפעול על פיו אף ללא הרשעת הנאשם תחילה (השוו בעניין זה להצעת החוק, בה הוצע להגביל את אפשרות זו לעבירות קלות בלבד).</w:t>
      </w:r>
    </w:p>
    <w:p w14:paraId="0486E6CA" w14:textId="77777777" w:rsidR="003474F7" w:rsidRPr="00B471FA" w:rsidRDefault="003474F7" w:rsidP="003474F7">
      <w:pPr>
        <w:pStyle w:val="ListParagraph"/>
        <w:numPr>
          <w:ilvl w:val="0"/>
          <w:numId w:val="1"/>
        </w:numPr>
        <w:shd w:val="clear" w:color="auto" w:fill="FFFFFF"/>
        <w:spacing w:line="360" w:lineRule="atLeast"/>
        <w:jc w:val="both"/>
        <w:rPr>
          <w:rFonts w:ascii="David" w:hAnsi="David"/>
          <w:color w:val="000000"/>
          <w:rtl/>
        </w:rPr>
      </w:pPr>
      <w:r w:rsidRPr="00B471FA">
        <w:rPr>
          <w:rFonts w:ascii="David" w:hAnsi="David"/>
          <w:color w:val="000000"/>
          <w:rtl/>
        </w:rPr>
        <w:t>עם זאת, בפסיקה מאוחרת נקבע שאי הרשעתו של נאשם, שאשמתו הוכחה, היא חריג לכלל שכן יש בה ממד של פגיעה בעקרון השוויון בפני הדין. לפיכך נקבע שבתי המשפט מצווים לעשות שימוש מושכל וזהיר בסמכות שניתנה להם על פי</w:t>
      </w:r>
      <w:r w:rsidR="00BD5432">
        <w:rPr>
          <w:rFonts w:ascii="David" w:hAnsi="David"/>
          <w:color w:val="000000"/>
          <w:rtl/>
        </w:rPr>
        <w:t xml:space="preserve"> </w:t>
      </w:r>
      <w:hyperlink r:id="rId40" w:history="1">
        <w:r w:rsidR="00883BED" w:rsidRPr="00883BED">
          <w:rPr>
            <w:rStyle w:val="Hyperlink"/>
            <w:rFonts w:ascii="David" w:hAnsi="David"/>
            <w:rtl/>
          </w:rPr>
          <w:t>סעיף 71א(ב)</w:t>
        </w:r>
      </w:hyperlink>
      <w:r w:rsidR="00BD5432">
        <w:rPr>
          <w:rFonts w:ascii="David" w:hAnsi="David"/>
          <w:color w:val="000000"/>
          <w:rtl/>
        </w:rPr>
        <w:t xml:space="preserve"> </w:t>
      </w:r>
      <w:r w:rsidRPr="00B471FA">
        <w:rPr>
          <w:rFonts w:ascii="David" w:hAnsi="David"/>
          <w:color w:val="000000"/>
          <w:rtl/>
        </w:rPr>
        <w:t>ל</w:t>
      </w:r>
      <w:hyperlink r:id="rId41" w:history="1">
        <w:r w:rsidR="00BD5432" w:rsidRPr="00BD5432">
          <w:rPr>
            <w:rFonts w:ascii="David" w:hAnsi="David"/>
            <w:color w:val="0000FF"/>
            <w:u w:val="single"/>
            <w:rtl/>
          </w:rPr>
          <w:t>חוק העונשין</w:t>
        </w:r>
      </w:hyperlink>
      <w:r w:rsidR="00BD5432">
        <w:rPr>
          <w:rFonts w:ascii="David" w:hAnsi="David"/>
          <w:color w:val="000000"/>
          <w:rtl/>
        </w:rPr>
        <w:t xml:space="preserve"> </w:t>
      </w:r>
      <w:r w:rsidRPr="00B471FA">
        <w:rPr>
          <w:rFonts w:ascii="David" w:hAnsi="David"/>
          <w:color w:val="000000"/>
          <w:rtl/>
        </w:rPr>
        <w:t>ולהימנע מהרשעת נאשם רק במקרים חריגים בהם מתקיימות נסיבות מיוחדות המצדיקות זאת, וזאת בכדי למנוע פגיעה מהותית בעקרון השוויון בפני החוק ובשיקולי ענישה אחרים.</w:t>
      </w:r>
    </w:p>
    <w:p w14:paraId="4650819D" w14:textId="77777777" w:rsidR="003474F7" w:rsidRPr="00670DE9" w:rsidRDefault="003474F7" w:rsidP="003474F7">
      <w:pPr>
        <w:shd w:val="clear" w:color="auto" w:fill="FFFFFF"/>
        <w:spacing w:line="360" w:lineRule="atLeast"/>
        <w:ind w:left="720"/>
        <w:jc w:val="both"/>
        <w:rPr>
          <w:rFonts w:ascii="David" w:hAnsi="David"/>
          <w:color w:val="000000"/>
          <w:rtl/>
        </w:rPr>
      </w:pPr>
      <w:r w:rsidRPr="00670DE9">
        <w:rPr>
          <w:rFonts w:ascii="David" w:hAnsi="David"/>
          <w:color w:val="000000"/>
          <w:rtl/>
        </w:rPr>
        <w:t xml:space="preserve">ראו בהרחבה: </w:t>
      </w:r>
      <w:hyperlink r:id="rId42" w:history="1">
        <w:r w:rsidR="003D5926" w:rsidRPr="003D5926">
          <w:rPr>
            <w:rStyle w:val="Hyperlink"/>
            <w:rFonts w:ascii="David" w:hAnsi="David"/>
            <w:rtl/>
          </w:rPr>
          <w:t>ע"פ 1082/06</w:t>
        </w:r>
      </w:hyperlink>
      <w:r w:rsidRPr="00670DE9">
        <w:rPr>
          <w:rFonts w:ascii="David" w:hAnsi="David"/>
          <w:color w:val="000000"/>
          <w:rtl/>
        </w:rPr>
        <w:t xml:space="preserve"> מיכאל שוראקי נ' מדינת ישראל </w:t>
      </w:r>
      <w:r w:rsidR="003D5926">
        <w:rPr>
          <w:rFonts w:ascii="David" w:hAnsi="David"/>
          <w:color w:val="000000"/>
          <w:rtl/>
        </w:rPr>
        <w:t>[נבו]</w:t>
      </w:r>
      <w:r w:rsidR="003D5926">
        <w:rPr>
          <w:rFonts w:ascii="David" w:hAnsi="David" w:hint="cs"/>
          <w:color w:val="000000"/>
          <w:rtl/>
        </w:rPr>
        <w:t xml:space="preserve"> </w:t>
      </w:r>
      <w:r w:rsidRPr="00670DE9">
        <w:rPr>
          <w:rFonts w:ascii="David" w:hAnsi="David"/>
          <w:color w:val="000000"/>
          <w:rtl/>
        </w:rPr>
        <w:t>(20.6.06); וכן השוו אודות השימוש החריג בסעיף אי ההרשעה:</w:t>
      </w:r>
      <w:r w:rsidR="00BD5432">
        <w:rPr>
          <w:rFonts w:ascii="David" w:hAnsi="David"/>
          <w:color w:val="000000"/>
          <w:rtl/>
        </w:rPr>
        <w:t xml:space="preserve"> </w:t>
      </w:r>
      <w:hyperlink r:id="rId43" w:history="1">
        <w:r w:rsidR="00BD5432" w:rsidRPr="00BD5432">
          <w:rPr>
            <w:rFonts w:ascii="David" w:hAnsi="David"/>
            <w:color w:val="0000FF"/>
            <w:u w:val="single"/>
            <w:rtl/>
          </w:rPr>
          <w:t>רע"פ 1666/05</w:t>
        </w:r>
      </w:hyperlink>
      <w:r w:rsidR="00BD5432">
        <w:rPr>
          <w:rFonts w:ascii="David" w:hAnsi="David"/>
          <w:color w:val="000000"/>
          <w:rtl/>
        </w:rPr>
        <w:t xml:space="preserve"> </w:t>
      </w:r>
      <w:r w:rsidRPr="00670DE9">
        <w:rPr>
          <w:rFonts w:ascii="David" w:hAnsi="David"/>
          <w:color w:val="000000"/>
          <w:rtl/>
        </w:rPr>
        <w:t xml:space="preserve">יאיר סטבסקי נ' מדינת ישראל </w:t>
      </w:r>
      <w:r w:rsidR="003D5926">
        <w:rPr>
          <w:rFonts w:ascii="David" w:hAnsi="David"/>
          <w:color w:val="000000"/>
          <w:rtl/>
        </w:rPr>
        <w:t>[נבו]</w:t>
      </w:r>
      <w:r w:rsidR="003D5926">
        <w:rPr>
          <w:rFonts w:ascii="David" w:hAnsi="David" w:hint="cs"/>
          <w:color w:val="000000"/>
          <w:rtl/>
        </w:rPr>
        <w:t xml:space="preserve"> </w:t>
      </w:r>
      <w:r w:rsidRPr="00670DE9">
        <w:rPr>
          <w:rFonts w:ascii="David" w:hAnsi="David"/>
          <w:color w:val="000000"/>
          <w:rtl/>
        </w:rPr>
        <w:t>(24.03.05);</w:t>
      </w:r>
      <w:r w:rsidR="00BD5432">
        <w:rPr>
          <w:rFonts w:ascii="David" w:hAnsi="David"/>
          <w:color w:val="000000"/>
          <w:rtl/>
        </w:rPr>
        <w:t xml:space="preserve"> </w:t>
      </w:r>
      <w:hyperlink r:id="rId44" w:history="1">
        <w:r w:rsidR="00BD5432" w:rsidRPr="00BD5432">
          <w:rPr>
            <w:rFonts w:ascii="David" w:hAnsi="David"/>
            <w:color w:val="0000FF"/>
            <w:u w:val="single"/>
            <w:rtl/>
          </w:rPr>
          <w:t>ע"פ 1042/03</w:t>
        </w:r>
      </w:hyperlink>
      <w:r w:rsidR="00BD5432">
        <w:rPr>
          <w:rFonts w:ascii="David" w:hAnsi="David"/>
          <w:color w:val="000000"/>
          <w:rtl/>
        </w:rPr>
        <w:t xml:space="preserve"> </w:t>
      </w:r>
      <w:r w:rsidRPr="00670DE9">
        <w:rPr>
          <w:rFonts w:ascii="David" w:hAnsi="David"/>
          <w:color w:val="000000"/>
          <w:rtl/>
        </w:rPr>
        <w:t>מצרפלס שותפות מוגבלת בע"מ (1974) נ' מדינת ישראל, נח(1) 721 (2003).</w:t>
      </w:r>
    </w:p>
    <w:p w14:paraId="19894C25"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color w:val="000000"/>
          <w:rtl/>
        </w:rPr>
        <w:t>ב</w:t>
      </w:r>
      <w:hyperlink r:id="rId45" w:history="1">
        <w:r w:rsidR="00BD5432" w:rsidRPr="00BD5432">
          <w:rPr>
            <w:rFonts w:ascii="David" w:hAnsi="David"/>
            <w:color w:val="0000FF"/>
            <w:u w:val="single"/>
            <w:rtl/>
          </w:rPr>
          <w:t>ע״פ 2669/00</w:t>
        </w:r>
      </w:hyperlink>
      <w:r w:rsidR="00BD5432">
        <w:rPr>
          <w:rFonts w:ascii="David" w:hAnsi="David"/>
          <w:color w:val="000000"/>
          <w:rtl/>
        </w:rPr>
        <w:t xml:space="preserve"> </w:t>
      </w:r>
      <w:r w:rsidRPr="00845D3E">
        <w:rPr>
          <w:rFonts w:ascii="David" w:hAnsi="David"/>
          <w:color w:val="000000"/>
          <w:rtl/>
        </w:rPr>
        <w:t>מדינת ישראל נ׳ פלוני, פ״ד נד(3), 685, (17.8.00) נקבע:</w:t>
      </w:r>
    </w:p>
    <w:p w14:paraId="433AF571" w14:textId="77777777" w:rsidR="003474F7" w:rsidRPr="001C072A" w:rsidRDefault="003474F7" w:rsidP="003474F7">
      <w:pPr>
        <w:shd w:val="clear" w:color="auto" w:fill="FFFFFF"/>
        <w:spacing w:line="360" w:lineRule="atLeast"/>
        <w:ind w:left="720"/>
        <w:jc w:val="both"/>
        <w:rPr>
          <w:rFonts w:ascii="David" w:hAnsi="David"/>
          <w:color w:val="000000"/>
          <w:sz w:val="22"/>
          <w:szCs w:val="22"/>
          <w:rtl/>
        </w:rPr>
      </w:pPr>
      <w:r w:rsidRPr="001C072A">
        <w:rPr>
          <w:rFonts w:ascii="David" w:hAnsi="David"/>
          <w:color w:val="000000"/>
          <w:sz w:val="22"/>
          <w:szCs w:val="22"/>
          <w:rtl/>
        </w:rPr>
        <w:t>"משמתבקש בית 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האינדיבידואלית של הנאשם... במאזן השיקולים האמור גובר בדרך כלל השיקול הציבורי ורק נסיבות מיוחדות, חריגות ויוצאות דופן ביותר תצדקנה סטייה מחובת מיצוי הדין בדרך הרשעת העבריין, וזאת, לרוב, כאשר עלול להיווצר יחס בלתי סביר בין הנזק הצפוי מההרשעה בדין לבין חומרתה של העבירה והנזק הצפוי לעבריין מההרשעה״.</w:t>
      </w:r>
    </w:p>
    <w:p w14:paraId="47E6CD43"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color w:val="000000"/>
          <w:rtl/>
        </w:rPr>
        <w:t>בספרו על סדר הדין בפלילים (חלק שני, תשס"ג, 1105) ציין המלומד קדמי:</w:t>
      </w:r>
    </w:p>
    <w:p w14:paraId="7C5D5BAD" w14:textId="77777777" w:rsidR="003474F7" w:rsidRPr="00670DE9" w:rsidRDefault="003474F7" w:rsidP="003474F7">
      <w:pPr>
        <w:shd w:val="clear" w:color="auto" w:fill="FFFFFF"/>
        <w:spacing w:line="360" w:lineRule="atLeast"/>
        <w:ind w:left="720"/>
        <w:jc w:val="both"/>
        <w:rPr>
          <w:rFonts w:ascii="David" w:hAnsi="David"/>
          <w:color w:val="000000"/>
          <w:rtl/>
        </w:rPr>
      </w:pPr>
      <w:r w:rsidRPr="00670DE9">
        <w:rPr>
          <w:rFonts w:ascii="David" w:hAnsi="David"/>
          <w:color w:val="000000"/>
          <w:rtl/>
        </w:rPr>
        <w:t>"בנסיבות נדירות ביותר, כאשר יש בעצם ההרשעה משום תגובה חריפה באורח קיצוני למעשה העבירה מחד גיסא, ובנסיבות העניין אין מקום לענישה אלא להעמידה במבחן. נסיבות נדירות כאלה נוצרות בדרך כלל על רקע נסיבות אישיות – כגון: גיל, מצב בריאות, מוצא משפחתי – כאשר ההרשעה כמוה כ'מכת מוות' לנאשם."</w:t>
      </w:r>
    </w:p>
    <w:p w14:paraId="249301F9"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color w:val="000000"/>
          <w:rtl/>
        </w:rPr>
        <w:t>עוד נקבע בפסיקה שאחד השיקולים המהותיים שייטו את הכף לטובת אי הרשעה הינו כאשר בית המשפט משתכנע שהנאשם הפנים את חומרת מעשיו והביע חרטה לגביהם (ראו:</w:t>
      </w:r>
      <w:r w:rsidR="00BD5432">
        <w:rPr>
          <w:rFonts w:ascii="David" w:hAnsi="David"/>
          <w:color w:val="000000"/>
          <w:rtl/>
        </w:rPr>
        <w:t xml:space="preserve"> </w:t>
      </w:r>
      <w:hyperlink r:id="rId46" w:history="1">
        <w:r w:rsidR="00BD5432" w:rsidRPr="00BD5432">
          <w:rPr>
            <w:rFonts w:ascii="David" w:hAnsi="David"/>
            <w:color w:val="0000FF"/>
            <w:u w:val="single"/>
            <w:rtl/>
          </w:rPr>
          <w:t>ת"פ 40200/99</w:t>
        </w:r>
      </w:hyperlink>
      <w:r w:rsidR="00BD5432">
        <w:rPr>
          <w:rFonts w:ascii="David" w:hAnsi="David"/>
          <w:color w:val="000000"/>
          <w:rtl/>
        </w:rPr>
        <w:t xml:space="preserve"> </w:t>
      </w:r>
      <w:r w:rsidRPr="00845D3E">
        <w:rPr>
          <w:rFonts w:ascii="David" w:hAnsi="David"/>
          <w:color w:val="000000"/>
          <w:rtl/>
        </w:rPr>
        <w:t>מדינת ישראל נ' שלמה איזנברג [פורסם בנבו] (10.02.04).</w:t>
      </w:r>
    </w:p>
    <w:p w14:paraId="36BF6654"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color w:val="000000"/>
          <w:rtl/>
        </w:rPr>
        <w:t>כאמור, בפסיקת בית המשפט העליון נקבע, כי אי הרשעה בעבירות של סחר בסם מסוכן הינה בגדר חריג שבחריגים. עם זאת, ישנם מקרים בהם העדיף ביהמ"ש לבקר שיקולי שיקום על פני שיקולי הרתעה והורה על ביטול ההרשעה. ראו לדוגמה:</w:t>
      </w:r>
      <w:r w:rsidR="00BD5432">
        <w:rPr>
          <w:rFonts w:ascii="David" w:hAnsi="David"/>
          <w:color w:val="000000"/>
          <w:rtl/>
        </w:rPr>
        <w:t xml:space="preserve"> </w:t>
      </w:r>
      <w:hyperlink r:id="rId47" w:history="1">
        <w:r w:rsidR="00BD5432" w:rsidRPr="00BD5432">
          <w:rPr>
            <w:rFonts w:ascii="David" w:hAnsi="David"/>
            <w:color w:val="0000FF"/>
            <w:u w:val="single"/>
            <w:rtl/>
          </w:rPr>
          <w:t>ע"פ 11045-09-18</w:t>
        </w:r>
        <w:r w:rsidR="00BD5432" w:rsidRPr="00BD5432">
          <w:rPr>
            <w:rFonts w:ascii="David" w:hAnsi="David"/>
            <w:color w:val="0000FF"/>
            <w:u w:val="single"/>
            <w:rtl/>
          </w:rPr>
          <w:br/>
        </w:r>
      </w:hyperlink>
      <w:r w:rsidRPr="00845D3E">
        <w:rPr>
          <w:rFonts w:ascii="David" w:hAnsi="David"/>
          <w:color w:val="000000"/>
          <w:rtl/>
        </w:rPr>
        <w:t>יעקב ישראל אליאסיאן נ' מדינת ישראל [פורסם בנבו] (3.3.19) בו התחשב ביהמ"ש בגילו של הנאשם, שיקום שעבר ונסיבותיו האישיות, הפך את החלטת בימ"ש השלום וביטל את הרשעתו של נאשם ב-2 עבירות סחר בסמים מסוג קנאביס וחשיש במשקל כולל של כ-200 גרם.</w:t>
      </w:r>
      <w:r w:rsidR="00BD5432">
        <w:rPr>
          <w:rFonts w:ascii="David" w:hAnsi="David"/>
          <w:color w:val="000000"/>
          <w:rtl/>
        </w:rPr>
        <w:t xml:space="preserve"> </w:t>
      </w:r>
      <w:hyperlink r:id="rId48" w:history="1">
        <w:r w:rsidR="00BD5432" w:rsidRPr="00BD5432">
          <w:rPr>
            <w:rFonts w:ascii="David" w:hAnsi="David"/>
            <w:color w:val="0000FF"/>
            <w:u w:val="single"/>
            <w:rtl/>
          </w:rPr>
          <w:t>ת"פ 34271-10-18</w:t>
        </w:r>
      </w:hyperlink>
      <w:r w:rsidR="00BD5432">
        <w:rPr>
          <w:rFonts w:ascii="David" w:hAnsi="David"/>
          <w:color w:val="000000"/>
          <w:rtl/>
        </w:rPr>
        <w:t xml:space="preserve"> </w:t>
      </w:r>
      <w:r w:rsidRPr="00845D3E">
        <w:rPr>
          <w:rFonts w:ascii="David" w:hAnsi="David"/>
          <w:color w:val="000000"/>
          <w:rtl/>
        </w:rPr>
        <w:t>מדינת ישראל נ' אור שמואל דהן [פורסם בנבו] (23.03.19) הסתיים ההליך נגד נאשם ב-2 עבירות סחר בקנאביס באמצעות טלגראס ובהחזקה לשימוש עצמי ללא הרשעה וזאת תוך התחשבות בגילו הצעיר של הנאשם (כבן 18), היעדר עבר פלילי ושיקום מרשים. על הנאשם הוטל צו מבחן למשך שנה.</w:t>
      </w:r>
    </w:p>
    <w:p w14:paraId="67C5792F"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color w:val="000000"/>
          <w:rtl/>
        </w:rPr>
        <w:t>לצורך הכרעה במקרה שבפנינו, יש להביא בחשבון את הנתונים הבאים:</w:t>
      </w:r>
    </w:p>
    <w:p w14:paraId="1DC6E3A8" w14:textId="77777777" w:rsidR="003474F7" w:rsidRPr="00845D3E" w:rsidRDefault="003474F7" w:rsidP="003474F7">
      <w:pPr>
        <w:pStyle w:val="ListParagraph"/>
        <w:numPr>
          <w:ilvl w:val="0"/>
          <w:numId w:val="2"/>
        </w:numPr>
        <w:shd w:val="clear" w:color="auto" w:fill="FFFFFF"/>
        <w:spacing w:line="360" w:lineRule="atLeast"/>
        <w:jc w:val="both"/>
        <w:rPr>
          <w:rFonts w:ascii="David" w:hAnsi="David"/>
          <w:color w:val="000000"/>
          <w:rtl/>
        </w:rPr>
      </w:pPr>
      <w:r w:rsidRPr="00845D3E">
        <w:rPr>
          <w:rFonts w:ascii="David" w:hAnsi="David"/>
          <w:color w:val="000000"/>
          <w:rtl/>
        </w:rPr>
        <w:t>הנאשם הינו אדם צעיר כבן 27 נעדר הרשעות קודמות. הנאשם נטל אחריות על מעשיו הן בבית המשפט והן בשירות המבחן.</w:t>
      </w:r>
    </w:p>
    <w:p w14:paraId="721866DD" w14:textId="77777777" w:rsidR="003474F7" w:rsidRPr="00845D3E" w:rsidRDefault="003474F7" w:rsidP="003474F7">
      <w:pPr>
        <w:pStyle w:val="ListParagraph"/>
        <w:numPr>
          <w:ilvl w:val="0"/>
          <w:numId w:val="2"/>
        </w:numPr>
        <w:shd w:val="clear" w:color="auto" w:fill="FFFFFF"/>
        <w:spacing w:line="360" w:lineRule="atLeast"/>
        <w:jc w:val="both"/>
        <w:rPr>
          <w:rFonts w:ascii="David" w:hAnsi="David"/>
          <w:color w:val="000000"/>
          <w:rtl/>
        </w:rPr>
      </w:pPr>
      <w:r w:rsidRPr="00845D3E">
        <w:rPr>
          <w:rFonts w:ascii="David" w:hAnsi="David"/>
          <w:color w:val="000000"/>
          <w:rtl/>
        </w:rPr>
        <w:t>במועד ביצוע העבירות היה הנאשם כבן 23. בהתאם לפסיקה המנחה ישנו מקום להתחשב בגילו הצעיר של נאשם בעת גזירת העונש. (ראו</w:t>
      </w:r>
      <w:r>
        <w:rPr>
          <w:rFonts w:ascii="David" w:hAnsi="David" w:hint="cs"/>
          <w:color w:val="000000"/>
          <w:rtl/>
        </w:rPr>
        <w:t xml:space="preserve"> לדוגמה</w:t>
      </w:r>
      <w:r w:rsidRPr="00845D3E">
        <w:rPr>
          <w:rFonts w:ascii="David" w:hAnsi="David"/>
          <w:color w:val="000000"/>
          <w:rtl/>
        </w:rPr>
        <w:t>:</w:t>
      </w:r>
      <w:r w:rsidR="00BD5432">
        <w:rPr>
          <w:rFonts w:ascii="David" w:hAnsi="David"/>
          <w:color w:val="000000"/>
          <w:rtl/>
        </w:rPr>
        <w:t xml:space="preserve"> </w:t>
      </w:r>
      <w:hyperlink r:id="rId49" w:history="1">
        <w:r w:rsidR="00BD5432" w:rsidRPr="00BD5432">
          <w:rPr>
            <w:rFonts w:ascii="David" w:hAnsi="David"/>
            <w:color w:val="0000FF"/>
            <w:u w:val="single"/>
            <w:rtl/>
          </w:rPr>
          <w:t>ע"פ 6961/17</w:t>
        </w:r>
      </w:hyperlink>
      <w:r w:rsidR="00BD5432">
        <w:rPr>
          <w:rFonts w:ascii="David" w:hAnsi="David"/>
          <w:color w:val="000000"/>
          <w:rtl/>
        </w:rPr>
        <w:t xml:space="preserve"> </w:t>
      </w:r>
      <w:r w:rsidRPr="00845D3E">
        <w:rPr>
          <w:rFonts w:ascii="David" w:hAnsi="David"/>
          <w:color w:val="000000"/>
          <w:rtl/>
        </w:rPr>
        <w:t xml:space="preserve">אבו אלקיעאן נגד מדינת ישראל </w:t>
      </w:r>
      <w:r w:rsidR="00665C19">
        <w:rPr>
          <w:rFonts w:ascii="David" w:hAnsi="David"/>
          <w:color w:val="000000"/>
          <w:rtl/>
        </w:rPr>
        <w:t>[נבו]</w:t>
      </w:r>
      <w:r w:rsidR="00665C19">
        <w:rPr>
          <w:rFonts w:ascii="David" w:hAnsi="David" w:hint="cs"/>
          <w:color w:val="000000"/>
          <w:rtl/>
        </w:rPr>
        <w:t xml:space="preserve"> </w:t>
      </w:r>
      <w:r w:rsidRPr="00845D3E">
        <w:rPr>
          <w:rFonts w:ascii="David" w:hAnsi="David"/>
          <w:color w:val="000000"/>
          <w:rtl/>
        </w:rPr>
        <w:t>(7.3.18)</w:t>
      </w:r>
      <w:r>
        <w:rPr>
          <w:rFonts w:ascii="David" w:hAnsi="David" w:hint="cs"/>
          <w:color w:val="000000"/>
          <w:rtl/>
        </w:rPr>
        <w:t>)</w:t>
      </w:r>
      <w:r w:rsidRPr="00845D3E">
        <w:rPr>
          <w:rFonts w:ascii="David" w:hAnsi="David"/>
          <w:color w:val="000000"/>
          <w:rtl/>
        </w:rPr>
        <w:t>.</w:t>
      </w:r>
    </w:p>
    <w:p w14:paraId="2D2F2D63" w14:textId="77777777" w:rsidR="003474F7" w:rsidRPr="00845D3E" w:rsidRDefault="003474F7" w:rsidP="003474F7">
      <w:pPr>
        <w:pStyle w:val="ListParagraph"/>
        <w:numPr>
          <w:ilvl w:val="0"/>
          <w:numId w:val="2"/>
        </w:numPr>
        <w:shd w:val="clear" w:color="auto" w:fill="FFFFFF"/>
        <w:spacing w:line="360" w:lineRule="atLeast"/>
        <w:jc w:val="both"/>
        <w:rPr>
          <w:rFonts w:ascii="David" w:hAnsi="David"/>
          <w:color w:val="000000"/>
          <w:rtl/>
        </w:rPr>
      </w:pPr>
      <w:r w:rsidRPr="00845D3E">
        <w:rPr>
          <w:rFonts w:ascii="David" w:hAnsi="David"/>
          <w:color w:val="000000"/>
          <w:rtl/>
        </w:rPr>
        <w:t xml:space="preserve">המדובר בהחזקת סם </w:t>
      </w:r>
      <w:r>
        <w:rPr>
          <w:rFonts w:ascii="David" w:hAnsi="David" w:hint="cs"/>
          <w:color w:val="000000"/>
          <w:rtl/>
        </w:rPr>
        <w:t xml:space="preserve">שלא </w:t>
      </w:r>
      <w:r w:rsidRPr="00845D3E">
        <w:rPr>
          <w:rFonts w:ascii="David" w:hAnsi="David"/>
          <w:color w:val="000000"/>
          <w:rtl/>
        </w:rPr>
        <w:t>לצריכה עצמית</w:t>
      </w:r>
      <w:r>
        <w:rPr>
          <w:rFonts w:ascii="David" w:hAnsi="David" w:hint="cs"/>
          <w:color w:val="000000"/>
          <w:rtl/>
        </w:rPr>
        <w:t xml:space="preserve"> בכמות של כ-133 גרם</w:t>
      </w:r>
      <w:r w:rsidRPr="00845D3E">
        <w:rPr>
          <w:rFonts w:ascii="David" w:hAnsi="David"/>
          <w:color w:val="000000"/>
          <w:rtl/>
        </w:rPr>
        <w:t>, ו</w:t>
      </w:r>
      <w:r w:rsidRPr="00845D3E">
        <w:rPr>
          <w:rFonts w:ascii="David" w:hAnsi="David" w:hint="cs"/>
          <w:color w:val="000000"/>
          <w:rtl/>
        </w:rPr>
        <w:t xml:space="preserve">ניסיון </w:t>
      </w:r>
      <w:r w:rsidRPr="00845D3E">
        <w:rPr>
          <w:rFonts w:ascii="David" w:hAnsi="David"/>
          <w:color w:val="000000"/>
          <w:rtl/>
        </w:rPr>
        <w:t xml:space="preserve">מכירה </w:t>
      </w:r>
      <w:r w:rsidRPr="00845D3E">
        <w:rPr>
          <w:rFonts w:ascii="David" w:hAnsi="David" w:hint="cs"/>
          <w:color w:val="000000"/>
          <w:rtl/>
        </w:rPr>
        <w:t>ש</w:t>
      </w:r>
      <w:r w:rsidRPr="00845D3E">
        <w:rPr>
          <w:rFonts w:ascii="David" w:hAnsi="David"/>
          <w:color w:val="000000"/>
          <w:rtl/>
        </w:rPr>
        <w:t xml:space="preserve">ל 10 גרם </w:t>
      </w:r>
      <w:r>
        <w:rPr>
          <w:rFonts w:ascii="David" w:hAnsi="David" w:hint="cs"/>
          <w:color w:val="000000"/>
          <w:rtl/>
        </w:rPr>
        <w:t xml:space="preserve">של </w:t>
      </w:r>
      <w:r w:rsidRPr="00845D3E">
        <w:rPr>
          <w:rFonts w:ascii="David" w:hAnsi="David"/>
          <w:color w:val="000000"/>
          <w:rtl/>
        </w:rPr>
        <w:t>סם מסוכן מסוג קנבוס, המוגדר בפסיקה כסם הנמנה על הסמים הקלים, זאת בתמורה ל- 500 ₪.</w:t>
      </w:r>
    </w:p>
    <w:p w14:paraId="05ED079C" w14:textId="77777777" w:rsidR="003474F7" w:rsidRPr="00845D3E" w:rsidRDefault="003474F7" w:rsidP="003474F7">
      <w:pPr>
        <w:pStyle w:val="ListParagraph"/>
        <w:numPr>
          <w:ilvl w:val="0"/>
          <w:numId w:val="2"/>
        </w:numPr>
        <w:shd w:val="clear" w:color="auto" w:fill="FFFFFF"/>
        <w:spacing w:line="360" w:lineRule="atLeast"/>
        <w:jc w:val="both"/>
        <w:rPr>
          <w:rFonts w:ascii="David" w:hAnsi="David"/>
          <w:color w:val="000000"/>
          <w:rtl/>
        </w:rPr>
      </w:pPr>
      <w:r w:rsidRPr="00845D3E">
        <w:rPr>
          <w:rFonts w:ascii="David" w:hAnsi="David"/>
          <w:color w:val="000000"/>
          <w:rtl/>
        </w:rPr>
        <w:t>מאז ביצוע העבירה חלפו כמעט 4 שנים, ומאז אותם אירועים לא נפתחו כנגד הנאשם תיקים נוספים.</w:t>
      </w:r>
    </w:p>
    <w:p w14:paraId="71499A93" w14:textId="77777777" w:rsidR="003474F7" w:rsidRPr="00845D3E" w:rsidRDefault="003474F7" w:rsidP="003474F7">
      <w:pPr>
        <w:pStyle w:val="ListParagraph"/>
        <w:numPr>
          <w:ilvl w:val="0"/>
          <w:numId w:val="2"/>
        </w:numPr>
        <w:shd w:val="clear" w:color="auto" w:fill="FFFFFF"/>
        <w:spacing w:line="360" w:lineRule="atLeast"/>
        <w:jc w:val="both"/>
        <w:rPr>
          <w:rFonts w:ascii="David" w:hAnsi="David"/>
          <w:color w:val="000000"/>
          <w:rtl/>
        </w:rPr>
      </w:pPr>
      <w:r w:rsidRPr="00845D3E">
        <w:rPr>
          <w:rFonts w:ascii="David" w:hAnsi="David"/>
          <w:color w:val="000000"/>
          <w:rtl/>
        </w:rPr>
        <w:t xml:space="preserve">המלצת שירות המבחן הינה לסיום ההליך באי-הרשעה, ולנקוט כלפי הנאשם בענישה שיקומית הכוללת צו של"צ </w:t>
      </w:r>
      <w:r>
        <w:rPr>
          <w:rFonts w:ascii="David" w:hAnsi="David" w:hint="cs"/>
          <w:color w:val="000000"/>
          <w:rtl/>
        </w:rPr>
        <w:t xml:space="preserve">לצד </w:t>
      </w:r>
      <w:r w:rsidRPr="00845D3E">
        <w:rPr>
          <w:rFonts w:ascii="David" w:hAnsi="David"/>
          <w:color w:val="000000"/>
          <w:rtl/>
        </w:rPr>
        <w:t>מבחן.</w:t>
      </w:r>
    </w:p>
    <w:p w14:paraId="2FBBEE5E" w14:textId="77777777" w:rsidR="003474F7" w:rsidRDefault="003474F7" w:rsidP="003474F7">
      <w:pPr>
        <w:pStyle w:val="ListParagraph"/>
        <w:numPr>
          <w:ilvl w:val="0"/>
          <w:numId w:val="2"/>
        </w:numPr>
        <w:shd w:val="clear" w:color="auto" w:fill="FFFFFF"/>
        <w:spacing w:line="360" w:lineRule="atLeast"/>
        <w:jc w:val="both"/>
        <w:rPr>
          <w:rFonts w:ascii="David" w:hAnsi="David"/>
          <w:color w:val="000000"/>
        </w:rPr>
      </w:pPr>
      <w:r w:rsidRPr="00845D3E">
        <w:rPr>
          <w:rFonts w:ascii="David" w:hAnsi="David"/>
          <w:color w:val="000000"/>
          <w:rtl/>
        </w:rPr>
        <w:t>תוכנם של תסקירי המבחן הינו חיובי. הנאשם נטל אחריות על ביצוע העבירות</w:t>
      </w:r>
      <w:r>
        <w:rPr>
          <w:rFonts w:ascii="David" w:hAnsi="David" w:hint="cs"/>
          <w:color w:val="000000"/>
          <w:rtl/>
        </w:rPr>
        <w:t xml:space="preserve">, </w:t>
      </w:r>
      <w:r w:rsidRPr="00845D3E">
        <w:rPr>
          <w:rFonts w:ascii="David" w:hAnsi="David"/>
          <w:color w:val="000000"/>
          <w:rtl/>
        </w:rPr>
        <w:t>ביטא חרטה על המעשים, ובמסגרת הליכי טיפול שולב בטיפול פסיכולוגי ופסיכיאטרי. שירות המבחן התרשם כי קיימת בנאשם מוטיבציה לניהול מערכת חיים נורמטיבית</w:t>
      </w:r>
      <w:r>
        <w:rPr>
          <w:rFonts w:ascii="David" w:hAnsi="David" w:hint="cs"/>
          <w:color w:val="000000"/>
          <w:rtl/>
        </w:rPr>
        <w:t xml:space="preserve">. הנאשם </w:t>
      </w:r>
      <w:r w:rsidRPr="00845D3E">
        <w:rPr>
          <w:rFonts w:ascii="David" w:hAnsi="David"/>
          <w:color w:val="000000"/>
          <w:rtl/>
        </w:rPr>
        <w:t>בעל יכולות וכישורים, משקיע כוחות רבים בעבודה כדי לדאוג לעתידו, וכן מצליח להיעזר בגורמי טיפול.</w:t>
      </w:r>
    </w:p>
    <w:p w14:paraId="57B45474" w14:textId="77777777" w:rsidR="003474F7" w:rsidRPr="00845D3E" w:rsidRDefault="003474F7" w:rsidP="003474F7">
      <w:pPr>
        <w:pStyle w:val="ListParagraph"/>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הנאשם הינו עצמאי, עובד בתחום שוק ההון וקיים חשש שהרשעה תחבל בסיכויו לקבל רישיון עבודה בתחום זה. ברי, כי בנסיבות אלו להחלטה בדבר הרשעה, ודאי בעבירה לפי </w:t>
      </w:r>
      <w:hyperlink r:id="rId50" w:history="1">
        <w:r w:rsidR="00BD5432" w:rsidRPr="00BD5432">
          <w:rPr>
            <w:rFonts w:ascii="David" w:hAnsi="David"/>
            <w:color w:val="0000FF"/>
            <w:u w:val="single"/>
            <w:rtl/>
          </w:rPr>
          <w:t>פקודת הסמים המסוכנים</w:t>
        </w:r>
      </w:hyperlink>
      <w:r>
        <w:rPr>
          <w:rFonts w:ascii="David" w:hAnsi="David" w:hint="cs"/>
          <w:color w:val="000000"/>
          <w:rtl/>
        </w:rPr>
        <w:t xml:space="preserve"> ישנה משמעות מיוחדת, והיא עלולה לגרום לו נזק, ולחסום בפניו את האפשרות להתקדם בתחום עיסוקו, ודאי ביחס לבחור צעיר שבשלב זה מגבש את חייו הבוגרים.</w:t>
      </w:r>
    </w:p>
    <w:p w14:paraId="3C18CAD8"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hint="cs"/>
          <w:color w:val="000000"/>
          <w:rtl/>
        </w:rPr>
        <w:t>מ</w:t>
      </w:r>
      <w:r w:rsidRPr="00845D3E">
        <w:rPr>
          <w:rFonts w:ascii="David" w:hAnsi="David"/>
          <w:color w:val="000000"/>
          <w:rtl/>
        </w:rPr>
        <w:t>מכלול טעמים אלו, ניתן לקבוע כי עלה בידי הנאשם להוכיח כי קיימים ביחס אליו סיכויי שיקום ממשיים המצדיקים לאמץ את המלצת שרות המבחן, ולהורות על סיום הליך באי-הרשעה. זאת לצד צו שירות לתועלת הציבור בהיקף נרחב כפי המלצת שרות המבחן, צו מבחן, וחתימה על התחייבות.</w:t>
      </w:r>
    </w:p>
    <w:p w14:paraId="1E2A9F1B" w14:textId="77777777" w:rsidR="003474F7" w:rsidRPr="00845D3E" w:rsidRDefault="003474F7" w:rsidP="003474F7">
      <w:pPr>
        <w:pStyle w:val="ListParagraph"/>
        <w:numPr>
          <w:ilvl w:val="0"/>
          <w:numId w:val="1"/>
        </w:numPr>
        <w:shd w:val="clear" w:color="auto" w:fill="FFFFFF"/>
        <w:spacing w:line="360" w:lineRule="atLeast"/>
        <w:jc w:val="both"/>
        <w:rPr>
          <w:rFonts w:ascii="David" w:hAnsi="David"/>
          <w:color w:val="000000"/>
          <w:rtl/>
        </w:rPr>
      </w:pPr>
      <w:r w:rsidRPr="00845D3E">
        <w:rPr>
          <w:rFonts w:ascii="David" w:hAnsi="David"/>
          <w:color w:val="000000"/>
          <w:rtl/>
        </w:rPr>
        <w:t>אשר על-כן, אני מורה כדלקמן:</w:t>
      </w:r>
    </w:p>
    <w:p w14:paraId="64269218" w14:textId="77777777" w:rsidR="003474F7" w:rsidRPr="008317FF" w:rsidRDefault="003474F7" w:rsidP="003474F7">
      <w:pPr>
        <w:pStyle w:val="ListParagraph"/>
        <w:numPr>
          <w:ilvl w:val="0"/>
          <w:numId w:val="5"/>
        </w:numPr>
        <w:shd w:val="clear" w:color="auto" w:fill="FFFFFF"/>
        <w:spacing w:line="360" w:lineRule="atLeast"/>
        <w:jc w:val="both"/>
        <w:rPr>
          <w:rFonts w:ascii="David" w:hAnsi="David"/>
          <w:color w:val="000000"/>
          <w:rtl/>
        </w:rPr>
      </w:pPr>
      <w:r w:rsidRPr="008317FF">
        <w:rPr>
          <w:rFonts w:ascii="David" w:hAnsi="David"/>
          <w:color w:val="000000"/>
          <w:rtl/>
        </w:rPr>
        <w:t xml:space="preserve">הרשעת הנאשם בדין מבוטלת, וההליך מסתיים באי-הרשעה, תוך קביעה שהנאשם ביצע עבירה </w:t>
      </w:r>
      <w:r w:rsidRPr="008317FF">
        <w:rPr>
          <w:rFonts w:ascii="David" w:hAnsi="David"/>
          <w:color w:val="000000"/>
          <w:shd w:val="clear" w:color="auto" w:fill="FFFFFF"/>
          <w:rtl/>
        </w:rPr>
        <w:t>של</w:t>
      </w:r>
      <w:r w:rsidRPr="008317FF">
        <w:rPr>
          <w:rFonts w:ascii="Arial" w:hAnsi="Arial"/>
          <w:rtl/>
        </w:rPr>
        <w:t xml:space="preserve"> החזקה/שימוש בסמים שלא לצריכה עצמית, לפי </w:t>
      </w:r>
      <w:hyperlink r:id="rId51" w:history="1">
        <w:r w:rsidR="00883BED" w:rsidRPr="00883BED">
          <w:rPr>
            <w:rStyle w:val="Hyperlink"/>
            <w:rFonts w:ascii="David" w:hAnsi="David"/>
            <w:spacing w:val="10"/>
            <w:shd w:val="clear" w:color="auto" w:fill="FFFFFF"/>
            <w:rtl/>
          </w:rPr>
          <w:t>סעיף 7(א)</w:t>
        </w:r>
      </w:hyperlink>
      <w:r w:rsidR="00BD5432">
        <w:rPr>
          <w:rFonts w:ascii="David" w:hAnsi="David"/>
          <w:color w:val="000000"/>
          <w:spacing w:val="10"/>
          <w:shd w:val="clear" w:color="auto" w:fill="FFFFFF"/>
        </w:rPr>
        <w:t xml:space="preserve"> </w:t>
      </w:r>
      <w:r w:rsidRPr="008317FF">
        <w:rPr>
          <w:rFonts w:ascii="David" w:hAnsi="David"/>
          <w:color w:val="000000"/>
          <w:spacing w:val="10"/>
          <w:shd w:val="clear" w:color="auto" w:fill="FFFFFF"/>
          <w:rtl/>
        </w:rPr>
        <w:t>בצירוף</w:t>
      </w:r>
      <w:r w:rsidR="00BD5432">
        <w:rPr>
          <w:rFonts w:ascii="David" w:hAnsi="David"/>
          <w:color w:val="000000"/>
          <w:spacing w:val="10"/>
          <w:shd w:val="clear" w:color="auto" w:fill="FFFFFF"/>
          <w:rtl/>
        </w:rPr>
        <w:t xml:space="preserve"> </w:t>
      </w:r>
      <w:r w:rsidRPr="00BD5432">
        <w:rPr>
          <w:rFonts w:ascii="David" w:hAnsi="David"/>
          <w:color w:val="000000"/>
          <w:spacing w:val="10"/>
          <w:shd w:val="clear" w:color="auto" w:fill="FFFFFF"/>
          <w:rtl/>
        </w:rPr>
        <w:t xml:space="preserve">סעיף </w:t>
      </w:r>
      <w:hyperlink r:id="rId52" w:history="1">
        <w:r w:rsidR="00883BED" w:rsidRPr="00883BED">
          <w:rPr>
            <w:rStyle w:val="Hyperlink"/>
            <w:rFonts w:ascii="David" w:hAnsi="David"/>
            <w:spacing w:val="10"/>
            <w:shd w:val="clear" w:color="auto" w:fill="FFFFFF"/>
            <w:rtl/>
          </w:rPr>
          <w:t>7(ג)</w:t>
        </w:r>
      </w:hyperlink>
      <w:r w:rsidR="00BD5432">
        <w:rPr>
          <w:rFonts w:ascii="David" w:hAnsi="David"/>
          <w:color w:val="000000"/>
          <w:spacing w:val="10"/>
          <w:shd w:val="clear" w:color="auto" w:fill="FFFFFF"/>
        </w:rPr>
        <w:t xml:space="preserve"> </w:t>
      </w:r>
      <w:r w:rsidRPr="008317FF">
        <w:rPr>
          <w:rFonts w:ascii="David" w:hAnsi="David"/>
          <w:color w:val="000000"/>
          <w:spacing w:val="10"/>
          <w:shd w:val="clear" w:color="auto" w:fill="FFFFFF"/>
          <w:rtl/>
        </w:rPr>
        <w:t>רישא ל</w:t>
      </w:r>
      <w:hyperlink r:id="rId53" w:history="1">
        <w:r w:rsidR="00BD5432" w:rsidRPr="00BD5432">
          <w:rPr>
            <w:rFonts w:ascii="David" w:hAnsi="David"/>
            <w:color w:val="0000FF"/>
            <w:spacing w:val="10"/>
            <w:u w:val="single"/>
            <w:shd w:val="clear" w:color="auto" w:fill="FFFFFF"/>
            <w:rtl/>
          </w:rPr>
          <w:t>פקודת הסמים המסוכנים</w:t>
        </w:r>
      </w:hyperlink>
      <w:r w:rsidRPr="008317FF">
        <w:rPr>
          <w:rFonts w:ascii="Arial" w:hAnsi="Arial"/>
          <w:rtl/>
        </w:rPr>
        <w:t xml:space="preserve"> (נוסח חדש), תשל"ג – 1973, ועבירה של </w:t>
      </w:r>
      <w:r w:rsidRPr="008317FF">
        <w:rPr>
          <w:rFonts w:ascii="David" w:hAnsi="David"/>
          <w:color w:val="000000"/>
          <w:shd w:val="clear" w:color="auto" w:fill="FFFFFF"/>
          <w:rtl/>
        </w:rPr>
        <w:t>נ</w:t>
      </w:r>
      <w:r>
        <w:rPr>
          <w:rFonts w:ascii="David" w:hAnsi="David" w:hint="cs"/>
          <w:color w:val="000000"/>
          <w:shd w:val="clear" w:color="auto" w:fill="FFFFFF"/>
          <w:rtl/>
        </w:rPr>
        <w:t>י</w:t>
      </w:r>
      <w:r w:rsidRPr="008317FF">
        <w:rPr>
          <w:rFonts w:ascii="David" w:hAnsi="David"/>
          <w:color w:val="000000"/>
          <w:shd w:val="clear" w:color="auto" w:fill="FFFFFF"/>
          <w:rtl/>
        </w:rPr>
        <w:t>סיון יבוא/יצוא/מסחר/הספקת סמים</w:t>
      </w:r>
      <w:r w:rsidRPr="008317FF">
        <w:rPr>
          <w:rFonts w:ascii="Arial" w:hAnsi="Arial"/>
          <w:rtl/>
        </w:rPr>
        <w:t xml:space="preserve"> </w:t>
      </w:r>
      <w:r w:rsidRPr="008317FF">
        <w:rPr>
          <w:rFonts w:ascii="David" w:hAnsi="David"/>
          <w:color w:val="000000"/>
          <w:shd w:val="clear" w:color="auto" w:fill="FFFFFF"/>
          <w:rtl/>
        </w:rPr>
        <w:t>לפי</w:t>
      </w:r>
      <w:r w:rsidR="00BD5432">
        <w:rPr>
          <w:rFonts w:ascii="David" w:hAnsi="David"/>
          <w:color w:val="000000"/>
          <w:shd w:val="clear" w:color="auto" w:fill="FFFFFF"/>
          <w:rtl/>
        </w:rPr>
        <w:t xml:space="preserve"> </w:t>
      </w:r>
      <w:hyperlink r:id="rId54" w:history="1">
        <w:r w:rsidR="00883BED" w:rsidRPr="00883BED">
          <w:rPr>
            <w:rStyle w:val="Hyperlink"/>
            <w:rFonts w:ascii="David" w:hAnsi="David"/>
            <w:shd w:val="clear" w:color="auto" w:fill="FFFFFF"/>
            <w:rtl/>
          </w:rPr>
          <w:t>סעיף 13</w:t>
        </w:r>
      </w:hyperlink>
      <w:r w:rsidR="00BD5432">
        <w:rPr>
          <w:rFonts w:ascii="David" w:hAnsi="David"/>
          <w:color w:val="000000"/>
          <w:shd w:val="clear" w:color="auto" w:fill="FFFFFF"/>
        </w:rPr>
        <w:t xml:space="preserve"> </w:t>
      </w:r>
      <w:r w:rsidRPr="008317FF">
        <w:rPr>
          <w:rFonts w:ascii="David" w:hAnsi="David"/>
          <w:color w:val="000000"/>
          <w:shd w:val="clear" w:color="auto" w:fill="FFFFFF"/>
          <w:rtl/>
        </w:rPr>
        <w:t>ל</w:t>
      </w:r>
      <w:r w:rsidRPr="00BD5432">
        <w:rPr>
          <w:rFonts w:ascii="David" w:hAnsi="David"/>
          <w:color w:val="000000"/>
          <w:shd w:val="clear" w:color="auto" w:fill="FFFFFF"/>
          <w:rtl/>
        </w:rPr>
        <w:t>צו בדבר סמים מסוכנים (יהודה והשומרון)</w:t>
      </w:r>
      <w:r w:rsidR="00BD5432">
        <w:rPr>
          <w:rFonts w:ascii="David" w:hAnsi="David"/>
          <w:color w:val="000000"/>
          <w:shd w:val="clear" w:color="auto" w:fill="FFFFFF"/>
        </w:rPr>
        <w:t xml:space="preserve"> </w:t>
      </w:r>
      <w:r w:rsidRPr="008317FF">
        <w:rPr>
          <w:rFonts w:ascii="David" w:hAnsi="David"/>
          <w:color w:val="000000"/>
          <w:shd w:val="clear" w:color="auto" w:fill="FFFFFF"/>
          <w:rtl/>
        </w:rPr>
        <w:t xml:space="preserve"> (מס' 558), תשל"ה-1975</w:t>
      </w:r>
      <w:r w:rsidRPr="008317FF">
        <w:rPr>
          <w:rFonts w:ascii="Arial" w:hAnsi="Arial"/>
          <w:rtl/>
        </w:rPr>
        <w:t xml:space="preserve"> + </w:t>
      </w:r>
      <w:hyperlink r:id="rId55" w:history="1">
        <w:r w:rsidR="00883BED" w:rsidRPr="00883BED">
          <w:rPr>
            <w:rStyle w:val="Hyperlink"/>
            <w:rFonts w:ascii="David" w:hAnsi="David"/>
            <w:shd w:val="clear" w:color="auto" w:fill="FFFFFF"/>
            <w:rtl/>
          </w:rPr>
          <w:t>סעיף 25</w:t>
        </w:r>
      </w:hyperlink>
      <w:r w:rsidR="00BD5432">
        <w:rPr>
          <w:rFonts w:ascii="David" w:hAnsi="David"/>
          <w:color w:val="000000"/>
          <w:shd w:val="clear" w:color="auto" w:fill="FFFFFF"/>
        </w:rPr>
        <w:t xml:space="preserve"> </w:t>
      </w:r>
      <w:r w:rsidRPr="008317FF">
        <w:rPr>
          <w:rFonts w:ascii="David" w:hAnsi="David"/>
          <w:color w:val="000000"/>
          <w:shd w:val="clear" w:color="auto" w:fill="FFFFFF"/>
          <w:rtl/>
        </w:rPr>
        <w:t>ל</w:t>
      </w:r>
      <w:hyperlink r:id="rId56" w:history="1">
        <w:r w:rsidR="00BD5432" w:rsidRPr="00BD5432">
          <w:rPr>
            <w:rFonts w:ascii="David" w:hAnsi="David"/>
            <w:color w:val="0000FF"/>
            <w:u w:val="single"/>
            <w:shd w:val="clear" w:color="auto" w:fill="FFFFFF"/>
            <w:rtl/>
          </w:rPr>
          <w:t>חוק העונשין</w:t>
        </w:r>
      </w:hyperlink>
      <w:r w:rsidRPr="008317FF">
        <w:rPr>
          <w:rFonts w:ascii="David" w:hAnsi="David"/>
          <w:color w:val="0000FF"/>
          <w:shd w:val="clear" w:color="auto" w:fill="FFFFFF"/>
        </w:rPr>
        <w:t xml:space="preserve"> </w:t>
      </w:r>
      <w:r w:rsidRPr="008317FF">
        <w:rPr>
          <w:rFonts w:ascii="Arial" w:hAnsi="Arial"/>
          <w:rtl/>
        </w:rPr>
        <w:t>התשל"ז – 1977.</w:t>
      </w:r>
    </w:p>
    <w:p w14:paraId="36BF80E8" w14:textId="77777777" w:rsidR="003474F7" w:rsidRPr="008317FF" w:rsidRDefault="003474F7" w:rsidP="003474F7">
      <w:pPr>
        <w:pStyle w:val="ListParagraph"/>
        <w:numPr>
          <w:ilvl w:val="0"/>
          <w:numId w:val="5"/>
        </w:numPr>
        <w:shd w:val="clear" w:color="auto" w:fill="FFFFFF"/>
        <w:spacing w:line="360" w:lineRule="atLeast"/>
        <w:jc w:val="both"/>
        <w:rPr>
          <w:rFonts w:ascii="David" w:hAnsi="David"/>
          <w:color w:val="000000"/>
          <w:rtl/>
        </w:rPr>
      </w:pPr>
      <w:r w:rsidRPr="008317FF">
        <w:rPr>
          <w:rFonts w:ascii="David" w:hAnsi="David"/>
          <w:color w:val="000000"/>
          <w:rtl/>
        </w:rPr>
        <w:t xml:space="preserve">צו שירות לתועלת הציבור בהיקף של </w:t>
      </w:r>
      <w:r w:rsidRPr="008317FF">
        <w:rPr>
          <w:rFonts w:ascii="David" w:hAnsi="David" w:hint="cs"/>
          <w:color w:val="000000"/>
          <w:rtl/>
        </w:rPr>
        <w:t>300</w:t>
      </w:r>
      <w:r w:rsidRPr="008317FF">
        <w:rPr>
          <w:rFonts w:ascii="David" w:hAnsi="David"/>
          <w:color w:val="000000"/>
          <w:rtl/>
        </w:rPr>
        <w:t xml:space="preserve"> שעות. תכנית של"צ תוגש לאישור בית המשפט</w:t>
      </w:r>
      <w:r w:rsidRPr="008317FF">
        <w:rPr>
          <w:rFonts w:ascii="David" w:hAnsi="David" w:hint="cs"/>
          <w:color w:val="000000"/>
          <w:rtl/>
        </w:rPr>
        <w:t xml:space="preserve"> </w:t>
      </w:r>
      <w:r w:rsidRPr="008317FF">
        <w:rPr>
          <w:rFonts w:ascii="David" w:hAnsi="David"/>
          <w:color w:val="000000"/>
          <w:rtl/>
        </w:rPr>
        <w:t>בתוך 60 יום.</w:t>
      </w:r>
    </w:p>
    <w:p w14:paraId="6BC1041E" w14:textId="77777777" w:rsidR="003474F7" w:rsidRPr="008317FF" w:rsidRDefault="003474F7" w:rsidP="003474F7">
      <w:pPr>
        <w:pStyle w:val="ListParagraph"/>
        <w:numPr>
          <w:ilvl w:val="0"/>
          <w:numId w:val="5"/>
        </w:numPr>
        <w:shd w:val="clear" w:color="auto" w:fill="FFFFFF"/>
        <w:spacing w:line="360" w:lineRule="atLeast"/>
        <w:jc w:val="both"/>
        <w:rPr>
          <w:rFonts w:ascii="David" w:hAnsi="David"/>
          <w:color w:val="000000"/>
          <w:rtl/>
        </w:rPr>
      </w:pPr>
      <w:r w:rsidRPr="008317FF">
        <w:rPr>
          <w:rFonts w:ascii="David" w:hAnsi="David"/>
          <w:color w:val="000000"/>
          <w:rtl/>
        </w:rPr>
        <w:t>צו מבחן למשך שנה.</w:t>
      </w:r>
    </w:p>
    <w:p w14:paraId="66C7E9CF" w14:textId="77777777" w:rsidR="003474F7" w:rsidRPr="008317FF" w:rsidRDefault="003474F7" w:rsidP="003474F7">
      <w:pPr>
        <w:pStyle w:val="ListParagraph"/>
        <w:numPr>
          <w:ilvl w:val="0"/>
          <w:numId w:val="5"/>
        </w:numPr>
        <w:shd w:val="clear" w:color="auto" w:fill="FFFFFF"/>
        <w:spacing w:line="360" w:lineRule="atLeast"/>
        <w:jc w:val="both"/>
        <w:rPr>
          <w:rFonts w:ascii="David" w:hAnsi="David"/>
          <w:color w:val="000000"/>
          <w:rtl/>
        </w:rPr>
      </w:pPr>
      <w:r w:rsidRPr="008317FF">
        <w:rPr>
          <w:rFonts w:ascii="David" w:hAnsi="David"/>
          <w:color w:val="000000"/>
          <w:rtl/>
        </w:rPr>
        <w:t xml:space="preserve">התחייבות בסך </w:t>
      </w:r>
      <w:r>
        <w:rPr>
          <w:rFonts w:ascii="David" w:hAnsi="David" w:hint="cs"/>
          <w:color w:val="000000"/>
          <w:rtl/>
        </w:rPr>
        <w:t>3500</w:t>
      </w:r>
      <w:r w:rsidRPr="008317FF">
        <w:rPr>
          <w:rFonts w:ascii="David" w:hAnsi="David"/>
          <w:color w:val="000000"/>
          <w:rtl/>
        </w:rPr>
        <w:t xml:space="preserve"> ₪ להימנע מביצוע העבירה בה הורשע בכתב האישום המתוקן</w:t>
      </w:r>
      <w:r>
        <w:rPr>
          <w:rFonts w:ascii="David" w:hAnsi="David" w:hint="cs"/>
          <w:color w:val="000000"/>
          <w:rtl/>
        </w:rPr>
        <w:t xml:space="preserve"> וזאת למשך שנה מהיום. רשמתי את התחייבות הנאשם בפניי בעל פה.</w:t>
      </w:r>
      <w:r w:rsidRPr="008317FF">
        <w:rPr>
          <w:rFonts w:ascii="David" w:hAnsi="David"/>
          <w:color w:val="000000"/>
          <w:rtl/>
        </w:rPr>
        <w:t xml:space="preserve">   </w:t>
      </w:r>
    </w:p>
    <w:p w14:paraId="1E618E3B" w14:textId="77777777" w:rsidR="003474F7" w:rsidRPr="008317FF" w:rsidRDefault="003474F7" w:rsidP="003474F7">
      <w:pPr>
        <w:pStyle w:val="ListParagraph"/>
        <w:numPr>
          <w:ilvl w:val="0"/>
          <w:numId w:val="5"/>
        </w:numPr>
        <w:shd w:val="clear" w:color="auto" w:fill="FFFFFF"/>
        <w:spacing w:line="360" w:lineRule="atLeast"/>
        <w:jc w:val="both"/>
        <w:rPr>
          <w:rFonts w:ascii="David" w:hAnsi="David"/>
          <w:color w:val="000000"/>
          <w:rtl/>
        </w:rPr>
      </w:pPr>
      <w:r w:rsidRPr="008317FF">
        <w:rPr>
          <w:rFonts w:ascii="David" w:hAnsi="David"/>
          <w:color w:val="000000"/>
          <w:rtl/>
        </w:rPr>
        <w:t>הסם יושמד.</w:t>
      </w:r>
      <w:r>
        <w:rPr>
          <w:rFonts w:ascii="David" w:hAnsi="David" w:hint="cs"/>
          <w:color w:val="000000"/>
          <w:rtl/>
        </w:rPr>
        <w:t xml:space="preserve"> מוצגים נוספים יחולטו/יושמדו לפי החלטת רשם המוצגים.</w:t>
      </w:r>
    </w:p>
    <w:p w14:paraId="1F9A33B8" w14:textId="77777777" w:rsidR="003474F7" w:rsidRPr="00670DE9" w:rsidRDefault="003474F7" w:rsidP="003474F7">
      <w:pPr>
        <w:shd w:val="clear" w:color="auto" w:fill="FFFFFF"/>
        <w:spacing w:line="360" w:lineRule="atLeast"/>
        <w:ind w:firstLine="360"/>
        <w:jc w:val="both"/>
        <w:rPr>
          <w:rFonts w:ascii="David" w:hAnsi="David"/>
          <w:color w:val="000000"/>
          <w:rtl/>
        </w:rPr>
      </w:pPr>
      <w:r w:rsidRPr="00670DE9">
        <w:rPr>
          <w:rFonts w:ascii="David" w:hAnsi="David"/>
          <w:color w:val="FFFFFF"/>
          <w:u w:val="single"/>
          <w:rtl/>
        </w:rPr>
        <w:t>54678313</w:t>
      </w:r>
      <w:r w:rsidRPr="00670DE9">
        <w:rPr>
          <w:rFonts w:ascii="David" w:hAnsi="David"/>
          <w:color w:val="000000"/>
          <w:u w:val="single"/>
          <w:rtl/>
        </w:rPr>
        <w:t>מזכירות בית המשפט תמציא העתק ההחלטה לשירות המבחן</w:t>
      </w:r>
      <w:r w:rsidRPr="00670DE9">
        <w:rPr>
          <w:rFonts w:ascii="David" w:hAnsi="David"/>
          <w:color w:val="000000"/>
          <w:rtl/>
        </w:rPr>
        <w:t>.</w:t>
      </w:r>
    </w:p>
    <w:p w14:paraId="79BEDBDA" w14:textId="77777777" w:rsidR="003474F7" w:rsidRPr="00670DE9" w:rsidRDefault="003474F7" w:rsidP="003474F7">
      <w:pPr>
        <w:shd w:val="clear" w:color="auto" w:fill="FFFFFF"/>
        <w:spacing w:line="360" w:lineRule="atLeast"/>
        <w:ind w:firstLine="360"/>
        <w:jc w:val="both"/>
        <w:rPr>
          <w:rFonts w:ascii="David" w:hAnsi="David"/>
          <w:color w:val="000000"/>
          <w:rtl/>
        </w:rPr>
      </w:pPr>
    </w:p>
    <w:p w14:paraId="2A053B60" w14:textId="77777777" w:rsidR="003474F7" w:rsidRPr="00845D3E" w:rsidRDefault="00BD5432" w:rsidP="003474F7">
      <w:pPr>
        <w:shd w:val="clear" w:color="auto" w:fill="FFFFFF"/>
        <w:spacing w:line="360" w:lineRule="atLeast"/>
        <w:ind w:firstLine="360"/>
        <w:jc w:val="both"/>
        <w:rPr>
          <w:rFonts w:ascii="David" w:hAnsi="David"/>
          <w:color w:val="000000"/>
          <w:sz w:val="22"/>
          <w:szCs w:val="22"/>
          <w:rtl/>
        </w:rPr>
      </w:pPr>
      <w:r w:rsidRPr="00BD5432">
        <w:rPr>
          <w:rFonts w:ascii="David" w:hAnsi="David"/>
          <w:b/>
          <w:bCs/>
          <w:color w:val="FFFFFF"/>
          <w:sz w:val="2"/>
          <w:szCs w:val="2"/>
          <w:rtl/>
        </w:rPr>
        <w:t>5129371</w:t>
      </w:r>
      <w:r w:rsidR="003474F7" w:rsidRPr="00845D3E">
        <w:rPr>
          <w:rFonts w:ascii="David" w:hAnsi="David"/>
          <w:b/>
          <w:bCs/>
          <w:color w:val="000000"/>
          <w:sz w:val="22"/>
          <w:szCs w:val="22"/>
          <w:rtl/>
        </w:rPr>
        <w:t>זכות ערעור לבית-המשפט המחוזי תוך 45 ימים.</w:t>
      </w:r>
    </w:p>
    <w:p w14:paraId="25C38B0C" w14:textId="77777777" w:rsidR="003474F7" w:rsidRPr="00BD5432" w:rsidRDefault="00BD5432" w:rsidP="003474F7">
      <w:pPr>
        <w:jc w:val="both"/>
        <w:rPr>
          <w:rFonts w:ascii="Arial" w:hAnsi="Arial"/>
          <w:b/>
          <w:bCs/>
          <w:color w:val="FFFFFF"/>
          <w:sz w:val="2"/>
          <w:szCs w:val="2"/>
          <w:rtl/>
        </w:rPr>
      </w:pPr>
      <w:r w:rsidRPr="00BD5432">
        <w:rPr>
          <w:rFonts w:ascii="Arial" w:hAnsi="Arial"/>
          <w:b/>
          <w:bCs/>
          <w:color w:val="FFFFFF"/>
          <w:sz w:val="2"/>
          <w:szCs w:val="2"/>
          <w:rtl/>
        </w:rPr>
        <w:t>54678313</w:t>
      </w:r>
    </w:p>
    <w:p w14:paraId="59BA158A" w14:textId="77777777" w:rsidR="003474F7" w:rsidRPr="00845D3E" w:rsidRDefault="003474F7" w:rsidP="003474F7">
      <w:pPr>
        <w:jc w:val="both"/>
        <w:rPr>
          <w:rFonts w:ascii="Arial" w:hAnsi="Arial"/>
          <w:b/>
          <w:bCs/>
          <w:sz w:val="22"/>
          <w:szCs w:val="22"/>
          <w:rtl/>
        </w:rPr>
      </w:pPr>
    </w:p>
    <w:p w14:paraId="52D9223A" w14:textId="77777777" w:rsidR="003474F7" w:rsidRPr="00845D3E" w:rsidRDefault="00BD5432" w:rsidP="003474F7">
      <w:pPr>
        <w:spacing w:line="360" w:lineRule="auto"/>
        <w:jc w:val="both"/>
        <w:rPr>
          <w:rFonts w:ascii="Arial" w:hAnsi="Arial"/>
          <w:b/>
          <w:bCs/>
          <w:sz w:val="22"/>
          <w:szCs w:val="22"/>
          <w:rtl/>
        </w:rPr>
      </w:pPr>
      <w:bookmarkStart w:id="7" w:name="Nitan"/>
      <w:r>
        <w:rPr>
          <w:rFonts w:ascii="Arial" w:hAnsi="Arial"/>
          <w:b/>
          <w:bCs/>
          <w:sz w:val="22"/>
          <w:szCs w:val="22"/>
          <w:rtl/>
        </w:rPr>
        <w:t xml:space="preserve">ניתן היום,  י"ט סיוון תשפ"ד, 25 יוני 2024, במעמד הנוכחים. </w:t>
      </w:r>
      <w:bookmarkEnd w:id="7"/>
      <w:r w:rsidR="003474F7" w:rsidRPr="00845D3E">
        <w:rPr>
          <w:rFonts w:ascii="Arial" w:hAnsi="Arial"/>
          <w:b/>
          <w:bCs/>
          <w:sz w:val="22"/>
          <w:szCs w:val="22"/>
          <w:rtl/>
        </w:rPr>
        <w:tab/>
      </w:r>
      <w:r w:rsidR="003474F7" w:rsidRPr="00845D3E">
        <w:rPr>
          <w:rFonts w:ascii="Arial" w:hAnsi="Arial"/>
          <w:b/>
          <w:bCs/>
          <w:sz w:val="22"/>
          <w:szCs w:val="22"/>
          <w:rtl/>
        </w:rPr>
        <w:tab/>
      </w:r>
      <w:r w:rsidR="003474F7" w:rsidRPr="00845D3E">
        <w:rPr>
          <w:rFonts w:ascii="Arial" w:hAnsi="Arial"/>
          <w:b/>
          <w:bCs/>
          <w:sz w:val="22"/>
          <w:szCs w:val="22"/>
          <w:rtl/>
        </w:rPr>
        <w:tab/>
      </w:r>
      <w:r w:rsidR="003474F7" w:rsidRPr="00845D3E">
        <w:rPr>
          <w:rFonts w:ascii="Arial" w:hAnsi="Arial"/>
          <w:b/>
          <w:bCs/>
          <w:sz w:val="22"/>
          <w:szCs w:val="22"/>
          <w:rtl/>
        </w:rPr>
        <w:tab/>
      </w:r>
      <w:r w:rsidR="003474F7" w:rsidRPr="00845D3E">
        <w:rPr>
          <w:rFonts w:ascii="Arial" w:hAnsi="Arial"/>
          <w:b/>
          <w:bCs/>
          <w:sz w:val="22"/>
          <w:szCs w:val="22"/>
          <w:rtl/>
        </w:rPr>
        <w:tab/>
      </w:r>
      <w:r w:rsidR="003474F7" w:rsidRPr="00845D3E">
        <w:rPr>
          <w:rFonts w:ascii="Arial" w:hAnsi="Arial"/>
          <w:b/>
          <w:bCs/>
          <w:sz w:val="22"/>
          <w:szCs w:val="22"/>
          <w:rtl/>
        </w:rPr>
        <w:tab/>
      </w:r>
      <w:r w:rsidR="003474F7" w:rsidRPr="00845D3E">
        <w:rPr>
          <w:rFonts w:ascii="Arial" w:hAnsi="Arial"/>
          <w:b/>
          <w:bCs/>
          <w:sz w:val="22"/>
          <w:szCs w:val="22"/>
          <w:rtl/>
        </w:rPr>
        <w:tab/>
      </w:r>
      <w:r w:rsidR="003474F7" w:rsidRPr="00845D3E">
        <w:rPr>
          <w:rFonts w:ascii="Arial" w:hAnsi="Arial" w:hint="cs"/>
          <w:b/>
          <w:bCs/>
          <w:sz w:val="22"/>
          <w:szCs w:val="22"/>
          <w:rtl/>
        </w:rPr>
        <w:t xml:space="preserve">         </w:t>
      </w:r>
    </w:p>
    <w:p w14:paraId="6F02F5C4" w14:textId="77777777" w:rsidR="003474F7" w:rsidRPr="00845D3E" w:rsidRDefault="003474F7" w:rsidP="00BD5432">
      <w:pPr>
        <w:jc w:val="center"/>
      </w:pPr>
      <w:r w:rsidRPr="00845D3E">
        <w:rPr>
          <w:rFonts w:ascii="Arial" w:hAnsi="Arial"/>
          <w:b/>
          <w:bCs/>
          <w:sz w:val="22"/>
          <w:szCs w:val="22"/>
          <w:rtl/>
        </w:rPr>
        <w:t xml:space="preserve">   </w:t>
      </w:r>
      <w:r w:rsidRPr="00845D3E">
        <w:rPr>
          <w:rFonts w:ascii="Arial" w:hAnsi="Arial"/>
          <w:b/>
          <w:bCs/>
          <w:sz w:val="22"/>
          <w:szCs w:val="22"/>
          <w:rtl/>
        </w:rPr>
        <w:tab/>
      </w:r>
      <w:r w:rsidRPr="00845D3E">
        <w:rPr>
          <w:rFonts w:ascii="Arial" w:hAnsi="Arial"/>
          <w:b/>
          <w:bCs/>
          <w:sz w:val="22"/>
          <w:szCs w:val="22"/>
          <w:rtl/>
        </w:rPr>
        <w:tab/>
      </w:r>
      <w:r w:rsidRPr="00845D3E">
        <w:rPr>
          <w:rFonts w:ascii="Arial" w:hAnsi="Arial"/>
          <w:b/>
          <w:bCs/>
          <w:sz w:val="22"/>
          <w:szCs w:val="22"/>
          <w:rtl/>
        </w:rPr>
        <w:tab/>
      </w:r>
      <w:r w:rsidRPr="00845D3E">
        <w:rPr>
          <w:rFonts w:ascii="Arial" w:hAnsi="Arial"/>
          <w:b/>
          <w:bCs/>
          <w:sz w:val="22"/>
          <w:szCs w:val="22"/>
          <w:rtl/>
        </w:rPr>
        <w:tab/>
      </w:r>
      <w:r w:rsidRPr="00845D3E">
        <w:rPr>
          <w:rFonts w:ascii="Arial" w:hAnsi="Arial"/>
          <w:b/>
          <w:bCs/>
          <w:sz w:val="22"/>
          <w:szCs w:val="22"/>
          <w:rtl/>
        </w:rPr>
        <w:tab/>
      </w:r>
    </w:p>
    <w:p w14:paraId="5F9B5337" w14:textId="77777777" w:rsidR="003474F7" w:rsidRPr="00883BED" w:rsidRDefault="00883BED" w:rsidP="003474F7">
      <w:pPr>
        <w:jc w:val="center"/>
        <w:rPr>
          <w:rFonts w:ascii="Arial" w:hAnsi="Arial"/>
          <w:b/>
          <w:bCs/>
          <w:color w:val="FFFFFF"/>
          <w:sz w:val="2"/>
          <w:szCs w:val="2"/>
          <w:rtl/>
        </w:rPr>
      </w:pPr>
      <w:r w:rsidRPr="00883BED">
        <w:rPr>
          <w:rFonts w:ascii="Arial" w:hAnsi="Arial"/>
          <w:b/>
          <w:bCs/>
          <w:color w:val="FFFFFF"/>
          <w:sz w:val="2"/>
          <w:szCs w:val="2"/>
          <w:rtl/>
        </w:rPr>
        <w:t>5129371</w:t>
      </w:r>
    </w:p>
    <w:p w14:paraId="64D45E4A" w14:textId="77777777" w:rsidR="00A41644" w:rsidRPr="00883BED" w:rsidRDefault="00883BED" w:rsidP="00BD5432">
      <w:pPr>
        <w:keepNext/>
        <w:rPr>
          <w:rFonts w:ascii="David" w:hAnsi="David"/>
          <w:color w:val="FFFFFF"/>
          <w:sz w:val="2"/>
          <w:szCs w:val="2"/>
          <w:rtl/>
        </w:rPr>
      </w:pPr>
      <w:r w:rsidRPr="00883BED">
        <w:rPr>
          <w:rFonts w:ascii="David" w:hAnsi="David"/>
          <w:color w:val="FFFFFF"/>
          <w:sz w:val="2"/>
          <w:szCs w:val="2"/>
          <w:rtl/>
        </w:rPr>
        <w:t>54678313</w:t>
      </w:r>
    </w:p>
    <w:p w14:paraId="423219A5" w14:textId="77777777" w:rsidR="00BD5432" w:rsidRDefault="00BD5432" w:rsidP="00BD5432">
      <w:pPr>
        <w:rPr>
          <w:rtl/>
        </w:rPr>
      </w:pPr>
    </w:p>
    <w:p w14:paraId="170EA3D7" w14:textId="77777777" w:rsidR="00BD5432" w:rsidRDefault="00BD5432" w:rsidP="00BD5432">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27B01ADE" w14:textId="77777777" w:rsidR="00883BED" w:rsidRPr="00883BED" w:rsidRDefault="00883BED" w:rsidP="00883BED">
      <w:pPr>
        <w:keepNext/>
        <w:rPr>
          <w:rFonts w:ascii="David" w:hAnsi="David"/>
          <w:color w:val="000000"/>
          <w:sz w:val="22"/>
          <w:szCs w:val="22"/>
          <w:rtl/>
        </w:rPr>
      </w:pPr>
    </w:p>
    <w:p w14:paraId="2A036D1F" w14:textId="77777777" w:rsidR="00883BED" w:rsidRPr="00883BED" w:rsidRDefault="00883BED" w:rsidP="00883BED">
      <w:pPr>
        <w:keepNext/>
        <w:rPr>
          <w:rFonts w:ascii="David" w:hAnsi="David"/>
          <w:color w:val="000000"/>
          <w:sz w:val="22"/>
          <w:szCs w:val="22"/>
          <w:rtl/>
        </w:rPr>
      </w:pPr>
      <w:r w:rsidRPr="00883BED">
        <w:rPr>
          <w:rFonts w:ascii="David" w:hAnsi="David"/>
          <w:color w:val="000000"/>
          <w:sz w:val="22"/>
          <w:szCs w:val="22"/>
          <w:rtl/>
        </w:rPr>
        <w:t>ארנון איתן 54678313-/</w:t>
      </w:r>
    </w:p>
    <w:p w14:paraId="607E1A1F" w14:textId="77777777" w:rsidR="00BD5432" w:rsidRPr="00BD5432" w:rsidRDefault="00883BED" w:rsidP="00883BED">
      <w:pPr>
        <w:rPr>
          <w:color w:val="0000FF"/>
          <w:u w:val="single"/>
        </w:rPr>
      </w:pPr>
      <w:r w:rsidRPr="00883BED">
        <w:rPr>
          <w:color w:val="000000"/>
          <w:u w:val="single"/>
          <w:rtl/>
        </w:rPr>
        <w:t>נוסח מסמך זה כפוף לשינויי ניסוח ועריכה</w:t>
      </w:r>
    </w:p>
    <w:sectPr w:rsidR="00BD5432" w:rsidRPr="00BD5432" w:rsidSect="00883BE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AC6F4" w14:textId="77777777" w:rsidR="0003042E" w:rsidRDefault="0003042E" w:rsidP="009C0661">
      <w:r>
        <w:separator/>
      </w:r>
    </w:p>
  </w:endnote>
  <w:endnote w:type="continuationSeparator" w:id="0">
    <w:p w14:paraId="1A841952" w14:textId="77777777" w:rsidR="0003042E" w:rsidRDefault="0003042E" w:rsidP="009C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820B" w14:textId="77777777" w:rsidR="00883BED" w:rsidRDefault="00883BED" w:rsidP="00883BE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83A142" w14:textId="77777777" w:rsidR="00FE5528" w:rsidRPr="00883BED" w:rsidRDefault="00883BED" w:rsidP="00883BED">
    <w:pPr>
      <w:pStyle w:val="a5"/>
      <w:pBdr>
        <w:top w:val="single" w:sz="4" w:space="1" w:color="auto"/>
        <w:between w:val="single" w:sz="4" w:space="0" w:color="auto"/>
      </w:pBdr>
      <w:spacing w:after="60"/>
      <w:jc w:val="center"/>
      <w:rPr>
        <w:rFonts w:ascii="FrankRuehl" w:hAnsi="FrankRuehl" w:cs="FrankRuehl"/>
        <w:color w:val="000000"/>
      </w:rPr>
    </w:pPr>
    <w:r w:rsidRPr="00883B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6C7C3" w14:textId="77777777" w:rsidR="00883BED" w:rsidRDefault="00883BED" w:rsidP="00883BE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153">
      <w:rPr>
        <w:rFonts w:ascii="FrankRuehl" w:hAnsi="FrankRuehl" w:cs="FrankRuehl"/>
        <w:noProof/>
        <w:rtl/>
      </w:rPr>
      <w:t>1</w:t>
    </w:r>
    <w:r>
      <w:rPr>
        <w:rFonts w:ascii="FrankRuehl" w:hAnsi="FrankRuehl" w:cs="FrankRuehl"/>
        <w:rtl/>
      </w:rPr>
      <w:fldChar w:fldCharType="end"/>
    </w:r>
  </w:p>
  <w:p w14:paraId="2D8A4A46" w14:textId="77777777" w:rsidR="00FE5528" w:rsidRPr="00883BED" w:rsidRDefault="00883BED" w:rsidP="00883BED">
    <w:pPr>
      <w:pStyle w:val="a5"/>
      <w:pBdr>
        <w:top w:val="single" w:sz="4" w:space="1" w:color="auto"/>
        <w:between w:val="single" w:sz="4" w:space="0" w:color="auto"/>
      </w:pBdr>
      <w:spacing w:after="60"/>
      <w:jc w:val="center"/>
      <w:rPr>
        <w:rFonts w:ascii="FrankRuehl" w:hAnsi="FrankRuehl" w:cs="FrankRuehl"/>
        <w:color w:val="000000"/>
      </w:rPr>
    </w:pPr>
    <w:r w:rsidRPr="00883BED">
      <w:rPr>
        <w:rFonts w:ascii="FrankRuehl" w:hAnsi="FrankRuehl" w:cs="FrankRuehl"/>
        <w:color w:val="000000"/>
      </w:rPr>
      <w:pict w14:anchorId="5B45D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3D656" w14:textId="77777777" w:rsidR="0003042E" w:rsidRDefault="0003042E" w:rsidP="009C0661">
      <w:r>
        <w:separator/>
      </w:r>
    </w:p>
  </w:footnote>
  <w:footnote w:type="continuationSeparator" w:id="0">
    <w:p w14:paraId="562F28E3" w14:textId="77777777" w:rsidR="0003042E" w:rsidRDefault="0003042E" w:rsidP="009C0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3EAB" w14:textId="77777777" w:rsidR="00BD5432" w:rsidRPr="00883BED" w:rsidRDefault="00883BED" w:rsidP="00883B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29664-09-22</w:t>
    </w:r>
    <w:r>
      <w:rPr>
        <w:rFonts w:ascii="David" w:hAnsi="David"/>
        <w:color w:val="000000"/>
        <w:sz w:val="22"/>
        <w:szCs w:val="22"/>
        <w:rtl/>
      </w:rPr>
      <w:tab/>
      <w:t xml:space="preserve"> מדינת ישראל  נ' דניאל בן אבו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3EC6D" w14:textId="77777777" w:rsidR="00BD5432" w:rsidRPr="00883BED" w:rsidRDefault="00883BED" w:rsidP="00883B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29664-09-22</w:t>
    </w:r>
    <w:r>
      <w:rPr>
        <w:rFonts w:ascii="David" w:hAnsi="David"/>
        <w:color w:val="000000"/>
        <w:sz w:val="22"/>
        <w:szCs w:val="22"/>
        <w:rtl/>
      </w:rPr>
      <w:tab/>
      <w:t xml:space="preserve"> מדינת ישראל  נ' דניאל בן אבו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A2D7A"/>
    <w:multiLevelType w:val="hybridMultilevel"/>
    <w:tmpl w:val="062CFFE6"/>
    <w:lvl w:ilvl="0" w:tplc="51FA78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D5718"/>
    <w:multiLevelType w:val="hybridMultilevel"/>
    <w:tmpl w:val="80A22B84"/>
    <w:lvl w:ilvl="0" w:tplc="3AC290D0">
      <w:start w:val="1"/>
      <w:numFmt w:val="hebrew1"/>
      <w:lvlText w:val="%1."/>
      <w:lvlJc w:val="left"/>
      <w:pPr>
        <w:ind w:left="1275" w:hanging="73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9A53537"/>
    <w:multiLevelType w:val="hybridMultilevel"/>
    <w:tmpl w:val="B40EF90E"/>
    <w:lvl w:ilvl="0" w:tplc="12AA515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E161C8"/>
    <w:multiLevelType w:val="hybridMultilevel"/>
    <w:tmpl w:val="6EE6CFE6"/>
    <w:lvl w:ilvl="0" w:tplc="47A29D16">
      <w:start w:val="1"/>
      <w:numFmt w:val="hebrew1"/>
      <w:lvlText w:val="%1."/>
      <w:lvlJc w:val="left"/>
      <w:pPr>
        <w:ind w:left="885" w:hanging="525"/>
      </w:pPr>
      <w:rPr>
        <w:rFonts w:hint="default"/>
        <w:b w:val="0"/>
        <w:bCs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5473F"/>
    <w:multiLevelType w:val="hybridMultilevel"/>
    <w:tmpl w:val="8CA4E12E"/>
    <w:lvl w:ilvl="0" w:tplc="E6284198">
      <w:start w:val="1"/>
      <w:numFmt w:val="decimal"/>
      <w:lvlText w:val="%1."/>
      <w:lvlJc w:val="left"/>
      <w:pPr>
        <w:ind w:left="720" w:hanging="360"/>
      </w:pPr>
      <w:rPr>
        <w:b/>
        <w:bCs w:val="0"/>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5695341">
    <w:abstractNumId w:val="4"/>
  </w:num>
  <w:num w:numId="2" w16cid:durableId="74908273">
    <w:abstractNumId w:val="3"/>
  </w:num>
  <w:num w:numId="3" w16cid:durableId="1387101916">
    <w:abstractNumId w:val="2"/>
  </w:num>
  <w:num w:numId="4" w16cid:durableId="407969195">
    <w:abstractNumId w:val="0"/>
  </w:num>
  <w:num w:numId="5" w16cid:durableId="1295021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74F7"/>
    <w:rsid w:val="0003042E"/>
    <w:rsid w:val="00186CEC"/>
    <w:rsid w:val="001B5A3B"/>
    <w:rsid w:val="003474F7"/>
    <w:rsid w:val="003D5926"/>
    <w:rsid w:val="00665C19"/>
    <w:rsid w:val="00875946"/>
    <w:rsid w:val="00883BED"/>
    <w:rsid w:val="009C0661"/>
    <w:rsid w:val="00A13153"/>
    <w:rsid w:val="00A41644"/>
    <w:rsid w:val="00BD5432"/>
    <w:rsid w:val="00CA4C60"/>
    <w:rsid w:val="00D70D51"/>
    <w:rsid w:val="00DB10AE"/>
    <w:rsid w:val="00FE55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11A632"/>
  <w15:chartTrackingRefBased/>
  <w15:docId w15:val="{B7DC224F-C2E1-496A-94F0-1EC4DA24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74F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74F7"/>
    <w:pPr>
      <w:tabs>
        <w:tab w:val="center" w:pos="4153"/>
        <w:tab w:val="right" w:pos="8306"/>
      </w:tabs>
    </w:pPr>
  </w:style>
  <w:style w:type="character" w:customStyle="1" w:styleId="a4">
    <w:name w:val="כותרת עליונה תו"/>
    <w:link w:val="a3"/>
    <w:rsid w:val="003474F7"/>
    <w:rPr>
      <w:rFonts w:ascii="Times New Roman" w:eastAsia="Times New Roman" w:hAnsi="Times New Roman" w:cs="David"/>
      <w:sz w:val="24"/>
      <w:szCs w:val="24"/>
    </w:rPr>
  </w:style>
  <w:style w:type="paragraph" w:styleId="a5">
    <w:name w:val="footer"/>
    <w:basedOn w:val="a"/>
    <w:link w:val="a6"/>
    <w:rsid w:val="003474F7"/>
    <w:pPr>
      <w:tabs>
        <w:tab w:val="center" w:pos="4153"/>
        <w:tab w:val="right" w:pos="8306"/>
      </w:tabs>
    </w:pPr>
  </w:style>
  <w:style w:type="character" w:customStyle="1" w:styleId="a6">
    <w:name w:val="כותרת תחתונה תו"/>
    <w:link w:val="a5"/>
    <w:rsid w:val="003474F7"/>
    <w:rPr>
      <w:rFonts w:ascii="Times New Roman" w:eastAsia="Times New Roman" w:hAnsi="Times New Roman" w:cs="David"/>
      <w:sz w:val="24"/>
      <w:szCs w:val="24"/>
    </w:rPr>
  </w:style>
  <w:style w:type="table" w:styleId="a7">
    <w:name w:val="Table Grid"/>
    <w:basedOn w:val="a1"/>
    <w:rsid w:val="003474F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74F7"/>
  </w:style>
  <w:style w:type="paragraph" w:customStyle="1" w:styleId="ListParagraph">
    <w:name w:val="List Paragraph"/>
    <w:basedOn w:val="a"/>
    <w:qFormat/>
    <w:rsid w:val="003474F7"/>
    <w:pPr>
      <w:ind w:left="720"/>
      <w:contextualSpacing/>
    </w:pPr>
  </w:style>
  <w:style w:type="character" w:styleId="Hyperlink">
    <w:name w:val="Hyperlink"/>
    <w:rsid w:val="00BD5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4903/192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71a"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0301/71a.b" TargetMode="External"/><Relationship Id="rId42" Type="http://schemas.openxmlformats.org/officeDocument/2006/relationships/hyperlink" Target="http://www.nevo.co.il/case/483240" TargetMode="External"/><Relationship Id="rId47" Type="http://schemas.openxmlformats.org/officeDocument/2006/relationships/hyperlink" Target="http://www.nevo.co.il/case/24971234" TargetMode="External"/><Relationship Id="rId50" Type="http://schemas.openxmlformats.org/officeDocument/2006/relationships/hyperlink" Target="http://www.nevo.co.il/law/4216" TargetMode="External"/><Relationship Id="rId55" Type="http://schemas.openxmlformats.org/officeDocument/2006/relationships/hyperlink" Target="http://www.nevo.co.il/law/70301/25"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71a.b" TargetMode="External"/><Relationship Id="rId29" Type="http://schemas.openxmlformats.org/officeDocument/2006/relationships/hyperlink" Target="http://www.nevo.co.il/case/6248620" TargetMode="External"/><Relationship Id="rId11" Type="http://schemas.openxmlformats.org/officeDocument/2006/relationships/hyperlink" Target="http://www.nevo.co.il/law/43347" TargetMode="External"/><Relationship Id="rId24" Type="http://schemas.openxmlformats.org/officeDocument/2006/relationships/hyperlink" Target="http://www.nevo.co.il/law/43347/13" TargetMode="External"/><Relationship Id="rId32" Type="http://schemas.openxmlformats.org/officeDocument/2006/relationships/hyperlink" Target="http://www.nevo.co.il/law/74903/192a" TargetMode="External"/><Relationship Id="rId37" Type="http://schemas.openxmlformats.org/officeDocument/2006/relationships/hyperlink" Target="http://www.nevo.co.il/law/71553" TargetMode="External"/><Relationship Id="rId40" Type="http://schemas.openxmlformats.org/officeDocument/2006/relationships/hyperlink" Target="http://www.nevo.co.il/law/70301/71a.b" TargetMode="External"/><Relationship Id="rId45" Type="http://schemas.openxmlformats.org/officeDocument/2006/relationships/hyperlink" Target="http://www.nevo.co.il/case/5849797" TargetMode="External"/><Relationship Id="rId53" Type="http://schemas.openxmlformats.org/officeDocument/2006/relationships/hyperlink" Target="http://www.nevo.co.il/law/4216"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1553"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37a" TargetMode="External"/><Relationship Id="rId30" Type="http://schemas.openxmlformats.org/officeDocument/2006/relationships/hyperlink" Target="http://www.nevo.co.il/case/2597584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784021" TargetMode="External"/><Relationship Id="rId48" Type="http://schemas.openxmlformats.org/officeDocument/2006/relationships/hyperlink" Target="http://www.nevo.co.il/case/25053162" TargetMode="External"/><Relationship Id="rId56"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3347/13"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4903" TargetMode="External"/><Relationship Id="rId38" Type="http://schemas.openxmlformats.org/officeDocument/2006/relationships/hyperlink" Target="http://www.nevo.co.il/case/5810781" TargetMode="External"/><Relationship Id="rId46" Type="http://schemas.openxmlformats.org/officeDocument/2006/relationships/hyperlink" Target="http://www.nevo.co.il/case/2260593" TargetMode="External"/><Relationship Id="rId59" Type="http://schemas.openxmlformats.org/officeDocument/2006/relationships/header" Target="header2.xml"/><Relationship Id="rId20" Type="http://schemas.openxmlformats.org/officeDocument/2006/relationships/hyperlink" Target="http://www.nevo.co.il/law/71553/1.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43347/1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71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726579" TargetMode="External"/><Relationship Id="rId36" Type="http://schemas.openxmlformats.org/officeDocument/2006/relationships/hyperlink" Target="http://www.nevo.co.il/law/71553/1.2" TargetMode="External"/><Relationship Id="rId49" Type="http://schemas.openxmlformats.org/officeDocument/2006/relationships/hyperlink" Target="http://www.nevo.co.il/case/2296189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13022245" TargetMode="External"/><Relationship Id="rId44" Type="http://schemas.openxmlformats.org/officeDocument/2006/relationships/hyperlink" Target="http://www.nevo.co.il/case/5743140" TargetMode="External"/><Relationship Id="rId52" Type="http://schemas.openxmlformats.org/officeDocument/2006/relationships/hyperlink" Target="http://www.nevo.co.il/law/4216/7.c"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3211</Words>
  <Characters>16056</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19229</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6357089</vt:i4>
      </vt:variant>
      <vt:variant>
        <vt:i4>141</vt:i4>
      </vt:variant>
      <vt:variant>
        <vt:i4>0</vt:i4>
      </vt:variant>
      <vt:variant>
        <vt:i4>5</vt:i4>
      </vt:variant>
      <vt:variant>
        <vt:lpwstr>http://www.nevo.co.il/law/43347/13</vt:lpwstr>
      </vt:variant>
      <vt:variant>
        <vt:lpwstr/>
      </vt:variant>
      <vt:variant>
        <vt:i4>8257637</vt:i4>
      </vt:variant>
      <vt:variant>
        <vt:i4>138</vt:i4>
      </vt:variant>
      <vt:variant>
        <vt:i4>0</vt:i4>
      </vt:variant>
      <vt:variant>
        <vt:i4>5</vt:i4>
      </vt:variant>
      <vt:variant>
        <vt:lpwstr>http://www.nevo.co.il/law/4216</vt:lpwstr>
      </vt:variant>
      <vt:variant>
        <vt:lpwstr/>
      </vt:variant>
      <vt:variant>
        <vt:i4>2752612</vt:i4>
      </vt:variant>
      <vt:variant>
        <vt:i4>135</vt:i4>
      </vt:variant>
      <vt:variant>
        <vt:i4>0</vt:i4>
      </vt:variant>
      <vt:variant>
        <vt:i4>5</vt:i4>
      </vt:variant>
      <vt:variant>
        <vt:lpwstr>http://www.nevo.co.il/law/4216/7.c</vt:lpwstr>
      </vt:variant>
      <vt:variant>
        <vt:lpwstr/>
      </vt:variant>
      <vt:variant>
        <vt:i4>2621540</vt:i4>
      </vt:variant>
      <vt:variant>
        <vt:i4>132</vt:i4>
      </vt:variant>
      <vt:variant>
        <vt:i4>0</vt:i4>
      </vt:variant>
      <vt:variant>
        <vt:i4>5</vt:i4>
      </vt:variant>
      <vt:variant>
        <vt:lpwstr>http://www.nevo.co.il/law/4216/7.a</vt:lpwstr>
      </vt:variant>
      <vt:variant>
        <vt:lpwstr/>
      </vt:variant>
      <vt:variant>
        <vt:i4>8257637</vt:i4>
      </vt:variant>
      <vt:variant>
        <vt:i4>129</vt:i4>
      </vt:variant>
      <vt:variant>
        <vt:i4>0</vt:i4>
      </vt:variant>
      <vt:variant>
        <vt:i4>5</vt:i4>
      </vt:variant>
      <vt:variant>
        <vt:lpwstr>http://www.nevo.co.il/law/4216</vt:lpwstr>
      </vt:variant>
      <vt:variant>
        <vt:lpwstr/>
      </vt:variant>
      <vt:variant>
        <vt:i4>3342456</vt:i4>
      </vt:variant>
      <vt:variant>
        <vt:i4>126</vt:i4>
      </vt:variant>
      <vt:variant>
        <vt:i4>0</vt:i4>
      </vt:variant>
      <vt:variant>
        <vt:i4>5</vt:i4>
      </vt:variant>
      <vt:variant>
        <vt:lpwstr>http://www.nevo.co.il/case/22961891</vt:lpwstr>
      </vt:variant>
      <vt:variant>
        <vt:lpwstr/>
      </vt:variant>
      <vt:variant>
        <vt:i4>3604597</vt:i4>
      </vt:variant>
      <vt:variant>
        <vt:i4>123</vt:i4>
      </vt:variant>
      <vt:variant>
        <vt:i4>0</vt:i4>
      </vt:variant>
      <vt:variant>
        <vt:i4>5</vt:i4>
      </vt:variant>
      <vt:variant>
        <vt:lpwstr>http://www.nevo.co.il/case/25053162</vt:lpwstr>
      </vt:variant>
      <vt:variant>
        <vt:lpwstr/>
      </vt:variant>
      <vt:variant>
        <vt:i4>3735669</vt:i4>
      </vt:variant>
      <vt:variant>
        <vt:i4>120</vt:i4>
      </vt:variant>
      <vt:variant>
        <vt:i4>0</vt:i4>
      </vt:variant>
      <vt:variant>
        <vt:i4>5</vt:i4>
      </vt:variant>
      <vt:variant>
        <vt:lpwstr>http://www.nevo.co.il/case/24971234</vt:lpwstr>
      </vt:variant>
      <vt:variant>
        <vt:lpwstr/>
      </vt:variant>
      <vt:variant>
        <vt:i4>3276927</vt:i4>
      </vt:variant>
      <vt:variant>
        <vt:i4>117</vt:i4>
      </vt:variant>
      <vt:variant>
        <vt:i4>0</vt:i4>
      </vt:variant>
      <vt:variant>
        <vt:i4>5</vt:i4>
      </vt:variant>
      <vt:variant>
        <vt:lpwstr>http://www.nevo.co.il/case/2260593</vt:lpwstr>
      </vt:variant>
      <vt:variant>
        <vt:lpwstr/>
      </vt:variant>
      <vt:variant>
        <vt:i4>3211388</vt:i4>
      </vt:variant>
      <vt:variant>
        <vt:i4>114</vt:i4>
      </vt:variant>
      <vt:variant>
        <vt:i4>0</vt:i4>
      </vt:variant>
      <vt:variant>
        <vt:i4>5</vt:i4>
      </vt:variant>
      <vt:variant>
        <vt:lpwstr>http://www.nevo.co.il/case/5849797</vt:lpwstr>
      </vt:variant>
      <vt:variant>
        <vt:lpwstr/>
      </vt:variant>
      <vt:variant>
        <vt:i4>3145844</vt:i4>
      </vt:variant>
      <vt:variant>
        <vt:i4>111</vt:i4>
      </vt:variant>
      <vt:variant>
        <vt:i4>0</vt:i4>
      </vt:variant>
      <vt:variant>
        <vt:i4>5</vt:i4>
      </vt:variant>
      <vt:variant>
        <vt:lpwstr>http://www.nevo.co.il/case/5743140</vt:lpwstr>
      </vt:variant>
      <vt:variant>
        <vt:lpwstr/>
      </vt:variant>
      <vt:variant>
        <vt:i4>3932277</vt:i4>
      </vt:variant>
      <vt:variant>
        <vt:i4>108</vt:i4>
      </vt:variant>
      <vt:variant>
        <vt:i4>0</vt:i4>
      </vt:variant>
      <vt:variant>
        <vt:i4>5</vt:i4>
      </vt:variant>
      <vt:variant>
        <vt:lpwstr>http://www.nevo.co.il/case/5784021</vt:lpwstr>
      </vt:variant>
      <vt:variant>
        <vt:lpwstr/>
      </vt:variant>
      <vt:variant>
        <vt:i4>196686</vt:i4>
      </vt:variant>
      <vt:variant>
        <vt:i4>105</vt:i4>
      </vt:variant>
      <vt:variant>
        <vt:i4>0</vt:i4>
      </vt:variant>
      <vt:variant>
        <vt:i4>5</vt:i4>
      </vt:variant>
      <vt:variant>
        <vt:lpwstr>http://www.nevo.co.il/case/483240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4849667</vt:i4>
      </vt:variant>
      <vt:variant>
        <vt:i4>99</vt:i4>
      </vt:variant>
      <vt:variant>
        <vt:i4>0</vt:i4>
      </vt:variant>
      <vt:variant>
        <vt:i4>5</vt:i4>
      </vt:variant>
      <vt:variant>
        <vt:lpwstr>http://www.nevo.co.il/law/70301/71a.b</vt:lpwstr>
      </vt:variant>
      <vt:variant>
        <vt:lpwstr/>
      </vt:variant>
      <vt:variant>
        <vt:i4>6553698</vt:i4>
      </vt:variant>
      <vt:variant>
        <vt:i4>96</vt:i4>
      </vt:variant>
      <vt:variant>
        <vt:i4>0</vt:i4>
      </vt:variant>
      <vt:variant>
        <vt:i4>5</vt:i4>
      </vt:variant>
      <vt:variant>
        <vt:lpwstr>http://www.nevo.co.il/law/70301/71a</vt:lpwstr>
      </vt:variant>
      <vt:variant>
        <vt:lpwstr/>
      </vt:variant>
      <vt:variant>
        <vt:i4>3276916</vt:i4>
      </vt:variant>
      <vt:variant>
        <vt:i4>93</vt:i4>
      </vt:variant>
      <vt:variant>
        <vt:i4>0</vt:i4>
      </vt:variant>
      <vt:variant>
        <vt:i4>5</vt:i4>
      </vt:variant>
      <vt:variant>
        <vt:lpwstr>http://www.nevo.co.il/case/5810781</vt:lpwstr>
      </vt:variant>
      <vt:variant>
        <vt:lpwstr/>
      </vt:variant>
      <vt:variant>
        <vt:i4>8257634</vt:i4>
      </vt:variant>
      <vt:variant>
        <vt:i4>90</vt:i4>
      </vt:variant>
      <vt:variant>
        <vt:i4>0</vt:i4>
      </vt:variant>
      <vt:variant>
        <vt:i4>5</vt:i4>
      </vt:variant>
      <vt:variant>
        <vt:lpwstr>http://www.nevo.co.il/law/71553</vt:lpwstr>
      </vt:variant>
      <vt:variant>
        <vt:lpwstr/>
      </vt:variant>
      <vt:variant>
        <vt:i4>8323168</vt:i4>
      </vt:variant>
      <vt:variant>
        <vt:i4>87</vt:i4>
      </vt:variant>
      <vt:variant>
        <vt:i4>0</vt:i4>
      </vt:variant>
      <vt:variant>
        <vt:i4>5</vt:i4>
      </vt:variant>
      <vt:variant>
        <vt:lpwstr>http://www.nevo.co.il/law/71553/1.2</vt:lpwstr>
      </vt:variant>
      <vt:variant>
        <vt:lpwstr/>
      </vt:variant>
      <vt:variant>
        <vt:i4>7995492</vt:i4>
      </vt:variant>
      <vt:variant>
        <vt:i4>84</vt:i4>
      </vt:variant>
      <vt:variant>
        <vt:i4>0</vt:i4>
      </vt:variant>
      <vt:variant>
        <vt:i4>5</vt:i4>
      </vt:variant>
      <vt:variant>
        <vt:lpwstr>http://www.nevo.co.il/law/70301</vt:lpwstr>
      </vt:variant>
      <vt:variant>
        <vt:lpwstr/>
      </vt:variant>
      <vt:variant>
        <vt:i4>4849667</vt:i4>
      </vt:variant>
      <vt:variant>
        <vt:i4>81</vt:i4>
      </vt:variant>
      <vt:variant>
        <vt:i4>0</vt:i4>
      </vt:variant>
      <vt:variant>
        <vt:i4>5</vt:i4>
      </vt:variant>
      <vt:variant>
        <vt:lpwstr>http://www.nevo.co.il/law/70301/71a.b</vt:lpwstr>
      </vt:variant>
      <vt:variant>
        <vt:lpwstr/>
      </vt:variant>
      <vt:variant>
        <vt:i4>8257646</vt:i4>
      </vt:variant>
      <vt:variant>
        <vt:i4>78</vt:i4>
      </vt:variant>
      <vt:variant>
        <vt:i4>0</vt:i4>
      </vt:variant>
      <vt:variant>
        <vt:i4>5</vt:i4>
      </vt:variant>
      <vt:variant>
        <vt:lpwstr>http://www.nevo.co.il/law/74903</vt:lpwstr>
      </vt:variant>
      <vt:variant>
        <vt:lpwstr/>
      </vt:variant>
      <vt:variant>
        <vt:i4>589918</vt:i4>
      </vt:variant>
      <vt:variant>
        <vt:i4>75</vt:i4>
      </vt:variant>
      <vt:variant>
        <vt:i4>0</vt:i4>
      </vt:variant>
      <vt:variant>
        <vt:i4>5</vt:i4>
      </vt:variant>
      <vt:variant>
        <vt:lpwstr>http://www.nevo.co.il/law/74903/192a</vt:lpwstr>
      </vt:variant>
      <vt:variant>
        <vt:lpwstr/>
      </vt:variant>
      <vt:variant>
        <vt:i4>3604599</vt:i4>
      </vt:variant>
      <vt:variant>
        <vt:i4>72</vt:i4>
      </vt:variant>
      <vt:variant>
        <vt:i4>0</vt:i4>
      </vt:variant>
      <vt:variant>
        <vt:i4>5</vt:i4>
      </vt:variant>
      <vt:variant>
        <vt:lpwstr>http://www.nevo.co.il/case/13022245</vt:lpwstr>
      </vt:variant>
      <vt:variant>
        <vt:lpwstr/>
      </vt:variant>
      <vt:variant>
        <vt:i4>3801214</vt:i4>
      </vt:variant>
      <vt:variant>
        <vt:i4>69</vt:i4>
      </vt:variant>
      <vt:variant>
        <vt:i4>0</vt:i4>
      </vt:variant>
      <vt:variant>
        <vt:i4>5</vt:i4>
      </vt:variant>
      <vt:variant>
        <vt:lpwstr>http://www.nevo.co.il/case/25975844</vt:lpwstr>
      </vt:variant>
      <vt:variant>
        <vt:lpwstr/>
      </vt:variant>
      <vt:variant>
        <vt:i4>3407996</vt:i4>
      </vt:variant>
      <vt:variant>
        <vt:i4>66</vt:i4>
      </vt:variant>
      <vt:variant>
        <vt:i4>0</vt:i4>
      </vt:variant>
      <vt:variant>
        <vt:i4>5</vt:i4>
      </vt:variant>
      <vt:variant>
        <vt:lpwstr>http://www.nevo.co.il/case/6248620</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2883709</vt:i4>
      </vt:variant>
      <vt:variant>
        <vt:i4>60</vt:i4>
      </vt:variant>
      <vt:variant>
        <vt:i4>0</vt:i4>
      </vt:variant>
      <vt:variant>
        <vt:i4>5</vt:i4>
      </vt:variant>
      <vt:variant>
        <vt:lpwstr>http://www.nevo.co.il/law/4216/37a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6357089</vt:i4>
      </vt:variant>
      <vt:variant>
        <vt:i4>51</vt:i4>
      </vt:variant>
      <vt:variant>
        <vt:i4>0</vt:i4>
      </vt:variant>
      <vt:variant>
        <vt:i4>5</vt:i4>
      </vt:variant>
      <vt:variant>
        <vt:lpwstr>http://www.nevo.co.il/law/43347/13</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8323168</vt:i4>
      </vt:variant>
      <vt:variant>
        <vt:i4>39</vt:i4>
      </vt:variant>
      <vt:variant>
        <vt:i4>0</vt:i4>
      </vt:variant>
      <vt:variant>
        <vt:i4>5</vt:i4>
      </vt:variant>
      <vt:variant>
        <vt:lpwstr>http://www.nevo.co.il/law/71553/1.2</vt:lpwstr>
      </vt:variant>
      <vt:variant>
        <vt:lpwstr/>
      </vt:variant>
      <vt:variant>
        <vt:i4>8257634</vt:i4>
      </vt:variant>
      <vt:variant>
        <vt:i4>36</vt:i4>
      </vt:variant>
      <vt:variant>
        <vt:i4>0</vt:i4>
      </vt:variant>
      <vt:variant>
        <vt:i4>5</vt:i4>
      </vt:variant>
      <vt:variant>
        <vt:lpwstr>http://www.nevo.co.il/law/71553</vt:lpwstr>
      </vt:variant>
      <vt:variant>
        <vt:lpwstr/>
      </vt:variant>
      <vt:variant>
        <vt:i4>589918</vt:i4>
      </vt:variant>
      <vt:variant>
        <vt:i4>33</vt:i4>
      </vt:variant>
      <vt:variant>
        <vt:i4>0</vt:i4>
      </vt:variant>
      <vt:variant>
        <vt:i4>5</vt:i4>
      </vt:variant>
      <vt:variant>
        <vt:lpwstr>http://www.nevo.co.il/law/74903/192a</vt:lpwstr>
      </vt:variant>
      <vt:variant>
        <vt:lpwstr/>
      </vt:variant>
      <vt:variant>
        <vt:i4>8257646</vt:i4>
      </vt:variant>
      <vt:variant>
        <vt:i4>30</vt:i4>
      </vt:variant>
      <vt:variant>
        <vt:i4>0</vt:i4>
      </vt:variant>
      <vt:variant>
        <vt:i4>5</vt:i4>
      </vt:variant>
      <vt:variant>
        <vt:lpwstr>http://www.nevo.co.il/law/74903</vt:lpwstr>
      </vt:variant>
      <vt:variant>
        <vt:lpwstr/>
      </vt:variant>
      <vt:variant>
        <vt:i4>4849667</vt:i4>
      </vt:variant>
      <vt:variant>
        <vt:i4>27</vt:i4>
      </vt:variant>
      <vt:variant>
        <vt:i4>0</vt:i4>
      </vt:variant>
      <vt:variant>
        <vt:i4>5</vt:i4>
      </vt:variant>
      <vt:variant>
        <vt:lpwstr>http://www.nevo.co.il/law/70301/71a.b</vt:lpwstr>
      </vt:variant>
      <vt:variant>
        <vt:lpwstr/>
      </vt:variant>
      <vt:variant>
        <vt:i4>6553698</vt:i4>
      </vt:variant>
      <vt:variant>
        <vt:i4>24</vt:i4>
      </vt:variant>
      <vt:variant>
        <vt:i4>0</vt:i4>
      </vt:variant>
      <vt:variant>
        <vt:i4>5</vt:i4>
      </vt:variant>
      <vt:variant>
        <vt:lpwstr>http://www.nevo.co.il/law/70301/71a</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6357089</vt:i4>
      </vt:variant>
      <vt:variant>
        <vt:i4>15</vt:i4>
      </vt:variant>
      <vt:variant>
        <vt:i4>0</vt:i4>
      </vt:variant>
      <vt:variant>
        <vt:i4>5</vt:i4>
      </vt:variant>
      <vt:variant>
        <vt:lpwstr>http://www.nevo.co.il/law/43347/13</vt:lpwstr>
      </vt:variant>
      <vt:variant>
        <vt:lpwstr/>
      </vt:variant>
      <vt:variant>
        <vt:i4>8192103</vt:i4>
      </vt:variant>
      <vt:variant>
        <vt:i4>12</vt:i4>
      </vt:variant>
      <vt:variant>
        <vt:i4>0</vt:i4>
      </vt:variant>
      <vt:variant>
        <vt:i4>5</vt:i4>
      </vt:variant>
      <vt:variant>
        <vt:lpwstr>http://www.nevo.co.il/law/43347</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29664</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דניאל בן אבו</vt:lpwstr>
  </property>
  <property fmtid="{D5CDD505-2E9C-101B-9397-08002B2CF9AE}" pid="10" name="LAWYER">
    <vt:lpwstr>אלון ארז</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20240625</vt:lpwstr>
  </property>
  <property fmtid="{D5CDD505-2E9C-101B-9397-08002B2CF9AE}" pid="14" name="TYPE_N_DATE">
    <vt:lpwstr>38020240625</vt:lpwstr>
  </property>
  <property fmtid="{D5CDD505-2E9C-101B-9397-08002B2CF9AE}" pid="15" name="WORDNUMPAGES">
    <vt:lpwstr>9</vt:lpwstr>
  </property>
  <property fmtid="{D5CDD505-2E9C-101B-9397-08002B2CF9AE}" pid="16" name="TYPE_ABS_DATE">
    <vt:lpwstr>380120240625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5726579;6248620;25975844;13022245;5810781;483240;5784021;5743140;5849797;2260593;24971234;25053162;22961891</vt:lpwstr>
  </property>
  <property fmtid="{D5CDD505-2E9C-101B-9397-08002B2CF9AE}" pid="36" name="LAWLISTTMP1">
    <vt:lpwstr>4216/007.a:2;007.c:2;037a</vt:lpwstr>
  </property>
  <property fmtid="{D5CDD505-2E9C-101B-9397-08002B2CF9AE}" pid="37" name="LAWLISTTMP2">
    <vt:lpwstr>43347/013:2</vt:lpwstr>
  </property>
  <property fmtid="{D5CDD505-2E9C-101B-9397-08002B2CF9AE}" pid="38" name="LAWLISTTMP3">
    <vt:lpwstr>70301/025:2;071a.b:2;071a</vt:lpwstr>
  </property>
  <property fmtid="{D5CDD505-2E9C-101B-9397-08002B2CF9AE}" pid="39" name="LAWLISTTMP4">
    <vt:lpwstr>74903/192a</vt:lpwstr>
  </property>
  <property fmtid="{D5CDD505-2E9C-101B-9397-08002B2CF9AE}" pid="40" name="LAWLISTTMP5">
    <vt:lpwstr>71553/001.2</vt:lpwstr>
  </property>
  <property fmtid="{D5CDD505-2E9C-101B-9397-08002B2CF9AE}" pid="41" name="NOSE1ID">
    <vt:lpwstr>77;77</vt:lpwstr>
  </property>
  <property fmtid="{D5CDD505-2E9C-101B-9397-08002B2CF9AE}" pid="42" name="NOSE2ID">
    <vt:lpwstr>1446;1446</vt:lpwstr>
  </property>
  <property fmtid="{D5CDD505-2E9C-101B-9397-08002B2CF9AE}" pid="43" name="NOSE3ID">
    <vt:lpwstr>11695;16177</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הימנעות מהרשעה</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שירות לתועלח הציבור</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20240724</vt:lpwstr>
  </property>
  <property fmtid="{D5CDD505-2E9C-101B-9397-08002B2CF9AE}" pid="75" name="METAKZER">
    <vt:lpwstr>כרמית</vt:lpwstr>
  </property>
</Properties>
</file>