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2233"/>
        <w:gridCol w:w="1898"/>
        <w:gridCol w:w="3667"/>
        <w:gridCol w:w="99"/>
      </w:tblGrid>
      <w:tr w:rsidR="00473769" w:rsidRPr="001B49EC" w14:paraId="30FD552C" w14:textId="77777777" w:rsidTr="00B50747">
        <w:trPr>
          <w:gridAfter w:val="1"/>
          <w:wAfter w:w="99" w:type="dxa"/>
          <w:trHeight w:hRule="exact" w:val="418"/>
          <w:jc w:val="center"/>
        </w:trPr>
        <w:tc>
          <w:tcPr>
            <w:tcW w:w="8721" w:type="dxa"/>
            <w:gridSpan w:val="4"/>
          </w:tcPr>
          <w:p w14:paraId="5A595ACD" w14:textId="77777777" w:rsidR="00473769" w:rsidRPr="001B49EC" w:rsidRDefault="00473769" w:rsidP="002509D5">
            <w:pPr>
              <w:pStyle w:val="a3"/>
              <w:jc w:val="center"/>
              <w:rPr>
                <w:rFonts w:ascii="Tahoma" w:hAnsi="Tahoma" w:cs="Tahoma"/>
                <w:color w:val="000080"/>
                <w:rtl/>
              </w:rPr>
            </w:pPr>
            <w:bookmarkStart w:id="0" w:name="LastJudge"/>
            <w:r w:rsidRPr="001B49EC">
              <w:rPr>
                <w:rFonts w:ascii="Tahoma" w:hAnsi="Tahoma" w:cs="Tahoma"/>
                <w:b/>
                <w:bCs/>
                <w:color w:val="000080"/>
                <w:rtl/>
              </w:rPr>
              <w:t>בית משפט השלום בחדרה</w:t>
            </w:r>
          </w:p>
        </w:tc>
      </w:tr>
      <w:tr w:rsidR="00473769" w:rsidRPr="001B49EC" w14:paraId="0AF2A50A" w14:textId="77777777" w:rsidTr="00B50747">
        <w:trPr>
          <w:gridAfter w:val="1"/>
          <w:wAfter w:w="99" w:type="dxa"/>
          <w:trHeight w:val="337"/>
          <w:jc w:val="center"/>
        </w:trPr>
        <w:tc>
          <w:tcPr>
            <w:tcW w:w="5054" w:type="dxa"/>
            <w:gridSpan w:val="3"/>
          </w:tcPr>
          <w:p w14:paraId="01B945A4" w14:textId="77777777" w:rsidR="00473769" w:rsidRPr="001B49EC" w:rsidRDefault="00473769" w:rsidP="002509D5">
            <w:pPr>
              <w:rPr>
                <w:rFonts w:cs="FrankRuehl"/>
                <w:sz w:val="28"/>
                <w:szCs w:val="28"/>
                <w:rtl/>
              </w:rPr>
            </w:pPr>
            <w:r w:rsidRPr="001B49EC">
              <w:rPr>
                <w:rFonts w:cs="FrankRuehl"/>
                <w:sz w:val="28"/>
                <w:szCs w:val="28"/>
                <w:rtl/>
              </w:rPr>
              <w:t>ת"פ</w:t>
            </w:r>
            <w:r w:rsidRPr="001B49EC">
              <w:rPr>
                <w:rFonts w:cs="FrankRuehl" w:hint="cs"/>
                <w:sz w:val="28"/>
                <w:szCs w:val="28"/>
                <w:rtl/>
              </w:rPr>
              <w:t xml:space="preserve"> </w:t>
            </w:r>
            <w:r w:rsidRPr="001B49EC">
              <w:rPr>
                <w:rFonts w:cs="FrankRuehl"/>
                <w:sz w:val="28"/>
                <w:szCs w:val="28"/>
                <w:rtl/>
              </w:rPr>
              <w:t>54472-09-22</w:t>
            </w:r>
            <w:r w:rsidRPr="001B49EC">
              <w:rPr>
                <w:rFonts w:cs="FrankRuehl" w:hint="cs"/>
                <w:sz w:val="28"/>
                <w:szCs w:val="28"/>
                <w:rtl/>
              </w:rPr>
              <w:t xml:space="preserve"> </w:t>
            </w:r>
            <w:r w:rsidRPr="001B49EC">
              <w:rPr>
                <w:rFonts w:cs="FrankRuehl"/>
                <w:sz w:val="28"/>
                <w:szCs w:val="28"/>
                <w:rtl/>
              </w:rPr>
              <w:t>מדינת ישראל נ' וסרמן</w:t>
            </w:r>
          </w:p>
          <w:p w14:paraId="3BB15116" w14:textId="77777777" w:rsidR="00473769" w:rsidRPr="001B49EC" w:rsidRDefault="00473769" w:rsidP="002509D5">
            <w:pPr>
              <w:pStyle w:val="a3"/>
              <w:rPr>
                <w:rFonts w:cs="FrankRuehl"/>
                <w:sz w:val="28"/>
                <w:szCs w:val="28"/>
                <w:rtl/>
              </w:rPr>
            </w:pPr>
          </w:p>
        </w:tc>
        <w:tc>
          <w:tcPr>
            <w:tcW w:w="3667" w:type="dxa"/>
          </w:tcPr>
          <w:p w14:paraId="1C808ECA" w14:textId="77777777" w:rsidR="00473769" w:rsidRPr="001B49EC" w:rsidRDefault="00473769" w:rsidP="002509D5">
            <w:pPr>
              <w:pStyle w:val="a3"/>
              <w:jc w:val="right"/>
              <w:rPr>
                <w:rFonts w:cs="FrankRuehl"/>
                <w:sz w:val="28"/>
                <w:szCs w:val="28"/>
                <w:rtl/>
              </w:rPr>
            </w:pPr>
          </w:p>
        </w:tc>
      </w:tr>
      <w:tr w:rsidR="00473769" w:rsidRPr="001B49EC" w14:paraId="4C99230F" w14:textId="77777777" w:rsidTr="00B50747">
        <w:tblPrEx>
          <w:tblLook w:val="01E0" w:firstRow="1" w:lastRow="1" w:firstColumn="1" w:lastColumn="1" w:noHBand="0" w:noVBand="0"/>
        </w:tblPrEx>
        <w:trPr>
          <w:trHeight w:val="295"/>
          <w:jc w:val="center"/>
        </w:trPr>
        <w:tc>
          <w:tcPr>
            <w:tcW w:w="923" w:type="dxa"/>
            <w:shd w:val="clear" w:color="auto" w:fill="auto"/>
          </w:tcPr>
          <w:p w14:paraId="19B23951" w14:textId="77777777" w:rsidR="00473769" w:rsidRPr="001B49EC" w:rsidRDefault="00473769" w:rsidP="00473769">
            <w:pPr>
              <w:jc w:val="both"/>
              <w:rPr>
                <w:rFonts w:ascii="David" w:hAnsi="David"/>
                <w:sz w:val="28"/>
                <w:szCs w:val="28"/>
              </w:rPr>
            </w:pPr>
            <w:r w:rsidRPr="001B49EC">
              <w:rPr>
                <w:rFonts w:hint="cs"/>
                <w:rtl/>
              </w:rPr>
              <w:t xml:space="preserve"> </w:t>
            </w:r>
            <w:r w:rsidRPr="001B49EC">
              <w:rPr>
                <w:rFonts w:ascii="David" w:hAnsi="David" w:hint="cs"/>
                <w:sz w:val="28"/>
                <w:szCs w:val="28"/>
                <w:rtl/>
              </w:rPr>
              <w:t>ל</w:t>
            </w:r>
            <w:r w:rsidRPr="001B49EC">
              <w:rPr>
                <w:rFonts w:ascii="David" w:hAnsi="David"/>
                <w:sz w:val="28"/>
                <w:szCs w:val="28"/>
                <w:rtl/>
              </w:rPr>
              <w:t>פני</w:t>
            </w:r>
            <w:r w:rsidRPr="001B49EC">
              <w:rPr>
                <w:rFonts w:ascii="David" w:hAnsi="David" w:hint="cs"/>
                <w:sz w:val="28"/>
                <w:szCs w:val="28"/>
                <w:rtl/>
              </w:rPr>
              <w:t>:</w:t>
            </w:r>
            <w:r w:rsidRPr="001B49EC">
              <w:rPr>
                <w:rFonts w:ascii="David" w:hAnsi="David"/>
                <w:sz w:val="28"/>
                <w:szCs w:val="28"/>
                <w:rtl/>
              </w:rPr>
              <w:t xml:space="preserve"> </w:t>
            </w:r>
          </w:p>
        </w:tc>
        <w:tc>
          <w:tcPr>
            <w:tcW w:w="7897" w:type="dxa"/>
            <w:gridSpan w:val="4"/>
            <w:shd w:val="clear" w:color="auto" w:fill="auto"/>
          </w:tcPr>
          <w:p w14:paraId="654D933E" w14:textId="77777777" w:rsidR="00473769" w:rsidRPr="001B49EC" w:rsidRDefault="00473769" w:rsidP="002509D5">
            <w:pPr>
              <w:rPr>
                <w:rFonts w:ascii="David" w:hAnsi="David"/>
                <w:b/>
                <w:bCs/>
                <w:sz w:val="28"/>
                <w:szCs w:val="28"/>
                <w:rtl/>
              </w:rPr>
            </w:pPr>
            <w:r w:rsidRPr="001B49EC">
              <w:rPr>
                <w:rFonts w:ascii="David" w:hAnsi="David"/>
                <w:b/>
                <w:bCs/>
                <w:sz w:val="28"/>
                <w:szCs w:val="28"/>
                <w:rtl/>
              </w:rPr>
              <w:t>כבוד השופט  ערן זלר</w:t>
            </w:r>
          </w:p>
          <w:p w14:paraId="6C16A1EA" w14:textId="77777777" w:rsidR="00473769" w:rsidRPr="001B49EC" w:rsidRDefault="00473769" w:rsidP="002509D5">
            <w:pPr>
              <w:rPr>
                <w:rFonts w:ascii="David" w:hAnsi="David"/>
                <w:sz w:val="28"/>
                <w:szCs w:val="28"/>
                <w:rtl/>
              </w:rPr>
            </w:pPr>
          </w:p>
          <w:p w14:paraId="3B4E7988" w14:textId="77777777" w:rsidR="00473769" w:rsidRPr="001B49EC" w:rsidRDefault="00473769" w:rsidP="00473769">
            <w:pPr>
              <w:jc w:val="both"/>
              <w:rPr>
                <w:rFonts w:ascii="David" w:hAnsi="David"/>
                <w:sz w:val="28"/>
                <w:szCs w:val="28"/>
              </w:rPr>
            </w:pPr>
          </w:p>
        </w:tc>
      </w:tr>
      <w:tr w:rsidR="00473769" w:rsidRPr="001B49EC" w14:paraId="72641AFF" w14:textId="77777777" w:rsidTr="00B50747">
        <w:tblPrEx>
          <w:tblLook w:val="01E0" w:firstRow="1" w:lastRow="1" w:firstColumn="1" w:lastColumn="1" w:noHBand="0" w:noVBand="0"/>
        </w:tblPrEx>
        <w:trPr>
          <w:trHeight w:val="355"/>
          <w:jc w:val="center"/>
        </w:trPr>
        <w:tc>
          <w:tcPr>
            <w:tcW w:w="923" w:type="dxa"/>
            <w:shd w:val="clear" w:color="auto" w:fill="auto"/>
          </w:tcPr>
          <w:p w14:paraId="29E2C952" w14:textId="77777777" w:rsidR="00473769" w:rsidRPr="001B49EC" w:rsidRDefault="00473769" w:rsidP="00473769">
            <w:pPr>
              <w:spacing w:line="360" w:lineRule="auto"/>
              <w:jc w:val="both"/>
              <w:rPr>
                <w:rFonts w:ascii="David" w:hAnsi="David"/>
                <w:sz w:val="28"/>
                <w:szCs w:val="28"/>
              </w:rPr>
            </w:pPr>
            <w:bookmarkStart w:id="1" w:name="FirstAppellant"/>
            <w:r w:rsidRPr="001B49EC">
              <w:rPr>
                <w:rFonts w:ascii="David" w:hAnsi="David"/>
                <w:sz w:val="28"/>
                <w:szCs w:val="28"/>
                <w:rtl/>
              </w:rPr>
              <w:t>בעניין:</w:t>
            </w:r>
          </w:p>
        </w:tc>
        <w:tc>
          <w:tcPr>
            <w:tcW w:w="2233" w:type="dxa"/>
            <w:shd w:val="clear" w:color="auto" w:fill="auto"/>
          </w:tcPr>
          <w:p w14:paraId="7C522494" w14:textId="77777777" w:rsidR="00473769" w:rsidRPr="001B49EC" w:rsidRDefault="00473769" w:rsidP="00473769">
            <w:pPr>
              <w:suppressLineNumbers/>
              <w:spacing w:line="360" w:lineRule="auto"/>
              <w:rPr>
                <w:sz w:val="28"/>
                <w:szCs w:val="28"/>
              </w:rPr>
            </w:pPr>
            <w:r w:rsidRPr="001B49EC">
              <w:rPr>
                <w:rFonts w:ascii="Arial" w:hAnsi="Arial" w:hint="cs"/>
                <w:b/>
                <w:bCs/>
                <w:sz w:val="28"/>
                <w:szCs w:val="28"/>
                <w:rtl/>
              </w:rPr>
              <w:t>ה</w:t>
            </w:r>
            <w:r w:rsidRPr="001B49EC">
              <w:rPr>
                <w:rFonts w:ascii="Arial" w:hAnsi="Arial"/>
                <w:b/>
                <w:bCs/>
                <w:sz w:val="28"/>
                <w:szCs w:val="28"/>
                <w:rtl/>
              </w:rPr>
              <w:t>מאשימה</w:t>
            </w:r>
            <w:r w:rsidRPr="001B49EC">
              <w:rPr>
                <w:rFonts w:hint="cs"/>
                <w:b/>
                <w:bCs/>
                <w:sz w:val="28"/>
                <w:szCs w:val="28"/>
                <w:rtl/>
              </w:rPr>
              <w:t>:</w:t>
            </w:r>
          </w:p>
          <w:p w14:paraId="76524124" w14:textId="77777777" w:rsidR="00473769" w:rsidRPr="001B49EC" w:rsidRDefault="00473769" w:rsidP="00473769">
            <w:pPr>
              <w:spacing w:line="360" w:lineRule="auto"/>
              <w:rPr>
                <w:rFonts w:ascii="David" w:hAnsi="David"/>
                <w:sz w:val="28"/>
                <w:szCs w:val="28"/>
              </w:rPr>
            </w:pPr>
          </w:p>
        </w:tc>
        <w:tc>
          <w:tcPr>
            <w:tcW w:w="5664" w:type="dxa"/>
            <w:gridSpan w:val="3"/>
            <w:shd w:val="clear" w:color="auto" w:fill="auto"/>
            <w:vAlign w:val="center"/>
          </w:tcPr>
          <w:p w14:paraId="4C99FA30" w14:textId="77777777" w:rsidR="00473769" w:rsidRPr="001B49EC" w:rsidRDefault="00473769" w:rsidP="00473769">
            <w:pPr>
              <w:suppressLineNumbers/>
              <w:spacing w:line="360" w:lineRule="auto"/>
              <w:rPr>
                <w:rFonts w:ascii="Arial" w:hAnsi="Arial"/>
                <w:b/>
                <w:bCs/>
                <w:sz w:val="28"/>
                <w:szCs w:val="28"/>
                <w:rtl/>
              </w:rPr>
            </w:pPr>
            <w:r w:rsidRPr="001B49EC">
              <w:rPr>
                <w:rFonts w:ascii="Arial" w:hAnsi="Arial"/>
                <w:b/>
                <w:bCs/>
                <w:sz w:val="28"/>
                <w:szCs w:val="28"/>
                <w:rtl/>
              </w:rPr>
              <w:t>מדינת ישראל</w:t>
            </w:r>
            <w:r w:rsidRPr="001B49EC">
              <w:rPr>
                <w:rFonts w:ascii="Arial" w:hAnsi="Arial" w:hint="cs"/>
                <w:b/>
                <w:bCs/>
                <w:sz w:val="28"/>
                <w:szCs w:val="28"/>
                <w:rtl/>
              </w:rPr>
              <w:t xml:space="preserve"> </w:t>
            </w:r>
          </w:p>
          <w:p w14:paraId="4A1FE3DF" w14:textId="77777777" w:rsidR="00473769" w:rsidRPr="001B49EC" w:rsidRDefault="00473769" w:rsidP="00473769">
            <w:pPr>
              <w:suppressLineNumbers/>
              <w:spacing w:line="360" w:lineRule="auto"/>
              <w:rPr>
                <w:b/>
                <w:bCs/>
                <w:sz w:val="28"/>
                <w:szCs w:val="28"/>
              </w:rPr>
            </w:pPr>
            <w:r w:rsidRPr="001B49EC">
              <w:rPr>
                <w:rFonts w:hint="cs"/>
                <w:b/>
                <w:bCs/>
                <w:sz w:val="28"/>
                <w:szCs w:val="28"/>
                <w:rtl/>
              </w:rPr>
              <w:t xml:space="preserve">תביעות חוף </w:t>
            </w:r>
            <w:r w:rsidRPr="001B49EC">
              <w:rPr>
                <w:b/>
                <w:bCs/>
                <w:sz w:val="28"/>
                <w:szCs w:val="28"/>
                <w:rtl/>
              </w:rPr>
              <w:t>–</w:t>
            </w:r>
            <w:r w:rsidRPr="001B49EC">
              <w:rPr>
                <w:rFonts w:hint="cs"/>
                <w:b/>
                <w:bCs/>
                <w:sz w:val="28"/>
                <w:szCs w:val="28"/>
                <w:rtl/>
              </w:rPr>
              <w:t xml:space="preserve"> שלוחת חדרה</w:t>
            </w:r>
          </w:p>
          <w:p w14:paraId="4475B316" w14:textId="77777777" w:rsidR="00473769" w:rsidRPr="001B49EC" w:rsidRDefault="00473769" w:rsidP="00473769">
            <w:pPr>
              <w:spacing w:line="360" w:lineRule="auto"/>
              <w:rPr>
                <w:rFonts w:ascii="David" w:hAnsi="David"/>
                <w:sz w:val="28"/>
                <w:szCs w:val="28"/>
              </w:rPr>
            </w:pPr>
          </w:p>
        </w:tc>
      </w:tr>
      <w:bookmarkEnd w:id="1"/>
      <w:tr w:rsidR="00473769" w:rsidRPr="001B49EC" w14:paraId="13B9AE77" w14:textId="77777777" w:rsidTr="00B50747">
        <w:tblPrEx>
          <w:tblLook w:val="01E0" w:firstRow="1" w:lastRow="1" w:firstColumn="1" w:lastColumn="1" w:noHBand="0" w:noVBand="0"/>
        </w:tblPrEx>
        <w:trPr>
          <w:trHeight w:val="355"/>
          <w:jc w:val="center"/>
        </w:trPr>
        <w:tc>
          <w:tcPr>
            <w:tcW w:w="923" w:type="dxa"/>
            <w:shd w:val="clear" w:color="auto" w:fill="auto"/>
          </w:tcPr>
          <w:p w14:paraId="056C97D6" w14:textId="77777777" w:rsidR="00473769" w:rsidRPr="001B49EC" w:rsidRDefault="00473769" w:rsidP="00473769">
            <w:pPr>
              <w:jc w:val="both"/>
              <w:rPr>
                <w:rFonts w:ascii="David" w:hAnsi="David"/>
                <w:sz w:val="28"/>
                <w:szCs w:val="28"/>
                <w:rtl/>
              </w:rPr>
            </w:pPr>
          </w:p>
        </w:tc>
        <w:tc>
          <w:tcPr>
            <w:tcW w:w="7897" w:type="dxa"/>
            <w:gridSpan w:val="4"/>
            <w:shd w:val="clear" w:color="auto" w:fill="auto"/>
          </w:tcPr>
          <w:p w14:paraId="32098F23" w14:textId="77777777" w:rsidR="00473769" w:rsidRPr="001B49EC" w:rsidRDefault="00473769" w:rsidP="00473769">
            <w:pPr>
              <w:jc w:val="center"/>
              <w:rPr>
                <w:rFonts w:ascii="David" w:hAnsi="David"/>
                <w:b/>
                <w:bCs/>
                <w:sz w:val="28"/>
                <w:szCs w:val="28"/>
                <w:rtl/>
              </w:rPr>
            </w:pPr>
          </w:p>
          <w:p w14:paraId="33C4F381" w14:textId="77777777" w:rsidR="00473769" w:rsidRPr="001B49EC" w:rsidRDefault="00473769" w:rsidP="002509D5">
            <w:pPr>
              <w:rPr>
                <w:rFonts w:ascii="David" w:hAnsi="David"/>
                <w:b/>
                <w:bCs/>
                <w:sz w:val="28"/>
                <w:szCs w:val="28"/>
                <w:rtl/>
              </w:rPr>
            </w:pPr>
            <w:r w:rsidRPr="001B49EC">
              <w:rPr>
                <w:rFonts w:ascii="David" w:hAnsi="David" w:hint="cs"/>
                <w:b/>
                <w:bCs/>
                <w:sz w:val="28"/>
                <w:szCs w:val="28"/>
                <w:rtl/>
              </w:rPr>
              <w:t xml:space="preserve">                                                </w:t>
            </w:r>
            <w:r w:rsidRPr="001B49EC">
              <w:rPr>
                <w:rFonts w:ascii="David" w:hAnsi="David"/>
                <w:b/>
                <w:bCs/>
                <w:sz w:val="28"/>
                <w:szCs w:val="28"/>
                <w:rtl/>
              </w:rPr>
              <w:t>נגד</w:t>
            </w:r>
          </w:p>
          <w:p w14:paraId="25BE61C6" w14:textId="77777777" w:rsidR="00473769" w:rsidRPr="001B49EC" w:rsidRDefault="00473769" w:rsidP="00473769">
            <w:pPr>
              <w:jc w:val="both"/>
              <w:rPr>
                <w:rFonts w:ascii="David" w:hAnsi="David"/>
                <w:sz w:val="28"/>
                <w:szCs w:val="28"/>
              </w:rPr>
            </w:pPr>
          </w:p>
        </w:tc>
      </w:tr>
      <w:tr w:rsidR="00473769" w:rsidRPr="001B49EC" w14:paraId="6898B3A0" w14:textId="77777777" w:rsidTr="00B50747">
        <w:tblPrEx>
          <w:tblLook w:val="01E0" w:firstRow="1" w:lastRow="1" w:firstColumn="1" w:lastColumn="1" w:noHBand="0" w:noVBand="0"/>
        </w:tblPrEx>
        <w:trPr>
          <w:trHeight w:val="355"/>
          <w:jc w:val="center"/>
        </w:trPr>
        <w:tc>
          <w:tcPr>
            <w:tcW w:w="923" w:type="dxa"/>
            <w:shd w:val="clear" w:color="auto" w:fill="auto"/>
          </w:tcPr>
          <w:p w14:paraId="5566D449" w14:textId="77777777" w:rsidR="00473769" w:rsidRPr="001B49EC" w:rsidRDefault="00473769" w:rsidP="00473769">
            <w:pPr>
              <w:spacing w:line="360" w:lineRule="auto"/>
              <w:rPr>
                <w:rFonts w:ascii="David" w:hAnsi="David"/>
                <w:b/>
                <w:bCs/>
                <w:sz w:val="28"/>
                <w:szCs w:val="28"/>
                <w:rtl/>
              </w:rPr>
            </w:pPr>
            <w:bookmarkStart w:id="2" w:name="FirstLawyer"/>
          </w:p>
        </w:tc>
        <w:tc>
          <w:tcPr>
            <w:tcW w:w="2233" w:type="dxa"/>
            <w:shd w:val="clear" w:color="auto" w:fill="auto"/>
          </w:tcPr>
          <w:p w14:paraId="64EAD22E" w14:textId="77777777" w:rsidR="00473769" w:rsidRPr="001B49EC" w:rsidRDefault="00473769" w:rsidP="00473769">
            <w:pPr>
              <w:spacing w:line="360" w:lineRule="auto"/>
              <w:rPr>
                <w:rFonts w:ascii="Arial" w:hAnsi="Arial"/>
                <w:b/>
                <w:bCs/>
                <w:sz w:val="28"/>
                <w:szCs w:val="28"/>
                <w:rtl/>
              </w:rPr>
            </w:pPr>
            <w:r w:rsidRPr="001B49EC">
              <w:rPr>
                <w:rFonts w:ascii="Arial" w:hAnsi="Arial"/>
                <w:b/>
                <w:bCs/>
                <w:sz w:val="28"/>
                <w:szCs w:val="28"/>
                <w:rtl/>
              </w:rPr>
              <w:t>הנאש</w:t>
            </w:r>
            <w:r w:rsidRPr="001B49EC">
              <w:rPr>
                <w:rFonts w:ascii="Arial" w:hAnsi="Arial" w:hint="cs"/>
                <w:b/>
                <w:bCs/>
                <w:sz w:val="28"/>
                <w:szCs w:val="28"/>
                <w:rtl/>
              </w:rPr>
              <w:t>ם:</w:t>
            </w:r>
          </w:p>
        </w:tc>
        <w:tc>
          <w:tcPr>
            <w:tcW w:w="5664" w:type="dxa"/>
            <w:gridSpan w:val="3"/>
            <w:shd w:val="clear" w:color="auto" w:fill="auto"/>
            <w:vAlign w:val="center"/>
          </w:tcPr>
          <w:p w14:paraId="1F8E0A80" w14:textId="77777777" w:rsidR="00473769" w:rsidRPr="001B49EC" w:rsidRDefault="00473769" w:rsidP="00473769">
            <w:pPr>
              <w:suppressLineNumbers/>
              <w:spacing w:line="360" w:lineRule="auto"/>
              <w:rPr>
                <w:rFonts w:ascii="Arial" w:hAnsi="Arial"/>
                <w:b/>
                <w:bCs/>
                <w:sz w:val="28"/>
                <w:szCs w:val="28"/>
                <w:rtl/>
              </w:rPr>
            </w:pPr>
            <w:r w:rsidRPr="001B49EC">
              <w:rPr>
                <w:rFonts w:ascii="Arial" w:hAnsi="Arial"/>
                <w:b/>
                <w:bCs/>
                <w:sz w:val="28"/>
                <w:szCs w:val="28"/>
                <w:rtl/>
              </w:rPr>
              <w:t>דניאל וסרמן</w:t>
            </w:r>
            <w:r w:rsidRPr="001B49EC">
              <w:rPr>
                <w:rFonts w:ascii="Arial" w:hAnsi="Arial" w:hint="cs"/>
                <w:b/>
                <w:bCs/>
                <w:sz w:val="28"/>
                <w:szCs w:val="28"/>
                <w:rtl/>
              </w:rPr>
              <w:t xml:space="preserve"> </w:t>
            </w:r>
          </w:p>
          <w:p w14:paraId="27359789" w14:textId="77777777" w:rsidR="00473769" w:rsidRPr="001B49EC" w:rsidRDefault="00473769" w:rsidP="00473769">
            <w:pPr>
              <w:suppressLineNumbers/>
              <w:spacing w:line="360" w:lineRule="auto"/>
              <w:rPr>
                <w:b/>
                <w:bCs/>
                <w:sz w:val="28"/>
                <w:szCs w:val="28"/>
              </w:rPr>
            </w:pPr>
            <w:r w:rsidRPr="001B49EC">
              <w:rPr>
                <w:rFonts w:hint="cs"/>
                <w:b/>
                <w:bCs/>
                <w:sz w:val="28"/>
                <w:szCs w:val="28"/>
                <w:rtl/>
              </w:rPr>
              <w:t>ע"י ב"כ עוה"ד רותם כהן</w:t>
            </w:r>
          </w:p>
          <w:p w14:paraId="4E031DBD" w14:textId="77777777" w:rsidR="00473769" w:rsidRPr="001B49EC" w:rsidRDefault="00473769" w:rsidP="00473769">
            <w:pPr>
              <w:spacing w:line="360" w:lineRule="auto"/>
              <w:rPr>
                <w:rFonts w:ascii="David" w:hAnsi="David"/>
                <w:b/>
                <w:bCs/>
                <w:sz w:val="28"/>
                <w:szCs w:val="28"/>
              </w:rPr>
            </w:pPr>
          </w:p>
        </w:tc>
      </w:tr>
      <w:bookmarkEnd w:id="2"/>
    </w:tbl>
    <w:p w14:paraId="452FE468" w14:textId="77777777" w:rsidR="001B49EC" w:rsidRPr="001B49EC" w:rsidRDefault="001B49EC" w:rsidP="001B49EC">
      <w:pPr>
        <w:spacing w:before="120" w:after="120" w:line="240" w:lineRule="exact"/>
        <w:ind w:left="283" w:hanging="283"/>
        <w:jc w:val="both"/>
        <w:rPr>
          <w:rFonts w:ascii="FrankRuehl" w:hAnsi="FrankRuehl" w:cs="FrankRuehl"/>
          <w:rtl/>
        </w:rPr>
      </w:pPr>
    </w:p>
    <w:p w14:paraId="595A371B" w14:textId="77777777" w:rsidR="001B49EC" w:rsidRPr="001B49EC" w:rsidRDefault="001B49EC" w:rsidP="001B49EC">
      <w:pPr>
        <w:rPr>
          <w:sz w:val="26"/>
          <w:szCs w:val="26"/>
          <w:rtl/>
        </w:rPr>
      </w:pPr>
    </w:p>
    <w:p w14:paraId="7500F207" w14:textId="77777777" w:rsidR="00B50747" w:rsidRPr="00B50747" w:rsidRDefault="00B50747" w:rsidP="00B50747">
      <w:pPr>
        <w:spacing w:before="120" w:after="120" w:line="240" w:lineRule="exact"/>
        <w:ind w:left="283" w:hanging="283"/>
        <w:jc w:val="both"/>
        <w:rPr>
          <w:rFonts w:ascii="FrankRuehl" w:hAnsi="FrankRuehl" w:cs="FrankRuehl"/>
          <w:rtl/>
        </w:rPr>
      </w:pPr>
    </w:p>
    <w:p w14:paraId="4051F3F9" w14:textId="77777777" w:rsidR="00AB4047" w:rsidRPr="00AB4047" w:rsidRDefault="00AB4047" w:rsidP="00AB4047">
      <w:pPr>
        <w:spacing w:before="120" w:after="120" w:line="240" w:lineRule="exact"/>
        <w:ind w:left="283" w:hanging="283"/>
        <w:jc w:val="both"/>
        <w:rPr>
          <w:rFonts w:ascii="FrankRuehl" w:hAnsi="FrankRuehl" w:cs="FrankRuehl"/>
          <w:rtl/>
        </w:rPr>
      </w:pPr>
    </w:p>
    <w:p w14:paraId="230973FF" w14:textId="77777777" w:rsidR="00024FA7" w:rsidRDefault="00024FA7" w:rsidP="00024FA7">
      <w:pPr>
        <w:rPr>
          <w:sz w:val="26"/>
          <w:szCs w:val="26"/>
          <w:rtl/>
        </w:rPr>
      </w:pPr>
      <w:bookmarkStart w:id="3" w:name="LawTable"/>
      <w:bookmarkEnd w:id="3"/>
    </w:p>
    <w:p w14:paraId="3CB3BDA0" w14:textId="77777777" w:rsidR="00024FA7" w:rsidRPr="00024FA7" w:rsidRDefault="00024FA7" w:rsidP="00024FA7">
      <w:pPr>
        <w:spacing w:before="120" w:after="120" w:line="240" w:lineRule="exact"/>
        <w:ind w:left="283" w:hanging="283"/>
        <w:jc w:val="both"/>
        <w:rPr>
          <w:rFonts w:ascii="FrankRuehl" w:hAnsi="FrankRuehl" w:cs="FrankRuehl"/>
          <w:rtl/>
        </w:rPr>
      </w:pPr>
    </w:p>
    <w:p w14:paraId="567E819C" w14:textId="77777777" w:rsidR="00024FA7" w:rsidRPr="00024FA7" w:rsidRDefault="00024FA7" w:rsidP="00024FA7">
      <w:pPr>
        <w:spacing w:before="120" w:after="120" w:line="240" w:lineRule="exact"/>
        <w:ind w:left="283" w:hanging="283"/>
        <w:jc w:val="both"/>
        <w:rPr>
          <w:rFonts w:ascii="FrankRuehl" w:hAnsi="FrankRuehl" w:cs="FrankRuehl"/>
          <w:rtl/>
        </w:rPr>
      </w:pPr>
    </w:p>
    <w:p w14:paraId="4E3F1962" w14:textId="77777777" w:rsidR="00024FA7" w:rsidRPr="00024FA7" w:rsidRDefault="00024FA7" w:rsidP="00024FA7">
      <w:pPr>
        <w:spacing w:before="120" w:after="120" w:line="240" w:lineRule="exact"/>
        <w:ind w:left="283" w:hanging="283"/>
        <w:jc w:val="both"/>
        <w:rPr>
          <w:rFonts w:ascii="FrankRuehl" w:hAnsi="FrankRuehl" w:cs="FrankRuehl"/>
          <w:rtl/>
        </w:rPr>
      </w:pPr>
      <w:r w:rsidRPr="00024FA7">
        <w:rPr>
          <w:rFonts w:ascii="FrankRuehl" w:hAnsi="FrankRuehl" w:cs="FrankRuehl"/>
          <w:rtl/>
        </w:rPr>
        <w:t xml:space="preserve">חקיקה שאוזכרה: </w:t>
      </w:r>
    </w:p>
    <w:p w14:paraId="65BDAB07" w14:textId="77777777" w:rsidR="00024FA7" w:rsidRPr="00024FA7" w:rsidRDefault="00024FA7" w:rsidP="00024FA7">
      <w:pPr>
        <w:spacing w:before="120" w:after="120" w:line="240" w:lineRule="exact"/>
        <w:ind w:left="283" w:hanging="283"/>
        <w:jc w:val="both"/>
        <w:rPr>
          <w:rFonts w:ascii="FrankRuehl" w:hAnsi="FrankRuehl" w:cs="FrankRuehl"/>
          <w:rtl/>
        </w:rPr>
      </w:pPr>
      <w:hyperlink r:id="rId7" w:history="1">
        <w:r w:rsidRPr="00024FA7">
          <w:rPr>
            <w:rFonts w:ascii="FrankRuehl" w:hAnsi="FrankRuehl" w:cs="FrankRuehl"/>
            <w:color w:val="0000FF"/>
            <w:rtl/>
          </w:rPr>
          <w:t>חוק העונשין, תשל"ז-1977</w:t>
        </w:r>
      </w:hyperlink>
      <w:r w:rsidRPr="00024FA7">
        <w:rPr>
          <w:rFonts w:ascii="FrankRuehl" w:hAnsi="FrankRuehl" w:cs="FrankRuehl"/>
          <w:rtl/>
        </w:rPr>
        <w:t xml:space="preserve">: סע'  </w:t>
      </w:r>
      <w:hyperlink r:id="rId8" w:history="1">
        <w:r w:rsidRPr="00024FA7">
          <w:rPr>
            <w:rFonts w:ascii="FrankRuehl" w:hAnsi="FrankRuehl" w:cs="FrankRuehl"/>
            <w:color w:val="0000FF"/>
            <w:rtl/>
          </w:rPr>
          <w:t>40ד(א)</w:t>
        </w:r>
      </w:hyperlink>
      <w:r w:rsidRPr="00024FA7">
        <w:rPr>
          <w:rFonts w:ascii="FrankRuehl" w:hAnsi="FrankRuehl" w:cs="FrankRuehl"/>
          <w:rtl/>
        </w:rPr>
        <w:t xml:space="preserve">, </w:t>
      </w:r>
      <w:hyperlink r:id="rId9" w:history="1">
        <w:r w:rsidRPr="00024FA7">
          <w:rPr>
            <w:rFonts w:ascii="FrankRuehl" w:hAnsi="FrankRuehl" w:cs="FrankRuehl"/>
            <w:color w:val="0000FF"/>
            <w:rtl/>
          </w:rPr>
          <w:t>186(א)</w:t>
        </w:r>
      </w:hyperlink>
      <w:r w:rsidRPr="00024FA7">
        <w:rPr>
          <w:rFonts w:ascii="FrankRuehl" w:hAnsi="FrankRuehl" w:cs="FrankRuehl"/>
          <w:rtl/>
        </w:rPr>
        <w:t xml:space="preserve">, </w:t>
      </w:r>
      <w:hyperlink r:id="rId10" w:history="1">
        <w:r w:rsidRPr="00024FA7">
          <w:rPr>
            <w:rFonts w:ascii="FrankRuehl" w:hAnsi="FrankRuehl" w:cs="FrankRuehl"/>
            <w:color w:val="0000FF"/>
            <w:rtl/>
          </w:rPr>
          <w:t>192</w:t>
        </w:r>
      </w:hyperlink>
      <w:r w:rsidRPr="00024FA7">
        <w:rPr>
          <w:rFonts w:ascii="FrankRuehl" w:hAnsi="FrankRuehl" w:cs="FrankRuehl"/>
          <w:rtl/>
        </w:rPr>
        <w:t xml:space="preserve">, </w:t>
      </w:r>
      <w:hyperlink r:id="rId11" w:history="1">
        <w:r w:rsidRPr="00024FA7">
          <w:rPr>
            <w:rFonts w:ascii="FrankRuehl" w:hAnsi="FrankRuehl" w:cs="FrankRuehl"/>
            <w:color w:val="0000FF"/>
            <w:rtl/>
          </w:rPr>
          <w:t>452</w:t>
        </w:r>
      </w:hyperlink>
    </w:p>
    <w:p w14:paraId="385710FF" w14:textId="77777777" w:rsidR="00024FA7" w:rsidRPr="00024FA7" w:rsidRDefault="00024FA7" w:rsidP="00024FA7">
      <w:pPr>
        <w:spacing w:before="120" w:after="120" w:line="240" w:lineRule="exact"/>
        <w:ind w:left="283" w:hanging="283"/>
        <w:jc w:val="both"/>
        <w:rPr>
          <w:rFonts w:ascii="FrankRuehl" w:hAnsi="FrankRuehl" w:cs="FrankRuehl"/>
          <w:rtl/>
        </w:rPr>
      </w:pPr>
      <w:hyperlink r:id="rId12" w:history="1">
        <w:r w:rsidRPr="00024FA7">
          <w:rPr>
            <w:rFonts w:ascii="FrankRuehl" w:hAnsi="FrankRuehl" w:cs="FrankRuehl"/>
            <w:color w:val="0000FF"/>
            <w:rtl/>
          </w:rPr>
          <w:t>פקודת הסמים המסוכנים [נוסח חדש], תשל"ג-1973</w:t>
        </w:r>
      </w:hyperlink>
      <w:r w:rsidRPr="00024FA7">
        <w:rPr>
          <w:rFonts w:ascii="FrankRuehl" w:hAnsi="FrankRuehl" w:cs="FrankRuehl"/>
          <w:rtl/>
        </w:rPr>
        <w:t xml:space="preserve">: סע'  </w:t>
      </w:r>
      <w:hyperlink r:id="rId13" w:history="1">
        <w:r w:rsidRPr="00024FA7">
          <w:rPr>
            <w:rFonts w:ascii="FrankRuehl" w:hAnsi="FrankRuehl" w:cs="FrankRuehl"/>
            <w:color w:val="0000FF"/>
            <w:rtl/>
          </w:rPr>
          <w:t>7(א)</w:t>
        </w:r>
      </w:hyperlink>
      <w:r w:rsidRPr="00024FA7">
        <w:rPr>
          <w:rFonts w:ascii="FrankRuehl" w:hAnsi="FrankRuehl" w:cs="FrankRuehl"/>
          <w:rtl/>
        </w:rPr>
        <w:t xml:space="preserve">, </w:t>
      </w:r>
      <w:hyperlink r:id="rId14" w:history="1">
        <w:r w:rsidRPr="00024FA7">
          <w:rPr>
            <w:rFonts w:ascii="FrankRuehl" w:hAnsi="FrankRuehl" w:cs="FrankRuehl"/>
            <w:color w:val="0000FF"/>
            <w:rtl/>
          </w:rPr>
          <w:t>ג</w:t>
        </w:r>
      </w:hyperlink>
    </w:p>
    <w:p w14:paraId="7F33DE39" w14:textId="77777777" w:rsidR="00024FA7" w:rsidRPr="00024FA7" w:rsidRDefault="00024FA7" w:rsidP="00024FA7">
      <w:pPr>
        <w:rPr>
          <w:sz w:val="26"/>
          <w:szCs w:val="26"/>
          <w:rtl/>
        </w:rPr>
      </w:pPr>
      <w:bookmarkStart w:id="4" w:name="LawTable_End"/>
      <w:bookmarkEnd w:id="4"/>
    </w:p>
    <w:p w14:paraId="03E13DE0" w14:textId="77777777" w:rsidR="00B50747" w:rsidRPr="00AB4047" w:rsidRDefault="00B50747" w:rsidP="00AB4047">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73769" w:rsidRPr="002A4A98" w14:paraId="4E666B61" w14:textId="77777777" w:rsidTr="00473769">
        <w:trPr>
          <w:trHeight w:val="355"/>
          <w:jc w:val="center"/>
        </w:trPr>
        <w:tc>
          <w:tcPr>
            <w:tcW w:w="8820" w:type="dxa"/>
            <w:tcBorders>
              <w:top w:val="nil"/>
              <w:left w:val="nil"/>
              <w:bottom w:val="nil"/>
              <w:right w:val="nil"/>
            </w:tcBorders>
            <w:shd w:val="clear" w:color="auto" w:fill="auto"/>
          </w:tcPr>
          <w:p w14:paraId="730F75F1" w14:textId="77777777" w:rsidR="001B49EC" w:rsidRPr="001B49EC" w:rsidRDefault="001B49EC" w:rsidP="001B49EC">
            <w:pPr>
              <w:jc w:val="center"/>
              <w:rPr>
                <w:rFonts w:ascii="David" w:hAnsi="David"/>
                <w:b/>
                <w:bCs/>
                <w:sz w:val="48"/>
                <w:szCs w:val="48"/>
                <w:u w:val="single"/>
                <w:rtl/>
              </w:rPr>
            </w:pPr>
            <w:bookmarkStart w:id="5" w:name="PsakDin" w:colFirst="0" w:colLast="0"/>
            <w:bookmarkEnd w:id="0"/>
            <w:r w:rsidRPr="001B49EC">
              <w:rPr>
                <w:rFonts w:ascii="David" w:hAnsi="David"/>
                <w:b/>
                <w:bCs/>
                <w:sz w:val="48"/>
                <w:szCs w:val="48"/>
                <w:u w:val="single"/>
                <w:rtl/>
              </w:rPr>
              <w:t>גזר דין</w:t>
            </w:r>
          </w:p>
          <w:p w14:paraId="332C87E7" w14:textId="77777777" w:rsidR="00473769" w:rsidRPr="001B49EC" w:rsidRDefault="00473769" w:rsidP="001B49EC">
            <w:pPr>
              <w:jc w:val="center"/>
              <w:rPr>
                <w:rFonts w:ascii="David" w:hAnsi="David"/>
                <w:bCs/>
                <w:sz w:val="48"/>
                <w:szCs w:val="48"/>
                <w:u w:val="single"/>
                <w:rtl/>
              </w:rPr>
            </w:pPr>
          </w:p>
        </w:tc>
      </w:tr>
      <w:bookmarkEnd w:id="5"/>
    </w:tbl>
    <w:p w14:paraId="4A32467F" w14:textId="77777777" w:rsidR="00473769" w:rsidRPr="000F2247" w:rsidRDefault="00473769" w:rsidP="00473769">
      <w:pPr>
        <w:rPr>
          <w:rFonts w:ascii="Arial" w:hAnsi="Arial"/>
          <w:b/>
          <w:bCs/>
          <w:sz w:val="26"/>
          <w:szCs w:val="26"/>
          <w:rtl/>
        </w:rPr>
      </w:pPr>
    </w:p>
    <w:p w14:paraId="05C76350" w14:textId="77777777" w:rsidR="00473769" w:rsidRPr="000F2247" w:rsidRDefault="00473769" w:rsidP="00473769">
      <w:pPr>
        <w:rPr>
          <w:rFonts w:ascii="Arial" w:hAnsi="Arial"/>
          <w:b/>
          <w:bCs/>
          <w:sz w:val="26"/>
          <w:szCs w:val="26"/>
          <w:rtl/>
        </w:rPr>
      </w:pPr>
    </w:p>
    <w:p w14:paraId="4D399A20" w14:textId="77777777" w:rsidR="00473769" w:rsidRDefault="00473769" w:rsidP="00473769">
      <w:pPr>
        <w:rPr>
          <w:rFonts w:ascii="Arial" w:hAnsi="Arial"/>
          <w:b/>
          <w:bCs/>
          <w:sz w:val="32"/>
          <w:szCs w:val="32"/>
          <w:u w:val="single"/>
          <w:rtl/>
        </w:rPr>
      </w:pPr>
      <w:r w:rsidRPr="002A4A98">
        <w:rPr>
          <w:rFonts w:ascii="Arial" w:hAnsi="Arial" w:hint="cs"/>
          <w:b/>
          <w:bCs/>
          <w:sz w:val="32"/>
          <w:szCs w:val="32"/>
          <w:u w:val="single"/>
          <w:rtl/>
        </w:rPr>
        <w:t>רקע</w:t>
      </w:r>
    </w:p>
    <w:p w14:paraId="35DAA1F4" w14:textId="77777777" w:rsidR="00473769" w:rsidRDefault="00473769" w:rsidP="00473769">
      <w:pPr>
        <w:rPr>
          <w:rFonts w:ascii="Arial" w:hAnsi="Arial"/>
          <w:b/>
          <w:bCs/>
          <w:sz w:val="32"/>
          <w:szCs w:val="32"/>
          <w:u w:val="single"/>
          <w:rtl/>
        </w:rPr>
      </w:pPr>
    </w:p>
    <w:p w14:paraId="1F83EFCD" w14:textId="77777777" w:rsidR="00473769" w:rsidRDefault="00473769" w:rsidP="00473769">
      <w:pPr>
        <w:pStyle w:val="a9"/>
        <w:numPr>
          <w:ilvl w:val="0"/>
          <w:numId w:val="1"/>
        </w:numPr>
        <w:spacing w:line="360" w:lineRule="auto"/>
        <w:ind w:left="360"/>
        <w:jc w:val="both"/>
        <w:rPr>
          <w:rFonts w:ascii="Arial" w:hAnsi="Arial"/>
        </w:rPr>
      </w:pPr>
      <w:bookmarkStart w:id="6" w:name="ABSTRACT_START"/>
      <w:bookmarkEnd w:id="6"/>
      <w:r w:rsidRPr="003F436A">
        <w:rPr>
          <w:rFonts w:ascii="Arial" w:hAnsi="Arial"/>
          <w:b/>
          <w:bCs/>
          <w:rtl/>
        </w:rPr>
        <w:t>הנאשם</w:t>
      </w:r>
      <w:r>
        <w:rPr>
          <w:rFonts w:ascii="Arial" w:hAnsi="Arial" w:hint="cs"/>
          <w:b/>
          <w:bCs/>
          <w:rtl/>
        </w:rPr>
        <w:t>, יליד  23.4.2000,</w:t>
      </w:r>
      <w:r w:rsidRPr="003F436A">
        <w:rPr>
          <w:rFonts w:ascii="Arial" w:hAnsi="Arial"/>
          <w:b/>
          <w:bCs/>
          <w:rtl/>
        </w:rPr>
        <w:t xml:space="preserve"> </w:t>
      </w:r>
      <w:r w:rsidRPr="003F436A">
        <w:rPr>
          <w:rFonts w:ascii="Arial" w:hAnsi="Arial" w:hint="cs"/>
          <w:b/>
          <w:bCs/>
          <w:rtl/>
        </w:rPr>
        <w:t>הודה והורשע בעבירות שיוחסו לו בשני כתבי אישום</w:t>
      </w:r>
      <w:r>
        <w:rPr>
          <w:rFonts w:ascii="Arial" w:hAnsi="Arial" w:hint="cs"/>
          <w:rtl/>
        </w:rPr>
        <w:t xml:space="preserve">. </w:t>
      </w:r>
    </w:p>
    <w:p w14:paraId="23933D01" w14:textId="77777777" w:rsidR="00473769" w:rsidRDefault="00473769" w:rsidP="00473769">
      <w:pPr>
        <w:pStyle w:val="a9"/>
        <w:spacing w:line="360" w:lineRule="auto"/>
        <w:ind w:left="360"/>
        <w:jc w:val="both"/>
        <w:rPr>
          <w:rFonts w:ascii="Arial" w:hAnsi="Arial"/>
          <w:rtl/>
        </w:rPr>
      </w:pPr>
    </w:p>
    <w:p w14:paraId="6298054F" w14:textId="77777777" w:rsidR="00473769" w:rsidRDefault="00473769" w:rsidP="00473769">
      <w:pPr>
        <w:pStyle w:val="a9"/>
        <w:spacing w:line="360" w:lineRule="auto"/>
        <w:ind w:left="360"/>
        <w:jc w:val="both"/>
        <w:rPr>
          <w:rFonts w:ascii="Arial" w:hAnsi="Arial"/>
          <w:rtl/>
        </w:rPr>
      </w:pPr>
      <w:r w:rsidRPr="003F436A">
        <w:rPr>
          <w:rFonts w:ascii="Arial" w:hAnsi="Arial" w:hint="cs"/>
          <w:rtl/>
        </w:rPr>
        <w:lastRenderedPageBreak/>
        <w:t xml:space="preserve">בכתב האישום שהוגש בתיק זה הוא הורשע, </w:t>
      </w:r>
      <w:r w:rsidRPr="005E5A02">
        <w:rPr>
          <w:rFonts w:ascii="Arial" w:hAnsi="Arial" w:hint="cs"/>
          <w:rtl/>
        </w:rPr>
        <w:t>ביום 15.1.23</w:t>
      </w:r>
      <w:r w:rsidRPr="003F436A">
        <w:rPr>
          <w:rFonts w:ascii="Arial" w:hAnsi="Arial" w:hint="cs"/>
          <w:rtl/>
        </w:rPr>
        <w:t xml:space="preserve">, </w:t>
      </w:r>
      <w:r w:rsidRPr="003F436A">
        <w:rPr>
          <w:rFonts w:ascii="Arial" w:hAnsi="Arial"/>
          <w:rtl/>
        </w:rPr>
        <w:t xml:space="preserve">בעבירת איומים לפי </w:t>
      </w:r>
      <w:hyperlink r:id="rId15" w:history="1">
        <w:r w:rsidR="00B50747" w:rsidRPr="00B50747">
          <w:rPr>
            <w:rStyle w:val="Hyperlink"/>
            <w:rFonts w:ascii="Arial" w:hAnsi="Arial"/>
            <w:b/>
            <w:bCs/>
            <w:rtl/>
          </w:rPr>
          <w:t>סעיף 192</w:t>
        </w:r>
      </w:hyperlink>
      <w:r w:rsidRPr="003F436A">
        <w:rPr>
          <w:rFonts w:ascii="Arial" w:hAnsi="Arial"/>
          <w:rtl/>
        </w:rPr>
        <w:t xml:space="preserve"> </w:t>
      </w:r>
      <w:r w:rsidRPr="00A1160C">
        <w:rPr>
          <w:rFonts w:ascii="Arial" w:hAnsi="Arial"/>
          <w:b/>
          <w:bCs/>
          <w:rtl/>
        </w:rPr>
        <w:t>ל</w:t>
      </w:r>
      <w:hyperlink r:id="rId16" w:history="1">
        <w:r w:rsidR="001B49EC" w:rsidRPr="001B49EC">
          <w:rPr>
            <w:rFonts w:ascii="Arial" w:hAnsi="Arial"/>
            <w:b/>
            <w:bCs/>
            <w:color w:val="0000FF"/>
            <w:u w:val="single"/>
            <w:rtl/>
          </w:rPr>
          <w:t>חוק העונשין</w:t>
        </w:r>
      </w:hyperlink>
      <w:r w:rsidRPr="00A1160C">
        <w:rPr>
          <w:rFonts w:ascii="Arial" w:hAnsi="Arial"/>
          <w:b/>
          <w:bCs/>
          <w:rtl/>
        </w:rPr>
        <w:t>, תשל"ז – 1977</w:t>
      </w:r>
      <w:r w:rsidRPr="003F436A">
        <w:rPr>
          <w:rFonts w:ascii="Arial" w:hAnsi="Arial"/>
          <w:rtl/>
        </w:rPr>
        <w:t>,</w:t>
      </w:r>
      <w:r w:rsidRPr="003F436A">
        <w:rPr>
          <w:rFonts w:ascii="Arial" w:hAnsi="Arial" w:hint="cs"/>
          <w:rtl/>
        </w:rPr>
        <w:t xml:space="preserve"> וכן בעבירת היזק לרכוש במזיד על פי </w:t>
      </w:r>
      <w:hyperlink r:id="rId17" w:history="1">
        <w:r w:rsidR="00B50747" w:rsidRPr="00B50747">
          <w:rPr>
            <w:rStyle w:val="Hyperlink"/>
            <w:rFonts w:ascii="Arial" w:hAnsi="Arial" w:hint="eastAsia"/>
            <w:b/>
            <w:bCs/>
            <w:rtl/>
          </w:rPr>
          <w:t>סעיף</w:t>
        </w:r>
        <w:r w:rsidR="00B50747" w:rsidRPr="00B50747">
          <w:rPr>
            <w:rStyle w:val="Hyperlink"/>
            <w:rFonts w:ascii="Arial" w:hAnsi="Arial"/>
            <w:b/>
            <w:bCs/>
            <w:rtl/>
          </w:rPr>
          <w:t xml:space="preserve"> 452</w:t>
        </w:r>
      </w:hyperlink>
      <w:r w:rsidRPr="00A1160C">
        <w:rPr>
          <w:rFonts w:ascii="Arial" w:hAnsi="Arial" w:hint="cs"/>
          <w:b/>
          <w:bCs/>
          <w:rtl/>
        </w:rPr>
        <w:t xml:space="preserve"> לחוק העונשין</w:t>
      </w:r>
      <w:r w:rsidRPr="003F436A">
        <w:rPr>
          <w:rFonts w:ascii="Arial" w:hAnsi="Arial" w:hint="cs"/>
          <w:rtl/>
        </w:rPr>
        <w:t>.</w:t>
      </w:r>
      <w:r w:rsidRPr="003F436A">
        <w:rPr>
          <w:rFonts w:ascii="Arial" w:hAnsi="Arial"/>
          <w:rtl/>
        </w:rPr>
        <w:t xml:space="preserve"> הודאת הנאשם </w:t>
      </w:r>
      <w:r w:rsidRPr="003F436A">
        <w:rPr>
          <w:rFonts w:ascii="Arial" w:hAnsi="Arial" w:hint="cs"/>
          <w:rtl/>
        </w:rPr>
        <w:t xml:space="preserve">בתיק </w:t>
      </w:r>
      <w:r w:rsidRPr="003F436A">
        <w:rPr>
          <w:rFonts w:ascii="Arial" w:hAnsi="Arial"/>
          <w:rtl/>
        </w:rPr>
        <w:t xml:space="preserve">לא הייתה בגדרו של הסדר טיעון, </w:t>
      </w:r>
      <w:r w:rsidRPr="003F436A">
        <w:rPr>
          <w:rFonts w:ascii="Arial" w:hAnsi="Arial" w:hint="cs"/>
          <w:rtl/>
        </w:rPr>
        <w:t xml:space="preserve">והוא </w:t>
      </w:r>
      <w:r w:rsidRPr="003F436A">
        <w:rPr>
          <w:rFonts w:ascii="Arial" w:hAnsi="Arial"/>
          <w:rtl/>
        </w:rPr>
        <w:t>הודה בכתב האישום ככתבו וכלשונו</w:t>
      </w:r>
      <w:r w:rsidRPr="003F436A">
        <w:rPr>
          <w:rFonts w:ascii="Arial" w:hAnsi="Arial" w:hint="cs"/>
          <w:rtl/>
        </w:rPr>
        <w:t xml:space="preserve"> בדיון הראשון שנערך בו</w:t>
      </w:r>
      <w:r w:rsidRPr="003F436A">
        <w:rPr>
          <w:rFonts w:ascii="Arial" w:hAnsi="Arial"/>
          <w:rtl/>
        </w:rPr>
        <w:t>.</w:t>
      </w:r>
    </w:p>
    <w:p w14:paraId="7D109F82" w14:textId="77777777" w:rsidR="00473769" w:rsidRPr="003F436A" w:rsidRDefault="00473769" w:rsidP="00473769">
      <w:pPr>
        <w:pStyle w:val="a9"/>
        <w:spacing w:line="360" w:lineRule="auto"/>
        <w:ind w:left="360"/>
        <w:jc w:val="both"/>
        <w:rPr>
          <w:rFonts w:ascii="Arial" w:hAnsi="Arial"/>
          <w:rtl/>
        </w:rPr>
      </w:pPr>
      <w:r w:rsidRPr="003F436A">
        <w:rPr>
          <w:rFonts w:ascii="Arial" w:hAnsi="Arial"/>
          <w:rtl/>
        </w:rPr>
        <w:t xml:space="preserve"> </w:t>
      </w:r>
    </w:p>
    <w:p w14:paraId="01C42914" w14:textId="77777777" w:rsidR="00473769" w:rsidRDefault="00473769" w:rsidP="00473769">
      <w:pPr>
        <w:pStyle w:val="a9"/>
        <w:spacing w:line="360" w:lineRule="auto"/>
        <w:ind w:left="360"/>
        <w:jc w:val="both"/>
        <w:rPr>
          <w:rFonts w:ascii="Arial" w:hAnsi="Arial"/>
          <w:rtl/>
        </w:rPr>
      </w:pPr>
      <w:bookmarkStart w:id="7" w:name="ABSTRACT_END"/>
      <w:bookmarkEnd w:id="7"/>
      <w:r>
        <w:rPr>
          <w:rFonts w:ascii="Arial" w:hAnsi="Arial" w:hint="cs"/>
          <w:rtl/>
        </w:rPr>
        <w:t>בדיון שנערך ביום 12.3.23 צירף הנאשם תיק נוסף שהיה תלוי אז ועומד נגדו בבית משפט השלום בנצרת (</w:t>
      </w:r>
      <w:hyperlink r:id="rId18" w:history="1">
        <w:r w:rsidR="001B49EC" w:rsidRPr="001B49EC">
          <w:rPr>
            <w:rFonts w:ascii="Arial" w:hAnsi="Arial"/>
            <w:b/>
            <w:bCs/>
            <w:color w:val="0000FF"/>
            <w:u w:val="single"/>
            <w:rtl/>
          </w:rPr>
          <w:t>ת.פ 54472-09-22</w:t>
        </w:r>
      </w:hyperlink>
      <w:r>
        <w:rPr>
          <w:rFonts w:ascii="Arial" w:hAnsi="Arial" w:hint="cs"/>
          <w:rtl/>
        </w:rPr>
        <w:t xml:space="preserve">). על-פי הודייתו גם בכתב אישום המצורף, הוא הורשע בעבירה של </w:t>
      </w:r>
      <w:r w:rsidRPr="00A17062">
        <w:rPr>
          <w:rFonts w:ascii="Arial" w:hAnsi="Arial" w:hint="cs"/>
          <w:b/>
          <w:bCs/>
          <w:rtl/>
        </w:rPr>
        <w:t xml:space="preserve">החזקת סמים שלא לצריכה עצמית, על-פי </w:t>
      </w:r>
      <w:hyperlink r:id="rId19" w:history="1">
        <w:r w:rsidR="00B50747" w:rsidRPr="00B50747">
          <w:rPr>
            <w:rStyle w:val="Hyperlink"/>
            <w:rFonts w:ascii="Arial" w:hAnsi="Arial" w:hint="eastAsia"/>
            <w:b/>
            <w:bCs/>
            <w:rtl/>
          </w:rPr>
          <w:t>סעיף</w:t>
        </w:r>
        <w:r w:rsidR="00B50747" w:rsidRPr="00B50747">
          <w:rPr>
            <w:rStyle w:val="Hyperlink"/>
            <w:rFonts w:ascii="Arial" w:hAnsi="Arial"/>
            <w:b/>
            <w:bCs/>
            <w:rtl/>
          </w:rPr>
          <w:t xml:space="preserve"> 7(א)</w:t>
        </w:r>
      </w:hyperlink>
      <w:r w:rsidRPr="00A17062">
        <w:rPr>
          <w:rFonts w:ascii="Arial" w:hAnsi="Arial" w:hint="cs"/>
          <w:b/>
          <w:bCs/>
          <w:rtl/>
        </w:rPr>
        <w:t xml:space="preserve"> + (</w:t>
      </w:r>
      <w:hyperlink r:id="rId20" w:history="1">
        <w:r w:rsidR="00B50747" w:rsidRPr="00B50747">
          <w:rPr>
            <w:rStyle w:val="Hyperlink"/>
            <w:rFonts w:ascii="Arial" w:hAnsi="Arial" w:hint="eastAsia"/>
            <w:b/>
            <w:bCs/>
            <w:rtl/>
          </w:rPr>
          <w:t>ג</w:t>
        </w:r>
      </w:hyperlink>
      <w:r w:rsidRPr="00A17062">
        <w:rPr>
          <w:rFonts w:ascii="Arial" w:hAnsi="Arial" w:hint="cs"/>
          <w:b/>
          <w:bCs/>
          <w:rtl/>
        </w:rPr>
        <w:t>) רישא ל</w:t>
      </w:r>
      <w:hyperlink r:id="rId21" w:history="1">
        <w:r w:rsidR="001B49EC" w:rsidRPr="001B49EC">
          <w:rPr>
            <w:rFonts w:ascii="Arial" w:hAnsi="Arial"/>
            <w:b/>
            <w:bCs/>
            <w:color w:val="0000FF"/>
            <w:u w:val="single"/>
            <w:rtl/>
          </w:rPr>
          <w:t>פקודת הסמים המסוכנים</w:t>
        </w:r>
      </w:hyperlink>
      <w:r w:rsidRPr="00A17062">
        <w:rPr>
          <w:rFonts w:ascii="Arial" w:hAnsi="Arial" w:hint="cs"/>
          <w:b/>
          <w:bCs/>
          <w:rtl/>
        </w:rPr>
        <w:t xml:space="preserve"> (נוסח חדש) תשל"ג </w:t>
      </w:r>
      <w:r w:rsidRPr="00A17062">
        <w:rPr>
          <w:rFonts w:ascii="Arial" w:hAnsi="Arial"/>
          <w:b/>
          <w:bCs/>
          <w:rtl/>
        </w:rPr>
        <w:t>–</w:t>
      </w:r>
      <w:r w:rsidRPr="00A17062">
        <w:rPr>
          <w:rFonts w:ascii="Arial" w:hAnsi="Arial" w:hint="cs"/>
          <w:b/>
          <w:bCs/>
          <w:rtl/>
        </w:rPr>
        <w:t xml:space="preserve"> 1973</w:t>
      </w:r>
      <w:r>
        <w:rPr>
          <w:rFonts w:ascii="Arial" w:hAnsi="Arial" w:hint="cs"/>
          <w:rtl/>
        </w:rPr>
        <w:t xml:space="preserve">, ובעבירה של </w:t>
      </w:r>
      <w:r w:rsidRPr="00A17062">
        <w:rPr>
          <w:rFonts w:ascii="Arial" w:hAnsi="Arial" w:hint="cs"/>
          <w:b/>
          <w:bCs/>
          <w:rtl/>
        </w:rPr>
        <w:t xml:space="preserve">החזקת סכין שלא כדין, על פי </w:t>
      </w:r>
      <w:hyperlink r:id="rId22" w:history="1">
        <w:r w:rsidR="00B50747" w:rsidRPr="00B50747">
          <w:rPr>
            <w:rStyle w:val="Hyperlink"/>
            <w:rFonts w:ascii="Arial" w:hAnsi="Arial" w:hint="eastAsia"/>
            <w:b/>
            <w:bCs/>
            <w:rtl/>
          </w:rPr>
          <w:t>סעיף</w:t>
        </w:r>
        <w:r w:rsidR="00B50747" w:rsidRPr="00B50747">
          <w:rPr>
            <w:rStyle w:val="Hyperlink"/>
            <w:rFonts w:ascii="Arial" w:hAnsi="Arial"/>
            <w:b/>
            <w:bCs/>
            <w:rtl/>
          </w:rPr>
          <w:t xml:space="preserve"> 186(א)</w:t>
        </w:r>
      </w:hyperlink>
      <w:r w:rsidRPr="00A17062">
        <w:rPr>
          <w:rFonts w:ascii="Arial" w:hAnsi="Arial" w:hint="cs"/>
          <w:b/>
          <w:bCs/>
          <w:rtl/>
        </w:rPr>
        <w:t xml:space="preserve"> ל</w:t>
      </w:r>
      <w:hyperlink r:id="rId23" w:history="1">
        <w:r w:rsidR="001B49EC" w:rsidRPr="001B49EC">
          <w:rPr>
            <w:rFonts w:ascii="Arial" w:hAnsi="Arial"/>
            <w:b/>
            <w:bCs/>
            <w:color w:val="0000FF"/>
            <w:u w:val="single"/>
            <w:rtl/>
          </w:rPr>
          <w:t>חוק העונשין</w:t>
        </w:r>
      </w:hyperlink>
      <w:r>
        <w:rPr>
          <w:rFonts w:ascii="Arial" w:hAnsi="Arial" w:hint="cs"/>
          <w:rtl/>
        </w:rPr>
        <w:t xml:space="preserve">. </w:t>
      </w:r>
    </w:p>
    <w:p w14:paraId="5D6898A4" w14:textId="77777777" w:rsidR="00473769" w:rsidRDefault="00473769" w:rsidP="00473769">
      <w:pPr>
        <w:pStyle w:val="a9"/>
        <w:spacing w:line="360" w:lineRule="auto"/>
        <w:ind w:left="360"/>
        <w:jc w:val="both"/>
        <w:rPr>
          <w:rFonts w:ascii="Arial" w:hAnsi="Arial"/>
        </w:rPr>
      </w:pPr>
    </w:p>
    <w:p w14:paraId="10B4A426" w14:textId="77777777" w:rsidR="00473769" w:rsidRDefault="00473769" w:rsidP="00473769">
      <w:pPr>
        <w:pStyle w:val="a9"/>
        <w:numPr>
          <w:ilvl w:val="0"/>
          <w:numId w:val="1"/>
        </w:numPr>
        <w:spacing w:line="360" w:lineRule="auto"/>
        <w:ind w:left="360"/>
        <w:jc w:val="both"/>
        <w:rPr>
          <w:rFonts w:ascii="Arial" w:hAnsi="Arial"/>
        </w:rPr>
      </w:pPr>
      <w:r>
        <w:rPr>
          <w:rFonts w:ascii="Arial" w:hAnsi="Arial" w:hint="cs"/>
          <w:rtl/>
        </w:rPr>
        <w:t xml:space="preserve">על פי כתב האישום הראשון, ביום </w:t>
      </w:r>
      <w:r w:rsidRPr="005E5A02">
        <w:rPr>
          <w:rFonts w:ascii="Arial" w:hAnsi="Arial" w:hint="cs"/>
          <w:b/>
          <w:bCs/>
          <w:rtl/>
        </w:rPr>
        <w:t xml:space="preserve">4.3.22 </w:t>
      </w:r>
      <w:r>
        <w:rPr>
          <w:rFonts w:ascii="Arial" w:hAnsi="Arial" w:hint="cs"/>
          <w:rtl/>
        </w:rPr>
        <w:t xml:space="preserve">בשעות הלילה הגיע הנאשם לבית בו הוא מתגורר עם  </w:t>
      </w:r>
      <w:r w:rsidRPr="00A17062">
        <w:rPr>
          <w:rFonts w:ascii="Arial" w:hAnsi="Arial" w:hint="cs"/>
          <w:b/>
          <w:bCs/>
          <w:rtl/>
        </w:rPr>
        <w:t>אמו</w:t>
      </w:r>
      <w:r>
        <w:rPr>
          <w:rFonts w:ascii="Arial" w:hAnsi="Arial" w:hint="cs"/>
          <w:rtl/>
        </w:rPr>
        <w:t xml:space="preserve"> </w:t>
      </w:r>
      <w:r>
        <w:rPr>
          <w:rFonts w:ascii="Arial" w:hAnsi="Arial"/>
          <w:rtl/>
        </w:rPr>
        <w:t>–</w:t>
      </w:r>
      <w:r>
        <w:rPr>
          <w:rFonts w:ascii="Arial" w:hAnsi="Arial" w:hint="cs"/>
          <w:rtl/>
        </w:rPr>
        <w:t xml:space="preserve"> </w:t>
      </w:r>
      <w:r w:rsidRPr="005E5A02">
        <w:rPr>
          <w:rFonts w:ascii="Arial" w:hAnsi="Arial" w:hint="cs"/>
          <w:b/>
          <w:bCs/>
          <w:rtl/>
        </w:rPr>
        <w:t>דיאנה וסרמן</w:t>
      </w:r>
      <w:r>
        <w:rPr>
          <w:rFonts w:ascii="Arial" w:hAnsi="Arial" w:hint="cs"/>
          <w:rtl/>
        </w:rPr>
        <w:t xml:space="preserve"> (</w:t>
      </w:r>
      <w:r w:rsidRPr="00A17062">
        <w:rPr>
          <w:rFonts w:ascii="Arial" w:hAnsi="Arial" w:hint="cs"/>
          <w:b/>
          <w:bCs/>
          <w:rtl/>
        </w:rPr>
        <w:t>"המתלוננת"</w:t>
      </w:r>
      <w:r>
        <w:rPr>
          <w:rFonts w:ascii="Arial" w:hAnsi="Arial" w:hint="cs"/>
          <w:rtl/>
        </w:rPr>
        <w:t xml:space="preserve">) בחדרה. בין השניים פרץ ויכוח, אשר במהלכו השליך הנאשם שלט על הטלוויזיה. ביום </w:t>
      </w:r>
      <w:r w:rsidRPr="005E5A02">
        <w:rPr>
          <w:rFonts w:ascii="Arial" w:hAnsi="Arial" w:hint="cs"/>
          <w:b/>
          <w:bCs/>
          <w:rtl/>
        </w:rPr>
        <w:t xml:space="preserve">1.4.22 </w:t>
      </w:r>
      <w:r>
        <w:rPr>
          <w:rFonts w:ascii="Arial" w:hAnsi="Arial" w:hint="cs"/>
          <w:rtl/>
        </w:rPr>
        <w:t xml:space="preserve">בשעה 13:00 הגיע הנאשם לבית, ואז התגלע ויכוח בינו לבית אמו על אודות שימושו בסמים וסירובה של אמו למסור לנאשם את מפתחות הרכב שלו. במהלך הויכוח איים הנאשם על אמו בכך שאמר "אני אשבור את כל הבית" ובכך שאמר לה כי אם לא תתן לו סכום של 160,000 ₪ אותו הוא חייב לשוק האפור </w:t>
      </w:r>
      <w:r>
        <w:rPr>
          <w:rFonts w:ascii="Arial" w:hAnsi="Arial"/>
          <w:rtl/>
        </w:rPr>
        <w:t>–</w:t>
      </w:r>
      <w:r>
        <w:rPr>
          <w:rFonts w:ascii="Arial" w:hAnsi="Arial" w:hint="cs"/>
          <w:rtl/>
        </w:rPr>
        <w:t xml:space="preserve"> למחרת יהיה לה מטען מתחת לרכב. באותו מעמד נתן הנאשם מכת אגרוף לטלוויזיה שהייתה בחדרו ובכך שבר אותה, ולאחר מכן השליך אותה אל מחוץ לבית והיא נהרסה כליל. </w:t>
      </w:r>
    </w:p>
    <w:p w14:paraId="7D0A04BE" w14:textId="77777777" w:rsidR="00473769" w:rsidRDefault="00473769" w:rsidP="00473769">
      <w:pPr>
        <w:pStyle w:val="a9"/>
        <w:spacing w:line="360" w:lineRule="auto"/>
        <w:ind w:left="360"/>
        <w:jc w:val="both"/>
        <w:rPr>
          <w:rFonts w:ascii="Arial" w:hAnsi="Arial"/>
        </w:rPr>
      </w:pPr>
    </w:p>
    <w:p w14:paraId="0464DD0C" w14:textId="77777777" w:rsidR="00473769" w:rsidRDefault="00473769" w:rsidP="00473769">
      <w:pPr>
        <w:pStyle w:val="a9"/>
        <w:numPr>
          <w:ilvl w:val="0"/>
          <w:numId w:val="1"/>
        </w:numPr>
        <w:spacing w:line="360" w:lineRule="auto"/>
        <w:ind w:left="360"/>
        <w:jc w:val="both"/>
        <w:rPr>
          <w:rFonts w:ascii="Arial" w:hAnsi="Arial"/>
          <w:rtl/>
        </w:rPr>
      </w:pPr>
      <w:r>
        <w:rPr>
          <w:rFonts w:ascii="Arial" w:hAnsi="Arial"/>
          <w:rtl/>
        </w:rPr>
        <w:t>על פי כתב האישום</w:t>
      </w:r>
      <w:r>
        <w:rPr>
          <w:rFonts w:ascii="Arial" w:hAnsi="Arial" w:hint="cs"/>
          <w:rtl/>
        </w:rPr>
        <w:t xml:space="preserve"> שצורף, ביום </w:t>
      </w:r>
      <w:r w:rsidRPr="005E5A02">
        <w:rPr>
          <w:rFonts w:ascii="Arial" w:hAnsi="Arial" w:hint="cs"/>
          <w:b/>
          <w:bCs/>
          <w:rtl/>
        </w:rPr>
        <w:t>4.3.22</w:t>
      </w:r>
      <w:r>
        <w:rPr>
          <w:rFonts w:ascii="Arial" w:hAnsi="Arial" w:hint="cs"/>
          <w:rtl/>
        </w:rPr>
        <w:t xml:space="preserve"> ברחוב התאנה שביוקנעם עילית עצרו שוטרים לבדיקה את הרכב בו נהג הנאשם. בחיפוש שביצעו ברכב מצאו השוטרים בתוך תיק שהיה מונח מתחת למושב הקדמי ימני - סם מסוכן מסוג קנבוס במשקל של 19.18 גרם נטו, וכן 43 סיגריות אלקטרוניות המכילות סם מסוכן מסוג </w:t>
      </w:r>
      <w:r>
        <w:rPr>
          <w:rFonts w:ascii="Arial" w:hAnsi="Arial" w:hint="cs"/>
        </w:rPr>
        <w:t xml:space="preserve">ADB </w:t>
      </w:r>
      <w:r>
        <w:rPr>
          <w:rFonts w:ascii="Arial" w:hAnsi="Arial"/>
        </w:rPr>
        <w:t>–</w:t>
      </w:r>
      <w:r>
        <w:rPr>
          <w:rFonts w:ascii="Arial" w:hAnsi="Arial" w:hint="cs"/>
        </w:rPr>
        <w:t xml:space="preserve"> BUTINACA</w:t>
      </w:r>
      <w:r>
        <w:rPr>
          <w:rFonts w:ascii="Arial" w:hAnsi="Arial" w:hint="cs"/>
          <w:rtl/>
        </w:rPr>
        <w:t xml:space="preserve">, ומשקל אלקטרוני. בנוסף תפסו השוטרים ברכב שוקר חשמלי ושתי סכינים מתקבעות, האחת שאורך להבה הוא 10 ס"מ והאחרת באורך להב של 6 ס"מ. </w:t>
      </w:r>
    </w:p>
    <w:p w14:paraId="2C80B7C1" w14:textId="77777777" w:rsidR="00473769" w:rsidRDefault="00473769" w:rsidP="00473769">
      <w:pPr>
        <w:pStyle w:val="a9"/>
        <w:spacing w:line="360" w:lineRule="auto"/>
        <w:ind w:left="360"/>
        <w:jc w:val="both"/>
        <w:rPr>
          <w:rFonts w:ascii="Arial" w:hAnsi="Arial"/>
          <w:rtl/>
        </w:rPr>
      </w:pPr>
    </w:p>
    <w:p w14:paraId="611628E6" w14:textId="77777777" w:rsidR="00473769" w:rsidRDefault="00473769" w:rsidP="00473769">
      <w:pPr>
        <w:spacing w:line="480" w:lineRule="auto"/>
        <w:jc w:val="both"/>
        <w:rPr>
          <w:rFonts w:ascii="Arial" w:hAnsi="Arial"/>
          <w:b/>
          <w:bCs/>
          <w:sz w:val="32"/>
          <w:szCs w:val="32"/>
          <w:u w:val="single"/>
          <w:rtl/>
        </w:rPr>
      </w:pPr>
      <w:r>
        <w:rPr>
          <w:rFonts w:ascii="Arial" w:hAnsi="Arial" w:hint="cs"/>
          <w:b/>
          <w:bCs/>
          <w:sz w:val="32"/>
          <w:szCs w:val="32"/>
          <w:u w:val="single"/>
          <w:rtl/>
        </w:rPr>
        <w:t>תסקירי שירות המבחן</w:t>
      </w:r>
    </w:p>
    <w:p w14:paraId="2A2BEBD4" w14:textId="77777777" w:rsidR="00473769" w:rsidRDefault="00473769" w:rsidP="00473769">
      <w:pPr>
        <w:pStyle w:val="a9"/>
        <w:numPr>
          <w:ilvl w:val="0"/>
          <w:numId w:val="1"/>
        </w:numPr>
        <w:spacing w:line="360" w:lineRule="auto"/>
        <w:ind w:left="360"/>
        <w:jc w:val="both"/>
        <w:rPr>
          <w:rFonts w:ascii="Arial" w:hAnsi="Arial"/>
        </w:rPr>
      </w:pPr>
      <w:r>
        <w:rPr>
          <w:rFonts w:ascii="Arial" w:hAnsi="Arial" w:hint="cs"/>
          <w:rtl/>
        </w:rPr>
        <w:t>מייד לאחר שהנאשם הודה באישומים, ביקש סנגורו כי בטרם יישמעו טיעונים לעונש יגבש שירות המבחן תסקיר על אודותיו. התביעה לא התנגדה לכך, ובית המשפט הורה לשירות המבחן להגיש תסקיר על הנאשם ועל מצבו, שבו תהיה התייחסות והמלצה גם לעניין העונש.</w:t>
      </w:r>
    </w:p>
    <w:p w14:paraId="7202E98C" w14:textId="77777777" w:rsidR="00473769" w:rsidRDefault="00473769" w:rsidP="00473769">
      <w:pPr>
        <w:pStyle w:val="a9"/>
        <w:spacing w:line="360" w:lineRule="auto"/>
        <w:ind w:left="360"/>
        <w:jc w:val="both"/>
        <w:rPr>
          <w:rFonts w:ascii="Arial" w:hAnsi="Arial"/>
          <w:rtl/>
        </w:rPr>
      </w:pPr>
    </w:p>
    <w:p w14:paraId="74C68F46" w14:textId="77777777" w:rsidR="00473769" w:rsidRDefault="00473769" w:rsidP="00473769">
      <w:pPr>
        <w:pStyle w:val="a9"/>
        <w:spacing w:line="360" w:lineRule="auto"/>
        <w:ind w:left="360"/>
        <w:jc w:val="both"/>
        <w:rPr>
          <w:rFonts w:ascii="Arial" w:hAnsi="Arial"/>
          <w:rtl/>
        </w:rPr>
      </w:pPr>
      <w:r>
        <w:rPr>
          <w:rFonts w:ascii="Arial" w:hAnsi="Arial" w:hint="cs"/>
          <w:rtl/>
        </w:rPr>
        <w:t xml:space="preserve">במעלה הדרך הגיש שירות המבחן </w:t>
      </w:r>
      <w:r>
        <w:rPr>
          <w:rFonts w:ascii="Arial" w:hAnsi="Arial" w:hint="cs"/>
          <w:b/>
          <w:bCs/>
          <w:rtl/>
        </w:rPr>
        <w:t>שלושה תסקירים מקיפים</w:t>
      </w:r>
      <w:r>
        <w:rPr>
          <w:rFonts w:ascii="Arial" w:hAnsi="Arial" w:hint="cs"/>
          <w:rtl/>
        </w:rPr>
        <w:t xml:space="preserve">. התסקיר הראשון הוגש עוד ביום </w:t>
      </w:r>
      <w:r w:rsidRPr="00DD59E2">
        <w:rPr>
          <w:rFonts w:ascii="Arial" w:hAnsi="Arial" w:hint="cs"/>
          <w:b/>
          <w:bCs/>
          <w:rtl/>
        </w:rPr>
        <w:t>26.10.23</w:t>
      </w:r>
      <w:r>
        <w:rPr>
          <w:rFonts w:ascii="Arial" w:hAnsi="Arial" w:hint="cs"/>
          <w:rtl/>
        </w:rPr>
        <w:t xml:space="preserve">; השני הוגש ביום </w:t>
      </w:r>
      <w:r w:rsidRPr="00DD59E2">
        <w:rPr>
          <w:rFonts w:ascii="Arial" w:hAnsi="Arial" w:hint="cs"/>
          <w:b/>
          <w:bCs/>
          <w:rtl/>
        </w:rPr>
        <w:t>11.3.24</w:t>
      </w:r>
      <w:r>
        <w:rPr>
          <w:rFonts w:ascii="Arial" w:hAnsi="Arial" w:hint="cs"/>
          <w:rtl/>
        </w:rPr>
        <w:t xml:space="preserve">, והשלישי והאחרון הוגש לאחרונה </w:t>
      </w:r>
      <w:r>
        <w:rPr>
          <w:rFonts w:ascii="Arial" w:hAnsi="Arial"/>
          <w:rtl/>
        </w:rPr>
        <w:t>–</w:t>
      </w:r>
      <w:r>
        <w:rPr>
          <w:rFonts w:ascii="Arial" w:hAnsi="Arial" w:hint="cs"/>
          <w:rtl/>
        </w:rPr>
        <w:t xml:space="preserve"> </w:t>
      </w:r>
      <w:r w:rsidRPr="00DD59E2">
        <w:rPr>
          <w:rFonts w:ascii="Arial" w:hAnsi="Arial" w:hint="cs"/>
          <w:b/>
          <w:bCs/>
          <w:rtl/>
        </w:rPr>
        <w:t>20.6.24</w:t>
      </w:r>
      <w:r>
        <w:rPr>
          <w:rFonts w:ascii="Arial" w:hAnsi="Arial" w:hint="cs"/>
          <w:rtl/>
        </w:rPr>
        <w:t>.</w:t>
      </w:r>
    </w:p>
    <w:p w14:paraId="00737488" w14:textId="77777777" w:rsidR="00473769" w:rsidRDefault="00473769" w:rsidP="00473769">
      <w:pPr>
        <w:pStyle w:val="a9"/>
        <w:spacing w:line="360" w:lineRule="auto"/>
        <w:ind w:left="360"/>
        <w:jc w:val="both"/>
        <w:rPr>
          <w:rFonts w:ascii="Arial" w:hAnsi="Arial"/>
          <w:rtl/>
        </w:rPr>
      </w:pPr>
    </w:p>
    <w:p w14:paraId="684A41DF" w14:textId="77777777" w:rsidR="00473769" w:rsidRDefault="00473769" w:rsidP="00473769">
      <w:pPr>
        <w:pStyle w:val="a9"/>
        <w:numPr>
          <w:ilvl w:val="0"/>
          <w:numId w:val="1"/>
        </w:numPr>
        <w:spacing w:line="480" w:lineRule="auto"/>
        <w:ind w:left="360"/>
        <w:jc w:val="both"/>
        <w:rPr>
          <w:rFonts w:ascii="Arial" w:hAnsi="Arial"/>
        </w:rPr>
      </w:pPr>
      <w:r w:rsidRPr="000363BC">
        <w:rPr>
          <w:rFonts w:ascii="Arial" w:hAnsi="Arial" w:hint="cs"/>
          <w:b/>
          <w:bCs/>
          <w:u w:val="single"/>
          <w:rtl/>
        </w:rPr>
        <w:t>התסקיר הראשון</w:t>
      </w:r>
      <w:r>
        <w:rPr>
          <w:rFonts w:ascii="Arial" w:hAnsi="Arial" w:hint="cs"/>
          <w:rtl/>
        </w:rPr>
        <w:t xml:space="preserve">. </w:t>
      </w:r>
    </w:p>
    <w:p w14:paraId="03CDF842" w14:textId="77777777" w:rsidR="00473769" w:rsidRDefault="00473769" w:rsidP="00473769">
      <w:pPr>
        <w:pStyle w:val="a9"/>
        <w:spacing w:line="360" w:lineRule="auto"/>
        <w:ind w:left="360"/>
        <w:jc w:val="both"/>
        <w:rPr>
          <w:rFonts w:ascii="Arial" w:hAnsi="Arial"/>
        </w:rPr>
      </w:pPr>
      <w:r>
        <w:rPr>
          <w:rFonts w:ascii="Arial" w:hAnsi="Arial" w:hint="cs"/>
          <w:rtl/>
        </w:rPr>
        <w:t>פורט בו כי הנאשם נשוי ללא ילדים, מתגורר עם אשתו באור עקיבא, ועובד מזה כשנה וחצי כפועל בחברה העוסקת בתחום האלומיניום.</w:t>
      </w:r>
    </w:p>
    <w:p w14:paraId="0FB9BEAB" w14:textId="77777777" w:rsidR="00473769" w:rsidRDefault="00473769" w:rsidP="00473769">
      <w:pPr>
        <w:pStyle w:val="a9"/>
        <w:spacing w:line="360" w:lineRule="auto"/>
        <w:ind w:left="360"/>
        <w:jc w:val="both"/>
        <w:rPr>
          <w:rFonts w:ascii="Arial" w:hAnsi="Arial"/>
          <w:rtl/>
        </w:rPr>
      </w:pPr>
      <w:r>
        <w:rPr>
          <w:rFonts w:ascii="Arial" w:hAnsi="Arial" w:hint="cs"/>
          <w:rtl/>
        </w:rPr>
        <w:t xml:space="preserve">נרשם כי הנאשם שירת בצה"ל בהנדסה קרבית, אך בשל בעיה רפואית היה עליו לעבור, בניגוד לרצונו, מתפקיד קרבי לתפקיד עורפי, ובשל כך הוא נעדר מן השירות, נשפט ונכלא. </w:t>
      </w:r>
    </w:p>
    <w:p w14:paraId="63D44C8F" w14:textId="77777777" w:rsidR="00473769" w:rsidRDefault="00473769" w:rsidP="00473769">
      <w:pPr>
        <w:pStyle w:val="a9"/>
        <w:spacing w:line="360" w:lineRule="auto"/>
        <w:ind w:left="360"/>
        <w:jc w:val="both"/>
        <w:rPr>
          <w:rFonts w:ascii="Arial" w:hAnsi="Arial"/>
          <w:rtl/>
        </w:rPr>
      </w:pPr>
      <w:r>
        <w:rPr>
          <w:rFonts w:ascii="Arial" w:hAnsi="Arial" w:hint="cs"/>
          <w:rtl/>
        </w:rPr>
        <w:t>במהלך המאסר נפצע בגבו, ובשנת 2022 הוכרו לו אחוזי נכות לצמיתות; הוא מתמודד עם כאבים והשפעה על המערכת העצבית, מה שהצריך אותו לעבור ניתוח להשתמש במשככי כאבים.</w:t>
      </w:r>
    </w:p>
    <w:p w14:paraId="6289EAC1" w14:textId="77777777" w:rsidR="00473769" w:rsidRDefault="00473769" w:rsidP="00473769">
      <w:pPr>
        <w:pStyle w:val="a9"/>
        <w:spacing w:line="360" w:lineRule="auto"/>
        <w:ind w:left="360"/>
        <w:jc w:val="both"/>
        <w:rPr>
          <w:rFonts w:ascii="Arial" w:hAnsi="Arial"/>
          <w:rtl/>
        </w:rPr>
      </w:pPr>
      <w:r>
        <w:rPr>
          <w:rFonts w:ascii="Arial" w:hAnsi="Arial" w:hint="cs"/>
          <w:rtl/>
        </w:rPr>
        <w:t xml:space="preserve">נרשם בתסקיר כי הנאשם לוקח אחריות מלאה על העבירות בהן הורשע, וזאת תוך הבעת צער, חרטה ובושה. הוא פירט כי ברקע לביצוע העבירו עמד קושי שלו להתמודד עם תחושות חוסר אונים, לחץ, מתח וחרדות ממשיים, מהם סבל באותה עת, בשל חוב כספי שהיה לו לגורמי שוליים ובשל פעולותיהם של אותם גורמים להלך עליו אימים. לדבריו, הקושי באותה תקופה הביאו לשימוש בסמים שיצרו אצלו תחושת רוגע, והחשש לחייו הביא אותו לשאת את הסכינים.  </w:t>
      </w:r>
    </w:p>
    <w:p w14:paraId="5FFFE207" w14:textId="77777777" w:rsidR="00473769" w:rsidRDefault="00473769" w:rsidP="00473769">
      <w:pPr>
        <w:pStyle w:val="a9"/>
        <w:spacing w:line="360" w:lineRule="auto"/>
        <w:ind w:left="360"/>
        <w:jc w:val="both"/>
        <w:rPr>
          <w:rFonts w:ascii="Arial" w:hAnsi="Arial"/>
          <w:rtl/>
        </w:rPr>
      </w:pPr>
    </w:p>
    <w:p w14:paraId="768F004E" w14:textId="77777777" w:rsidR="00473769" w:rsidRDefault="00473769" w:rsidP="00473769">
      <w:pPr>
        <w:pStyle w:val="a9"/>
        <w:spacing w:line="360" w:lineRule="auto"/>
        <w:ind w:left="360"/>
        <w:jc w:val="both"/>
        <w:rPr>
          <w:rFonts w:ascii="Arial" w:hAnsi="Arial"/>
          <w:rtl/>
        </w:rPr>
      </w:pPr>
      <w:r>
        <w:rPr>
          <w:rFonts w:ascii="Arial" w:hAnsi="Arial" w:hint="cs"/>
          <w:rtl/>
        </w:rPr>
        <w:t xml:space="preserve">עוד עלה, כי הוא ניתק את קשריו עם גורמי השוליים, נעזר במשפחתו כדי לשלם את החוב, החליף עבודה, עבר להתגורר באור עקיבא והביע רצון להשתלב בלימודים גבוהים שבתחום עיסוקו. </w:t>
      </w:r>
    </w:p>
    <w:p w14:paraId="670BA167" w14:textId="77777777" w:rsidR="00473769" w:rsidRDefault="00473769" w:rsidP="00473769">
      <w:pPr>
        <w:pStyle w:val="a9"/>
        <w:spacing w:line="360" w:lineRule="auto"/>
        <w:ind w:left="360"/>
        <w:jc w:val="both"/>
        <w:rPr>
          <w:rFonts w:ascii="Arial" w:hAnsi="Arial"/>
          <w:rtl/>
        </w:rPr>
      </w:pPr>
    </w:p>
    <w:p w14:paraId="443BCA01" w14:textId="77777777" w:rsidR="00473769" w:rsidRDefault="00473769" w:rsidP="00473769">
      <w:pPr>
        <w:pStyle w:val="a9"/>
        <w:spacing w:line="360" w:lineRule="auto"/>
        <w:ind w:left="360"/>
        <w:jc w:val="both"/>
        <w:rPr>
          <w:rFonts w:ascii="Arial" w:hAnsi="Arial"/>
          <w:rtl/>
        </w:rPr>
      </w:pPr>
      <w:r>
        <w:rPr>
          <w:rFonts w:ascii="Arial" w:hAnsi="Arial" w:hint="cs"/>
          <w:rtl/>
        </w:rPr>
        <w:t xml:space="preserve">שירות המבחן ציין כי בבדיקות שנעשו לנאשם הוא נמצא נקי מסמים. </w:t>
      </w:r>
    </w:p>
    <w:p w14:paraId="44C15D2F" w14:textId="77777777" w:rsidR="00473769" w:rsidRDefault="00473769" w:rsidP="00473769">
      <w:pPr>
        <w:pStyle w:val="a9"/>
        <w:spacing w:line="360" w:lineRule="auto"/>
        <w:ind w:left="360"/>
        <w:jc w:val="both"/>
        <w:rPr>
          <w:rFonts w:ascii="Arial" w:hAnsi="Arial"/>
          <w:rtl/>
        </w:rPr>
      </w:pPr>
    </w:p>
    <w:p w14:paraId="49209F3A" w14:textId="77777777" w:rsidR="00473769" w:rsidRDefault="00473769" w:rsidP="00473769">
      <w:pPr>
        <w:pStyle w:val="a9"/>
        <w:spacing w:line="360" w:lineRule="auto"/>
        <w:ind w:left="360"/>
        <w:jc w:val="both"/>
        <w:rPr>
          <w:rFonts w:ascii="Arial" w:hAnsi="Arial"/>
          <w:rtl/>
        </w:rPr>
      </w:pPr>
      <w:r>
        <w:rPr>
          <w:rFonts w:ascii="Arial" w:hAnsi="Arial" w:hint="cs"/>
          <w:rtl/>
        </w:rPr>
        <w:t xml:space="preserve">שירות המבחן נפגש אף עם המתלוננת </w:t>
      </w:r>
      <w:r>
        <w:rPr>
          <w:rFonts w:ascii="Arial" w:hAnsi="Arial"/>
          <w:rtl/>
        </w:rPr>
        <w:t>–</w:t>
      </w:r>
      <w:r>
        <w:rPr>
          <w:rFonts w:ascii="Arial" w:hAnsi="Arial" w:hint="cs"/>
          <w:rtl/>
        </w:rPr>
        <w:t xml:space="preserve"> אמו של הנאשם, אשר תיארה אף היא את תקופת ביצוע העבירות כתקופה משברית בחייו, אך ציינה כי בשנה האחרונה, לאחר כיסוי החוב, התנתקותו מהמעגל החברתי השולי וכניסתו לחיי זוגיות, התנהלותו של בנה היא שלווה ומכבדת והיא אינה חשה כל איום מפניו. </w:t>
      </w:r>
    </w:p>
    <w:p w14:paraId="03895508" w14:textId="77777777" w:rsidR="00473769" w:rsidRDefault="00473769" w:rsidP="00473769">
      <w:pPr>
        <w:pStyle w:val="a9"/>
        <w:spacing w:line="360" w:lineRule="auto"/>
        <w:ind w:left="360"/>
        <w:jc w:val="both"/>
        <w:rPr>
          <w:rFonts w:ascii="Arial" w:hAnsi="Arial"/>
          <w:rtl/>
        </w:rPr>
      </w:pPr>
      <w:r>
        <w:rPr>
          <w:rFonts w:ascii="Arial" w:hAnsi="Arial" w:hint="cs"/>
          <w:rtl/>
        </w:rPr>
        <w:t xml:space="preserve">שירות המבחן העריך כי הסיכון להישנות התנהגות אלימה מצד הנאשם הוא נמוך, וגם אם יתנהג באלימות </w:t>
      </w:r>
      <w:r>
        <w:rPr>
          <w:rFonts w:ascii="Arial" w:hAnsi="Arial"/>
          <w:rtl/>
        </w:rPr>
        <w:t>–</w:t>
      </w:r>
      <w:r>
        <w:rPr>
          <w:rFonts w:ascii="Arial" w:hAnsi="Arial" w:hint="cs"/>
          <w:rtl/>
        </w:rPr>
        <w:t xml:space="preserve"> חומרתה צפויה להיות ברמה נמוכה. </w:t>
      </w:r>
    </w:p>
    <w:p w14:paraId="468FC908" w14:textId="77777777" w:rsidR="00473769" w:rsidRDefault="00473769" w:rsidP="00473769">
      <w:pPr>
        <w:pStyle w:val="a9"/>
        <w:spacing w:line="360" w:lineRule="auto"/>
        <w:ind w:left="360"/>
        <w:jc w:val="both"/>
        <w:rPr>
          <w:rFonts w:ascii="Arial" w:hAnsi="Arial"/>
          <w:rtl/>
        </w:rPr>
      </w:pPr>
    </w:p>
    <w:p w14:paraId="1520096E" w14:textId="77777777" w:rsidR="00473769" w:rsidRDefault="00473769" w:rsidP="00473769">
      <w:pPr>
        <w:pStyle w:val="a9"/>
        <w:spacing w:line="360" w:lineRule="auto"/>
        <w:ind w:left="360"/>
        <w:jc w:val="both"/>
        <w:rPr>
          <w:rFonts w:ascii="Arial" w:hAnsi="Arial"/>
          <w:rtl/>
        </w:rPr>
      </w:pPr>
      <w:r>
        <w:rPr>
          <w:rFonts w:ascii="Arial" w:hAnsi="Arial" w:hint="cs"/>
          <w:rtl/>
        </w:rPr>
        <w:t xml:space="preserve">נוכח הסכמת הנאשם להשתלב בהליך טיפולי, המליץ שירות המבחן להטיל עליו צו מבחן למשך שנה ולחייב אותו בשירות לתועלת הציבור בהיקף של 180 שעות.    </w:t>
      </w:r>
    </w:p>
    <w:p w14:paraId="09168C6B" w14:textId="77777777" w:rsidR="00473769" w:rsidRDefault="00473769" w:rsidP="00473769">
      <w:pPr>
        <w:pStyle w:val="a9"/>
        <w:spacing w:line="360" w:lineRule="auto"/>
        <w:ind w:left="360"/>
        <w:jc w:val="both"/>
        <w:rPr>
          <w:rFonts w:ascii="Arial" w:hAnsi="Arial"/>
          <w:rtl/>
        </w:rPr>
      </w:pPr>
    </w:p>
    <w:p w14:paraId="411594FA" w14:textId="77777777" w:rsidR="00473769" w:rsidRDefault="00473769" w:rsidP="00473769">
      <w:pPr>
        <w:pStyle w:val="a9"/>
        <w:numPr>
          <w:ilvl w:val="0"/>
          <w:numId w:val="1"/>
        </w:numPr>
        <w:spacing w:line="480" w:lineRule="auto"/>
        <w:ind w:left="360"/>
        <w:jc w:val="both"/>
        <w:rPr>
          <w:rFonts w:ascii="Arial" w:hAnsi="Arial"/>
        </w:rPr>
      </w:pPr>
      <w:r w:rsidRPr="00F4401E">
        <w:rPr>
          <w:rFonts w:ascii="Arial" w:hAnsi="Arial" w:hint="cs"/>
          <w:b/>
          <w:bCs/>
          <w:u w:val="single"/>
          <w:rtl/>
        </w:rPr>
        <w:t>התסקיר השני</w:t>
      </w:r>
      <w:r>
        <w:rPr>
          <w:rFonts w:ascii="Arial" w:hAnsi="Arial" w:hint="cs"/>
          <w:rtl/>
        </w:rPr>
        <w:t>.</w:t>
      </w:r>
    </w:p>
    <w:p w14:paraId="740105D2" w14:textId="77777777" w:rsidR="00473769" w:rsidRDefault="00473769" w:rsidP="00473769">
      <w:pPr>
        <w:pStyle w:val="a9"/>
        <w:spacing w:line="360" w:lineRule="auto"/>
        <w:ind w:left="360"/>
        <w:jc w:val="both"/>
        <w:rPr>
          <w:rFonts w:ascii="Arial" w:hAnsi="Arial"/>
          <w:rtl/>
        </w:rPr>
      </w:pPr>
      <w:r w:rsidRPr="00E22A62">
        <w:rPr>
          <w:rFonts w:ascii="Arial" w:hAnsi="Arial" w:hint="cs"/>
          <w:rtl/>
        </w:rPr>
        <w:t xml:space="preserve">בתסקיר </w:t>
      </w:r>
      <w:r>
        <w:rPr>
          <w:rFonts w:ascii="Arial" w:hAnsi="Arial" w:hint="cs"/>
          <w:rtl/>
        </w:rPr>
        <w:t xml:space="preserve">המשלים </w:t>
      </w:r>
      <w:r w:rsidRPr="00E22A62">
        <w:rPr>
          <w:rFonts w:ascii="Arial" w:hAnsi="Arial" w:hint="cs"/>
          <w:rtl/>
        </w:rPr>
        <w:t>חזר שירות המבחן על המלצותיו.</w:t>
      </w:r>
      <w:r>
        <w:rPr>
          <w:rFonts w:ascii="Arial" w:hAnsi="Arial" w:hint="cs"/>
          <w:rtl/>
        </w:rPr>
        <w:t xml:space="preserve"> תואר בתסקיר כי השתלבותו של הנאשם בקבוצה הטיפולית הייתה מוקפדת, סדירה ורציפה, אולם נדרש צורך בהמשך הליך טיפולי, על מנת לאפשר לו מרחב העמקה והתבוננות ובחינה ביקורתית של דפוסי התנהגותו בעבר.</w:t>
      </w:r>
    </w:p>
    <w:p w14:paraId="664942AC" w14:textId="77777777" w:rsidR="00473769" w:rsidRDefault="00473769" w:rsidP="00473769">
      <w:pPr>
        <w:pStyle w:val="a9"/>
        <w:spacing w:line="360" w:lineRule="auto"/>
        <w:ind w:left="360"/>
        <w:jc w:val="both"/>
        <w:rPr>
          <w:rFonts w:ascii="Arial" w:hAnsi="Arial"/>
          <w:rtl/>
        </w:rPr>
      </w:pPr>
      <w:r>
        <w:rPr>
          <w:rFonts w:ascii="Arial" w:hAnsi="Arial" w:hint="cs"/>
          <w:rtl/>
        </w:rPr>
        <w:t xml:space="preserve"> </w:t>
      </w:r>
    </w:p>
    <w:p w14:paraId="238FA437" w14:textId="77777777" w:rsidR="00473769" w:rsidRDefault="00473769" w:rsidP="00473769">
      <w:pPr>
        <w:pStyle w:val="a9"/>
        <w:spacing w:line="360" w:lineRule="auto"/>
        <w:ind w:left="360"/>
        <w:jc w:val="both"/>
        <w:rPr>
          <w:rFonts w:ascii="Arial" w:hAnsi="Arial"/>
          <w:rtl/>
        </w:rPr>
      </w:pPr>
      <w:r>
        <w:rPr>
          <w:rFonts w:ascii="Arial" w:hAnsi="Arial" w:hint="cs"/>
          <w:rtl/>
        </w:rPr>
        <w:t xml:space="preserve">עוד עלה מהתסקיר, כי הנאשם החל בעבודה בתחום הבניה בתל אביב, לא נפתחו נגדו תיקים חדשים, ובדיקות שביצע בשירות המבחן לימדו על נקיון מסמים. </w:t>
      </w:r>
    </w:p>
    <w:p w14:paraId="589BA2C1" w14:textId="77777777" w:rsidR="00473769" w:rsidRPr="00E22A62" w:rsidRDefault="00473769" w:rsidP="00473769">
      <w:pPr>
        <w:pStyle w:val="a9"/>
        <w:spacing w:line="360" w:lineRule="auto"/>
        <w:ind w:left="360"/>
        <w:jc w:val="both"/>
        <w:rPr>
          <w:rFonts w:ascii="Arial" w:hAnsi="Arial"/>
        </w:rPr>
      </w:pPr>
    </w:p>
    <w:p w14:paraId="65BF989B" w14:textId="77777777" w:rsidR="00473769" w:rsidRDefault="00473769" w:rsidP="00473769">
      <w:pPr>
        <w:pStyle w:val="a9"/>
        <w:numPr>
          <w:ilvl w:val="0"/>
          <w:numId w:val="1"/>
        </w:numPr>
        <w:spacing w:line="480" w:lineRule="auto"/>
        <w:ind w:left="360"/>
        <w:jc w:val="both"/>
        <w:rPr>
          <w:rFonts w:ascii="Arial" w:hAnsi="Arial"/>
        </w:rPr>
      </w:pPr>
      <w:r w:rsidRPr="00F4401E">
        <w:rPr>
          <w:rFonts w:ascii="Arial" w:hAnsi="Arial" w:hint="cs"/>
          <w:b/>
          <w:bCs/>
          <w:u w:val="single"/>
          <w:rtl/>
        </w:rPr>
        <w:t>התסקיר השלישי</w:t>
      </w:r>
      <w:r>
        <w:rPr>
          <w:rFonts w:ascii="Arial" w:hAnsi="Arial" w:hint="cs"/>
          <w:rtl/>
        </w:rPr>
        <w:t xml:space="preserve">. </w:t>
      </w:r>
    </w:p>
    <w:p w14:paraId="024E71FE" w14:textId="77777777" w:rsidR="00473769" w:rsidRDefault="00473769" w:rsidP="00473769">
      <w:pPr>
        <w:pStyle w:val="a9"/>
        <w:spacing w:line="360" w:lineRule="auto"/>
        <w:ind w:left="360"/>
        <w:jc w:val="both"/>
        <w:rPr>
          <w:rFonts w:ascii="Arial" w:hAnsi="Arial"/>
          <w:rtl/>
        </w:rPr>
      </w:pPr>
      <w:r>
        <w:rPr>
          <w:rFonts w:ascii="Arial" w:hAnsi="Arial" w:hint="cs"/>
          <w:rtl/>
        </w:rPr>
        <w:t>פורט בתסקיר, כי בזמן שחלף המשיך הנאשם את השתלבותו בקבוצה הטיפולית, ונמסר כי הקפיד על הגעה סדירה ורציפה. להערכת שירות המבחן, הנאשם מתקדם באופן הדרגתי במסגרת ההליך הטיפולי, ולפניו עוד עבודה, בהתאם למטרות הטיפול שפורטו.</w:t>
      </w:r>
    </w:p>
    <w:p w14:paraId="1677BE2B" w14:textId="77777777" w:rsidR="00473769" w:rsidRDefault="00473769" w:rsidP="00473769">
      <w:pPr>
        <w:pStyle w:val="a9"/>
        <w:spacing w:line="360" w:lineRule="auto"/>
        <w:ind w:left="360"/>
        <w:jc w:val="both"/>
        <w:rPr>
          <w:rFonts w:ascii="Arial" w:hAnsi="Arial"/>
        </w:rPr>
      </w:pPr>
      <w:r>
        <w:rPr>
          <w:rFonts w:ascii="Arial" w:hAnsi="Arial" w:hint="cs"/>
          <w:rtl/>
        </w:rPr>
        <w:t xml:space="preserve"> </w:t>
      </w:r>
    </w:p>
    <w:p w14:paraId="0AC74780" w14:textId="77777777" w:rsidR="00473769" w:rsidRDefault="00473769" w:rsidP="00473769">
      <w:pPr>
        <w:pStyle w:val="a9"/>
        <w:spacing w:line="360" w:lineRule="auto"/>
        <w:ind w:left="360"/>
        <w:jc w:val="both"/>
        <w:rPr>
          <w:rFonts w:ascii="Arial" w:hAnsi="Arial"/>
          <w:rtl/>
        </w:rPr>
      </w:pPr>
      <w:r>
        <w:rPr>
          <w:rFonts w:ascii="Arial" w:hAnsi="Arial" w:hint="cs"/>
          <w:rtl/>
        </w:rPr>
        <w:t xml:space="preserve">שירות המבחן תיאר, כי הנאשם ממשיך במקום עבודתו, ומבסס את חייו הבוגרים כנשוי טרי. עוד צוין, כי הוא עבר לאחרונה ניתוח שעבר בהצלחה שמטרתו להקל על הכאבים הכרוניים בגבו כתוצאה מהפציעה. </w:t>
      </w:r>
    </w:p>
    <w:p w14:paraId="1A0EB5BF" w14:textId="77777777" w:rsidR="00473769" w:rsidRDefault="00473769" w:rsidP="00473769">
      <w:pPr>
        <w:pStyle w:val="a9"/>
        <w:spacing w:line="360" w:lineRule="auto"/>
        <w:ind w:left="360"/>
        <w:jc w:val="both"/>
        <w:rPr>
          <w:rFonts w:ascii="Arial" w:hAnsi="Arial"/>
          <w:rtl/>
        </w:rPr>
      </w:pPr>
      <w:r>
        <w:rPr>
          <w:rFonts w:ascii="Arial" w:hAnsi="Arial" w:hint="cs"/>
          <w:rtl/>
        </w:rPr>
        <w:t xml:space="preserve">שירות המבחן נפגש פעם נוספת עם אמו של הנאשם, ועלה כי אין כל גילויי אלימות מצידו, הוא רגוע ונינוח ומשקיע את מרצו בפרנסתו וביסוס משפחתו. </w:t>
      </w:r>
    </w:p>
    <w:p w14:paraId="415F155C" w14:textId="77777777" w:rsidR="00473769" w:rsidRDefault="00473769" w:rsidP="00473769">
      <w:pPr>
        <w:pStyle w:val="a9"/>
        <w:spacing w:line="360" w:lineRule="auto"/>
        <w:ind w:left="360"/>
        <w:jc w:val="both"/>
        <w:rPr>
          <w:rFonts w:ascii="Arial" w:hAnsi="Arial"/>
          <w:rtl/>
        </w:rPr>
      </w:pPr>
      <w:r>
        <w:rPr>
          <w:rFonts w:ascii="Arial" w:hAnsi="Arial" w:hint="cs"/>
          <w:rtl/>
        </w:rPr>
        <w:t>שירות המבחן סבר, כי ישנה התקדמות בהליך הטיפולי וכי הדבר יכול להפחית ממידת הסיכון להישנות התנהלות עוברת חוק בעתיד.</w:t>
      </w:r>
    </w:p>
    <w:p w14:paraId="77C3545E" w14:textId="77777777" w:rsidR="00473769" w:rsidRDefault="00473769" w:rsidP="00473769">
      <w:pPr>
        <w:pStyle w:val="a9"/>
        <w:spacing w:line="360" w:lineRule="auto"/>
        <w:ind w:left="360"/>
        <w:jc w:val="both"/>
        <w:rPr>
          <w:rFonts w:ascii="Arial" w:hAnsi="Arial"/>
          <w:rtl/>
        </w:rPr>
      </w:pPr>
    </w:p>
    <w:p w14:paraId="1B889436" w14:textId="77777777" w:rsidR="00473769" w:rsidRPr="0064018E" w:rsidRDefault="00473769" w:rsidP="00473769">
      <w:pPr>
        <w:pStyle w:val="a9"/>
        <w:spacing w:line="360" w:lineRule="auto"/>
        <w:ind w:left="360"/>
        <w:jc w:val="both"/>
        <w:rPr>
          <w:rFonts w:ascii="Arial" w:hAnsi="Arial"/>
          <w:rtl/>
        </w:rPr>
      </w:pPr>
      <w:r>
        <w:rPr>
          <w:rFonts w:ascii="Arial" w:hAnsi="Arial" w:hint="cs"/>
          <w:rtl/>
        </w:rPr>
        <w:t xml:space="preserve">שירות המבחן חזר על המלצתו לסיום התיק בצו של"צ של 180 שעות ולהטלת צו מבחן למשך שנה. </w:t>
      </w:r>
    </w:p>
    <w:p w14:paraId="61AA8B0C" w14:textId="77777777" w:rsidR="00473769" w:rsidRDefault="00473769" w:rsidP="00473769">
      <w:pPr>
        <w:pStyle w:val="a9"/>
        <w:spacing w:line="360" w:lineRule="auto"/>
        <w:ind w:left="360"/>
        <w:jc w:val="both"/>
        <w:rPr>
          <w:rFonts w:ascii="Arial" w:hAnsi="Arial"/>
          <w:rtl/>
        </w:rPr>
      </w:pPr>
    </w:p>
    <w:p w14:paraId="66A5245F" w14:textId="77777777" w:rsidR="00473769" w:rsidRDefault="00473769" w:rsidP="00473769">
      <w:pPr>
        <w:spacing w:line="480" w:lineRule="auto"/>
        <w:jc w:val="both"/>
        <w:rPr>
          <w:rFonts w:ascii="Arial" w:hAnsi="Arial"/>
          <w:b/>
          <w:bCs/>
          <w:sz w:val="32"/>
          <w:szCs w:val="32"/>
          <w:u w:val="single"/>
          <w:rtl/>
        </w:rPr>
      </w:pPr>
      <w:r>
        <w:rPr>
          <w:rFonts w:ascii="Arial" w:hAnsi="Arial"/>
          <w:b/>
          <w:bCs/>
          <w:sz w:val="32"/>
          <w:szCs w:val="32"/>
          <w:u w:val="single"/>
          <w:rtl/>
        </w:rPr>
        <w:t>ראיות לעונש</w:t>
      </w:r>
    </w:p>
    <w:p w14:paraId="6871489F" w14:textId="77777777" w:rsidR="00473769" w:rsidRDefault="00473769" w:rsidP="00473769">
      <w:pPr>
        <w:pStyle w:val="a9"/>
        <w:numPr>
          <w:ilvl w:val="0"/>
          <w:numId w:val="1"/>
        </w:numPr>
        <w:spacing w:line="360" w:lineRule="auto"/>
        <w:ind w:left="360"/>
        <w:jc w:val="both"/>
      </w:pPr>
      <w:r>
        <w:rPr>
          <w:rFonts w:hint="cs"/>
          <w:rtl/>
        </w:rPr>
        <w:t xml:space="preserve">הגב' </w:t>
      </w:r>
      <w:r w:rsidRPr="00AC5C50">
        <w:rPr>
          <w:rFonts w:hint="cs"/>
          <w:b/>
          <w:bCs/>
          <w:rtl/>
        </w:rPr>
        <w:t>דיאנה וסרמן</w:t>
      </w:r>
      <w:r>
        <w:rPr>
          <w:rFonts w:hint="cs"/>
          <w:rtl/>
        </w:rPr>
        <w:t xml:space="preserve"> </w:t>
      </w:r>
      <w:r>
        <w:rPr>
          <w:rtl/>
        </w:rPr>
        <w:t>–</w:t>
      </w:r>
      <w:r>
        <w:rPr>
          <w:rFonts w:hint="cs"/>
          <w:rtl/>
        </w:rPr>
        <w:t xml:space="preserve"> אמו של הנאשם שהיא נפגעת העבירה בכתב האישום הראשון, התייצבה בבית המשפט לדיון הטיעונים לעונש. </w:t>
      </w:r>
    </w:p>
    <w:p w14:paraId="5CFBDC1E" w14:textId="77777777" w:rsidR="00473769" w:rsidRDefault="00473769" w:rsidP="00473769">
      <w:pPr>
        <w:pStyle w:val="a9"/>
        <w:spacing w:line="360" w:lineRule="auto"/>
        <w:ind w:left="360"/>
        <w:jc w:val="both"/>
      </w:pPr>
      <w:r>
        <w:rPr>
          <w:rFonts w:hint="cs"/>
          <w:rtl/>
        </w:rPr>
        <w:t xml:space="preserve">בהתרגשות רבה שבהחלט ניכרה עליה ביקשה לתת לנאשם הזדמנות נוספת. היא תיארה את פציעתו בעת השירות הצבאי ממנה הוא סובל עד היום, ואת הסתבכותו בחובות לשוק האפור </w:t>
      </w:r>
      <w:r>
        <w:rPr>
          <w:rtl/>
        </w:rPr>
        <w:t>–</w:t>
      </w:r>
      <w:r>
        <w:rPr>
          <w:rFonts w:hint="cs"/>
          <w:rtl/>
        </w:rPr>
        <w:t xml:space="preserve"> מה שהביא לכך שעבריינים הגיעו אף אליה ושרפו את דלת הבית. היא אמרה כי היום הנאשם הוא אדם אחר לגמרי, הוא </w:t>
      </w:r>
      <w:r>
        <w:rPr>
          <w:rtl/>
        </w:rPr>
        <w:t>התחתן, אישתו בהריון</w:t>
      </w:r>
      <w:r>
        <w:rPr>
          <w:rFonts w:hint="cs"/>
          <w:rtl/>
        </w:rPr>
        <w:t xml:space="preserve">, התנהגותו מכבדת, הוא עובד באופן קבוע ובנובמבר צפוי גם להתחיל ללמוד. </w:t>
      </w:r>
      <w:r>
        <w:rPr>
          <w:rtl/>
        </w:rPr>
        <w:t xml:space="preserve"> </w:t>
      </w:r>
    </w:p>
    <w:p w14:paraId="45385B5E" w14:textId="77777777" w:rsidR="00473769" w:rsidRDefault="00473769" w:rsidP="00473769">
      <w:pPr>
        <w:pStyle w:val="a9"/>
        <w:spacing w:line="360" w:lineRule="auto"/>
        <w:ind w:left="360"/>
        <w:jc w:val="both"/>
      </w:pPr>
    </w:p>
    <w:p w14:paraId="1E15F147" w14:textId="77777777" w:rsidR="00473769" w:rsidRDefault="00473769" w:rsidP="00473769">
      <w:pPr>
        <w:spacing w:line="480" w:lineRule="auto"/>
        <w:jc w:val="both"/>
        <w:rPr>
          <w:rFonts w:ascii="Arial" w:hAnsi="Arial"/>
          <w:b/>
          <w:bCs/>
          <w:sz w:val="32"/>
          <w:szCs w:val="32"/>
          <w:u w:val="single"/>
        </w:rPr>
      </w:pPr>
      <w:r>
        <w:rPr>
          <w:rFonts w:ascii="Arial" w:hAnsi="Arial"/>
          <w:b/>
          <w:bCs/>
          <w:sz w:val="32"/>
          <w:szCs w:val="32"/>
          <w:u w:val="single"/>
          <w:rtl/>
        </w:rPr>
        <w:t>טיעוני הצדדים לעונש</w:t>
      </w:r>
    </w:p>
    <w:p w14:paraId="4AD5F940" w14:textId="77777777" w:rsidR="00473769" w:rsidRDefault="00473769" w:rsidP="00473769">
      <w:pPr>
        <w:spacing w:line="360" w:lineRule="auto"/>
        <w:jc w:val="both"/>
        <w:rPr>
          <w:rFonts w:ascii="Arial" w:hAnsi="Arial"/>
          <w:b/>
          <w:bCs/>
          <w:u w:val="single"/>
          <w:rtl/>
        </w:rPr>
      </w:pPr>
      <w:r w:rsidRPr="00AC5C50">
        <w:rPr>
          <w:rFonts w:ascii="Arial" w:hAnsi="Arial" w:hint="cs"/>
          <w:b/>
          <w:bCs/>
          <w:u w:val="single"/>
          <w:rtl/>
        </w:rPr>
        <w:t>ב"כ המאשימה</w:t>
      </w:r>
    </w:p>
    <w:p w14:paraId="0DC7D888" w14:textId="77777777" w:rsidR="00473769" w:rsidRPr="00AC5C50" w:rsidRDefault="00473769" w:rsidP="00473769">
      <w:pPr>
        <w:spacing w:line="360" w:lineRule="auto"/>
        <w:jc w:val="both"/>
        <w:rPr>
          <w:rFonts w:ascii="Arial" w:hAnsi="Arial"/>
          <w:b/>
          <w:bCs/>
          <w:u w:val="single"/>
        </w:rPr>
      </w:pPr>
    </w:p>
    <w:p w14:paraId="46CA896F" w14:textId="77777777" w:rsidR="00473769" w:rsidRPr="009C17AE" w:rsidRDefault="00473769" w:rsidP="00473769">
      <w:pPr>
        <w:pStyle w:val="a9"/>
        <w:numPr>
          <w:ilvl w:val="0"/>
          <w:numId w:val="1"/>
        </w:numPr>
        <w:spacing w:line="360" w:lineRule="auto"/>
        <w:ind w:left="360"/>
        <w:jc w:val="both"/>
        <w:rPr>
          <w:rFonts w:ascii="Arial" w:hAnsi="Arial"/>
        </w:rPr>
      </w:pPr>
      <w:r>
        <w:rPr>
          <w:rFonts w:ascii="Arial" w:hAnsi="Arial"/>
          <w:rtl/>
        </w:rPr>
        <w:t>ב"כ המאשימה</w:t>
      </w:r>
      <w:r>
        <w:rPr>
          <w:rFonts w:ascii="Arial" w:hAnsi="Arial" w:hint="cs"/>
          <w:rtl/>
        </w:rPr>
        <w:t xml:space="preserve"> הגישה </w:t>
      </w:r>
      <w:r>
        <w:rPr>
          <w:rFonts w:hint="cs"/>
          <w:rtl/>
        </w:rPr>
        <w:t xml:space="preserve">את </w:t>
      </w:r>
      <w:r>
        <w:rPr>
          <w:rtl/>
        </w:rPr>
        <w:t xml:space="preserve">גיליון הרשעות </w:t>
      </w:r>
      <w:r>
        <w:rPr>
          <w:rFonts w:hint="cs"/>
          <w:rtl/>
        </w:rPr>
        <w:t>ה</w:t>
      </w:r>
      <w:r>
        <w:rPr>
          <w:rtl/>
        </w:rPr>
        <w:t>קודמות של הנאשם</w:t>
      </w:r>
      <w:r>
        <w:rPr>
          <w:rFonts w:hint="cs"/>
          <w:rtl/>
        </w:rPr>
        <w:t xml:space="preserve"> (ת/1) </w:t>
      </w:r>
      <w:r>
        <w:rPr>
          <w:rtl/>
        </w:rPr>
        <w:t>ושתי תמונות</w:t>
      </w:r>
      <w:r>
        <w:rPr>
          <w:rFonts w:hint="cs"/>
          <w:rtl/>
        </w:rPr>
        <w:t xml:space="preserve"> של הסכינים שנתפסו ברשותו</w:t>
      </w:r>
      <w:r>
        <w:rPr>
          <w:rtl/>
        </w:rPr>
        <w:t xml:space="preserve"> (ת/2). </w:t>
      </w:r>
    </w:p>
    <w:p w14:paraId="630751B8" w14:textId="77777777" w:rsidR="00473769" w:rsidRDefault="00473769" w:rsidP="00473769">
      <w:pPr>
        <w:spacing w:line="360" w:lineRule="auto"/>
        <w:ind w:left="360"/>
        <w:jc w:val="both"/>
        <w:rPr>
          <w:rtl/>
        </w:rPr>
      </w:pPr>
      <w:r>
        <w:rPr>
          <w:rFonts w:hint="cs"/>
          <w:rtl/>
        </w:rPr>
        <w:t xml:space="preserve">לטענת המאשימה, </w:t>
      </w:r>
      <w:r>
        <w:rPr>
          <w:rtl/>
        </w:rPr>
        <w:t xml:space="preserve">הנאשם </w:t>
      </w:r>
      <w:r>
        <w:rPr>
          <w:rFonts w:hint="cs"/>
          <w:rtl/>
        </w:rPr>
        <w:t xml:space="preserve">פגע </w:t>
      </w:r>
      <w:r>
        <w:rPr>
          <w:rtl/>
        </w:rPr>
        <w:t>בערכים המוגנים של הגנה על שלמות גופם של בני האדם, כמו כן הגנה על רכושו של האדם, שלוות הנפש ואוטונומיית הפרט לקבל החלטותיו מבלי שיופנ</w:t>
      </w:r>
      <w:r>
        <w:rPr>
          <w:rFonts w:hint="cs"/>
          <w:rtl/>
        </w:rPr>
        <w:t>ו נגדו איומים</w:t>
      </w:r>
      <w:r>
        <w:rPr>
          <w:rtl/>
        </w:rPr>
        <w:t xml:space="preserve">. </w:t>
      </w:r>
    </w:p>
    <w:p w14:paraId="2AD6FD5A" w14:textId="77777777" w:rsidR="00473769" w:rsidRPr="009C17AE" w:rsidRDefault="00473769" w:rsidP="00473769">
      <w:pPr>
        <w:pStyle w:val="a9"/>
        <w:spacing w:line="360" w:lineRule="auto"/>
        <w:ind w:left="360"/>
        <w:jc w:val="both"/>
        <w:rPr>
          <w:rFonts w:ascii="Arial" w:hAnsi="Arial"/>
          <w:rtl/>
        </w:rPr>
      </w:pPr>
      <w:r>
        <w:rPr>
          <w:rFonts w:ascii="Arial" w:hAnsi="Arial" w:hint="cs"/>
          <w:rtl/>
        </w:rPr>
        <w:t xml:space="preserve">עוד נטען, כי </w:t>
      </w:r>
      <w:r w:rsidRPr="009C17AE">
        <w:rPr>
          <w:rFonts w:ascii="Arial" w:hAnsi="Arial"/>
          <w:rtl/>
        </w:rPr>
        <w:t xml:space="preserve">הנאשם הוא המבצע הבלעדי </w:t>
      </w:r>
      <w:r>
        <w:rPr>
          <w:rFonts w:ascii="Arial" w:hAnsi="Arial" w:hint="cs"/>
          <w:rtl/>
        </w:rPr>
        <w:t xml:space="preserve">של העבירות </w:t>
      </w:r>
      <w:r w:rsidRPr="009C17AE">
        <w:rPr>
          <w:rFonts w:ascii="Arial" w:hAnsi="Arial"/>
          <w:rtl/>
        </w:rPr>
        <w:t>נגד אמו</w:t>
      </w:r>
      <w:r>
        <w:rPr>
          <w:rFonts w:ascii="Arial" w:hAnsi="Arial" w:hint="cs"/>
          <w:rtl/>
        </w:rPr>
        <w:t>, שנעשו</w:t>
      </w:r>
      <w:r w:rsidRPr="009C17AE">
        <w:rPr>
          <w:rFonts w:ascii="Arial" w:hAnsi="Arial"/>
          <w:rtl/>
        </w:rPr>
        <w:t xml:space="preserve"> בביתה </w:t>
      </w:r>
      <w:r>
        <w:rPr>
          <w:rFonts w:ascii="Arial" w:hAnsi="Arial" w:hint="cs"/>
          <w:rtl/>
        </w:rPr>
        <w:t xml:space="preserve">שהוא מבצרה. המאשימה הפנתה לכך, כי עוד באותו היום, בערב, נתפסו ברכבו של הנאשם הסמים, המשקל האלקטרוני והסכינים. </w:t>
      </w:r>
    </w:p>
    <w:p w14:paraId="14C222B1" w14:textId="77777777" w:rsidR="00473769" w:rsidRDefault="00473769" w:rsidP="00473769">
      <w:pPr>
        <w:pStyle w:val="a9"/>
        <w:spacing w:line="360" w:lineRule="auto"/>
        <w:ind w:left="360"/>
        <w:jc w:val="both"/>
        <w:rPr>
          <w:rFonts w:ascii="Arial" w:hAnsi="Arial"/>
          <w:rtl/>
        </w:rPr>
      </w:pPr>
    </w:p>
    <w:p w14:paraId="76B98E3B" w14:textId="77777777" w:rsidR="00473769" w:rsidRDefault="00473769" w:rsidP="00473769">
      <w:pPr>
        <w:pStyle w:val="a9"/>
        <w:spacing w:line="360" w:lineRule="auto"/>
        <w:ind w:left="360"/>
        <w:jc w:val="both"/>
        <w:rPr>
          <w:rFonts w:ascii="Arial" w:hAnsi="Arial"/>
          <w:rtl/>
        </w:rPr>
      </w:pPr>
      <w:r>
        <w:rPr>
          <w:rFonts w:ascii="Arial" w:hAnsi="Arial" w:hint="cs"/>
          <w:rtl/>
        </w:rPr>
        <w:t xml:space="preserve">לדעת </w:t>
      </w:r>
      <w:r w:rsidRPr="009C17AE">
        <w:rPr>
          <w:rFonts w:ascii="Arial" w:hAnsi="Arial"/>
          <w:rtl/>
        </w:rPr>
        <w:t>המאשימה</w:t>
      </w:r>
      <w:r>
        <w:rPr>
          <w:rFonts w:ascii="Arial" w:hAnsi="Arial" w:hint="cs"/>
          <w:rtl/>
        </w:rPr>
        <w:t xml:space="preserve">, </w:t>
      </w:r>
      <w:r w:rsidRPr="009C17AE">
        <w:rPr>
          <w:rFonts w:ascii="Arial" w:hAnsi="Arial"/>
          <w:rtl/>
        </w:rPr>
        <w:t xml:space="preserve"> </w:t>
      </w:r>
      <w:r>
        <w:rPr>
          <w:rFonts w:ascii="Arial" w:hAnsi="Arial" w:hint="cs"/>
          <w:rtl/>
        </w:rPr>
        <w:t>מתחם העונש</w:t>
      </w:r>
      <w:r>
        <w:rPr>
          <w:rFonts w:ascii="Arial" w:hAnsi="Arial"/>
          <w:rtl/>
        </w:rPr>
        <w:t xml:space="preserve"> </w:t>
      </w:r>
      <w:r>
        <w:rPr>
          <w:rFonts w:ascii="Arial" w:hAnsi="Arial" w:hint="cs"/>
          <w:rtl/>
        </w:rPr>
        <w:t xml:space="preserve">ההולם </w:t>
      </w:r>
      <w:r>
        <w:rPr>
          <w:rFonts w:ascii="Arial" w:hAnsi="Arial"/>
          <w:rtl/>
        </w:rPr>
        <w:t>נע בין מס</w:t>
      </w:r>
      <w:r>
        <w:rPr>
          <w:rFonts w:ascii="Arial" w:hAnsi="Arial" w:hint="cs"/>
          <w:rtl/>
        </w:rPr>
        <w:t>פר</w:t>
      </w:r>
      <w:r w:rsidRPr="009C17AE">
        <w:rPr>
          <w:rFonts w:ascii="Arial" w:hAnsi="Arial"/>
          <w:rtl/>
        </w:rPr>
        <w:t xml:space="preserve"> חודשי מאסר שיכול וירוצו בעבודות ש</w:t>
      </w:r>
      <w:r>
        <w:rPr>
          <w:rFonts w:ascii="Arial" w:hAnsi="Arial" w:hint="cs"/>
          <w:rtl/>
        </w:rPr>
        <w:t>י</w:t>
      </w:r>
      <w:r>
        <w:rPr>
          <w:rFonts w:ascii="Arial" w:hAnsi="Arial"/>
          <w:rtl/>
        </w:rPr>
        <w:t>רות ועד 12 חודשי</w:t>
      </w:r>
      <w:r>
        <w:rPr>
          <w:rFonts w:ascii="Arial" w:hAnsi="Arial" w:hint="cs"/>
          <w:rtl/>
        </w:rPr>
        <w:t xml:space="preserve"> מאסר,</w:t>
      </w:r>
      <w:r>
        <w:rPr>
          <w:rFonts w:ascii="Arial" w:hAnsi="Arial"/>
          <w:rtl/>
        </w:rPr>
        <w:t xml:space="preserve"> עבור כל תיק</w:t>
      </w:r>
      <w:r>
        <w:rPr>
          <w:rFonts w:ascii="Arial" w:hAnsi="Arial" w:hint="cs"/>
          <w:rtl/>
        </w:rPr>
        <w:t>.</w:t>
      </w:r>
      <w:r w:rsidRPr="009C17AE">
        <w:rPr>
          <w:rFonts w:ascii="Arial" w:hAnsi="Arial"/>
          <w:rtl/>
        </w:rPr>
        <w:t xml:space="preserve"> </w:t>
      </w:r>
      <w:r>
        <w:rPr>
          <w:rFonts w:ascii="Arial" w:hAnsi="Arial" w:hint="cs"/>
          <w:rtl/>
        </w:rPr>
        <w:t>המאשימה הפנתה</w:t>
      </w:r>
      <w:r w:rsidRPr="009C17AE">
        <w:rPr>
          <w:rFonts w:ascii="Arial" w:hAnsi="Arial"/>
          <w:rtl/>
        </w:rPr>
        <w:t xml:space="preserve"> </w:t>
      </w:r>
      <w:r>
        <w:rPr>
          <w:rFonts w:ascii="Arial" w:hAnsi="Arial" w:hint="cs"/>
          <w:rtl/>
        </w:rPr>
        <w:t>אף לפסיקה התומכת בעמדתה באשר למתחמי הענישה המבוקשים</w:t>
      </w:r>
      <w:r w:rsidRPr="009C17AE">
        <w:rPr>
          <w:rFonts w:ascii="Arial" w:hAnsi="Arial"/>
          <w:rtl/>
        </w:rPr>
        <w:t xml:space="preserve">. </w:t>
      </w:r>
      <w:r>
        <w:rPr>
          <w:rFonts w:ascii="Arial" w:hAnsi="Arial" w:hint="cs"/>
          <w:rtl/>
        </w:rPr>
        <w:t>וכמו כן הצביעה על הרשעה</w:t>
      </w:r>
      <w:r>
        <w:rPr>
          <w:rFonts w:ascii="Arial" w:hAnsi="Arial"/>
          <w:rtl/>
        </w:rPr>
        <w:t xml:space="preserve"> קודמת </w:t>
      </w:r>
      <w:r>
        <w:rPr>
          <w:rFonts w:ascii="Arial" w:hAnsi="Arial" w:hint="cs"/>
          <w:rtl/>
        </w:rPr>
        <w:t xml:space="preserve">של הנאשם </w:t>
      </w:r>
      <w:r w:rsidRPr="009C17AE">
        <w:rPr>
          <w:rFonts w:ascii="Arial" w:hAnsi="Arial"/>
          <w:rtl/>
        </w:rPr>
        <w:t>בעבירה של העדר מן השרות</w:t>
      </w:r>
      <w:r>
        <w:rPr>
          <w:rFonts w:ascii="Arial" w:hAnsi="Arial" w:hint="cs"/>
          <w:rtl/>
        </w:rPr>
        <w:t xml:space="preserve"> הצבאי. </w:t>
      </w:r>
    </w:p>
    <w:p w14:paraId="47925489" w14:textId="77777777" w:rsidR="00473769" w:rsidRDefault="00473769" w:rsidP="00473769">
      <w:pPr>
        <w:pStyle w:val="a9"/>
        <w:spacing w:line="360" w:lineRule="auto"/>
        <w:ind w:left="360"/>
        <w:jc w:val="both"/>
        <w:rPr>
          <w:rFonts w:ascii="Arial" w:hAnsi="Arial"/>
          <w:rtl/>
        </w:rPr>
      </w:pPr>
      <w:r>
        <w:rPr>
          <w:rFonts w:ascii="Arial" w:hAnsi="Arial" w:hint="cs"/>
          <w:rtl/>
        </w:rPr>
        <w:t xml:space="preserve">ב"כ המאשימה הפנתה לתסקירים, וטענה כי התרשמות שירות המבחן היא כי </w:t>
      </w:r>
      <w:r w:rsidRPr="009C17AE">
        <w:rPr>
          <w:rFonts w:ascii="Arial" w:hAnsi="Arial"/>
          <w:rtl/>
        </w:rPr>
        <w:t>הנאשם נוטה לפנות לפתרונות שוליים כמו סמי רחוב או התנהגות תוקפנית</w:t>
      </w:r>
      <w:r>
        <w:rPr>
          <w:rFonts w:ascii="Arial" w:hAnsi="Arial" w:hint="cs"/>
          <w:rtl/>
        </w:rPr>
        <w:t>, וכי ב</w:t>
      </w:r>
      <w:r w:rsidRPr="009C17AE">
        <w:rPr>
          <w:rFonts w:ascii="Arial" w:hAnsi="Arial"/>
          <w:rtl/>
        </w:rPr>
        <w:t xml:space="preserve">מפגשים בקבוצה </w:t>
      </w:r>
      <w:r>
        <w:rPr>
          <w:rFonts w:ascii="Arial" w:hAnsi="Arial" w:hint="cs"/>
          <w:rtl/>
        </w:rPr>
        <w:t xml:space="preserve">הטיפולית הוא גילה </w:t>
      </w:r>
      <w:r w:rsidRPr="009C17AE">
        <w:rPr>
          <w:rFonts w:ascii="Arial" w:hAnsi="Arial"/>
          <w:rtl/>
        </w:rPr>
        <w:t>עמדה מתגוננת</w:t>
      </w:r>
      <w:r>
        <w:rPr>
          <w:rFonts w:ascii="Arial" w:hAnsi="Arial" w:hint="cs"/>
          <w:rtl/>
        </w:rPr>
        <w:t>, כאשר</w:t>
      </w:r>
      <w:r>
        <w:rPr>
          <w:rFonts w:ascii="Arial" w:hAnsi="Arial"/>
          <w:rtl/>
        </w:rPr>
        <w:t xml:space="preserve"> שרות המבחן </w:t>
      </w:r>
      <w:r w:rsidRPr="009C17AE">
        <w:rPr>
          <w:rFonts w:ascii="Arial" w:hAnsi="Arial"/>
          <w:rtl/>
        </w:rPr>
        <w:t xml:space="preserve">עצמו אומר </w:t>
      </w:r>
      <w:r>
        <w:rPr>
          <w:rFonts w:ascii="Arial" w:hAnsi="Arial" w:hint="cs"/>
          <w:rtl/>
        </w:rPr>
        <w:t>סבר כי מדובר בשלב טיפולי ראשוני</w:t>
      </w:r>
      <w:r>
        <w:rPr>
          <w:rFonts w:ascii="Arial" w:hAnsi="Arial"/>
          <w:rtl/>
        </w:rPr>
        <w:t xml:space="preserve">. </w:t>
      </w:r>
      <w:r w:rsidRPr="009C17AE">
        <w:rPr>
          <w:rFonts w:ascii="Arial" w:hAnsi="Arial"/>
          <w:rtl/>
        </w:rPr>
        <w:t xml:space="preserve"> </w:t>
      </w:r>
    </w:p>
    <w:p w14:paraId="53C1E336" w14:textId="77777777" w:rsidR="00473769" w:rsidRDefault="00473769" w:rsidP="00473769">
      <w:pPr>
        <w:pStyle w:val="a9"/>
        <w:spacing w:line="360" w:lineRule="auto"/>
        <w:ind w:left="360"/>
        <w:jc w:val="both"/>
        <w:rPr>
          <w:rFonts w:ascii="Arial" w:hAnsi="Arial"/>
          <w:rtl/>
        </w:rPr>
      </w:pPr>
    </w:p>
    <w:p w14:paraId="5036677B" w14:textId="77777777" w:rsidR="00473769" w:rsidRDefault="00473769" w:rsidP="00473769">
      <w:pPr>
        <w:pStyle w:val="a9"/>
        <w:spacing w:line="360" w:lineRule="auto"/>
        <w:ind w:left="360"/>
        <w:jc w:val="both"/>
        <w:rPr>
          <w:rFonts w:ascii="Arial" w:hAnsi="Arial"/>
          <w:rtl/>
        </w:rPr>
      </w:pPr>
      <w:r>
        <w:rPr>
          <w:rFonts w:ascii="Arial" w:hAnsi="Arial" w:hint="cs"/>
          <w:rtl/>
        </w:rPr>
        <w:t>לטענת המאשימה, אין</w:t>
      </w:r>
      <w:r w:rsidRPr="009C17AE">
        <w:rPr>
          <w:rFonts w:ascii="Arial" w:hAnsi="Arial"/>
          <w:rtl/>
        </w:rPr>
        <w:t xml:space="preserve"> מדובר במקרה שמצ</w:t>
      </w:r>
      <w:r>
        <w:rPr>
          <w:rFonts w:ascii="Arial" w:hAnsi="Arial"/>
          <w:rtl/>
        </w:rPr>
        <w:t>דיק סטי</w:t>
      </w:r>
      <w:r w:rsidRPr="009C17AE">
        <w:rPr>
          <w:rFonts w:ascii="Arial" w:hAnsi="Arial"/>
          <w:rtl/>
        </w:rPr>
        <w:t xml:space="preserve">ה </w:t>
      </w:r>
      <w:r>
        <w:rPr>
          <w:rFonts w:ascii="Arial" w:hAnsi="Arial" w:hint="cs"/>
          <w:rtl/>
        </w:rPr>
        <w:t>ממתחמי הענישה בשל שיקום</w:t>
      </w:r>
      <w:r w:rsidRPr="009C17AE">
        <w:rPr>
          <w:rFonts w:ascii="Arial" w:hAnsi="Arial"/>
          <w:rtl/>
        </w:rPr>
        <w:t xml:space="preserve">, </w:t>
      </w:r>
      <w:r>
        <w:rPr>
          <w:rFonts w:ascii="Arial" w:hAnsi="Arial" w:hint="cs"/>
          <w:rtl/>
        </w:rPr>
        <w:t>ויש, לגישתם,</w:t>
      </w:r>
      <w:r w:rsidRPr="009C17AE">
        <w:rPr>
          <w:rFonts w:ascii="Arial" w:hAnsi="Arial"/>
          <w:rtl/>
        </w:rPr>
        <w:t xml:space="preserve"> להטיל על הנא</w:t>
      </w:r>
      <w:r>
        <w:rPr>
          <w:rFonts w:ascii="Arial" w:hAnsi="Arial"/>
          <w:rtl/>
        </w:rPr>
        <w:t>שם עונש מאסר שלא יפחת מ-8 חודשי</w:t>
      </w:r>
      <w:r>
        <w:rPr>
          <w:rFonts w:ascii="Arial" w:hAnsi="Arial" w:hint="cs"/>
          <w:rtl/>
        </w:rPr>
        <w:t xml:space="preserve"> מאסר,</w:t>
      </w:r>
      <w:r w:rsidRPr="009C17AE">
        <w:rPr>
          <w:rFonts w:ascii="Arial" w:hAnsi="Arial"/>
          <w:rtl/>
        </w:rPr>
        <w:t xml:space="preserve"> </w:t>
      </w:r>
      <w:r>
        <w:rPr>
          <w:rFonts w:ascii="Arial" w:hAnsi="Arial" w:hint="cs"/>
          <w:rtl/>
        </w:rPr>
        <w:t>אשר ניתן יהיה לרצותו</w:t>
      </w:r>
      <w:r w:rsidRPr="009C17AE">
        <w:rPr>
          <w:rFonts w:ascii="Arial" w:hAnsi="Arial"/>
          <w:rtl/>
        </w:rPr>
        <w:t xml:space="preserve"> בעבודות שרות</w:t>
      </w:r>
      <w:r>
        <w:rPr>
          <w:rFonts w:ascii="Arial" w:hAnsi="Arial" w:hint="cs"/>
          <w:rtl/>
        </w:rPr>
        <w:t>, וזאת</w:t>
      </w:r>
      <w:r w:rsidRPr="009C17AE">
        <w:rPr>
          <w:rFonts w:ascii="Arial" w:hAnsi="Arial"/>
          <w:rtl/>
        </w:rPr>
        <w:t xml:space="preserve"> לצד מאסר מותנה וקנס. </w:t>
      </w:r>
    </w:p>
    <w:p w14:paraId="522CC3DB" w14:textId="77777777" w:rsidR="00473769" w:rsidRDefault="00473769" w:rsidP="00473769">
      <w:pPr>
        <w:pStyle w:val="a9"/>
        <w:spacing w:line="360" w:lineRule="auto"/>
        <w:ind w:left="360"/>
        <w:jc w:val="both"/>
        <w:rPr>
          <w:rFonts w:ascii="Arial" w:hAnsi="Arial"/>
          <w:rtl/>
        </w:rPr>
      </w:pPr>
    </w:p>
    <w:p w14:paraId="1A629129" w14:textId="77777777" w:rsidR="00473769" w:rsidRPr="00AC5C50" w:rsidRDefault="00473769" w:rsidP="00473769">
      <w:pPr>
        <w:spacing w:line="360" w:lineRule="auto"/>
        <w:jc w:val="both"/>
        <w:rPr>
          <w:rFonts w:ascii="Arial" w:hAnsi="Arial"/>
          <w:b/>
          <w:bCs/>
          <w:u w:val="single"/>
          <w:rtl/>
        </w:rPr>
      </w:pPr>
      <w:r w:rsidRPr="00AC5C50">
        <w:rPr>
          <w:rFonts w:ascii="Arial" w:hAnsi="Arial" w:hint="cs"/>
          <w:b/>
          <w:bCs/>
          <w:u w:val="single"/>
          <w:rtl/>
        </w:rPr>
        <w:t>ב"כ הנאשם</w:t>
      </w:r>
    </w:p>
    <w:p w14:paraId="52679B40" w14:textId="77777777" w:rsidR="00473769" w:rsidRDefault="00473769" w:rsidP="00473769">
      <w:pPr>
        <w:pStyle w:val="a9"/>
        <w:spacing w:line="360" w:lineRule="auto"/>
        <w:ind w:left="360"/>
        <w:jc w:val="both"/>
        <w:rPr>
          <w:rFonts w:ascii="Arial" w:hAnsi="Arial"/>
          <w:rtl/>
        </w:rPr>
      </w:pPr>
    </w:p>
    <w:p w14:paraId="6BBBB96B" w14:textId="77777777" w:rsidR="00473769" w:rsidRDefault="00473769" w:rsidP="00473769">
      <w:pPr>
        <w:pStyle w:val="a9"/>
        <w:numPr>
          <w:ilvl w:val="0"/>
          <w:numId w:val="1"/>
        </w:numPr>
        <w:spacing w:line="360" w:lineRule="auto"/>
        <w:ind w:left="360"/>
        <w:jc w:val="both"/>
        <w:rPr>
          <w:rFonts w:ascii="Arial" w:hAnsi="Arial"/>
        </w:rPr>
      </w:pPr>
      <w:r>
        <w:rPr>
          <w:rFonts w:hint="cs"/>
          <w:rtl/>
        </w:rPr>
        <w:t>הסנגור</w:t>
      </w:r>
      <w:r>
        <w:rPr>
          <w:rtl/>
        </w:rPr>
        <w:t xml:space="preserve">, </w:t>
      </w:r>
      <w:r w:rsidRPr="00F4401E">
        <w:rPr>
          <w:b/>
          <w:bCs/>
          <w:rtl/>
        </w:rPr>
        <w:t xml:space="preserve">עוה"ד </w:t>
      </w:r>
      <w:r w:rsidRPr="00F4401E">
        <w:rPr>
          <w:rFonts w:hint="cs"/>
          <w:b/>
          <w:bCs/>
          <w:rtl/>
        </w:rPr>
        <w:t>רותם כהן</w:t>
      </w:r>
      <w:r>
        <w:rPr>
          <w:rtl/>
        </w:rPr>
        <w:t>,</w:t>
      </w:r>
      <w:r>
        <w:rPr>
          <w:rFonts w:hint="cs"/>
          <w:rtl/>
        </w:rPr>
        <w:t xml:space="preserve"> הרחיב בטיעוניו. לדבריו, הנאשם הוא צעיר בן 24 </w:t>
      </w:r>
      <w:r>
        <w:rPr>
          <w:rtl/>
        </w:rPr>
        <w:t>–</w:t>
      </w:r>
      <w:r>
        <w:rPr>
          <w:rFonts w:hint="cs"/>
          <w:rtl/>
        </w:rPr>
        <w:t xml:space="preserve"> נעדר הרשעות מסוג אלה שעליהן הועמד לדין; הסנגור הדגיש כי האירועים בשני כתבי האישום התרחשו ביום 4.3.22; לדבריו, מדובר ב</w:t>
      </w:r>
      <w:r>
        <w:rPr>
          <w:rtl/>
        </w:rPr>
        <w:t>לילה ארור אחד בחייו</w:t>
      </w:r>
      <w:r>
        <w:rPr>
          <w:rFonts w:hint="cs"/>
          <w:rtl/>
        </w:rPr>
        <w:t xml:space="preserve"> של הנאשם.</w:t>
      </w:r>
      <w:r>
        <w:rPr>
          <w:rtl/>
        </w:rPr>
        <w:t xml:space="preserve"> </w:t>
      </w:r>
    </w:p>
    <w:p w14:paraId="1BC52F8A" w14:textId="77777777" w:rsidR="00473769" w:rsidRPr="00B327BA" w:rsidRDefault="00473769" w:rsidP="00473769">
      <w:pPr>
        <w:pStyle w:val="a9"/>
        <w:spacing w:line="360" w:lineRule="auto"/>
        <w:ind w:left="360"/>
        <w:jc w:val="both"/>
        <w:rPr>
          <w:rFonts w:ascii="Arial" w:hAnsi="Arial"/>
        </w:rPr>
      </w:pPr>
    </w:p>
    <w:p w14:paraId="76BD89BC" w14:textId="77777777" w:rsidR="00473769" w:rsidRDefault="00473769" w:rsidP="00473769">
      <w:pPr>
        <w:pStyle w:val="a9"/>
        <w:spacing w:line="360" w:lineRule="auto"/>
        <w:ind w:left="360"/>
        <w:jc w:val="both"/>
        <w:rPr>
          <w:rtl/>
        </w:rPr>
      </w:pPr>
      <w:r>
        <w:rPr>
          <w:rFonts w:hint="cs"/>
          <w:rtl/>
        </w:rPr>
        <w:t xml:space="preserve">הוא הדגיש, כי </w:t>
      </w:r>
      <w:r>
        <w:rPr>
          <w:rtl/>
        </w:rPr>
        <w:t>הנאשם בחר להודות בכתבי האישום</w:t>
      </w:r>
      <w:r>
        <w:rPr>
          <w:rFonts w:hint="cs"/>
          <w:rtl/>
        </w:rPr>
        <w:t xml:space="preserve">, </w:t>
      </w:r>
      <w:r>
        <w:rPr>
          <w:rtl/>
        </w:rPr>
        <w:t>ללא</w:t>
      </w:r>
      <w:r>
        <w:rPr>
          <w:rFonts w:hint="cs"/>
          <w:rtl/>
        </w:rPr>
        <w:t xml:space="preserve"> כל</w:t>
      </w:r>
      <w:r>
        <w:rPr>
          <w:rtl/>
        </w:rPr>
        <w:t xml:space="preserve"> תיקונים, </w:t>
      </w:r>
      <w:r>
        <w:rPr>
          <w:rFonts w:hint="cs"/>
          <w:rtl/>
        </w:rPr>
        <w:t>הגם כי מדובר באישומים</w:t>
      </w:r>
      <w:r>
        <w:rPr>
          <w:rtl/>
        </w:rPr>
        <w:t xml:space="preserve"> שלא חפים מבעיות</w:t>
      </w:r>
      <w:r>
        <w:rPr>
          <w:rFonts w:hint="cs"/>
          <w:rtl/>
        </w:rPr>
        <w:t>, ובנקל היה ניתן להצביע על</w:t>
      </w:r>
      <w:r>
        <w:rPr>
          <w:rtl/>
        </w:rPr>
        <w:t xml:space="preserve"> קשיים כדי לצמצם</w:t>
      </w:r>
      <w:r>
        <w:rPr>
          <w:rFonts w:hint="cs"/>
          <w:rtl/>
        </w:rPr>
        <w:t xml:space="preserve"> ולרכך אותם,</w:t>
      </w:r>
      <w:r>
        <w:rPr>
          <w:rtl/>
        </w:rPr>
        <w:t xml:space="preserve"> </w:t>
      </w:r>
      <w:r>
        <w:rPr>
          <w:rFonts w:hint="cs"/>
          <w:rtl/>
        </w:rPr>
        <w:t>ובכך לגזול זמן מיותר;</w:t>
      </w:r>
      <w:r>
        <w:rPr>
          <w:rtl/>
        </w:rPr>
        <w:t xml:space="preserve"> </w:t>
      </w:r>
      <w:r>
        <w:rPr>
          <w:rFonts w:hint="cs"/>
          <w:rtl/>
        </w:rPr>
        <w:t>אלא ש</w:t>
      </w:r>
      <w:r>
        <w:rPr>
          <w:rtl/>
        </w:rPr>
        <w:t xml:space="preserve">הנאשם בחר שלא לעשות כך, </w:t>
      </w:r>
      <w:r>
        <w:rPr>
          <w:rFonts w:hint="cs"/>
          <w:rtl/>
        </w:rPr>
        <w:t>מה</w:t>
      </w:r>
      <w:r>
        <w:rPr>
          <w:rtl/>
        </w:rPr>
        <w:t xml:space="preserve"> </w:t>
      </w:r>
      <w:r>
        <w:rPr>
          <w:rFonts w:hint="cs"/>
          <w:rtl/>
        </w:rPr>
        <w:t>ש</w:t>
      </w:r>
      <w:r>
        <w:rPr>
          <w:rtl/>
        </w:rPr>
        <w:t xml:space="preserve">מלמד על לקיחת אחריות אותנטית, כנה </w:t>
      </w:r>
      <w:r>
        <w:rPr>
          <w:rFonts w:hint="cs"/>
          <w:rtl/>
        </w:rPr>
        <w:t>ו</w:t>
      </w:r>
      <w:r>
        <w:rPr>
          <w:rtl/>
        </w:rPr>
        <w:t>מיידית</w:t>
      </w:r>
      <w:r>
        <w:rPr>
          <w:rFonts w:hint="cs"/>
          <w:rtl/>
        </w:rPr>
        <w:t xml:space="preserve"> על ידו.</w:t>
      </w:r>
    </w:p>
    <w:p w14:paraId="6059F1DF" w14:textId="77777777" w:rsidR="00473769" w:rsidRPr="00F4401E" w:rsidRDefault="00473769" w:rsidP="00473769">
      <w:pPr>
        <w:pStyle w:val="a9"/>
        <w:spacing w:line="360" w:lineRule="auto"/>
        <w:ind w:left="360"/>
        <w:jc w:val="both"/>
        <w:rPr>
          <w:rFonts w:ascii="Arial" w:hAnsi="Arial"/>
        </w:rPr>
      </w:pPr>
      <w:r>
        <w:rPr>
          <w:rtl/>
        </w:rPr>
        <w:t xml:space="preserve"> </w:t>
      </w:r>
    </w:p>
    <w:p w14:paraId="75A0EC86" w14:textId="77777777" w:rsidR="00473769" w:rsidRDefault="00473769" w:rsidP="00473769">
      <w:pPr>
        <w:pStyle w:val="a9"/>
        <w:spacing w:line="360" w:lineRule="auto"/>
        <w:ind w:left="360"/>
        <w:jc w:val="both"/>
        <w:rPr>
          <w:rtl/>
        </w:rPr>
      </w:pPr>
      <w:r>
        <w:rPr>
          <w:rFonts w:hint="cs"/>
          <w:rtl/>
        </w:rPr>
        <w:t xml:space="preserve">לדבריו, הנאשם היה בחור צעיר וחסר שיקול דעת כאשר </w:t>
      </w:r>
      <w:r>
        <w:rPr>
          <w:rtl/>
        </w:rPr>
        <w:t xml:space="preserve">הסתבך עם השוק האפור, ומאז </w:t>
      </w:r>
      <w:r>
        <w:rPr>
          <w:rFonts w:hint="cs"/>
          <w:rtl/>
        </w:rPr>
        <w:t>הוא ובני משפחתו חוו</w:t>
      </w:r>
      <w:r>
        <w:rPr>
          <w:rtl/>
        </w:rPr>
        <w:t xml:space="preserve"> טרור</w:t>
      </w:r>
      <w:r>
        <w:rPr>
          <w:rFonts w:hint="cs"/>
          <w:rtl/>
        </w:rPr>
        <w:t xml:space="preserve"> ואיומים, </w:t>
      </w:r>
      <w:r>
        <w:rPr>
          <w:rtl/>
        </w:rPr>
        <w:t xml:space="preserve">עד כדי </w:t>
      </w:r>
      <w:r>
        <w:rPr>
          <w:rFonts w:hint="cs"/>
          <w:rtl/>
        </w:rPr>
        <w:t xml:space="preserve">הצתת </w:t>
      </w:r>
      <w:r>
        <w:rPr>
          <w:rtl/>
        </w:rPr>
        <w:t xml:space="preserve">דלת ביתם, </w:t>
      </w:r>
      <w:r>
        <w:rPr>
          <w:rFonts w:hint="cs"/>
          <w:rtl/>
        </w:rPr>
        <w:t xml:space="preserve">וקשה </w:t>
      </w:r>
      <w:r>
        <w:rPr>
          <w:rtl/>
        </w:rPr>
        <w:t xml:space="preserve">להמחיש את הפחד </w:t>
      </w:r>
      <w:r>
        <w:rPr>
          <w:rFonts w:hint="cs"/>
          <w:rtl/>
        </w:rPr>
        <w:t>שאחז במשפחה נורמטיבית שעה שהיא נופלת קורבן להתנהלות גורמי השוק האפור.</w:t>
      </w:r>
      <w:r>
        <w:rPr>
          <w:rtl/>
        </w:rPr>
        <w:t xml:space="preserve"> </w:t>
      </w:r>
    </w:p>
    <w:p w14:paraId="399EBBD4" w14:textId="77777777" w:rsidR="00473769" w:rsidRDefault="00473769" w:rsidP="00473769">
      <w:pPr>
        <w:pStyle w:val="a9"/>
        <w:spacing w:line="360" w:lineRule="auto"/>
        <w:ind w:left="360"/>
        <w:jc w:val="both"/>
        <w:rPr>
          <w:rtl/>
        </w:rPr>
      </w:pPr>
    </w:p>
    <w:p w14:paraId="19988444" w14:textId="77777777" w:rsidR="00473769" w:rsidRDefault="00473769" w:rsidP="00473769">
      <w:pPr>
        <w:pStyle w:val="a9"/>
        <w:spacing w:line="360" w:lineRule="auto"/>
        <w:ind w:left="360"/>
        <w:jc w:val="both"/>
        <w:rPr>
          <w:rtl/>
        </w:rPr>
      </w:pPr>
      <w:r>
        <w:rPr>
          <w:rFonts w:hint="cs"/>
          <w:rtl/>
        </w:rPr>
        <w:t xml:space="preserve">הוא הטעים, כי בתקופה החשוכה הזו </w:t>
      </w:r>
      <w:r>
        <w:rPr>
          <w:rtl/>
        </w:rPr>
        <w:t xml:space="preserve">הנאשם היה מכור לסמים, אך </w:t>
      </w:r>
      <w:r>
        <w:rPr>
          <w:rFonts w:hint="cs"/>
          <w:rtl/>
        </w:rPr>
        <w:t xml:space="preserve">הוא </w:t>
      </w:r>
      <w:r>
        <w:rPr>
          <w:rtl/>
        </w:rPr>
        <w:t xml:space="preserve">בחר לחבק בשתי ידיו את ההזדמנות </w:t>
      </w:r>
      <w:r>
        <w:rPr>
          <w:rFonts w:hint="cs"/>
          <w:rtl/>
        </w:rPr>
        <w:t>הלא מובנת מאליה שנתן לו בית המשפט, ויצא</w:t>
      </w:r>
      <w:r>
        <w:rPr>
          <w:rtl/>
        </w:rPr>
        <w:t xml:space="preserve"> למסע </w:t>
      </w:r>
      <w:r>
        <w:rPr>
          <w:rFonts w:hint="cs"/>
          <w:rtl/>
        </w:rPr>
        <w:t xml:space="preserve">שיקומי. </w:t>
      </w:r>
    </w:p>
    <w:p w14:paraId="0B16ECCA" w14:textId="77777777" w:rsidR="00473769" w:rsidRDefault="00473769" w:rsidP="00473769">
      <w:pPr>
        <w:pStyle w:val="a9"/>
        <w:spacing w:line="360" w:lineRule="auto"/>
        <w:ind w:left="360"/>
        <w:jc w:val="both"/>
        <w:rPr>
          <w:rtl/>
        </w:rPr>
      </w:pPr>
      <w:r>
        <w:rPr>
          <w:rFonts w:hint="cs"/>
          <w:rtl/>
        </w:rPr>
        <w:t>הסנגור הפנה לשלושת התסקירים שהוגשו, המשקפים לדעתו עבודה קשה והתמדה הן של הנאשם והן של שירות המבחן, אשר הניבה פירות ממשיים.</w:t>
      </w:r>
    </w:p>
    <w:p w14:paraId="0986AAD2" w14:textId="77777777" w:rsidR="00473769" w:rsidRDefault="00473769" w:rsidP="00473769">
      <w:pPr>
        <w:pStyle w:val="a9"/>
        <w:spacing w:line="360" w:lineRule="auto"/>
        <w:ind w:left="360"/>
        <w:jc w:val="both"/>
        <w:rPr>
          <w:rtl/>
        </w:rPr>
      </w:pPr>
      <w:r>
        <w:rPr>
          <w:rFonts w:hint="cs"/>
          <w:rtl/>
        </w:rPr>
        <w:t xml:space="preserve">עוד הוא הדגיש, כי הנאשם בגילו הצעיר השכיל לעלות על דרך המלך, יש לו יציבות תעסוקתית, לא נפתחו לו תיקים חדשים, הוא עבר שינוי כנה ואמיתי וכל חייו לפניו. עוד הפנה הסנגור לפציעה שעבר הנאשם ולסבל שלו ממנה, והטעים כי חרף שהוא קיבל אישור להשתמש בקנביס רפואי, הוא לא עושה זאת  - וממצאי הבדיקות שעבר בשירות המבחן לאיתור שרידי סם מלמדים על כך במפורש. </w:t>
      </w:r>
    </w:p>
    <w:p w14:paraId="0E53FEED" w14:textId="77777777" w:rsidR="00473769" w:rsidRDefault="00473769" w:rsidP="00473769">
      <w:pPr>
        <w:pStyle w:val="a9"/>
        <w:spacing w:line="360" w:lineRule="auto"/>
        <w:ind w:left="360"/>
        <w:jc w:val="both"/>
        <w:rPr>
          <w:rtl/>
        </w:rPr>
      </w:pPr>
    </w:p>
    <w:p w14:paraId="47678C42" w14:textId="77777777" w:rsidR="00473769" w:rsidRDefault="00473769" w:rsidP="00473769">
      <w:pPr>
        <w:pStyle w:val="a9"/>
        <w:spacing w:line="360" w:lineRule="auto"/>
        <w:ind w:left="360"/>
        <w:jc w:val="both"/>
        <w:rPr>
          <w:rtl/>
        </w:rPr>
      </w:pPr>
      <w:r>
        <w:rPr>
          <w:rFonts w:hint="cs"/>
          <w:rtl/>
        </w:rPr>
        <w:t xml:space="preserve">ב"כ הנאשם הפנה להוראות </w:t>
      </w:r>
      <w:hyperlink r:id="rId24" w:history="1">
        <w:r w:rsidR="001B49EC" w:rsidRPr="001B49EC">
          <w:rPr>
            <w:color w:val="0000FF"/>
            <w:u w:val="single"/>
            <w:rtl/>
          </w:rPr>
          <w:t>חוק העונשין</w:t>
        </w:r>
      </w:hyperlink>
      <w:r>
        <w:rPr>
          <w:rFonts w:hint="cs"/>
          <w:rtl/>
        </w:rPr>
        <w:t xml:space="preserve"> שעניינן הבניית הענישה, וטען </w:t>
      </w:r>
      <w:r>
        <w:rPr>
          <w:rtl/>
        </w:rPr>
        <w:t xml:space="preserve">כי </w:t>
      </w:r>
      <w:r>
        <w:rPr>
          <w:rFonts w:hint="cs"/>
          <w:rtl/>
        </w:rPr>
        <w:t xml:space="preserve">בפנינו מקרה אשר מצדיק סטיה לקולא ממתחם הענישה מנימוקים של שיקום הנאשם. הוא הדגיש לעניין זה, כי לעמדתו של </w:t>
      </w:r>
      <w:r>
        <w:rPr>
          <w:rtl/>
        </w:rPr>
        <w:t>שירות המבחן</w:t>
      </w:r>
      <w:r>
        <w:rPr>
          <w:rFonts w:hint="cs"/>
          <w:rtl/>
        </w:rPr>
        <w:t xml:space="preserve">, המשמש </w:t>
      </w:r>
      <w:r>
        <w:rPr>
          <w:rtl/>
        </w:rPr>
        <w:t>כעיניו ואוזניו</w:t>
      </w:r>
      <w:r>
        <w:rPr>
          <w:rFonts w:hint="cs"/>
          <w:rtl/>
        </w:rPr>
        <w:t xml:space="preserve"> של בית המשפט, יש </w:t>
      </w:r>
      <w:r>
        <w:rPr>
          <w:rtl/>
        </w:rPr>
        <w:t xml:space="preserve">משקל משמעותי בגזירת </w:t>
      </w:r>
      <w:r>
        <w:rPr>
          <w:rFonts w:hint="cs"/>
          <w:rtl/>
        </w:rPr>
        <w:t>ה</w:t>
      </w:r>
      <w:r>
        <w:rPr>
          <w:rtl/>
        </w:rPr>
        <w:t>דין</w:t>
      </w:r>
      <w:r>
        <w:rPr>
          <w:rFonts w:hint="cs"/>
          <w:rtl/>
        </w:rPr>
        <w:t xml:space="preserve">, </w:t>
      </w:r>
      <w:r>
        <w:rPr>
          <w:rtl/>
        </w:rPr>
        <w:t>קל וחומר כאשר שירות המבחן</w:t>
      </w:r>
      <w:r>
        <w:rPr>
          <w:rFonts w:hint="cs"/>
          <w:rtl/>
        </w:rPr>
        <w:t xml:space="preserve"> השקיע רבות ולאורך זמן בהליך שיקומו של הנאשם </w:t>
      </w:r>
      <w:r>
        <w:rPr>
          <w:rtl/>
        </w:rPr>
        <w:t>–</w:t>
      </w:r>
      <w:r>
        <w:rPr>
          <w:rFonts w:hint="cs"/>
          <w:rtl/>
        </w:rPr>
        <w:t xml:space="preserve"> הליך אשר נשא פירות, שכן הנאשם עובד במקום קבוע, התחתן ואשתו הרה, יחסיו עם אמו תקינים ומכבדים, והוא ממשיך במפגשים קבועים במסגרת הקבוצה הטיפולית של שירות המבחן.</w:t>
      </w:r>
    </w:p>
    <w:p w14:paraId="6A7CA8B9" w14:textId="77777777" w:rsidR="00473769" w:rsidRDefault="00473769" w:rsidP="00473769">
      <w:pPr>
        <w:pStyle w:val="a9"/>
        <w:spacing w:line="360" w:lineRule="auto"/>
        <w:ind w:left="360"/>
        <w:jc w:val="both"/>
        <w:rPr>
          <w:rtl/>
        </w:rPr>
      </w:pPr>
      <w:r>
        <w:rPr>
          <w:rFonts w:hint="cs"/>
          <w:rtl/>
        </w:rPr>
        <w:t xml:space="preserve">  </w:t>
      </w:r>
    </w:p>
    <w:p w14:paraId="4B61BEDD" w14:textId="77777777" w:rsidR="00473769" w:rsidRDefault="00473769" w:rsidP="00473769">
      <w:pPr>
        <w:pStyle w:val="a9"/>
        <w:spacing w:line="360" w:lineRule="auto"/>
        <w:ind w:left="360"/>
        <w:jc w:val="both"/>
        <w:rPr>
          <w:rtl/>
        </w:rPr>
      </w:pPr>
      <w:r>
        <w:rPr>
          <w:rFonts w:hint="cs"/>
          <w:rtl/>
        </w:rPr>
        <w:t xml:space="preserve">לדברי ב"כ הנאשם, מתחמי הענישה לעבירה של </w:t>
      </w:r>
      <w:r>
        <w:rPr>
          <w:rtl/>
        </w:rPr>
        <w:t>החזקת סכין מתחיל</w:t>
      </w:r>
      <w:r>
        <w:rPr>
          <w:rFonts w:hint="cs"/>
          <w:rtl/>
        </w:rPr>
        <w:t>ים</w:t>
      </w:r>
      <w:r>
        <w:rPr>
          <w:rtl/>
        </w:rPr>
        <w:t xml:space="preserve"> במאסר על תנאי </w:t>
      </w:r>
      <w:r>
        <w:rPr>
          <w:rFonts w:hint="cs"/>
          <w:rtl/>
        </w:rPr>
        <w:t>ומגיעים כדי מספר</w:t>
      </w:r>
      <w:r>
        <w:rPr>
          <w:rtl/>
        </w:rPr>
        <w:t xml:space="preserve"> ח</w:t>
      </w:r>
      <w:r>
        <w:rPr>
          <w:rFonts w:hint="cs"/>
          <w:rtl/>
        </w:rPr>
        <w:t>ו</w:t>
      </w:r>
      <w:r>
        <w:rPr>
          <w:rtl/>
        </w:rPr>
        <w:t>דשים שירוצו בעבודות שירות</w:t>
      </w:r>
      <w:r>
        <w:rPr>
          <w:rFonts w:hint="cs"/>
          <w:rtl/>
        </w:rPr>
        <w:t>, והוא הדין גם לעבירת הסמים ועבירת האיומים</w:t>
      </w:r>
      <w:r>
        <w:rPr>
          <w:rtl/>
        </w:rPr>
        <w:t xml:space="preserve">. </w:t>
      </w:r>
      <w:r>
        <w:rPr>
          <w:rFonts w:hint="cs"/>
          <w:rtl/>
        </w:rPr>
        <w:t>אולם הוא מ</w:t>
      </w:r>
      <w:r>
        <w:rPr>
          <w:rtl/>
        </w:rPr>
        <w:t>בקש לחרוג ממתחמי הענישה</w:t>
      </w:r>
      <w:r>
        <w:rPr>
          <w:rFonts w:hint="cs"/>
          <w:rtl/>
        </w:rPr>
        <w:t xml:space="preserve"> ו</w:t>
      </w:r>
      <w:r>
        <w:rPr>
          <w:rtl/>
        </w:rPr>
        <w:t xml:space="preserve">לאמץ את האפיק השיקומי, </w:t>
      </w:r>
      <w:r>
        <w:rPr>
          <w:rFonts w:hint="cs"/>
          <w:rtl/>
        </w:rPr>
        <w:t>זאת אף אם לצורך כך יידרש בית המשפט להרחיב את היקף שעות השל"צ עליהן המליץ שירות המבחן.</w:t>
      </w:r>
    </w:p>
    <w:p w14:paraId="7FE3EF36" w14:textId="77777777" w:rsidR="00473769" w:rsidRDefault="00473769" w:rsidP="00473769">
      <w:pPr>
        <w:pStyle w:val="a9"/>
        <w:spacing w:line="360" w:lineRule="auto"/>
        <w:ind w:left="360"/>
        <w:jc w:val="both"/>
        <w:rPr>
          <w:rtl/>
        </w:rPr>
      </w:pPr>
    </w:p>
    <w:p w14:paraId="665CDD08" w14:textId="77777777" w:rsidR="00473769" w:rsidRDefault="00473769" w:rsidP="00473769">
      <w:pPr>
        <w:pStyle w:val="a9"/>
        <w:spacing w:line="360" w:lineRule="auto"/>
        <w:ind w:left="360"/>
        <w:jc w:val="both"/>
        <w:rPr>
          <w:rtl/>
        </w:rPr>
      </w:pPr>
      <w:r>
        <w:rPr>
          <w:rFonts w:hint="cs"/>
          <w:rtl/>
        </w:rPr>
        <w:t xml:space="preserve">לסיום הטעים ב"כ הנאשם, כי העבירות בוצעו </w:t>
      </w:r>
      <w:r>
        <w:rPr>
          <w:rtl/>
        </w:rPr>
        <w:t>לפני יותר משנתיים, חלו</w:t>
      </w:r>
      <w:r>
        <w:rPr>
          <w:rFonts w:hint="cs"/>
          <w:rtl/>
        </w:rPr>
        <w:t>ף הזמן שבמהלכו לא הסתבך הנאשם</w:t>
      </w:r>
      <w:r>
        <w:rPr>
          <w:rtl/>
        </w:rPr>
        <w:t xml:space="preserve"> </w:t>
      </w:r>
      <w:r>
        <w:rPr>
          <w:rFonts w:hint="cs"/>
          <w:rtl/>
        </w:rPr>
        <w:t>ב</w:t>
      </w:r>
      <w:r>
        <w:rPr>
          <w:rtl/>
        </w:rPr>
        <w:t xml:space="preserve">דבר </w:t>
      </w:r>
      <w:r>
        <w:rPr>
          <w:rFonts w:hint="cs"/>
          <w:rtl/>
        </w:rPr>
        <w:t xml:space="preserve">מדבר </w:t>
      </w:r>
      <w:r>
        <w:rPr>
          <w:rtl/>
        </w:rPr>
        <w:t>בעד עצמו</w:t>
      </w:r>
      <w:r>
        <w:rPr>
          <w:rFonts w:hint="cs"/>
          <w:rtl/>
        </w:rPr>
        <w:t>, וכיום מתבקש בית המשפט ללכת בנתיב שיקומי ולתת לנאשם הזדמנות</w:t>
      </w:r>
      <w:r>
        <w:rPr>
          <w:rtl/>
        </w:rPr>
        <w:t>.</w:t>
      </w:r>
    </w:p>
    <w:p w14:paraId="139863D6" w14:textId="77777777" w:rsidR="00473769" w:rsidRDefault="00473769" w:rsidP="00473769">
      <w:pPr>
        <w:pStyle w:val="a9"/>
        <w:spacing w:line="360" w:lineRule="auto"/>
        <w:ind w:left="360"/>
        <w:jc w:val="both"/>
      </w:pPr>
    </w:p>
    <w:p w14:paraId="583AB9BF" w14:textId="77777777" w:rsidR="00473769" w:rsidRDefault="00473769" w:rsidP="00473769">
      <w:pPr>
        <w:pStyle w:val="a9"/>
        <w:spacing w:line="360" w:lineRule="auto"/>
        <w:ind w:left="360"/>
        <w:jc w:val="both"/>
      </w:pPr>
      <w:r>
        <w:rPr>
          <w:rFonts w:hint="cs"/>
          <w:rtl/>
        </w:rPr>
        <w:t>הסנגור הגיש אסופת מסמכים (נ/1)</w:t>
      </w:r>
      <w:r>
        <w:rPr>
          <w:rtl/>
        </w:rPr>
        <w:t xml:space="preserve"> </w:t>
      </w:r>
      <w:r>
        <w:rPr>
          <w:rFonts w:hint="cs"/>
          <w:rtl/>
        </w:rPr>
        <w:t xml:space="preserve">התומכת בנסיבותיו של הנאשם כפי שפורטו בטיעוניו. </w:t>
      </w:r>
    </w:p>
    <w:p w14:paraId="5FF4A648" w14:textId="77777777" w:rsidR="00473769" w:rsidRPr="00F4401E" w:rsidRDefault="00473769" w:rsidP="00473769">
      <w:pPr>
        <w:pStyle w:val="a9"/>
        <w:spacing w:line="360" w:lineRule="auto"/>
        <w:ind w:left="360"/>
        <w:jc w:val="both"/>
        <w:rPr>
          <w:rtl/>
        </w:rPr>
      </w:pPr>
    </w:p>
    <w:p w14:paraId="479C0673" w14:textId="77777777" w:rsidR="00473769" w:rsidRDefault="00473769" w:rsidP="00473769">
      <w:pPr>
        <w:spacing w:line="360" w:lineRule="auto"/>
        <w:jc w:val="both"/>
        <w:rPr>
          <w:rFonts w:ascii="Arial" w:hAnsi="Arial"/>
          <w:b/>
          <w:bCs/>
          <w:u w:val="single"/>
          <w:rtl/>
        </w:rPr>
      </w:pPr>
      <w:r w:rsidRPr="0024635D">
        <w:rPr>
          <w:rFonts w:ascii="Arial" w:hAnsi="Arial" w:hint="cs"/>
          <w:b/>
          <w:bCs/>
          <w:u w:val="single"/>
          <w:rtl/>
        </w:rPr>
        <w:t>דברי הנאשם</w:t>
      </w:r>
    </w:p>
    <w:p w14:paraId="47B05201" w14:textId="77777777" w:rsidR="00473769" w:rsidRPr="0024635D" w:rsidRDefault="00473769" w:rsidP="00473769">
      <w:pPr>
        <w:spacing w:line="360" w:lineRule="auto"/>
        <w:jc w:val="both"/>
        <w:rPr>
          <w:rFonts w:ascii="Arial" w:hAnsi="Arial"/>
          <w:b/>
          <w:bCs/>
          <w:u w:val="single"/>
        </w:rPr>
      </w:pPr>
    </w:p>
    <w:p w14:paraId="5246BD3D" w14:textId="77777777" w:rsidR="00473769" w:rsidRDefault="00473769" w:rsidP="00473769">
      <w:pPr>
        <w:pStyle w:val="a9"/>
        <w:numPr>
          <w:ilvl w:val="0"/>
          <w:numId w:val="1"/>
        </w:numPr>
        <w:spacing w:line="360" w:lineRule="auto"/>
        <w:ind w:left="360"/>
        <w:jc w:val="both"/>
        <w:rPr>
          <w:rFonts w:ascii="Arial" w:hAnsi="Arial"/>
        </w:rPr>
      </w:pPr>
      <w:r>
        <w:rPr>
          <w:rtl/>
        </w:rPr>
        <w:t xml:space="preserve">הנאשם ניצל את זכותו למילה האחרונה. </w:t>
      </w:r>
      <w:r>
        <w:rPr>
          <w:rFonts w:hint="cs"/>
          <w:rtl/>
        </w:rPr>
        <w:t xml:space="preserve">הוא אמר כי האירועים בהם הורשע התרחשו כשהיה בתקופה חשוכה בחייו בה היה מסובך עם השוק האפור. הוא תיאר כי שירת בתחילה בהנדסה קרבית </w:t>
      </w:r>
      <w:r>
        <w:rPr>
          <w:rtl/>
        </w:rPr>
        <w:t xml:space="preserve">בגדוד 603, </w:t>
      </w:r>
      <w:r>
        <w:rPr>
          <w:rFonts w:hint="cs"/>
          <w:rtl/>
        </w:rPr>
        <w:t>אמר כי הפציעה שחווה הקשתה עליו</w:t>
      </w:r>
      <w:r>
        <w:rPr>
          <w:rtl/>
        </w:rPr>
        <w:t xml:space="preserve"> </w:t>
      </w:r>
      <w:r>
        <w:rPr>
          <w:rFonts w:hint="cs"/>
          <w:rtl/>
        </w:rPr>
        <w:t>וכי טיפול</w:t>
      </w:r>
      <w:r>
        <w:rPr>
          <w:rtl/>
        </w:rPr>
        <w:t xml:space="preserve"> רפואי ותרופות לא היו עוזר</w:t>
      </w:r>
      <w:r>
        <w:rPr>
          <w:rFonts w:hint="cs"/>
          <w:rtl/>
        </w:rPr>
        <w:t>ים;</w:t>
      </w:r>
      <w:r>
        <w:rPr>
          <w:rtl/>
        </w:rPr>
        <w:t xml:space="preserve"> </w:t>
      </w:r>
      <w:r>
        <w:rPr>
          <w:rFonts w:hint="cs"/>
          <w:rtl/>
        </w:rPr>
        <w:t>הוא הוסיף, כי היה</w:t>
      </w:r>
      <w:r>
        <w:rPr>
          <w:rtl/>
        </w:rPr>
        <w:t xml:space="preserve"> מכור לסמים </w:t>
      </w:r>
      <w:r>
        <w:rPr>
          <w:rFonts w:hint="cs"/>
          <w:rtl/>
        </w:rPr>
        <w:t>זאת עד שנתפס</w:t>
      </w:r>
      <w:r>
        <w:rPr>
          <w:rtl/>
        </w:rPr>
        <w:t xml:space="preserve">, </w:t>
      </w:r>
      <w:r>
        <w:rPr>
          <w:rFonts w:hint="cs"/>
          <w:rtl/>
        </w:rPr>
        <w:t xml:space="preserve">וכי </w:t>
      </w:r>
      <w:r>
        <w:rPr>
          <w:rtl/>
        </w:rPr>
        <w:t>חודש לאחר מכן קיבל אישור לקנביס –</w:t>
      </w:r>
      <w:r>
        <w:rPr>
          <w:rFonts w:hint="cs"/>
          <w:rtl/>
        </w:rPr>
        <w:t xml:space="preserve"> אך הבין כי הוא לא צריך את הקנביס</w:t>
      </w:r>
      <w:r>
        <w:rPr>
          <w:rtl/>
        </w:rPr>
        <w:t xml:space="preserve"> </w:t>
      </w:r>
      <w:r>
        <w:rPr>
          <w:rFonts w:hint="cs"/>
          <w:rtl/>
        </w:rPr>
        <w:t>ו</w:t>
      </w:r>
      <w:r>
        <w:rPr>
          <w:rtl/>
        </w:rPr>
        <w:t xml:space="preserve">מעל שנתיים </w:t>
      </w:r>
      <w:r>
        <w:rPr>
          <w:rFonts w:hint="cs"/>
          <w:rtl/>
        </w:rPr>
        <w:t>אינו משתמש בו. עוד תיאר, כי</w:t>
      </w:r>
      <w:r>
        <w:rPr>
          <w:rtl/>
        </w:rPr>
        <w:t xml:space="preserve"> </w:t>
      </w:r>
      <w:r>
        <w:rPr>
          <w:rFonts w:hint="cs"/>
          <w:rtl/>
        </w:rPr>
        <w:t xml:space="preserve">בתחילה </w:t>
      </w:r>
      <w:r>
        <w:rPr>
          <w:rtl/>
        </w:rPr>
        <w:t>עבר ניתוח גב שלא עזר</w:t>
      </w:r>
      <w:r>
        <w:rPr>
          <w:rFonts w:hint="cs"/>
          <w:rtl/>
        </w:rPr>
        <w:t xml:space="preserve"> לו, </w:t>
      </w:r>
      <w:r w:rsidRPr="0066671D">
        <w:rPr>
          <w:rFonts w:ascii="Arial" w:hAnsi="Arial" w:hint="cs"/>
          <w:rtl/>
        </w:rPr>
        <w:t xml:space="preserve">אך לאחרונה עבר ניתוח השתלת קוצב עצבי, מה שאמור להקל על כאביו. עוד ציין, כי בזמן הקרוב הוא אמור להתחיל לימודי הנדסאי בניין. </w:t>
      </w:r>
    </w:p>
    <w:p w14:paraId="7ED6B4EF" w14:textId="77777777" w:rsidR="00473769" w:rsidRDefault="00473769" w:rsidP="00473769">
      <w:pPr>
        <w:spacing w:line="360" w:lineRule="auto"/>
        <w:jc w:val="both"/>
        <w:rPr>
          <w:rFonts w:ascii="Arial" w:hAnsi="Arial"/>
          <w:rtl/>
        </w:rPr>
      </w:pPr>
    </w:p>
    <w:p w14:paraId="0DE8249F" w14:textId="77777777" w:rsidR="00473769" w:rsidRDefault="00473769" w:rsidP="00473769">
      <w:pPr>
        <w:spacing w:line="360" w:lineRule="auto"/>
        <w:jc w:val="both"/>
        <w:rPr>
          <w:rFonts w:ascii="Arial" w:hAnsi="Arial"/>
          <w:rtl/>
        </w:rPr>
      </w:pPr>
    </w:p>
    <w:p w14:paraId="1DD19B8A" w14:textId="77777777" w:rsidR="00473769" w:rsidRPr="00294DB2" w:rsidRDefault="00473769" w:rsidP="00473769">
      <w:pPr>
        <w:spacing w:line="360" w:lineRule="auto"/>
        <w:jc w:val="both"/>
        <w:rPr>
          <w:rFonts w:ascii="Arial" w:hAnsi="Arial"/>
        </w:rPr>
      </w:pPr>
    </w:p>
    <w:p w14:paraId="0D48C451" w14:textId="77777777" w:rsidR="00473769" w:rsidRPr="00143C16" w:rsidRDefault="00473769" w:rsidP="00473769">
      <w:pPr>
        <w:pStyle w:val="a9"/>
        <w:spacing w:line="360" w:lineRule="auto"/>
        <w:ind w:left="360"/>
        <w:jc w:val="both"/>
        <w:rPr>
          <w:rFonts w:ascii="Arial" w:hAnsi="Arial"/>
        </w:rPr>
      </w:pPr>
    </w:p>
    <w:p w14:paraId="3BA02055" w14:textId="77777777" w:rsidR="00473769" w:rsidRDefault="00473769" w:rsidP="00473769">
      <w:pPr>
        <w:spacing w:line="480" w:lineRule="auto"/>
        <w:jc w:val="both"/>
        <w:rPr>
          <w:rFonts w:ascii="Arial" w:hAnsi="Arial"/>
          <w:b/>
          <w:bCs/>
          <w:sz w:val="32"/>
          <w:szCs w:val="32"/>
          <w:u w:val="single"/>
          <w:rtl/>
        </w:rPr>
      </w:pPr>
      <w:r>
        <w:rPr>
          <w:rFonts w:ascii="Arial" w:hAnsi="Arial"/>
          <w:b/>
          <w:bCs/>
          <w:sz w:val="32"/>
          <w:szCs w:val="32"/>
          <w:u w:val="single"/>
          <w:rtl/>
        </w:rPr>
        <w:t>דיון והכרעה</w:t>
      </w:r>
    </w:p>
    <w:p w14:paraId="09052C9B" w14:textId="77777777" w:rsidR="00473769" w:rsidRDefault="00473769" w:rsidP="00473769">
      <w:pPr>
        <w:spacing w:line="480" w:lineRule="auto"/>
        <w:jc w:val="both"/>
        <w:rPr>
          <w:rFonts w:ascii="Arial" w:hAnsi="Arial"/>
          <w:b/>
          <w:bCs/>
          <w:u w:val="single"/>
          <w:rtl/>
        </w:rPr>
      </w:pPr>
      <w:r>
        <w:rPr>
          <w:rFonts w:ascii="Arial" w:hAnsi="Arial"/>
          <w:b/>
          <w:bCs/>
          <w:u w:val="single"/>
          <w:rtl/>
        </w:rPr>
        <w:t>קביעת מתחם העונש ההולם</w:t>
      </w:r>
    </w:p>
    <w:p w14:paraId="268CF3FA" w14:textId="77777777" w:rsidR="00473769" w:rsidRDefault="00473769" w:rsidP="00473769">
      <w:pPr>
        <w:pStyle w:val="a9"/>
        <w:numPr>
          <w:ilvl w:val="0"/>
          <w:numId w:val="1"/>
        </w:numPr>
        <w:spacing w:line="360" w:lineRule="auto"/>
        <w:ind w:left="360"/>
        <w:jc w:val="both"/>
        <w:rPr>
          <w:rFonts w:ascii="David" w:hAnsi="David"/>
        </w:rPr>
      </w:pPr>
      <w:r>
        <w:rPr>
          <w:rFonts w:ascii="David" w:hAnsi="David"/>
          <w:rtl/>
        </w:rPr>
        <w:t>קביעת מתחם העונש לעביר</w:t>
      </w:r>
      <w:r>
        <w:rPr>
          <w:rFonts w:ascii="David" w:hAnsi="David" w:hint="cs"/>
          <w:rtl/>
        </w:rPr>
        <w:t>ות</w:t>
      </w:r>
      <w:r>
        <w:rPr>
          <w:rFonts w:ascii="David" w:hAnsi="David"/>
          <w:rtl/>
        </w:rPr>
        <w:t xml:space="preserve"> שביצע הנאשם היא בהתאם לעיקרון המנחה בענישה – שהוא עקרון ההלימה - קיומו של יחס הולם בין חומרת העביר</w:t>
      </w:r>
      <w:r>
        <w:rPr>
          <w:rFonts w:ascii="David" w:hAnsi="David" w:hint="cs"/>
          <w:rtl/>
        </w:rPr>
        <w:t>ות</w:t>
      </w:r>
      <w:r>
        <w:rPr>
          <w:rFonts w:ascii="David" w:hAnsi="David"/>
          <w:rtl/>
        </w:rPr>
        <w:t xml:space="preserve"> בנסיבותי</w:t>
      </w:r>
      <w:r>
        <w:rPr>
          <w:rFonts w:ascii="David" w:hAnsi="David" w:hint="cs"/>
          <w:rtl/>
        </w:rPr>
        <w:t>הן</w:t>
      </w:r>
      <w:r>
        <w:rPr>
          <w:rFonts w:ascii="David" w:hAnsi="David"/>
          <w:rtl/>
        </w:rPr>
        <w:t xml:space="preserve"> ומידת אשמו של הנאשם, לבין סוג העונש ומידת העונש שיוטל עליו. על מנת לקבוע את מתחם העונש ההולם, על בית המשפט להתחשב בערכים החברתיים שנפגעו, במידת הפגיעה בהם, במדיניות הענישה הנוהגת ובנסיבות הקשורות בביצוע העבירה.</w:t>
      </w:r>
    </w:p>
    <w:p w14:paraId="0878841B" w14:textId="77777777" w:rsidR="00473769" w:rsidRDefault="00473769" w:rsidP="00473769">
      <w:pPr>
        <w:pStyle w:val="a9"/>
        <w:spacing w:line="360" w:lineRule="auto"/>
        <w:ind w:left="360"/>
        <w:jc w:val="both"/>
        <w:rPr>
          <w:rFonts w:ascii="David" w:hAnsi="David"/>
        </w:rPr>
      </w:pPr>
    </w:p>
    <w:p w14:paraId="1270C1D3" w14:textId="77777777" w:rsidR="00473769" w:rsidRDefault="00473769" w:rsidP="00473769">
      <w:pPr>
        <w:pStyle w:val="a9"/>
        <w:numPr>
          <w:ilvl w:val="0"/>
          <w:numId w:val="1"/>
        </w:numPr>
        <w:spacing w:line="360" w:lineRule="auto"/>
        <w:ind w:left="360"/>
        <w:jc w:val="both"/>
        <w:rPr>
          <w:rFonts w:ascii="David" w:hAnsi="David"/>
        </w:rPr>
      </w:pPr>
      <w:r>
        <w:rPr>
          <w:rFonts w:ascii="David" w:hAnsi="David" w:hint="cs"/>
          <w:rtl/>
        </w:rPr>
        <w:t>בטיעוניהם לעונש הצדדים לא התייחסו במפורש לשאלה האם יש להתייחס לאישומים בהם הורשע הנאשם כאירוע אחד מתמשך</w:t>
      </w:r>
      <w:r>
        <w:rPr>
          <w:rFonts w:ascii="David" w:hAnsi="David"/>
          <w:rtl/>
        </w:rPr>
        <w:t xml:space="preserve">, </w:t>
      </w:r>
      <w:r>
        <w:rPr>
          <w:rFonts w:ascii="David" w:hAnsi="David" w:hint="cs"/>
          <w:rtl/>
        </w:rPr>
        <w:t>או שמא כ</w:t>
      </w:r>
      <w:r>
        <w:rPr>
          <w:rFonts w:ascii="David" w:hAnsi="David"/>
          <w:rtl/>
        </w:rPr>
        <w:t xml:space="preserve">מספר אירועים נפרדים שלכל אחד צריך לקבוע מתחם ענישה משלו. </w:t>
      </w:r>
      <w:r>
        <w:rPr>
          <w:rFonts w:ascii="David" w:hAnsi="David" w:hint="cs"/>
          <w:rtl/>
        </w:rPr>
        <w:t xml:space="preserve">איני סבור כי מדובר בעניין מהותי להכריע בו בתיק זה, שכן ממילא סברתי כי יש לחרוג לקולא ממתחמי הענישה נוכח שיקולי שיקום. </w:t>
      </w:r>
      <w:r>
        <w:rPr>
          <w:rFonts w:ascii="David" w:hAnsi="David"/>
          <w:rtl/>
        </w:rPr>
        <w:t xml:space="preserve">מכל מקום, בחינת ההתרחשויות בהתאם ל- "מבחן הקשר ההדוק" מלמדת </w:t>
      </w:r>
      <w:r>
        <w:rPr>
          <w:rFonts w:ascii="David" w:hAnsi="David" w:hint="cs"/>
          <w:rtl/>
        </w:rPr>
        <w:t>לדעתי כי ניתן להתייחס לשני האירועים</w:t>
      </w:r>
      <w:r>
        <w:rPr>
          <w:rFonts w:ascii="David" w:hAnsi="David"/>
          <w:rtl/>
        </w:rPr>
        <w:t xml:space="preserve"> </w:t>
      </w:r>
      <w:r>
        <w:rPr>
          <w:rFonts w:ascii="David" w:hAnsi="David" w:hint="cs"/>
          <w:rtl/>
        </w:rPr>
        <w:t>כ</w:t>
      </w:r>
      <w:r>
        <w:rPr>
          <w:rFonts w:ascii="David" w:hAnsi="David"/>
          <w:rtl/>
        </w:rPr>
        <w:t xml:space="preserve">אירוע אחד, שכן הפעלת </w:t>
      </w:r>
      <w:r>
        <w:rPr>
          <w:rFonts w:ascii="David" w:hAnsi="David" w:hint="cs"/>
          <w:rtl/>
        </w:rPr>
        <w:t xml:space="preserve">האיומים כלפי המתלוננת נעשתה </w:t>
      </w:r>
      <w:r>
        <w:rPr>
          <w:rFonts w:ascii="David" w:hAnsi="David"/>
          <w:rtl/>
        </w:rPr>
        <w:t xml:space="preserve">בסמיכות זמנים </w:t>
      </w:r>
      <w:r>
        <w:rPr>
          <w:rFonts w:ascii="David" w:hAnsi="David" w:hint="cs"/>
          <w:rtl/>
        </w:rPr>
        <w:t>להחזקת הסמים והסכינים ברכב</w:t>
      </w:r>
      <w:r>
        <w:rPr>
          <w:rFonts w:ascii="David" w:hAnsi="David"/>
          <w:rtl/>
        </w:rPr>
        <w:t xml:space="preserve">, </w:t>
      </w:r>
      <w:r>
        <w:rPr>
          <w:rFonts w:ascii="David" w:hAnsi="David" w:hint="cs"/>
          <w:rtl/>
        </w:rPr>
        <w:t xml:space="preserve">וזאת כאשר </w:t>
      </w:r>
      <w:r>
        <w:rPr>
          <w:rFonts w:ascii="David" w:hAnsi="David"/>
          <w:rtl/>
        </w:rPr>
        <w:t>הרקע למעשים הוא זהה</w:t>
      </w:r>
      <w:r>
        <w:rPr>
          <w:rFonts w:ascii="David" w:hAnsi="David" w:hint="cs"/>
          <w:rtl/>
        </w:rPr>
        <w:t xml:space="preserve"> </w:t>
      </w:r>
      <w:r>
        <w:rPr>
          <w:rFonts w:ascii="David" w:hAnsi="David"/>
          <w:rtl/>
        </w:rPr>
        <w:t>–</w:t>
      </w:r>
      <w:r>
        <w:rPr>
          <w:rFonts w:ascii="David" w:hAnsi="David" w:hint="cs"/>
          <w:rtl/>
        </w:rPr>
        <w:t xml:space="preserve"> והוא שימושו של הנאשם בסמים וחששו מפני אנשי השוק האפור שאיימו עליו</w:t>
      </w:r>
      <w:r>
        <w:rPr>
          <w:rFonts w:ascii="David" w:hAnsi="David"/>
          <w:rtl/>
        </w:rPr>
        <w:t xml:space="preserve">; מדובר </w:t>
      </w:r>
      <w:r>
        <w:rPr>
          <w:rFonts w:ascii="David" w:hAnsi="David" w:hint="cs"/>
          <w:rtl/>
        </w:rPr>
        <w:t xml:space="preserve">אפוא </w:t>
      </w:r>
      <w:r>
        <w:rPr>
          <w:rFonts w:ascii="David" w:hAnsi="David"/>
          <w:rtl/>
        </w:rPr>
        <w:t xml:space="preserve">בהתרחשויות </w:t>
      </w:r>
      <w:r>
        <w:rPr>
          <w:rFonts w:ascii="David" w:hAnsi="David" w:hint="cs"/>
          <w:rtl/>
        </w:rPr>
        <w:t>שהרקע להן הוא אחד, ה</w:t>
      </w:r>
      <w:r>
        <w:rPr>
          <w:rFonts w:ascii="David" w:hAnsi="David"/>
          <w:rtl/>
        </w:rPr>
        <w:t>קשר</w:t>
      </w:r>
      <w:r>
        <w:rPr>
          <w:rFonts w:ascii="David" w:hAnsi="David" w:hint="cs"/>
          <w:rtl/>
        </w:rPr>
        <w:t xml:space="preserve"> ביניהן</w:t>
      </w:r>
      <w:r>
        <w:rPr>
          <w:rFonts w:ascii="David" w:hAnsi="David"/>
          <w:rtl/>
        </w:rPr>
        <w:t xml:space="preserve"> ענייני הדוק</w:t>
      </w:r>
      <w:r>
        <w:rPr>
          <w:rFonts w:ascii="David" w:hAnsi="David" w:hint="cs"/>
          <w:rtl/>
        </w:rPr>
        <w:t>, והן נעשו בסמיכות זמנים,</w:t>
      </w:r>
      <w:r>
        <w:rPr>
          <w:rFonts w:ascii="David" w:hAnsi="David"/>
          <w:rtl/>
        </w:rPr>
        <w:t xml:space="preserve"> כך ש</w:t>
      </w:r>
      <w:r>
        <w:rPr>
          <w:rFonts w:ascii="David" w:hAnsi="David" w:hint="cs"/>
          <w:rtl/>
        </w:rPr>
        <w:t xml:space="preserve">ניתן לראות בהן </w:t>
      </w:r>
      <w:r>
        <w:rPr>
          <w:rFonts w:ascii="David" w:hAnsi="David"/>
          <w:rtl/>
        </w:rPr>
        <w:t xml:space="preserve">מסכת עבריינית אחת </w:t>
      </w:r>
      <w:r w:rsidRPr="004C7FFE">
        <w:rPr>
          <w:rFonts w:ascii="David" w:hAnsi="David"/>
          <w:rtl/>
        </w:rPr>
        <w:t xml:space="preserve">(למשל - </w:t>
      </w:r>
      <w:hyperlink r:id="rId25" w:history="1">
        <w:r w:rsidR="001B49EC" w:rsidRPr="001B49EC">
          <w:rPr>
            <w:rFonts w:ascii="David" w:hAnsi="David"/>
            <w:color w:val="0000FF"/>
            <w:u w:val="single"/>
            <w:rtl/>
          </w:rPr>
          <w:t>ע"פ 4910/13</w:t>
        </w:r>
      </w:hyperlink>
      <w:r>
        <w:rPr>
          <w:rFonts w:ascii="David" w:hAnsi="David"/>
          <w:rtl/>
        </w:rPr>
        <w:t xml:space="preserve"> </w:t>
      </w:r>
      <w:r>
        <w:rPr>
          <w:rFonts w:ascii="David" w:hAnsi="David"/>
          <w:b/>
          <w:bCs/>
          <w:rtl/>
        </w:rPr>
        <w:t>אחמד בני ג'אבר נ' מדינת ישראל</w:t>
      </w:r>
      <w:r>
        <w:rPr>
          <w:rFonts w:ascii="David" w:hAnsi="David"/>
          <w:rtl/>
        </w:rPr>
        <w:t xml:space="preserve"> [פורסם בנבו] (</w:t>
      </w:r>
      <w:r w:rsidRPr="004C7FFE">
        <w:rPr>
          <w:rFonts w:ascii="David" w:hAnsi="David"/>
          <w:rtl/>
        </w:rPr>
        <w:t xml:space="preserve">29.10.14); </w:t>
      </w:r>
      <w:hyperlink r:id="rId26" w:history="1">
        <w:r w:rsidR="001B49EC" w:rsidRPr="001B49EC">
          <w:rPr>
            <w:rFonts w:ascii="David" w:hAnsi="David"/>
            <w:color w:val="0000FF"/>
            <w:u w:val="single"/>
            <w:rtl/>
          </w:rPr>
          <w:t>ע"פ 4702/15</w:t>
        </w:r>
      </w:hyperlink>
      <w:r>
        <w:rPr>
          <w:rFonts w:ascii="David" w:hAnsi="David"/>
          <w:rtl/>
        </w:rPr>
        <w:t xml:space="preserve"> </w:t>
      </w:r>
      <w:r>
        <w:rPr>
          <w:rFonts w:ascii="David" w:hAnsi="David"/>
          <w:b/>
          <w:bCs/>
          <w:rtl/>
        </w:rPr>
        <w:t>מופיד עביד נ' מדינת ישראל</w:t>
      </w:r>
      <w:r>
        <w:rPr>
          <w:rFonts w:ascii="David" w:hAnsi="David"/>
          <w:rtl/>
        </w:rPr>
        <w:t>, פסקה 11 [פורסם בנבו] (</w:t>
      </w:r>
      <w:r w:rsidRPr="004C7FFE">
        <w:rPr>
          <w:rFonts w:ascii="David" w:hAnsi="David"/>
          <w:rtl/>
        </w:rPr>
        <w:t xml:space="preserve">20.4.16); </w:t>
      </w:r>
      <w:hyperlink r:id="rId27" w:history="1">
        <w:r w:rsidR="001B49EC" w:rsidRPr="001B49EC">
          <w:rPr>
            <w:rFonts w:ascii="David" w:hAnsi="David"/>
            <w:color w:val="0000FF"/>
            <w:u w:val="single"/>
            <w:rtl/>
          </w:rPr>
          <w:t>ע"פ 1272/22</w:t>
        </w:r>
      </w:hyperlink>
      <w:r>
        <w:rPr>
          <w:rFonts w:ascii="David" w:hAnsi="David"/>
          <w:rtl/>
        </w:rPr>
        <w:t xml:space="preserve"> </w:t>
      </w:r>
      <w:r>
        <w:rPr>
          <w:rFonts w:ascii="David" w:hAnsi="David"/>
          <w:b/>
          <w:bCs/>
          <w:rtl/>
        </w:rPr>
        <w:t>פלוני נ' מדינת ישראל</w:t>
      </w:r>
      <w:r>
        <w:rPr>
          <w:rFonts w:ascii="David" w:hAnsi="David"/>
          <w:rtl/>
        </w:rPr>
        <w:t xml:space="preserve"> [פורסם בנבו] (3.5.22)).</w:t>
      </w:r>
    </w:p>
    <w:p w14:paraId="0AC8701B" w14:textId="77777777" w:rsidR="00473769" w:rsidRPr="00294DB2" w:rsidRDefault="00473769" w:rsidP="00473769">
      <w:pPr>
        <w:pStyle w:val="a9"/>
        <w:rPr>
          <w:rFonts w:ascii="David" w:hAnsi="David"/>
          <w:rtl/>
        </w:rPr>
      </w:pPr>
    </w:p>
    <w:p w14:paraId="468174FB" w14:textId="77777777" w:rsidR="00473769" w:rsidRDefault="00473769" w:rsidP="00473769">
      <w:pPr>
        <w:pStyle w:val="a9"/>
        <w:numPr>
          <w:ilvl w:val="0"/>
          <w:numId w:val="1"/>
        </w:numPr>
        <w:spacing w:line="360" w:lineRule="auto"/>
        <w:ind w:left="360"/>
        <w:jc w:val="both"/>
        <w:rPr>
          <w:rFonts w:ascii="David" w:hAnsi="David"/>
        </w:rPr>
      </w:pPr>
      <w:r>
        <w:rPr>
          <w:rFonts w:ascii="David" w:hAnsi="David" w:hint="cs"/>
          <w:rtl/>
        </w:rPr>
        <w:t>מכל מקום, לשם קביעת מתחם ענישה הולם אחד לשני האירועים, אבחן בנפרד את העבירות בהן הורשע הנאשם, את האינטרסים עליהן הן מגינות ואת מדיניות הענישה הנוהגת בעניינן בפסיקה.</w:t>
      </w:r>
    </w:p>
    <w:p w14:paraId="6F718B5C" w14:textId="77777777" w:rsidR="00473769" w:rsidRDefault="00473769" w:rsidP="00473769">
      <w:pPr>
        <w:pStyle w:val="a9"/>
        <w:spacing w:line="360" w:lineRule="auto"/>
        <w:ind w:left="360"/>
        <w:jc w:val="both"/>
        <w:rPr>
          <w:rFonts w:ascii="David" w:hAnsi="David"/>
        </w:rPr>
      </w:pPr>
    </w:p>
    <w:p w14:paraId="71FC41E1" w14:textId="77777777" w:rsidR="00473769" w:rsidRDefault="00473769" w:rsidP="00473769">
      <w:pPr>
        <w:pStyle w:val="a9"/>
        <w:numPr>
          <w:ilvl w:val="0"/>
          <w:numId w:val="1"/>
        </w:numPr>
        <w:spacing w:line="360" w:lineRule="auto"/>
        <w:ind w:left="360"/>
        <w:jc w:val="both"/>
        <w:rPr>
          <w:rFonts w:ascii="David" w:hAnsi="David"/>
        </w:rPr>
      </w:pPr>
      <w:r>
        <w:rPr>
          <w:rFonts w:ascii="David" w:hAnsi="David"/>
          <w:rtl/>
        </w:rPr>
        <w:t xml:space="preserve">הערכים </w:t>
      </w:r>
      <w:r>
        <w:rPr>
          <w:rtl/>
        </w:rPr>
        <w:t>המוגנים</w:t>
      </w:r>
      <w:r>
        <w:rPr>
          <w:rFonts w:ascii="David" w:hAnsi="David"/>
          <w:rtl/>
        </w:rPr>
        <w:t xml:space="preserve"> העומדים ביסוד עבירת האיומים הם ההגנה על שלוות נפשו, בטחונו וחירות הפעולה והבחירה של הפרט ומידת הפחדתו והקנטתו (</w:t>
      </w:r>
      <w:hyperlink r:id="rId28" w:history="1">
        <w:r w:rsidR="001B49EC" w:rsidRPr="001B49EC">
          <w:rPr>
            <w:rFonts w:ascii="David" w:hAnsi="David"/>
            <w:color w:val="0000FF"/>
            <w:u w:val="single"/>
            <w:rtl/>
          </w:rPr>
          <w:t>רע"פ 2038/04</w:t>
        </w:r>
      </w:hyperlink>
      <w:r w:rsidRPr="00925DC8">
        <w:rPr>
          <w:rFonts w:ascii="David" w:hAnsi="David"/>
          <w:b/>
          <w:bCs/>
          <w:rtl/>
        </w:rPr>
        <w:t xml:space="preserve"> שמואל לם נ' מדינת ישראל</w:t>
      </w:r>
      <w:r>
        <w:rPr>
          <w:rFonts w:ascii="David" w:hAnsi="David" w:hint="cs"/>
          <w:rtl/>
        </w:rPr>
        <w:t xml:space="preserve">, </w:t>
      </w:r>
      <w:r>
        <w:rPr>
          <w:rFonts w:ascii="David" w:hAnsi="David"/>
          <w:rtl/>
        </w:rPr>
        <w:t>בפס</w:t>
      </w:r>
      <w:r>
        <w:rPr>
          <w:rFonts w:ascii="David" w:hAnsi="David" w:hint="cs"/>
          <w:rtl/>
        </w:rPr>
        <w:t>קה</w:t>
      </w:r>
      <w:r>
        <w:rPr>
          <w:rFonts w:ascii="David" w:hAnsi="David"/>
          <w:rtl/>
        </w:rPr>
        <w:t xml:space="preserve"> </w:t>
      </w:r>
      <w:r>
        <w:rPr>
          <w:rFonts w:ascii="David" w:hAnsi="David" w:hint="cs"/>
          <w:rtl/>
        </w:rPr>
        <w:t>7 [פורסם בנבו] (4.1.06)</w:t>
      </w:r>
      <w:r>
        <w:rPr>
          <w:rFonts w:ascii="David" w:hAnsi="David"/>
          <w:rtl/>
        </w:rPr>
        <w:t xml:space="preserve">;  </w:t>
      </w:r>
      <w:hyperlink r:id="rId29" w:history="1">
        <w:r w:rsidR="001B49EC" w:rsidRPr="001B49EC">
          <w:rPr>
            <w:rFonts w:ascii="David" w:hAnsi="David"/>
            <w:color w:val="0000FF"/>
            <w:u w:val="single"/>
            <w:rtl/>
          </w:rPr>
          <w:t>ע"פ 103/88</w:t>
        </w:r>
      </w:hyperlink>
      <w:r w:rsidRPr="00925DC8">
        <w:rPr>
          <w:rFonts w:ascii="David" w:hAnsi="David"/>
          <w:rtl/>
        </w:rPr>
        <w:t xml:space="preserve"> </w:t>
      </w:r>
      <w:r w:rsidRPr="00925DC8">
        <w:rPr>
          <w:rFonts w:ascii="David" w:hAnsi="David"/>
          <w:b/>
          <w:bCs/>
          <w:rtl/>
        </w:rPr>
        <w:t>משה ליכטמן נ' מדינת ישראל</w:t>
      </w:r>
      <w:r>
        <w:rPr>
          <w:rFonts w:ascii="David" w:hAnsi="David" w:hint="cs"/>
          <w:rtl/>
        </w:rPr>
        <w:t xml:space="preserve">, </w:t>
      </w:r>
      <w:r>
        <w:rPr>
          <w:rFonts w:ascii="David" w:hAnsi="David"/>
          <w:rtl/>
        </w:rPr>
        <w:t>בפס' 6 לדברי כב' השופט גולדברג</w:t>
      </w:r>
      <w:r>
        <w:rPr>
          <w:rFonts w:ascii="David" w:hAnsi="David" w:hint="cs"/>
          <w:rtl/>
        </w:rPr>
        <w:t xml:space="preserve"> [פורסם בנבו] (6.9.89)</w:t>
      </w:r>
      <w:r>
        <w:rPr>
          <w:rFonts w:ascii="David" w:hAnsi="David"/>
          <w:rtl/>
        </w:rPr>
        <w:t xml:space="preserve">). מאליו מובן, כי כל אדם זכאי לחיות בשלווה מבלי להיות נתון לאיומים אשר יערערו את בטחונו ויגרמו לו להתהלך בחשש שמא יבולע לו. </w:t>
      </w:r>
    </w:p>
    <w:p w14:paraId="75783F82" w14:textId="77777777" w:rsidR="00473769" w:rsidRDefault="00473769" w:rsidP="00473769">
      <w:pPr>
        <w:spacing w:line="360" w:lineRule="auto"/>
        <w:jc w:val="both"/>
        <w:rPr>
          <w:rFonts w:ascii="David" w:hAnsi="David"/>
        </w:rPr>
      </w:pPr>
    </w:p>
    <w:p w14:paraId="21295849" w14:textId="77777777" w:rsidR="00473769" w:rsidRDefault="00473769" w:rsidP="00473769">
      <w:pPr>
        <w:pStyle w:val="a9"/>
        <w:numPr>
          <w:ilvl w:val="0"/>
          <w:numId w:val="1"/>
        </w:numPr>
        <w:spacing w:line="360" w:lineRule="auto"/>
        <w:ind w:left="360"/>
        <w:jc w:val="both"/>
        <w:rPr>
          <w:rFonts w:ascii="David" w:hAnsi="David"/>
          <w:rtl/>
        </w:rPr>
      </w:pPr>
      <w:r>
        <w:rPr>
          <w:rFonts w:ascii="David" w:hAnsi="David"/>
          <w:rtl/>
        </w:rPr>
        <w:t xml:space="preserve">מעשיו של הנאשם נעשו כאמור כלפי </w:t>
      </w:r>
      <w:r>
        <w:rPr>
          <w:rFonts w:ascii="David" w:hAnsi="David" w:hint="cs"/>
          <w:rtl/>
        </w:rPr>
        <w:t>אמו, וזאת תוך שהוא שובר טלוויזיה שהייתה בחדרו</w:t>
      </w:r>
      <w:r>
        <w:rPr>
          <w:rFonts w:ascii="David" w:hAnsi="David"/>
          <w:rtl/>
        </w:rPr>
        <w:t xml:space="preserve">. כאשר זיקת הקשר שבין המאיים למאוים היא חזקה וקרובה, כגון קשר </w:t>
      </w:r>
      <w:r>
        <w:rPr>
          <w:rFonts w:ascii="David" w:hAnsi="David" w:hint="cs"/>
          <w:rtl/>
        </w:rPr>
        <w:t>בין בן לאמו</w:t>
      </w:r>
      <w:r>
        <w:rPr>
          <w:rFonts w:ascii="David" w:hAnsi="David"/>
          <w:rtl/>
        </w:rPr>
        <w:t xml:space="preserve"> כבענייננו, יש בה להגביר את הפגיעה בשלוות נפשו של המאוים</w:t>
      </w:r>
      <w:r>
        <w:rPr>
          <w:rFonts w:ascii="David" w:hAnsi="David" w:hint="cs"/>
          <w:rtl/>
        </w:rPr>
        <w:t>, שלא לדבר על ההתנהגות האלימה במישור המילולי שהנאשם הפנה כלפי מי שנשאה אותו ברחמה</w:t>
      </w:r>
      <w:r>
        <w:rPr>
          <w:rFonts w:ascii="David" w:hAnsi="David"/>
          <w:rtl/>
        </w:rPr>
        <w:t>.</w:t>
      </w:r>
    </w:p>
    <w:p w14:paraId="4A2CBE50" w14:textId="77777777" w:rsidR="00473769" w:rsidRDefault="00473769" w:rsidP="00473769">
      <w:pPr>
        <w:pStyle w:val="a9"/>
        <w:rPr>
          <w:rFonts w:ascii="David" w:hAnsi="David"/>
        </w:rPr>
      </w:pPr>
    </w:p>
    <w:p w14:paraId="318DDC14" w14:textId="77777777" w:rsidR="00473769" w:rsidRDefault="00473769" w:rsidP="00473769">
      <w:pPr>
        <w:pStyle w:val="a9"/>
        <w:spacing w:line="360" w:lineRule="auto"/>
        <w:ind w:left="360"/>
        <w:jc w:val="both"/>
        <w:rPr>
          <w:rFonts w:ascii="David" w:hAnsi="David"/>
          <w:rtl/>
        </w:rPr>
      </w:pPr>
      <w:r>
        <w:rPr>
          <w:rFonts w:ascii="David" w:hAnsi="David" w:hint="cs"/>
          <w:rtl/>
        </w:rPr>
        <w:t xml:space="preserve">בנוסף, </w:t>
      </w:r>
      <w:r>
        <w:rPr>
          <w:rFonts w:ascii="David" w:hAnsi="David"/>
          <w:rtl/>
        </w:rPr>
        <w:t>איומי הנאשם</w:t>
      </w:r>
      <w:r>
        <w:rPr>
          <w:rFonts w:ascii="David" w:hAnsi="David" w:hint="cs"/>
          <w:rtl/>
        </w:rPr>
        <w:t xml:space="preserve"> </w:t>
      </w:r>
      <w:r>
        <w:rPr>
          <w:rFonts w:ascii="David" w:hAnsi="David"/>
          <w:rtl/>
        </w:rPr>
        <w:t xml:space="preserve">לא היו נטועים בחלל האוויר, אלא היו קשורים </w:t>
      </w:r>
      <w:r>
        <w:rPr>
          <w:rFonts w:ascii="David" w:hAnsi="David" w:hint="cs"/>
          <w:rtl/>
        </w:rPr>
        <w:t>לכך שבעת ההיא צרך הנאשם סמים והיה טעון ומתוח על רקע כספים שהיה חייב בשוק האפור.</w:t>
      </w:r>
    </w:p>
    <w:p w14:paraId="2A40BD04" w14:textId="77777777" w:rsidR="00473769" w:rsidRDefault="00473769" w:rsidP="00473769">
      <w:pPr>
        <w:pStyle w:val="a9"/>
        <w:spacing w:line="360" w:lineRule="auto"/>
        <w:ind w:left="360"/>
        <w:jc w:val="both"/>
        <w:rPr>
          <w:rFonts w:ascii="David" w:hAnsi="David"/>
          <w:rtl/>
        </w:rPr>
      </w:pPr>
      <w:r>
        <w:rPr>
          <w:rFonts w:ascii="David" w:hAnsi="David"/>
          <w:rtl/>
        </w:rPr>
        <w:t xml:space="preserve"> </w:t>
      </w:r>
    </w:p>
    <w:p w14:paraId="109FFC73" w14:textId="77777777" w:rsidR="00473769" w:rsidRDefault="00473769" w:rsidP="00473769">
      <w:pPr>
        <w:spacing w:line="360" w:lineRule="auto"/>
        <w:ind w:left="360"/>
        <w:jc w:val="both"/>
        <w:rPr>
          <w:rFonts w:ascii="David" w:hAnsi="David"/>
          <w:rtl/>
        </w:rPr>
      </w:pPr>
      <w:r>
        <w:rPr>
          <w:rFonts w:ascii="David" w:hAnsi="David" w:hint="cs"/>
          <w:rtl/>
        </w:rPr>
        <w:t xml:space="preserve">יצוין עם זאת, כי אירוע האיומים כלפי אמו </w:t>
      </w:r>
      <w:r>
        <w:rPr>
          <w:rFonts w:ascii="David" w:hAnsi="David"/>
          <w:rtl/>
        </w:rPr>
        <w:t xml:space="preserve">היה נקודתי ומתפרץ, והגם שהוא בוודאי הבהיל את המתלוננת והשפילה, נראה כי נעשה </w:t>
      </w:r>
      <w:r>
        <w:rPr>
          <w:rFonts w:ascii="David" w:hAnsi="David" w:hint="cs"/>
          <w:rtl/>
        </w:rPr>
        <w:t>כהתפרצות חד פעמית שנטועה בחובות לשוק האפור ובכמיהה דאז לסמים</w:t>
      </w:r>
      <w:r>
        <w:rPr>
          <w:rFonts w:ascii="David" w:hAnsi="David"/>
          <w:rtl/>
        </w:rPr>
        <w:t xml:space="preserve">. אין במעשה מימד של תכנון או 'שיטת פעולה', ואפילו שהנאשם התנהג באופן </w:t>
      </w:r>
      <w:r>
        <w:rPr>
          <w:rFonts w:ascii="David" w:hAnsi="David" w:hint="cs"/>
          <w:rtl/>
        </w:rPr>
        <w:t xml:space="preserve">בזוי ופוגעני כלפי אמו </w:t>
      </w:r>
      <w:r>
        <w:rPr>
          <w:rFonts w:ascii="David" w:hAnsi="David"/>
          <w:rtl/>
        </w:rPr>
        <w:t>–</w:t>
      </w:r>
      <w:r>
        <w:rPr>
          <w:rFonts w:ascii="David" w:hAnsi="David" w:hint="cs"/>
          <w:rtl/>
        </w:rPr>
        <w:t xml:space="preserve"> הרי שמדובר  באירוע שהסלים על רקע סירובה של אמו, שחיפשה את טובתו של הנאשם, למסור לו את מפתחות רכבו ולתת לו כסף, והוא מבטא תסכול, לחץ וחוסר אונים שהנאשם היה נתון בו, יותר מאשר מוטיבים של התנהגות עבריינית טבועה.</w:t>
      </w:r>
    </w:p>
    <w:p w14:paraId="64A491E1" w14:textId="77777777" w:rsidR="00473769" w:rsidRDefault="00473769" w:rsidP="00473769">
      <w:pPr>
        <w:spacing w:line="360" w:lineRule="auto"/>
        <w:ind w:left="360"/>
        <w:jc w:val="both"/>
        <w:rPr>
          <w:rFonts w:ascii="David" w:hAnsi="David"/>
          <w:rtl/>
        </w:rPr>
      </w:pPr>
    </w:p>
    <w:p w14:paraId="187D573B" w14:textId="77777777" w:rsidR="00473769" w:rsidRDefault="00473769" w:rsidP="00473769">
      <w:pPr>
        <w:spacing w:line="360" w:lineRule="auto"/>
        <w:ind w:left="360"/>
        <w:jc w:val="both"/>
        <w:rPr>
          <w:rFonts w:ascii="David" w:hAnsi="David"/>
          <w:rtl/>
        </w:rPr>
      </w:pPr>
      <w:r>
        <w:rPr>
          <w:rFonts w:ascii="David" w:hAnsi="David"/>
          <w:rtl/>
        </w:rPr>
        <w:t>בהתחשב בכל אלה אני סבור כי מידת הפגיעה בערכים המוגנים היא נמוכה.</w:t>
      </w:r>
    </w:p>
    <w:p w14:paraId="1B883AE4" w14:textId="77777777" w:rsidR="00473769" w:rsidRDefault="00473769" w:rsidP="00473769">
      <w:pPr>
        <w:pStyle w:val="a9"/>
        <w:spacing w:line="360" w:lineRule="auto"/>
        <w:ind w:left="360"/>
        <w:jc w:val="both"/>
        <w:rPr>
          <w:rFonts w:ascii="David" w:hAnsi="David"/>
          <w:rtl/>
        </w:rPr>
      </w:pPr>
    </w:p>
    <w:p w14:paraId="5448091B" w14:textId="77777777" w:rsidR="00473769" w:rsidRPr="00C366BC" w:rsidRDefault="00473769" w:rsidP="00473769">
      <w:pPr>
        <w:pStyle w:val="a9"/>
        <w:numPr>
          <w:ilvl w:val="0"/>
          <w:numId w:val="1"/>
        </w:numPr>
        <w:spacing w:line="360" w:lineRule="auto"/>
        <w:ind w:left="360"/>
        <w:jc w:val="both"/>
        <w:rPr>
          <w:rFonts w:ascii="David" w:hAnsi="David"/>
        </w:rPr>
      </w:pPr>
      <w:r w:rsidRPr="00C366BC">
        <w:rPr>
          <w:rFonts w:ascii="David" w:hAnsi="David"/>
          <w:b/>
          <w:bCs/>
          <w:rtl/>
        </w:rPr>
        <w:t>עיון בפסיקת בתי המשפט מלמדת כי מדיניות הענישה הנוהגת במקרים של איומים נעה החל ממאסר על תנאי בלבד, עבור במאסרים לריצוי בעבודות שירות ועד למאסרים בפועל. למשל</w:t>
      </w:r>
      <w:r w:rsidRPr="00C366BC">
        <w:rPr>
          <w:rFonts w:ascii="David" w:hAnsi="David"/>
          <w:rtl/>
        </w:rPr>
        <w:t>:</w:t>
      </w:r>
      <w:r w:rsidRPr="00C366BC">
        <w:rPr>
          <w:rFonts w:ascii="David" w:hAnsi="David" w:hint="cs"/>
          <w:rtl/>
        </w:rPr>
        <w:t xml:space="preserve"> </w:t>
      </w:r>
    </w:p>
    <w:p w14:paraId="6A922733" w14:textId="77777777" w:rsidR="00473769" w:rsidRDefault="00473769" w:rsidP="00473769">
      <w:pPr>
        <w:pStyle w:val="a9"/>
        <w:spacing w:line="360" w:lineRule="auto"/>
        <w:ind w:left="360"/>
        <w:jc w:val="both"/>
        <w:rPr>
          <w:rFonts w:ascii="David" w:hAnsi="David"/>
          <w:rtl/>
        </w:rPr>
      </w:pPr>
    </w:p>
    <w:p w14:paraId="03F6B9EE" w14:textId="77777777" w:rsidR="00473769" w:rsidRDefault="00473769" w:rsidP="00473769">
      <w:pPr>
        <w:pStyle w:val="a9"/>
        <w:spacing w:line="360" w:lineRule="auto"/>
        <w:ind w:left="360"/>
        <w:jc w:val="both"/>
        <w:rPr>
          <w:rFonts w:ascii="David" w:hAnsi="David"/>
          <w:rtl/>
        </w:rPr>
      </w:pPr>
      <w:r>
        <w:rPr>
          <w:rFonts w:ascii="David" w:hAnsi="David"/>
          <w:rtl/>
        </w:rPr>
        <w:t>ב</w:t>
      </w:r>
      <w:hyperlink r:id="rId30" w:history="1">
        <w:r w:rsidR="001B49EC" w:rsidRPr="001B49EC">
          <w:rPr>
            <w:rFonts w:ascii="David" w:hAnsi="David"/>
            <w:b/>
            <w:bCs/>
            <w:color w:val="0000FF"/>
            <w:u w:val="single"/>
            <w:rtl/>
          </w:rPr>
          <w:t>רע"פ 637/21</w:t>
        </w:r>
      </w:hyperlink>
      <w:r w:rsidRPr="00294DB2">
        <w:rPr>
          <w:rFonts w:ascii="David" w:hAnsi="David"/>
          <w:b/>
          <w:bCs/>
          <w:u w:val="single"/>
          <w:rtl/>
        </w:rPr>
        <w:t xml:space="preserve"> מרדכי הרמן נ' מדינת ישראל</w:t>
      </w:r>
      <w:r>
        <w:rPr>
          <w:rFonts w:ascii="David" w:hAnsi="David" w:hint="cs"/>
          <w:rtl/>
        </w:rPr>
        <w:t xml:space="preserve"> [פורסם בנבו]</w:t>
      </w:r>
      <w:r>
        <w:rPr>
          <w:rFonts w:ascii="David" w:hAnsi="David"/>
          <w:rtl/>
        </w:rPr>
        <w:t xml:space="preserve"> (25.2.21) נדון עניינו של נאשם נעדר עבר פלילי, אשר הורשע לאחר ניהול הוכחות </w:t>
      </w:r>
      <w:r w:rsidRPr="00C366BC">
        <w:rPr>
          <w:rFonts w:ascii="David" w:hAnsi="David"/>
          <w:rtl/>
        </w:rPr>
        <w:t>בשתי עבירות איומים שנעשו כלפי אשתו,</w:t>
      </w:r>
      <w:r>
        <w:rPr>
          <w:rFonts w:ascii="David" w:hAnsi="David"/>
          <w:rtl/>
        </w:rPr>
        <w:t xml:space="preserve"> על רקע הליך גירושין שהיה ביניהם. נקבע כי מתחם העונש ההולם הוא </w:t>
      </w:r>
      <w:r w:rsidRPr="00C366BC">
        <w:rPr>
          <w:rFonts w:ascii="David" w:hAnsi="David"/>
          <w:rtl/>
        </w:rPr>
        <w:t>בין מאסר מותנה ועד שנת מאסר בפועל.</w:t>
      </w:r>
      <w:r>
        <w:rPr>
          <w:rFonts w:ascii="David" w:hAnsi="David"/>
          <w:rtl/>
        </w:rPr>
        <w:t xml:space="preserve"> נוכח גילו, היעדר עבר פלילי ונסיבותיו האישיות הטילה עליו הערכאה הדיונית מאסר מותנה, התחייבות כספית וקנס. הנאשם ערער וביקש לבטל את ההרשעה, אך ערעורו למחוזי נדחה וכך גם בקשת למתן רשות ערעור שהגיש לבית המשפט העליון. </w:t>
      </w:r>
    </w:p>
    <w:p w14:paraId="2B47903E" w14:textId="77777777" w:rsidR="00473769" w:rsidRDefault="00473769" w:rsidP="00473769">
      <w:pPr>
        <w:pStyle w:val="a9"/>
        <w:spacing w:line="360" w:lineRule="auto"/>
        <w:ind w:left="360"/>
        <w:jc w:val="both"/>
        <w:rPr>
          <w:rFonts w:ascii="David" w:hAnsi="David"/>
          <w:rtl/>
        </w:rPr>
      </w:pPr>
    </w:p>
    <w:p w14:paraId="73755783" w14:textId="77777777" w:rsidR="00473769" w:rsidRPr="00473769" w:rsidRDefault="00473769" w:rsidP="00473769">
      <w:pPr>
        <w:pStyle w:val="a9"/>
        <w:spacing w:line="360" w:lineRule="auto"/>
        <w:ind w:left="360"/>
        <w:jc w:val="both"/>
        <w:rPr>
          <w:rFonts w:ascii="David" w:eastAsia="Calibri" w:hAnsi="David"/>
        </w:rPr>
      </w:pPr>
      <w:r w:rsidRPr="00C366BC">
        <w:rPr>
          <w:rFonts w:ascii="David" w:hAnsi="David"/>
          <w:rtl/>
        </w:rPr>
        <w:t>גזר הדין</w:t>
      </w:r>
      <w:r>
        <w:rPr>
          <w:rFonts w:ascii="David" w:hAnsi="David"/>
          <w:rtl/>
        </w:rPr>
        <w:t xml:space="preserve"> שניתן ב</w:t>
      </w:r>
      <w:hyperlink r:id="rId31" w:history="1">
        <w:r w:rsidR="001B49EC" w:rsidRPr="001B49EC">
          <w:rPr>
            <w:rFonts w:ascii="David" w:hAnsi="David"/>
            <w:b/>
            <w:bCs/>
            <w:color w:val="0000FF"/>
            <w:u w:val="single"/>
            <w:rtl/>
          </w:rPr>
          <w:t>ת"פ (פ"ת) 10504-03-13</w:t>
        </w:r>
      </w:hyperlink>
      <w:r w:rsidRPr="00294DB2">
        <w:rPr>
          <w:rFonts w:ascii="David" w:hAnsi="David"/>
          <w:b/>
          <w:bCs/>
          <w:u w:val="single"/>
          <w:rtl/>
        </w:rPr>
        <w:t xml:space="preserve"> מדינת ישראל נ' א' צ'</w:t>
      </w:r>
      <w:r w:rsidRPr="00294DB2">
        <w:rPr>
          <w:rFonts w:ascii="David" w:hAnsi="David" w:hint="cs"/>
          <w:u w:val="single"/>
          <w:rtl/>
        </w:rPr>
        <w:t xml:space="preserve"> </w:t>
      </w:r>
      <w:r>
        <w:rPr>
          <w:rFonts w:ascii="David" w:hAnsi="David" w:hint="cs"/>
          <w:rtl/>
        </w:rPr>
        <w:t>[פורסם בנבו] (4.11.13)</w:t>
      </w:r>
      <w:r>
        <w:rPr>
          <w:rFonts w:ascii="David" w:hAnsi="David"/>
          <w:rtl/>
        </w:rPr>
        <w:t xml:space="preserve"> עסק בנאשם שאיים על אחותו בכך שקרב אליה עם ידיים מאוגרפות ואמר לה </w:t>
      </w:r>
      <w:r>
        <w:rPr>
          <w:rFonts w:ascii="David" w:hAnsi="David"/>
          <w:rtl/>
          <w:lang w:eastAsia="he-IL"/>
        </w:rPr>
        <w:t>"אני אכניס לך אגרוף"</w:t>
      </w:r>
      <w:r>
        <w:rPr>
          <w:rFonts w:ascii="David" w:hAnsi="David"/>
          <w:rtl/>
        </w:rPr>
        <w:t xml:space="preserve">, ובנסיבות אלה פנה לאמו שניסתה להרחיק אותו ואמר לה </w:t>
      </w:r>
      <w:r>
        <w:rPr>
          <w:rFonts w:ascii="David" w:hAnsi="David"/>
          <w:rtl/>
          <w:lang w:eastAsia="he-IL"/>
        </w:rPr>
        <w:t>"תשתקי, אני אשרוף את הבית, כל הבית שלי"</w:t>
      </w:r>
      <w:r>
        <w:rPr>
          <w:rFonts w:ascii="David" w:hAnsi="David"/>
          <w:rtl/>
        </w:rPr>
        <w:t xml:space="preserve">. בית המשפט מצא כי מדיניות הענישה הנוהגת בעבירות מסוג זה מתחילה ברף תחתון של מאסר על תנאי בלבד, ומגיעה כדי מספר חודשים של מאסר בפועל ברף העליון. </w:t>
      </w:r>
    </w:p>
    <w:p w14:paraId="77AB373F" w14:textId="77777777" w:rsidR="00473769" w:rsidRDefault="00473769" w:rsidP="00473769">
      <w:pPr>
        <w:pStyle w:val="a9"/>
        <w:rPr>
          <w:rFonts w:ascii="David" w:hAnsi="David"/>
          <w:rtl/>
        </w:rPr>
      </w:pPr>
    </w:p>
    <w:p w14:paraId="7E73530F" w14:textId="77777777" w:rsidR="00473769" w:rsidRDefault="00473769" w:rsidP="00473769">
      <w:pPr>
        <w:pStyle w:val="a9"/>
        <w:rPr>
          <w:rFonts w:ascii="David" w:hAnsi="David"/>
        </w:rPr>
      </w:pPr>
    </w:p>
    <w:p w14:paraId="29466B4C" w14:textId="77777777" w:rsidR="00473769" w:rsidRDefault="00473769" w:rsidP="00473769">
      <w:pPr>
        <w:pStyle w:val="a9"/>
        <w:spacing w:line="360" w:lineRule="auto"/>
        <w:ind w:left="360"/>
        <w:jc w:val="both"/>
        <w:rPr>
          <w:rFonts w:ascii="David" w:hAnsi="David"/>
          <w:rtl/>
        </w:rPr>
      </w:pPr>
      <w:r w:rsidRPr="000262E6">
        <w:rPr>
          <w:rFonts w:ascii="David" w:hAnsi="David"/>
          <w:rtl/>
        </w:rPr>
        <w:t>ב</w:t>
      </w:r>
      <w:hyperlink r:id="rId32" w:history="1">
        <w:r w:rsidR="001B49EC" w:rsidRPr="001B49EC">
          <w:rPr>
            <w:rFonts w:ascii="David" w:hAnsi="David"/>
            <w:b/>
            <w:bCs/>
            <w:color w:val="0000FF"/>
            <w:u w:val="single"/>
            <w:rtl/>
          </w:rPr>
          <w:t>ת"פ (ב"ש) 23715-07-16</w:t>
        </w:r>
      </w:hyperlink>
      <w:r w:rsidRPr="000262E6">
        <w:rPr>
          <w:rFonts w:ascii="David" w:hAnsi="David"/>
          <w:u w:val="single"/>
          <w:rtl/>
        </w:rPr>
        <w:t xml:space="preserve"> </w:t>
      </w:r>
      <w:r w:rsidRPr="000262E6">
        <w:rPr>
          <w:rFonts w:ascii="David" w:hAnsi="David" w:hint="cs"/>
          <w:b/>
          <w:bCs/>
          <w:u w:val="single"/>
          <w:rtl/>
        </w:rPr>
        <w:t>מדינת ישראל נ' פלוני</w:t>
      </w:r>
      <w:r>
        <w:rPr>
          <w:rFonts w:ascii="David" w:hAnsi="David" w:hint="cs"/>
          <w:rtl/>
        </w:rPr>
        <w:t xml:space="preserve"> (29.6.16) </w:t>
      </w:r>
      <w:r w:rsidRPr="000262E6">
        <w:rPr>
          <w:rFonts w:ascii="David" w:hAnsi="David"/>
          <w:rtl/>
        </w:rPr>
        <w:t xml:space="preserve">הורשע נאשם </w:t>
      </w:r>
      <w:r w:rsidRPr="0067225D">
        <w:rPr>
          <w:rFonts w:ascii="David" w:hAnsi="David"/>
          <w:rtl/>
        </w:rPr>
        <w:t>בשתי עבירות איומים</w:t>
      </w:r>
      <w:r w:rsidRPr="000262E6">
        <w:rPr>
          <w:rFonts w:ascii="David" w:hAnsi="David"/>
          <w:rtl/>
        </w:rPr>
        <w:t xml:space="preserve"> כלפי אמו, בכך שאמר לה, בביתה, כי יחתוך את כל הרחוב באמצעות סכין, ובהמשך כי ישרוף את כל הבית אם היא לא תיתן לו כסף; ובכך כי באירוע אחר התקשר לקרובת משפחה ואיים עליה באומרו כי ישרוף את הבית. מתחם הענישה שנקבע היה בין מאסר מותנה ועד 9 חודשי מאסר בפועל, וגזר הדין שהוטל היה 4 חודשי מאסר בפועל.</w:t>
      </w:r>
    </w:p>
    <w:p w14:paraId="0D8F1E66" w14:textId="77777777" w:rsidR="00473769" w:rsidRDefault="00473769" w:rsidP="00473769">
      <w:pPr>
        <w:pStyle w:val="a9"/>
        <w:spacing w:line="360" w:lineRule="auto"/>
        <w:ind w:left="360"/>
        <w:jc w:val="both"/>
        <w:rPr>
          <w:rFonts w:ascii="David" w:hAnsi="David"/>
          <w:rtl/>
        </w:rPr>
      </w:pPr>
    </w:p>
    <w:p w14:paraId="468DF616" w14:textId="77777777" w:rsidR="00473769" w:rsidRDefault="00473769" w:rsidP="00473769">
      <w:pPr>
        <w:pStyle w:val="a9"/>
        <w:numPr>
          <w:ilvl w:val="0"/>
          <w:numId w:val="1"/>
        </w:numPr>
        <w:spacing w:line="360" w:lineRule="auto"/>
        <w:ind w:left="360"/>
        <w:jc w:val="both"/>
        <w:rPr>
          <w:rFonts w:ascii="David" w:hAnsi="David"/>
          <w:rtl/>
        </w:rPr>
      </w:pPr>
      <w:r>
        <w:rPr>
          <w:rFonts w:ascii="David" w:hAnsi="David"/>
          <w:rtl/>
        </w:rPr>
        <w:t>הענישה הנוהגת ומתחמי הענישה הנקבעים בעבירות האיומים נעים אפוא על מנעד רחב למדי, שהרף התחתון שלו הוא ענישה מותנית הצופה פני עתיד</w:t>
      </w:r>
      <w:r>
        <w:rPr>
          <w:rFonts w:ascii="David" w:hAnsi="David" w:hint="cs"/>
          <w:rtl/>
        </w:rPr>
        <w:t>;</w:t>
      </w:r>
      <w:r>
        <w:rPr>
          <w:rFonts w:ascii="David" w:hAnsi="David"/>
          <w:rtl/>
        </w:rPr>
        <w:t xml:space="preserve"> ואילו קצהו העליון עומד על מספר חודשי מאסר לריצוי בפועל ועד כדי שנת מאסר. לעבירות האיומים פנים רבות ומגוונות, הן תלויות סיטואציה והקשר, וחומרתן נגזרת לא רק ממהות האיום ותוכן דברי האיומים, אלא גם מהדרך בה הם מושמעים, כמו גם מזהות המאיים, זהות מושא האיומים והקשר הקיים ביניהם. </w:t>
      </w:r>
    </w:p>
    <w:p w14:paraId="4F268B53" w14:textId="77777777" w:rsidR="00473769" w:rsidRDefault="00473769" w:rsidP="00473769">
      <w:pPr>
        <w:pStyle w:val="a9"/>
        <w:spacing w:line="360" w:lineRule="auto"/>
        <w:ind w:left="360"/>
        <w:jc w:val="both"/>
        <w:rPr>
          <w:rFonts w:ascii="David" w:hAnsi="David"/>
        </w:rPr>
      </w:pPr>
    </w:p>
    <w:p w14:paraId="14BBC71F" w14:textId="77777777" w:rsidR="00473769" w:rsidRDefault="00473769" w:rsidP="00473769">
      <w:pPr>
        <w:pStyle w:val="a9"/>
        <w:numPr>
          <w:ilvl w:val="0"/>
          <w:numId w:val="1"/>
        </w:numPr>
        <w:spacing w:line="360" w:lineRule="auto"/>
        <w:ind w:left="360"/>
        <w:jc w:val="both"/>
        <w:rPr>
          <w:rFonts w:ascii="David" w:hAnsi="David"/>
          <w:rtl/>
        </w:rPr>
      </w:pPr>
      <w:r>
        <w:rPr>
          <w:rFonts w:ascii="David" w:hAnsi="David"/>
          <w:rtl/>
        </w:rPr>
        <w:t>בהתאם לעיקרון ההלימה המנחה, ולאחר ששקלתי את מידת הפגיעה בערכים המוגנים, את נסיבות ביצוע העבירה ובהתחשב גם בפסיקה הנוהגת, אני קובע כי מתחם הענישה לעביר</w:t>
      </w:r>
      <w:r>
        <w:rPr>
          <w:rFonts w:ascii="David" w:hAnsi="David" w:hint="cs"/>
          <w:rtl/>
        </w:rPr>
        <w:t xml:space="preserve">ות מושא אישום זה, לו הייתה עומדת לבדה, היה </w:t>
      </w:r>
      <w:r>
        <w:rPr>
          <w:rFonts w:ascii="David" w:hAnsi="David"/>
          <w:rtl/>
        </w:rPr>
        <w:t xml:space="preserve">נע בין רף תחתון של מאסר על תנאי, ועד לשבעה חודשי מאסר בפועל ברף העליון. </w:t>
      </w:r>
    </w:p>
    <w:p w14:paraId="02D2AD2F" w14:textId="77777777" w:rsidR="00473769" w:rsidRDefault="00473769" w:rsidP="00473769">
      <w:pPr>
        <w:pStyle w:val="a9"/>
        <w:rPr>
          <w:rFonts w:ascii="David" w:hAnsi="David"/>
        </w:rPr>
      </w:pPr>
    </w:p>
    <w:p w14:paraId="674A8B09" w14:textId="77777777" w:rsidR="00473769" w:rsidRDefault="00473769" w:rsidP="00473769">
      <w:pPr>
        <w:pStyle w:val="a9"/>
        <w:numPr>
          <w:ilvl w:val="0"/>
          <w:numId w:val="1"/>
        </w:numPr>
        <w:spacing w:line="360" w:lineRule="auto"/>
        <w:ind w:left="360"/>
        <w:jc w:val="both"/>
        <w:rPr>
          <w:rFonts w:ascii="David" w:hAnsi="David"/>
        </w:rPr>
      </w:pPr>
      <w:r w:rsidRPr="00DB4092">
        <w:rPr>
          <w:rFonts w:ascii="David" w:hAnsi="David"/>
          <w:b/>
          <w:bCs/>
          <w:rtl/>
        </w:rPr>
        <w:t xml:space="preserve">הערכים </w:t>
      </w:r>
      <w:r w:rsidRPr="00DB4092">
        <w:rPr>
          <w:b/>
          <w:bCs/>
          <w:rtl/>
        </w:rPr>
        <w:t>המוגנים</w:t>
      </w:r>
      <w:r w:rsidRPr="00DB4092">
        <w:rPr>
          <w:rFonts w:ascii="David" w:hAnsi="David"/>
          <w:b/>
          <w:bCs/>
          <w:rtl/>
        </w:rPr>
        <w:t xml:space="preserve"> העומדים ביסוד עבירת </w:t>
      </w:r>
      <w:r w:rsidRPr="00DB4092">
        <w:rPr>
          <w:rFonts w:ascii="David" w:hAnsi="David" w:hint="cs"/>
          <w:b/>
          <w:bCs/>
          <w:rtl/>
        </w:rPr>
        <w:t>החזקת הסמים שלא לצריכה עצמית הם שלום הציבור בריאותו ובטחונו, ההגנה מפני הנזקים הישירים והעקיפים העשויים להיגרם בשל השימוש בסמים, וכן הגנה על הציבור מפני הנזקים הנגרמים בשל ביצוע עבירות על ידי עבריינים על רקע שימוש בסמים והפצתם</w:t>
      </w:r>
      <w:r>
        <w:rPr>
          <w:rFonts w:ascii="David" w:hAnsi="David" w:hint="cs"/>
          <w:rtl/>
        </w:rPr>
        <w:t>.</w:t>
      </w:r>
    </w:p>
    <w:p w14:paraId="31C4C37F" w14:textId="77777777" w:rsidR="00473769" w:rsidRPr="00405C38" w:rsidRDefault="00473769" w:rsidP="00473769">
      <w:pPr>
        <w:pStyle w:val="a9"/>
        <w:spacing w:line="360" w:lineRule="auto"/>
        <w:ind w:left="360"/>
        <w:jc w:val="both"/>
        <w:rPr>
          <w:rFonts w:ascii="David" w:hAnsi="David"/>
        </w:rPr>
      </w:pPr>
      <w:r>
        <w:rPr>
          <w:rFonts w:ascii="David" w:hAnsi="David" w:hint="cs"/>
          <w:rtl/>
        </w:rPr>
        <w:t xml:space="preserve"> </w:t>
      </w:r>
    </w:p>
    <w:p w14:paraId="648CA6D7" w14:textId="77777777" w:rsidR="00473769" w:rsidRDefault="00473769" w:rsidP="00473769">
      <w:pPr>
        <w:pStyle w:val="a9"/>
        <w:numPr>
          <w:ilvl w:val="0"/>
          <w:numId w:val="1"/>
        </w:numPr>
        <w:spacing w:line="360" w:lineRule="auto"/>
        <w:ind w:left="360"/>
        <w:jc w:val="both"/>
        <w:rPr>
          <w:rFonts w:ascii="David" w:hAnsi="David"/>
        </w:rPr>
      </w:pPr>
      <w:r>
        <w:rPr>
          <w:rFonts w:ascii="David" w:hAnsi="David" w:hint="cs"/>
          <w:rtl/>
        </w:rPr>
        <w:t>עיון בפסיקה מלמד כי מדיניות הענישה הנוהגת במקרים של החזקת סם שלא לצריכה עצמית, היא מגוונת יחסית, תלויה בסוג הסם שנתפס, בכמותו ובנסיבות החזקתו (</w:t>
      </w:r>
      <w:hyperlink r:id="rId33" w:history="1">
        <w:r w:rsidR="001B49EC" w:rsidRPr="001B49EC">
          <w:rPr>
            <w:rFonts w:ascii="David" w:hAnsi="David"/>
            <w:color w:val="0000FF"/>
            <w:u w:val="single"/>
            <w:rtl/>
          </w:rPr>
          <w:t>ע"פ 8436/20</w:t>
        </w:r>
      </w:hyperlink>
      <w:r>
        <w:rPr>
          <w:rFonts w:ascii="David" w:hAnsi="David" w:hint="cs"/>
          <w:rtl/>
        </w:rPr>
        <w:t xml:space="preserve"> </w:t>
      </w:r>
      <w:r w:rsidRPr="000E6679">
        <w:rPr>
          <w:rFonts w:ascii="David" w:hAnsi="David" w:hint="cs"/>
          <w:b/>
          <w:bCs/>
          <w:rtl/>
        </w:rPr>
        <w:t>יעקב אמסלם נ' מדינת ישראל</w:t>
      </w:r>
      <w:r>
        <w:rPr>
          <w:rFonts w:ascii="David" w:hAnsi="David" w:hint="cs"/>
          <w:rtl/>
        </w:rPr>
        <w:t xml:space="preserve">, פסקה 10 [פורסם בנבו] (7.6.21)). </w:t>
      </w:r>
    </w:p>
    <w:p w14:paraId="02E97FCB" w14:textId="77777777" w:rsidR="00473769" w:rsidRPr="00497CD9" w:rsidRDefault="00473769" w:rsidP="00473769">
      <w:pPr>
        <w:pStyle w:val="a9"/>
        <w:rPr>
          <w:rFonts w:ascii="David" w:hAnsi="David"/>
          <w:rtl/>
        </w:rPr>
      </w:pPr>
    </w:p>
    <w:p w14:paraId="52D8419F" w14:textId="77777777" w:rsidR="00473769" w:rsidRDefault="00473769" w:rsidP="00473769">
      <w:pPr>
        <w:pStyle w:val="a9"/>
        <w:numPr>
          <w:ilvl w:val="0"/>
          <w:numId w:val="1"/>
        </w:numPr>
        <w:spacing w:line="360" w:lineRule="auto"/>
        <w:ind w:left="360"/>
        <w:jc w:val="both"/>
        <w:rPr>
          <w:rFonts w:ascii="David" w:hAnsi="David"/>
        </w:rPr>
      </w:pPr>
      <w:r>
        <w:rPr>
          <w:rFonts w:ascii="David" w:hAnsi="David" w:hint="cs"/>
          <w:rtl/>
        </w:rPr>
        <w:t>אצל הנאשם נתפסה כמות קטנה יחסית של סם מסוג קנביס, אולם תפיסתם של 43 סיגריות אלקטרוניות שבהן סם מסוכן מסוג אחר, יחד עם משקל אלקטרוני, מגבירה קמעא את החומרה הנודעת לסוג העבירה.</w:t>
      </w:r>
    </w:p>
    <w:p w14:paraId="4D5A576A" w14:textId="77777777" w:rsidR="00473769" w:rsidRPr="000E6852" w:rsidRDefault="00473769" w:rsidP="00473769">
      <w:pPr>
        <w:pStyle w:val="a9"/>
        <w:rPr>
          <w:rFonts w:ascii="David" w:hAnsi="David"/>
          <w:rtl/>
        </w:rPr>
      </w:pPr>
    </w:p>
    <w:p w14:paraId="1DD86882" w14:textId="77777777" w:rsidR="00473769" w:rsidRDefault="00473769" w:rsidP="00473769">
      <w:pPr>
        <w:pStyle w:val="a9"/>
        <w:spacing w:line="360" w:lineRule="auto"/>
        <w:ind w:left="360"/>
        <w:jc w:val="both"/>
        <w:rPr>
          <w:rFonts w:ascii="David" w:hAnsi="David"/>
        </w:rPr>
      </w:pPr>
      <w:r>
        <w:rPr>
          <w:rFonts w:ascii="David" w:hAnsi="David" w:hint="cs"/>
          <w:rtl/>
        </w:rPr>
        <w:t>נראה כי בנסיבות של החזקת סמים כבענייננו מדיניות הענישה נמצאת בדרך כלל בטווח שבין מאסר על תנאי קנס ושל"צ, ועד שנת מאסר בפועל. למשל:</w:t>
      </w:r>
    </w:p>
    <w:p w14:paraId="122E0564" w14:textId="77777777" w:rsidR="00473769" w:rsidRPr="005478CB" w:rsidRDefault="00473769" w:rsidP="00473769">
      <w:pPr>
        <w:pStyle w:val="a9"/>
        <w:rPr>
          <w:rFonts w:ascii="David" w:hAnsi="David"/>
          <w:rtl/>
        </w:rPr>
      </w:pPr>
    </w:p>
    <w:p w14:paraId="0A918FB8" w14:textId="77777777" w:rsidR="00473769" w:rsidRDefault="001B49EC" w:rsidP="00473769">
      <w:pPr>
        <w:pStyle w:val="a9"/>
        <w:spacing w:line="360" w:lineRule="auto"/>
        <w:ind w:left="360"/>
        <w:jc w:val="both"/>
        <w:rPr>
          <w:rFonts w:ascii="David" w:hAnsi="David"/>
          <w:rtl/>
        </w:rPr>
      </w:pPr>
      <w:hyperlink r:id="rId34" w:history="1">
        <w:r w:rsidRPr="001B49EC">
          <w:rPr>
            <w:rFonts w:ascii="David" w:hAnsi="David"/>
            <w:b/>
            <w:bCs/>
            <w:color w:val="0000FF"/>
            <w:u w:val="single"/>
            <w:rtl/>
          </w:rPr>
          <w:t>רע"פ 1267/23</w:t>
        </w:r>
      </w:hyperlink>
      <w:r w:rsidR="00473769" w:rsidRPr="00794BD9">
        <w:rPr>
          <w:rFonts w:ascii="David" w:hAnsi="David" w:hint="cs"/>
          <w:b/>
          <w:bCs/>
          <w:u w:val="single"/>
          <w:rtl/>
        </w:rPr>
        <w:t xml:space="preserve"> נתנאל בלקר נ' מדינת ישראל</w:t>
      </w:r>
      <w:r w:rsidR="00473769">
        <w:rPr>
          <w:rFonts w:ascii="David" w:hAnsi="David" w:hint="cs"/>
          <w:rtl/>
        </w:rPr>
        <w:t xml:space="preserve"> [פורסם בנבו] (6.3.23). בביתו של המבקש נתפס סם מסוכן מסוג קנביס במשקל של כ- 650 גרם יחד עם כלים להכנת סם שלא לצריכה עצמית; בית משפט השלום קבע מתחם עונש הולם שמתחיל במאסר על תנאי ומגיע עד כדי שנת מאסר בפועל. </w:t>
      </w:r>
    </w:p>
    <w:p w14:paraId="0D4336C6" w14:textId="77777777" w:rsidR="00473769" w:rsidRDefault="00473769" w:rsidP="00473769">
      <w:pPr>
        <w:pStyle w:val="a9"/>
        <w:spacing w:line="360" w:lineRule="auto"/>
        <w:ind w:left="360"/>
        <w:jc w:val="both"/>
        <w:rPr>
          <w:rFonts w:ascii="David" w:hAnsi="David"/>
          <w:rtl/>
        </w:rPr>
      </w:pPr>
    </w:p>
    <w:p w14:paraId="669914DB" w14:textId="77777777" w:rsidR="00473769" w:rsidRDefault="00473769" w:rsidP="00473769">
      <w:pPr>
        <w:pStyle w:val="a9"/>
        <w:spacing w:line="360" w:lineRule="auto"/>
        <w:ind w:left="360"/>
        <w:jc w:val="both"/>
        <w:rPr>
          <w:rFonts w:ascii="David" w:hAnsi="David"/>
          <w:rtl/>
        </w:rPr>
      </w:pPr>
      <w:r>
        <w:rPr>
          <w:rFonts w:ascii="David" w:hAnsi="David" w:hint="cs"/>
          <w:rtl/>
        </w:rPr>
        <w:t>בעניין שנדון ב</w:t>
      </w:r>
      <w:hyperlink r:id="rId35" w:history="1">
        <w:r w:rsidR="001B49EC" w:rsidRPr="001B49EC">
          <w:rPr>
            <w:rFonts w:ascii="David" w:hAnsi="David"/>
            <w:b/>
            <w:bCs/>
            <w:color w:val="0000FF"/>
            <w:u w:val="single"/>
            <w:rtl/>
          </w:rPr>
          <w:t>רע"פ 4214/22</w:t>
        </w:r>
      </w:hyperlink>
      <w:r w:rsidRPr="00794BD9">
        <w:rPr>
          <w:rFonts w:ascii="David" w:hAnsi="David" w:hint="cs"/>
          <w:b/>
          <w:bCs/>
          <w:u w:val="single"/>
          <w:rtl/>
        </w:rPr>
        <w:t xml:space="preserve"> עדן יצחק נ' מדינת ישראל</w:t>
      </w:r>
      <w:r>
        <w:rPr>
          <w:rFonts w:ascii="David" w:hAnsi="David" w:hint="cs"/>
          <w:rtl/>
        </w:rPr>
        <w:t xml:space="preserve"> [פורסם בנבו] (7.7.22) הרשיע בית משפט השלום את המבקש בכך שהחזיק בתא הכפפות ברכבו 9 יחידות של סם מסוכן מסוג קנביס, במשקל כולל של 12.12 גרם, שלא לצריכתו העצמית, ומשקל אלקטרוני; ובנוסף החזיק ברכב אחר 60 יחידות של סם מסוכן מסוג קנבוס במשקל כולל של 140 גרם, שלא לצריכה עצמית. נקבע כי מתחם העונש ההולם נע בין מאסר על תנאי לבין 10 חודשי מאסר בפועל. נגזר על הנאשם מאסר על תנאי, של"צ, צו מבחן, וכן קנס, התחייבות ושלילת רשיון נהיגה על תנאי. ערעורו לבית המשפט המחוזי נדחה, וכך גם בקשת רשות ערעור שהגיש לבית המשפט העליון.</w:t>
      </w:r>
    </w:p>
    <w:p w14:paraId="19C207FA" w14:textId="77777777" w:rsidR="00473769" w:rsidRDefault="00473769" w:rsidP="00473769">
      <w:pPr>
        <w:pStyle w:val="a9"/>
        <w:spacing w:line="360" w:lineRule="auto"/>
        <w:ind w:left="360"/>
        <w:jc w:val="both"/>
        <w:rPr>
          <w:rFonts w:ascii="David" w:hAnsi="David"/>
          <w:rtl/>
        </w:rPr>
      </w:pPr>
      <w:r>
        <w:rPr>
          <w:rFonts w:ascii="David" w:hAnsi="David" w:hint="cs"/>
          <w:rtl/>
        </w:rPr>
        <w:t xml:space="preserve">  </w:t>
      </w:r>
    </w:p>
    <w:p w14:paraId="43B8C34F" w14:textId="77777777" w:rsidR="00473769" w:rsidRPr="00CB1D0E" w:rsidRDefault="00473769" w:rsidP="00473769">
      <w:pPr>
        <w:pStyle w:val="a9"/>
        <w:spacing w:line="360" w:lineRule="auto"/>
        <w:ind w:left="360"/>
        <w:jc w:val="both"/>
        <w:rPr>
          <w:rFonts w:ascii="David" w:hAnsi="David"/>
          <w:b/>
          <w:bCs/>
          <w:rtl/>
        </w:rPr>
      </w:pPr>
      <w:r>
        <w:rPr>
          <w:rFonts w:ascii="David" w:hAnsi="David" w:hint="cs"/>
          <w:rtl/>
        </w:rPr>
        <w:t>ב</w:t>
      </w:r>
      <w:hyperlink r:id="rId36" w:history="1">
        <w:r w:rsidR="001B49EC" w:rsidRPr="001B49EC">
          <w:rPr>
            <w:rFonts w:ascii="David" w:hAnsi="David"/>
            <w:b/>
            <w:bCs/>
            <w:color w:val="0000FF"/>
            <w:u w:val="single"/>
            <w:rtl/>
          </w:rPr>
          <w:t>ת"פ (ת"א) 3781-11-11</w:t>
        </w:r>
      </w:hyperlink>
      <w:r w:rsidRPr="00794BD9">
        <w:rPr>
          <w:rFonts w:ascii="David" w:hAnsi="David" w:hint="cs"/>
          <w:b/>
          <w:bCs/>
          <w:u w:val="single"/>
          <w:rtl/>
        </w:rPr>
        <w:t xml:space="preserve"> מדינת ישראל נ' אברהם ציוני</w:t>
      </w:r>
      <w:r w:rsidRPr="00CB1D0E">
        <w:rPr>
          <w:rFonts w:ascii="David" w:hAnsi="David" w:hint="cs"/>
          <w:rtl/>
        </w:rPr>
        <w:t xml:space="preserve"> [פורסם בנבו] (6.3.16) נדון עניינו של נאשם שהחזיק ברכבו בסם מסוכן מסוג חשיש במשקל 674 גרם, מחולק לשבע פלטות, וזאת שלא לצריכה עצמית. נקבע כי מתחם הענישה ההולם מתחיל ממאסר על תנאי ושל"צ ומגיע עד כדי מאסר בפועל של 18 חודשים.  </w:t>
      </w:r>
    </w:p>
    <w:p w14:paraId="22297E19" w14:textId="77777777" w:rsidR="00473769" w:rsidRDefault="00473769" w:rsidP="00473769">
      <w:pPr>
        <w:pStyle w:val="a9"/>
        <w:spacing w:line="360" w:lineRule="auto"/>
        <w:ind w:left="360"/>
        <w:jc w:val="both"/>
        <w:rPr>
          <w:rFonts w:ascii="David" w:hAnsi="David"/>
          <w:rtl/>
        </w:rPr>
      </w:pPr>
    </w:p>
    <w:p w14:paraId="2CD75B1A" w14:textId="77777777" w:rsidR="00473769" w:rsidRDefault="00473769" w:rsidP="00473769">
      <w:pPr>
        <w:pStyle w:val="a9"/>
        <w:numPr>
          <w:ilvl w:val="0"/>
          <w:numId w:val="1"/>
        </w:numPr>
        <w:spacing w:line="360" w:lineRule="auto"/>
        <w:ind w:left="360"/>
        <w:jc w:val="both"/>
        <w:rPr>
          <w:rFonts w:ascii="David" w:hAnsi="David"/>
        </w:rPr>
      </w:pPr>
      <w:r>
        <w:rPr>
          <w:rFonts w:ascii="David" w:hAnsi="David" w:hint="cs"/>
          <w:rtl/>
        </w:rPr>
        <w:t>לטעמי, מתחם העונש לעבירת החזקת הסמים, לו הייתה עומדת לבדה נע בין מאסר על תנאי וקנס ועד לחמישה חודשי מאסר לריצוי בדרך של עבודות שירות.</w:t>
      </w:r>
    </w:p>
    <w:p w14:paraId="5CCEBC00" w14:textId="77777777" w:rsidR="00473769" w:rsidRPr="00CB1D0E" w:rsidRDefault="00473769" w:rsidP="00473769">
      <w:pPr>
        <w:pStyle w:val="a9"/>
        <w:spacing w:line="360" w:lineRule="auto"/>
        <w:ind w:left="360"/>
        <w:jc w:val="both"/>
        <w:rPr>
          <w:rFonts w:ascii="David" w:hAnsi="David"/>
        </w:rPr>
      </w:pPr>
    </w:p>
    <w:p w14:paraId="020F37C0" w14:textId="77777777" w:rsidR="00473769" w:rsidRPr="000262E6" w:rsidRDefault="00473769" w:rsidP="00473769">
      <w:pPr>
        <w:pStyle w:val="a9"/>
        <w:numPr>
          <w:ilvl w:val="0"/>
          <w:numId w:val="1"/>
        </w:numPr>
        <w:spacing w:line="360" w:lineRule="auto"/>
        <w:ind w:left="360"/>
        <w:jc w:val="both"/>
        <w:rPr>
          <w:rFonts w:ascii="David" w:hAnsi="David"/>
        </w:rPr>
      </w:pPr>
      <w:r w:rsidRPr="00497CD9">
        <w:rPr>
          <w:rFonts w:hint="cs"/>
          <w:b/>
          <w:bCs/>
          <w:rtl/>
        </w:rPr>
        <w:t>הערך המוגן ביסוד האיסור הפלילי על החזקת סכין</w:t>
      </w:r>
      <w:r w:rsidRPr="00497CD9">
        <w:rPr>
          <w:b/>
          <w:bCs/>
          <w:rtl/>
        </w:rPr>
        <w:t xml:space="preserve">, </w:t>
      </w:r>
      <w:r w:rsidRPr="00497CD9">
        <w:rPr>
          <w:rFonts w:hint="cs"/>
          <w:b/>
          <w:bCs/>
          <w:rtl/>
        </w:rPr>
        <w:t>הוא מניעה מראש של הסיכונים הצפויים מעצם נשיאתה של סכין שלא כדין</w:t>
      </w:r>
      <w:r>
        <w:rPr>
          <w:rFonts w:hint="cs"/>
          <w:rtl/>
        </w:rPr>
        <w:t>; קרי, הקדמת תרופה לתופעה הפסולה והנפוצה למרבה הצער במחוזותינו, של פתרון סכסוכים באמצעות סכין והתדרדרותם של מעשי אלימות לעבר תוצאות הרות אסון וחמורות (</w:t>
      </w:r>
      <w:hyperlink r:id="rId37" w:history="1">
        <w:r w:rsidR="001B49EC" w:rsidRPr="001B49EC">
          <w:rPr>
            <w:color w:val="0000FF"/>
            <w:u w:val="single"/>
            <w:rtl/>
          </w:rPr>
          <w:t>ע"פ 1964/14</w:t>
        </w:r>
      </w:hyperlink>
      <w:r>
        <w:rPr>
          <w:rFonts w:hint="cs"/>
          <w:rtl/>
        </w:rPr>
        <w:t xml:space="preserve"> </w:t>
      </w:r>
      <w:r w:rsidRPr="00061EB0">
        <w:rPr>
          <w:rFonts w:hint="cs"/>
          <w:b/>
          <w:bCs/>
          <w:rtl/>
        </w:rPr>
        <w:t>שלווה שימשילשווילי נ' מדינת ישראל</w:t>
      </w:r>
      <w:r>
        <w:rPr>
          <w:rFonts w:hint="cs"/>
          <w:rtl/>
        </w:rPr>
        <w:t xml:space="preserve">, פסקה 43 [פורסם בנבו] (6.7.14)) . האיסור החוקי נועד אפוא למגר מראש כל תופעה הקשורה "בתת תרבות הסכין", ולמנוע מראש כל פוטנציאל פגיעה בזולת על ידי שימוש בסכין, במובן של חסימה מראש של כל אפשרות </w:t>
      </w:r>
      <w:r>
        <w:rPr>
          <w:rtl/>
          <w:lang w:eastAsia="he-IL"/>
        </w:rPr>
        <w:t xml:space="preserve">להתנהלות אלימה ומסוכנת, </w:t>
      </w:r>
      <w:r>
        <w:rPr>
          <w:rFonts w:hint="cs"/>
          <w:rtl/>
          <w:lang w:eastAsia="he-IL"/>
        </w:rPr>
        <w:t>הן מצד מי שנושא את הסכין והן מצד מי שעשוי להגיב לכך</w:t>
      </w:r>
      <w:r>
        <w:rPr>
          <w:rtl/>
          <w:lang w:eastAsia="he-IL"/>
        </w:rPr>
        <w:t>.</w:t>
      </w:r>
    </w:p>
    <w:p w14:paraId="1CDA7BDF" w14:textId="77777777" w:rsidR="00473769" w:rsidRPr="009F34A1" w:rsidRDefault="00473769" w:rsidP="00473769">
      <w:pPr>
        <w:pStyle w:val="a9"/>
        <w:rPr>
          <w:rFonts w:ascii="David" w:hAnsi="David"/>
          <w:rtl/>
        </w:rPr>
      </w:pPr>
    </w:p>
    <w:p w14:paraId="04CED98F" w14:textId="77777777" w:rsidR="00473769" w:rsidRDefault="00473769" w:rsidP="00473769">
      <w:pPr>
        <w:pStyle w:val="a9"/>
        <w:numPr>
          <w:ilvl w:val="0"/>
          <w:numId w:val="1"/>
        </w:numPr>
        <w:spacing w:line="360" w:lineRule="auto"/>
        <w:ind w:left="360"/>
        <w:jc w:val="both"/>
        <w:rPr>
          <w:rFonts w:ascii="David" w:hAnsi="David"/>
        </w:rPr>
      </w:pPr>
      <w:r>
        <w:rPr>
          <w:rFonts w:ascii="David" w:hAnsi="David" w:hint="cs"/>
          <w:rtl/>
        </w:rPr>
        <w:t xml:space="preserve">מדיניות הענישה בעבירה של החזקת סכין שלא כדין היא מחמירה בדרך כלל, ונקבע לא אחת כי יש מקום להטיל עונש מאסר בפועל על עבירה של החזקת סכין, גם כאשר לא נלוותה לכך עבירה נוספת, שכן מדובר בעבירה "פותחת שער" למגוון עבירות אלימות קשות (למשל: </w:t>
      </w:r>
      <w:hyperlink r:id="rId38" w:history="1">
        <w:r w:rsidR="001B49EC" w:rsidRPr="001B49EC">
          <w:rPr>
            <w:rFonts w:ascii="David" w:hAnsi="David"/>
            <w:color w:val="0000FF"/>
            <w:u w:val="single"/>
            <w:rtl/>
          </w:rPr>
          <w:t>ע"פ (י-ם) 39461-10-13</w:t>
        </w:r>
      </w:hyperlink>
      <w:r>
        <w:rPr>
          <w:rFonts w:ascii="David" w:hAnsi="David" w:hint="cs"/>
          <w:rtl/>
        </w:rPr>
        <w:t xml:space="preserve"> </w:t>
      </w:r>
      <w:r w:rsidRPr="001301D3">
        <w:rPr>
          <w:rFonts w:ascii="David" w:hAnsi="David" w:hint="cs"/>
          <w:b/>
          <w:bCs/>
          <w:rtl/>
        </w:rPr>
        <w:t>ווה גרשקוביץ נ' מדינת ישראל</w:t>
      </w:r>
      <w:r>
        <w:rPr>
          <w:rFonts w:ascii="David" w:hAnsi="David" w:hint="cs"/>
          <w:rtl/>
        </w:rPr>
        <w:t xml:space="preserve"> [פורסם בנבו] (17.2.14)). </w:t>
      </w:r>
    </w:p>
    <w:p w14:paraId="0E7CE844" w14:textId="77777777" w:rsidR="00473769" w:rsidRPr="000262E6" w:rsidRDefault="00473769" w:rsidP="00473769">
      <w:pPr>
        <w:pStyle w:val="a9"/>
        <w:rPr>
          <w:rFonts w:ascii="David" w:hAnsi="David"/>
          <w:rtl/>
        </w:rPr>
      </w:pPr>
    </w:p>
    <w:p w14:paraId="68E73DB6" w14:textId="77777777" w:rsidR="00473769" w:rsidRDefault="00473769" w:rsidP="00473769">
      <w:pPr>
        <w:pStyle w:val="a9"/>
        <w:spacing w:line="360" w:lineRule="auto"/>
        <w:ind w:left="360"/>
        <w:jc w:val="both"/>
        <w:rPr>
          <w:rFonts w:ascii="David" w:hAnsi="David"/>
          <w:rtl/>
        </w:rPr>
      </w:pPr>
      <w:r>
        <w:rPr>
          <w:rFonts w:ascii="David" w:hAnsi="David" w:hint="cs"/>
          <w:rtl/>
        </w:rPr>
        <w:t>עם זאת, קשת החומרה הנודעת לעבירות החזקת הסכין תלויה במקום בו הוחזק הסכין ובנסיבות החזקתו, ואין דינו של מי שהחזיק בסכין על גופו, בכניסה למועדון כשהוא שיכור ומתקוטט עם אחרים, כדין מי שהחזיק סכין ברכבו.</w:t>
      </w:r>
    </w:p>
    <w:p w14:paraId="0A375420" w14:textId="77777777" w:rsidR="00473769" w:rsidRDefault="00473769" w:rsidP="00473769">
      <w:pPr>
        <w:pStyle w:val="a9"/>
        <w:spacing w:line="360" w:lineRule="auto"/>
        <w:ind w:left="360"/>
        <w:jc w:val="both"/>
        <w:rPr>
          <w:rFonts w:ascii="David" w:hAnsi="David"/>
        </w:rPr>
      </w:pPr>
    </w:p>
    <w:p w14:paraId="07A2FD69" w14:textId="77777777" w:rsidR="00473769" w:rsidRDefault="00473769" w:rsidP="00473769">
      <w:pPr>
        <w:pStyle w:val="a9"/>
        <w:numPr>
          <w:ilvl w:val="0"/>
          <w:numId w:val="1"/>
        </w:numPr>
        <w:spacing w:line="360" w:lineRule="auto"/>
        <w:ind w:left="360"/>
        <w:jc w:val="both"/>
        <w:rPr>
          <w:rFonts w:ascii="David" w:hAnsi="David"/>
        </w:rPr>
      </w:pPr>
      <w:r>
        <w:rPr>
          <w:rFonts w:ascii="David" w:hAnsi="David" w:hint="cs"/>
          <w:rtl/>
        </w:rPr>
        <w:t xml:space="preserve">הענישה הנוהגת לעבירה זו מתחילה במאסר על תנאי בלבד, בנסיבות בהן לא נעשה שימוש פוגעני בסכין לעתים בתוספת קנס (למשל: </w:t>
      </w:r>
      <w:hyperlink r:id="rId39" w:history="1">
        <w:r w:rsidR="001B49EC" w:rsidRPr="001B49EC">
          <w:rPr>
            <w:rFonts w:ascii="David" w:hAnsi="David"/>
            <w:color w:val="0000FF"/>
            <w:u w:val="single"/>
            <w:rtl/>
          </w:rPr>
          <w:t>רע"פ 7901/23</w:t>
        </w:r>
      </w:hyperlink>
      <w:r>
        <w:rPr>
          <w:rFonts w:ascii="David" w:hAnsi="David" w:hint="cs"/>
          <w:rtl/>
        </w:rPr>
        <w:t xml:space="preserve"> </w:t>
      </w:r>
      <w:r w:rsidRPr="00430909">
        <w:rPr>
          <w:rFonts w:ascii="David" w:hAnsi="David" w:hint="cs"/>
          <w:b/>
          <w:bCs/>
          <w:rtl/>
        </w:rPr>
        <w:t>יעקב אמסלם נ' מדינת ישראל</w:t>
      </w:r>
      <w:r>
        <w:rPr>
          <w:rFonts w:ascii="David" w:hAnsi="David" w:hint="cs"/>
          <w:rtl/>
        </w:rPr>
        <w:t xml:space="preserve"> [פורסם בנבו] (7.4.24) אשר דן בנסיבות תפיסת הסכין מבלי להתערב במתחם הענישה שקבע בית משפט השלום והיה מקובל על ערכאת הערעור). לעומת זאת, כאשר נסיבות החזקת הסכין, לרבות איום להשתמש בה מלמדים על חומרה יתרה, הרף העליון מגיע כדי שנת מאסר בפועל (</w:t>
      </w:r>
      <w:hyperlink r:id="rId40" w:history="1">
        <w:r w:rsidR="001B49EC" w:rsidRPr="001B49EC">
          <w:rPr>
            <w:rFonts w:ascii="David" w:hAnsi="David"/>
            <w:color w:val="0000FF"/>
            <w:u w:val="single"/>
            <w:rtl/>
          </w:rPr>
          <w:t>רע"פ 322/15</w:t>
        </w:r>
      </w:hyperlink>
      <w:r>
        <w:rPr>
          <w:rFonts w:ascii="David" w:hAnsi="David" w:hint="cs"/>
          <w:rtl/>
        </w:rPr>
        <w:t xml:space="preserve"> </w:t>
      </w:r>
      <w:r w:rsidRPr="00645F2D">
        <w:rPr>
          <w:rFonts w:ascii="David" w:hAnsi="David" w:hint="cs"/>
          <w:b/>
          <w:bCs/>
          <w:rtl/>
        </w:rPr>
        <w:t>חן ג'אנח נ' מדינת ישראל</w:t>
      </w:r>
      <w:r>
        <w:rPr>
          <w:rFonts w:ascii="David" w:hAnsi="David" w:hint="cs"/>
          <w:rtl/>
        </w:rPr>
        <w:t xml:space="preserve"> [פורסם בנבו] (22.1.15)).</w:t>
      </w:r>
    </w:p>
    <w:p w14:paraId="12E057F3" w14:textId="77777777" w:rsidR="00473769" w:rsidRDefault="00473769" w:rsidP="00473769">
      <w:pPr>
        <w:pStyle w:val="a9"/>
        <w:spacing w:line="360" w:lineRule="auto"/>
        <w:ind w:left="360"/>
        <w:jc w:val="both"/>
        <w:rPr>
          <w:rFonts w:ascii="David" w:hAnsi="David"/>
        </w:rPr>
      </w:pPr>
    </w:p>
    <w:p w14:paraId="439ABE99" w14:textId="77777777" w:rsidR="00473769" w:rsidRDefault="00473769" w:rsidP="00473769">
      <w:pPr>
        <w:pStyle w:val="a9"/>
        <w:numPr>
          <w:ilvl w:val="0"/>
          <w:numId w:val="1"/>
        </w:numPr>
        <w:spacing w:line="360" w:lineRule="auto"/>
        <w:ind w:left="360"/>
        <w:jc w:val="both"/>
        <w:rPr>
          <w:rFonts w:ascii="David" w:hAnsi="David"/>
        </w:rPr>
      </w:pPr>
      <w:r>
        <w:rPr>
          <w:rFonts w:ascii="David" w:hAnsi="David" w:hint="cs"/>
          <w:rtl/>
        </w:rPr>
        <w:t xml:space="preserve">בענייננו, הנאשם החזיק שתי סכינים מתקבעות, ועולה כי הוא עשה זאת לצורך "הגנה עצמית" </w:t>
      </w:r>
      <w:r>
        <w:rPr>
          <w:rFonts w:ascii="David" w:hAnsi="David"/>
          <w:rtl/>
        </w:rPr>
        <w:t>–</w:t>
      </w:r>
      <w:r>
        <w:rPr>
          <w:rFonts w:ascii="David" w:hAnsi="David" w:hint="cs"/>
          <w:rtl/>
        </w:rPr>
        <w:t xml:space="preserve"> קרי, הפגת חששו מפני אלה שאיימו עליו, ועניין זה הוא נסיבה מחמירה. מנגד, הוא לא נשא את הסכינים על גופו, וממילא הן לא נתפסו עליו כשהוא נמצא במקום בילויים או לימודים. משכך,  מידת הפגיעה בערכים המוגנים במעשה העבירה של החזקת הסכין הוא, לטעמי, בינוני. ולדעתי, לו היה מדובר אך בעבירה של החזקת הסכינים, היה מקום להעמיד את מתחם העונש ההולם בין מאסר על תנאי וקנס ברף הנמוך, ועד 6 חודשי מאסר בפועל ברף הגבוה. </w:t>
      </w:r>
    </w:p>
    <w:p w14:paraId="228ECBB3" w14:textId="77777777" w:rsidR="00473769" w:rsidRDefault="00473769" w:rsidP="00473769">
      <w:pPr>
        <w:pStyle w:val="a9"/>
        <w:spacing w:line="360" w:lineRule="auto"/>
        <w:ind w:left="360"/>
        <w:jc w:val="both"/>
        <w:rPr>
          <w:rFonts w:ascii="David" w:hAnsi="David"/>
        </w:rPr>
      </w:pPr>
    </w:p>
    <w:p w14:paraId="5B295CE1" w14:textId="77777777" w:rsidR="00473769" w:rsidRDefault="00473769" w:rsidP="00473769">
      <w:pPr>
        <w:pStyle w:val="a9"/>
        <w:numPr>
          <w:ilvl w:val="0"/>
          <w:numId w:val="1"/>
        </w:numPr>
        <w:spacing w:line="360" w:lineRule="auto"/>
        <w:ind w:left="360"/>
        <w:jc w:val="both"/>
        <w:rPr>
          <w:rFonts w:ascii="David" w:hAnsi="David"/>
        </w:rPr>
      </w:pPr>
      <w:r>
        <w:rPr>
          <w:rFonts w:ascii="David" w:hAnsi="David" w:hint="cs"/>
          <w:rtl/>
        </w:rPr>
        <w:t xml:space="preserve">בהתחשב בכל אלה ולאחר שנתתי דעתי לנסיבות ביצוען של העבירות, למידת החומרה הטבועה בהן ולמדיניות הענישה הנוהגת, סברתי כי מתחם העונש הכולל </w:t>
      </w:r>
      <w:r w:rsidRPr="00950D4B">
        <w:rPr>
          <w:rFonts w:ascii="David" w:hAnsi="David" w:hint="cs"/>
          <w:b/>
          <w:bCs/>
          <w:rtl/>
        </w:rPr>
        <w:t>לכלל מעשיו של הנאשם</w:t>
      </w:r>
      <w:r>
        <w:rPr>
          <w:rFonts w:ascii="David" w:hAnsi="David" w:hint="cs"/>
          <w:rtl/>
        </w:rPr>
        <w:t xml:space="preserve"> </w:t>
      </w:r>
      <w:r w:rsidRPr="00950D4B">
        <w:rPr>
          <w:rFonts w:ascii="David" w:hAnsi="David" w:hint="cs"/>
          <w:b/>
          <w:bCs/>
          <w:rtl/>
        </w:rPr>
        <w:t>בשני האירועים</w:t>
      </w:r>
      <w:r>
        <w:rPr>
          <w:rFonts w:ascii="David" w:hAnsi="David" w:hint="cs"/>
          <w:rtl/>
        </w:rPr>
        <w:t>, נע בין חודשיים מאסר שניתן לרצות בעבודות שירות ועד 15 חודשי מאסר בפועל.</w:t>
      </w:r>
    </w:p>
    <w:p w14:paraId="5CDD0F2F" w14:textId="77777777" w:rsidR="00473769" w:rsidRDefault="00473769" w:rsidP="00473769">
      <w:pPr>
        <w:pStyle w:val="a9"/>
        <w:spacing w:line="360" w:lineRule="auto"/>
        <w:ind w:left="360"/>
        <w:jc w:val="both"/>
        <w:rPr>
          <w:rFonts w:ascii="David" w:hAnsi="David"/>
        </w:rPr>
      </w:pPr>
    </w:p>
    <w:p w14:paraId="279C6A0C" w14:textId="77777777" w:rsidR="00473769" w:rsidRDefault="00473769" w:rsidP="00473769">
      <w:pPr>
        <w:pStyle w:val="a9"/>
        <w:rPr>
          <w:rFonts w:ascii="David" w:hAnsi="David"/>
        </w:rPr>
      </w:pPr>
    </w:p>
    <w:p w14:paraId="369D1E62" w14:textId="77777777" w:rsidR="00473769" w:rsidRDefault="00473769" w:rsidP="00473769">
      <w:pPr>
        <w:spacing w:line="480" w:lineRule="auto"/>
        <w:jc w:val="both"/>
        <w:rPr>
          <w:rFonts w:ascii="Arial" w:hAnsi="Arial"/>
          <w:b/>
          <w:bCs/>
          <w:u w:val="single"/>
          <w:rtl/>
        </w:rPr>
      </w:pPr>
      <w:r>
        <w:rPr>
          <w:rFonts w:ascii="Arial" w:hAnsi="Arial"/>
          <w:b/>
          <w:bCs/>
          <w:u w:val="single"/>
          <w:rtl/>
        </w:rPr>
        <w:t>קביעת העונש המתאים</w:t>
      </w:r>
    </w:p>
    <w:p w14:paraId="44A36F24" w14:textId="77777777" w:rsidR="00473769" w:rsidRDefault="00473769" w:rsidP="00473769">
      <w:pPr>
        <w:pStyle w:val="a9"/>
        <w:spacing w:line="360" w:lineRule="auto"/>
        <w:ind w:left="360"/>
        <w:jc w:val="both"/>
        <w:rPr>
          <w:rFonts w:ascii="David" w:hAnsi="David"/>
        </w:rPr>
      </w:pPr>
    </w:p>
    <w:p w14:paraId="4CEB943D" w14:textId="77777777" w:rsidR="00473769" w:rsidRDefault="00473769" w:rsidP="00473769">
      <w:pPr>
        <w:pStyle w:val="a9"/>
        <w:numPr>
          <w:ilvl w:val="0"/>
          <w:numId w:val="1"/>
        </w:numPr>
        <w:spacing w:line="360" w:lineRule="auto"/>
        <w:ind w:left="360"/>
        <w:jc w:val="both"/>
        <w:rPr>
          <w:rFonts w:ascii="David" w:hAnsi="David"/>
        </w:rPr>
      </w:pPr>
      <w:r>
        <w:rPr>
          <w:rFonts w:ascii="David" w:hAnsi="David"/>
          <w:b/>
          <w:bCs/>
          <w:rtl/>
        </w:rPr>
        <w:t>לעניין הנסיבות שאינן קשורות לביצוע העבירה יש לתת את הדעת לאלה</w:t>
      </w:r>
      <w:r>
        <w:rPr>
          <w:rFonts w:ascii="David" w:hAnsi="David"/>
          <w:rtl/>
        </w:rPr>
        <w:t>:</w:t>
      </w:r>
      <w:r>
        <w:rPr>
          <w:rFonts w:ascii="David" w:hAnsi="David" w:hint="cs"/>
          <w:rtl/>
        </w:rPr>
        <w:t xml:space="preserve"> הנאשם היה צעיר מאוד בגיל בעת ביצוע העבירות, ולמעשה בעת ביצוען עדיין לא מלאו לו 22. מאז ביצוע העבירות חלפו קרוב לשנתיים וחצי, ומדובר בזמן לא מועט בהתחשב בגילו של הנאשם ובהיקף כתבי האישום. </w:t>
      </w:r>
    </w:p>
    <w:p w14:paraId="04A2D20A" w14:textId="77777777" w:rsidR="00473769" w:rsidRDefault="00473769" w:rsidP="00473769">
      <w:pPr>
        <w:pStyle w:val="a9"/>
        <w:spacing w:line="360" w:lineRule="auto"/>
        <w:ind w:left="360"/>
        <w:jc w:val="both"/>
        <w:rPr>
          <w:rFonts w:ascii="David" w:hAnsi="David"/>
          <w:rtl/>
        </w:rPr>
      </w:pPr>
      <w:r>
        <w:rPr>
          <w:rFonts w:ascii="David" w:hAnsi="David" w:hint="cs"/>
          <w:rtl/>
        </w:rPr>
        <w:t>למעט עבירה של היעדר מן השירות הצבאי שלא ברשות, לנאשם אין כל עבר פלילי. לטעמי, את העבירה מעת שירותו הצבאי אין לזקוף לחובתו: אין מדובר בעבירה שרלוונטית לענייננו, מה גם שעניינה הוא לא בביצוע מעשה אקטיבי אלא בהיעדרות משירות צבאי - עבירה שממילא היא רלוונטית רק לחלק מסוים באוכלוסייה, ואינה רלוונטית לחלקים רבים אחרים. ספק בעיני אם הרשעה בעבירה מסוג זה, ככל שלא נלווית לה עבירה בעלת יסודות פליליים מובהקים מן העבירות שב</w:t>
      </w:r>
      <w:hyperlink r:id="rId41" w:history="1">
        <w:r w:rsidR="001B49EC" w:rsidRPr="001B49EC">
          <w:rPr>
            <w:rFonts w:ascii="David" w:hAnsi="David"/>
            <w:color w:val="0000FF"/>
            <w:u w:val="single"/>
            <w:rtl/>
          </w:rPr>
          <w:t>חוק העונשין</w:t>
        </w:r>
      </w:hyperlink>
      <w:r>
        <w:rPr>
          <w:rFonts w:ascii="David" w:hAnsi="David" w:hint="cs"/>
          <w:rtl/>
        </w:rPr>
        <w:t>, צריכה להיות כלולה במרשם הפלילי, ותמהתי מדוע אין מקום להסתפק אך ברישומה במרשם הצבאי הרלוונטי.</w:t>
      </w:r>
    </w:p>
    <w:p w14:paraId="75606FFE" w14:textId="77777777" w:rsidR="00473769" w:rsidRDefault="00473769" w:rsidP="00473769">
      <w:pPr>
        <w:pStyle w:val="a9"/>
        <w:spacing w:line="360" w:lineRule="auto"/>
        <w:ind w:left="360"/>
        <w:jc w:val="both"/>
        <w:rPr>
          <w:rFonts w:ascii="David" w:hAnsi="David"/>
          <w:rtl/>
        </w:rPr>
      </w:pPr>
      <w:r>
        <w:rPr>
          <w:rFonts w:ascii="David" w:hAnsi="David" w:hint="cs"/>
          <w:rtl/>
        </w:rPr>
        <w:t xml:space="preserve"> </w:t>
      </w:r>
    </w:p>
    <w:p w14:paraId="0FB5637B" w14:textId="77777777" w:rsidR="00473769" w:rsidRDefault="00473769" w:rsidP="00473769">
      <w:pPr>
        <w:pStyle w:val="a9"/>
        <w:spacing w:line="360" w:lineRule="auto"/>
        <w:ind w:left="360"/>
        <w:jc w:val="both"/>
        <w:rPr>
          <w:rFonts w:ascii="David" w:hAnsi="David"/>
          <w:rtl/>
        </w:rPr>
      </w:pPr>
      <w:r>
        <w:rPr>
          <w:rFonts w:ascii="David" w:hAnsi="David" w:hint="cs"/>
          <w:rtl/>
        </w:rPr>
        <w:t>מכל מקום, מאז שעבר את העבירות מושא הרשעתו דכאן, לא נפתחו לו תיקים נוספים.</w:t>
      </w:r>
    </w:p>
    <w:p w14:paraId="3CB61111" w14:textId="77777777" w:rsidR="00473769" w:rsidRDefault="00473769" w:rsidP="00473769">
      <w:pPr>
        <w:pStyle w:val="a9"/>
        <w:spacing w:line="360" w:lineRule="auto"/>
        <w:ind w:left="360"/>
        <w:jc w:val="both"/>
        <w:rPr>
          <w:rFonts w:ascii="David" w:hAnsi="David"/>
          <w:rtl/>
        </w:rPr>
      </w:pPr>
      <w:r>
        <w:rPr>
          <w:rFonts w:ascii="David" w:hAnsi="David" w:hint="cs"/>
          <w:rtl/>
        </w:rPr>
        <w:t xml:space="preserve">הנאשם הודה בכתבי האישום באופן מיידי, נטל בכך אחריות מלאה על מעשיו וחסך זמן שיפוטי יקר. </w:t>
      </w:r>
    </w:p>
    <w:p w14:paraId="2FB99989" w14:textId="77777777" w:rsidR="00473769" w:rsidRDefault="00473769" w:rsidP="00473769">
      <w:pPr>
        <w:pStyle w:val="a9"/>
        <w:spacing w:line="360" w:lineRule="auto"/>
        <w:ind w:left="360"/>
        <w:jc w:val="both"/>
        <w:rPr>
          <w:rFonts w:ascii="David" w:hAnsi="David"/>
        </w:rPr>
      </w:pPr>
      <w:r>
        <w:rPr>
          <w:rFonts w:ascii="David" w:hAnsi="David" w:hint="cs"/>
          <w:rtl/>
        </w:rPr>
        <w:t xml:space="preserve"> </w:t>
      </w:r>
    </w:p>
    <w:p w14:paraId="7E43E6DF" w14:textId="77777777" w:rsidR="00473769" w:rsidRDefault="00473769" w:rsidP="00473769">
      <w:pPr>
        <w:pStyle w:val="a9"/>
        <w:numPr>
          <w:ilvl w:val="0"/>
          <w:numId w:val="1"/>
        </w:numPr>
        <w:spacing w:line="360" w:lineRule="auto"/>
        <w:ind w:left="360"/>
        <w:jc w:val="both"/>
        <w:rPr>
          <w:rFonts w:ascii="David" w:hAnsi="David"/>
        </w:rPr>
      </w:pPr>
      <w:r w:rsidRPr="001E79E3">
        <w:rPr>
          <w:rFonts w:ascii="David" w:hAnsi="David" w:hint="cs"/>
          <w:b/>
          <w:bCs/>
          <w:rtl/>
        </w:rPr>
        <w:t>מעל כל אלה, ולמעשה בשילוב איתם, ניצב ההליך השיקומי הארוך והמוצלח שהנאשם עבר. אשר תוצאותיו הביאוני למסקנה כי נכון וראוי יהיה לחרוג לקולא מחוץ למתחם הענישה, וזאת משיקולי שיקום</w:t>
      </w:r>
      <w:r>
        <w:rPr>
          <w:rFonts w:ascii="David" w:hAnsi="David" w:hint="cs"/>
          <w:rtl/>
        </w:rPr>
        <w:t>.</w:t>
      </w:r>
    </w:p>
    <w:p w14:paraId="0DFCEB81" w14:textId="77777777" w:rsidR="00473769" w:rsidRDefault="00473769" w:rsidP="00473769">
      <w:pPr>
        <w:pStyle w:val="a9"/>
        <w:spacing w:line="360" w:lineRule="auto"/>
        <w:ind w:left="360"/>
        <w:jc w:val="both"/>
        <w:rPr>
          <w:rFonts w:ascii="David" w:hAnsi="David"/>
        </w:rPr>
      </w:pPr>
    </w:p>
    <w:p w14:paraId="3AE37C52" w14:textId="77777777" w:rsidR="00473769" w:rsidRPr="00644185" w:rsidRDefault="00B50747" w:rsidP="00473769">
      <w:pPr>
        <w:pStyle w:val="a9"/>
        <w:numPr>
          <w:ilvl w:val="0"/>
          <w:numId w:val="1"/>
        </w:numPr>
        <w:spacing w:line="360" w:lineRule="auto"/>
        <w:ind w:left="360"/>
        <w:jc w:val="both"/>
        <w:rPr>
          <w:rFonts w:ascii="David" w:hAnsi="David"/>
        </w:rPr>
      </w:pPr>
      <w:hyperlink r:id="rId42" w:history="1">
        <w:r w:rsidRPr="00B50747">
          <w:rPr>
            <w:rStyle w:val="Hyperlink"/>
            <w:rFonts w:ascii="David" w:hAnsi="David" w:hint="eastAsia"/>
            <w:rtl/>
          </w:rPr>
          <w:t>סעיף</w:t>
        </w:r>
        <w:r w:rsidRPr="00B50747">
          <w:rPr>
            <w:rStyle w:val="Hyperlink"/>
            <w:rFonts w:ascii="David" w:hAnsi="David"/>
            <w:rtl/>
          </w:rPr>
          <w:t xml:space="preserve"> 40ד(א)</w:t>
        </w:r>
      </w:hyperlink>
      <w:r w:rsidR="00473769">
        <w:rPr>
          <w:rFonts w:ascii="David" w:hAnsi="David" w:hint="cs"/>
          <w:rtl/>
        </w:rPr>
        <w:t xml:space="preserve"> ל</w:t>
      </w:r>
      <w:hyperlink r:id="rId43" w:history="1">
        <w:r w:rsidR="001B49EC" w:rsidRPr="001B49EC">
          <w:rPr>
            <w:rFonts w:ascii="David" w:hAnsi="David"/>
            <w:color w:val="0000FF"/>
            <w:u w:val="single"/>
            <w:rtl/>
          </w:rPr>
          <w:t>חוק העונשין</w:t>
        </w:r>
      </w:hyperlink>
      <w:r w:rsidR="00473769">
        <w:rPr>
          <w:rFonts w:ascii="David" w:hAnsi="David" w:hint="cs"/>
          <w:rtl/>
        </w:rPr>
        <w:t xml:space="preserve"> קובע כי בית המשפט רשאי לחרוג ממתחם העונש ההולם </w:t>
      </w:r>
      <w:r w:rsidR="00473769" w:rsidRPr="0084352B">
        <w:rPr>
          <w:rFonts w:ascii="David" w:hAnsi="David" w:hint="cs"/>
          <w:b/>
          <w:bCs/>
          <w:rtl/>
        </w:rPr>
        <w:t>"</w:t>
      </w:r>
      <w:r w:rsidR="00473769" w:rsidRPr="0084352B">
        <w:rPr>
          <w:rFonts w:ascii="David" w:hAnsi="David"/>
          <w:b/>
          <w:bCs/>
          <w:rtl/>
        </w:rPr>
        <w:t>ולקבוע את עונשו של הנאשם לפי שיקולי שיקומו</w:t>
      </w:r>
      <w:r w:rsidR="00473769" w:rsidRPr="0084352B">
        <w:rPr>
          <w:rFonts w:ascii="David" w:hAnsi="David" w:hint="cs"/>
          <w:b/>
          <w:bCs/>
          <w:rtl/>
        </w:rPr>
        <w:t>"</w:t>
      </w:r>
      <w:r w:rsidR="00473769">
        <w:rPr>
          <w:rFonts w:ascii="David" w:hAnsi="David" w:hint="cs"/>
          <w:rtl/>
        </w:rPr>
        <w:t xml:space="preserve"> אם מצא </w:t>
      </w:r>
      <w:r w:rsidR="00473769" w:rsidRPr="0084352B">
        <w:rPr>
          <w:rFonts w:ascii="David" w:hAnsi="David" w:hint="cs"/>
          <w:b/>
          <w:bCs/>
          <w:rtl/>
        </w:rPr>
        <w:t>"</w:t>
      </w:r>
      <w:r w:rsidR="00473769" w:rsidRPr="0084352B">
        <w:rPr>
          <w:rFonts w:ascii="David" w:hAnsi="David"/>
          <w:b/>
          <w:bCs/>
          <w:rtl/>
        </w:rPr>
        <w:t>כי הנאשם השתקם או כי יש סיכוי של ממש שישתקם</w:t>
      </w:r>
      <w:r w:rsidR="00473769" w:rsidRPr="0084352B">
        <w:rPr>
          <w:rFonts w:ascii="David" w:hAnsi="David" w:hint="cs"/>
          <w:b/>
          <w:bCs/>
          <w:rtl/>
        </w:rPr>
        <w:t>"</w:t>
      </w:r>
      <w:r w:rsidR="00473769">
        <w:rPr>
          <w:rFonts w:ascii="David" w:hAnsi="David" w:hint="cs"/>
          <w:rtl/>
        </w:rPr>
        <w:t xml:space="preserve">. סעיף זה מעניק אפוא מעמד של בכורה לשיקולי השיקום על פני עקרון ההלימה, אשר ממנו בדרך כלל ייגזר העונש. נקבע בפסיקה, כי סטיה לקולא ממתחם הענישה בשל שיקולי שיקום אינה מוגבלת לעבירות קלות בלבד, וכי נהוג להביא בחשבון, בין היתר, שיקולים מרכזיים שהם: </w:t>
      </w:r>
    </w:p>
    <w:p w14:paraId="44252211" w14:textId="77777777" w:rsidR="00473769" w:rsidRDefault="00473769" w:rsidP="00473769">
      <w:pPr>
        <w:pStyle w:val="a9"/>
        <w:spacing w:line="360" w:lineRule="auto"/>
        <w:ind w:left="1077" w:right="794"/>
        <w:jc w:val="both"/>
        <w:rPr>
          <w:rFonts w:ascii="David" w:hAnsi="David"/>
          <w:rtl/>
        </w:rPr>
      </w:pPr>
      <w:r w:rsidRPr="0062046F">
        <w:rPr>
          <w:rFonts w:ascii="Century" w:hAnsi="Century" w:hint="cs"/>
          <w:b/>
          <w:bCs/>
          <w:rtl/>
        </w:rPr>
        <w:t>"</w:t>
      </w:r>
      <w:r w:rsidRPr="0062046F">
        <w:rPr>
          <w:rFonts w:ascii="Century" w:hAnsi="Century"/>
          <w:b/>
          <w:bCs/>
          <w:rtl/>
        </w:rPr>
        <w:t xml:space="preserve">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w:t>
      </w:r>
      <w:r w:rsidRPr="0062046F">
        <w:rPr>
          <w:b/>
          <w:bCs/>
          <w:sz w:val="28"/>
          <w:rtl/>
        </w:rPr>
        <w:t>הבעת חרטה כנה על המעשים והפגנת אמפתיה כלפי נפגעי העבירה</w:t>
      </w:r>
      <w:r w:rsidRPr="0062046F">
        <w:rPr>
          <w:rFonts w:ascii="David" w:hAnsi="David" w:hint="cs"/>
          <w:b/>
          <w:bCs/>
          <w:rtl/>
        </w:rPr>
        <w:t>..."</w:t>
      </w:r>
      <w:r>
        <w:rPr>
          <w:rFonts w:ascii="David" w:hAnsi="David" w:hint="cs"/>
          <w:rtl/>
        </w:rPr>
        <w:t xml:space="preserve"> </w:t>
      </w:r>
    </w:p>
    <w:p w14:paraId="5F98BC91" w14:textId="77777777" w:rsidR="00473769" w:rsidRDefault="00473769" w:rsidP="00473769">
      <w:pPr>
        <w:pStyle w:val="a9"/>
        <w:spacing w:line="360" w:lineRule="auto"/>
        <w:ind w:left="1077" w:right="794"/>
        <w:jc w:val="both"/>
        <w:rPr>
          <w:rFonts w:ascii="Century" w:hAnsi="Century"/>
          <w:rtl/>
        </w:rPr>
      </w:pPr>
      <w:r w:rsidRPr="005478CB">
        <w:rPr>
          <w:rFonts w:ascii="Century" w:hAnsi="Century" w:hint="cs"/>
          <w:u w:val="single"/>
          <w:rtl/>
        </w:rPr>
        <w:t>וכי</w:t>
      </w:r>
      <w:r>
        <w:rPr>
          <w:rFonts w:ascii="Century" w:hAnsi="Century" w:hint="cs"/>
          <w:rtl/>
        </w:rPr>
        <w:t>:</w:t>
      </w:r>
    </w:p>
    <w:p w14:paraId="0186F114" w14:textId="77777777" w:rsidR="00473769" w:rsidRPr="005478CB" w:rsidRDefault="00473769" w:rsidP="00473769">
      <w:pPr>
        <w:pStyle w:val="a9"/>
        <w:spacing w:line="360" w:lineRule="auto"/>
        <w:ind w:left="1077" w:right="794"/>
        <w:jc w:val="both"/>
        <w:rPr>
          <w:rFonts w:ascii="Century" w:hAnsi="Century"/>
          <w:b/>
          <w:bCs/>
          <w:rtl/>
        </w:rPr>
      </w:pPr>
      <w:r w:rsidRPr="005478CB">
        <w:rPr>
          <w:rFonts w:ascii="Century" w:hAnsi="Century" w:hint="cs"/>
          <w:b/>
          <w:bCs/>
          <w:rtl/>
        </w:rPr>
        <w:t xml:space="preserve">"... </w:t>
      </w:r>
      <w:r w:rsidRPr="005478CB">
        <w:rPr>
          <w:rFonts w:ascii="Century" w:hAnsi="Century"/>
          <w:b/>
          <w:bCs/>
          <w:rtl/>
        </w:rPr>
        <w:t xml:space="preserve">ניתן לציין ששילוב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 כלשונו של </w:t>
      </w:r>
      <w:r w:rsidRPr="001B49EC">
        <w:rPr>
          <w:rFonts w:ascii="Century" w:hAnsi="Century"/>
          <w:b/>
          <w:bCs/>
          <w:color w:val="000000"/>
          <w:rtl/>
        </w:rPr>
        <w:t>סעיף 40ד(א).</w:t>
      </w:r>
      <w:r w:rsidRPr="005478CB">
        <w:rPr>
          <w:rFonts w:ascii="Century" w:hAnsi="Century"/>
          <w:b/>
          <w:bCs/>
          <w:rtl/>
        </w:rPr>
        <w:t xml:space="preserve"> דברים אלה זוכים למשנה חיזוק מקום בו מדובר באדם צעיר נעדר עבר פלילי</w:t>
      </w:r>
      <w:r>
        <w:rPr>
          <w:rFonts w:ascii="Century" w:hAnsi="Century" w:hint="cs"/>
          <w:b/>
          <w:bCs/>
          <w:rtl/>
        </w:rPr>
        <w:t>..."</w:t>
      </w:r>
    </w:p>
    <w:p w14:paraId="30DB3D0C" w14:textId="77777777" w:rsidR="00473769" w:rsidRPr="0062046F" w:rsidRDefault="00473769" w:rsidP="00473769">
      <w:pPr>
        <w:pStyle w:val="a9"/>
        <w:spacing w:line="360" w:lineRule="auto"/>
        <w:ind w:left="1077" w:right="794"/>
        <w:jc w:val="both"/>
        <w:rPr>
          <w:rFonts w:ascii="David" w:hAnsi="David"/>
          <w:rtl/>
        </w:rPr>
      </w:pPr>
      <w:r>
        <w:rPr>
          <w:rFonts w:ascii="David" w:hAnsi="David" w:hint="cs"/>
          <w:rtl/>
        </w:rPr>
        <w:t>(</w:t>
      </w:r>
      <w:hyperlink r:id="rId44" w:history="1">
        <w:r w:rsidR="001B49EC" w:rsidRPr="001B49EC">
          <w:rPr>
            <w:rFonts w:ascii="David" w:hAnsi="David"/>
            <w:color w:val="0000FF"/>
            <w:u w:val="single"/>
            <w:rtl/>
          </w:rPr>
          <w:t>ע"פ 6637/17</w:t>
        </w:r>
      </w:hyperlink>
      <w:r>
        <w:rPr>
          <w:rFonts w:ascii="David" w:hAnsi="David" w:hint="cs"/>
          <w:rtl/>
        </w:rPr>
        <w:t xml:space="preserve"> </w:t>
      </w:r>
      <w:r w:rsidRPr="005478CB">
        <w:rPr>
          <w:rFonts w:ascii="David" w:hAnsi="David" w:hint="cs"/>
          <w:b/>
          <w:bCs/>
          <w:rtl/>
        </w:rPr>
        <w:t>אליזבת קרנדל נ' מדינת ישראל</w:t>
      </w:r>
      <w:r>
        <w:rPr>
          <w:rFonts w:ascii="David" w:hAnsi="David" w:hint="cs"/>
          <w:rtl/>
        </w:rPr>
        <w:t xml:space="preserve">, פסקאות 24 </w:t>
      </w:r>
      <w:r>
        <w:rPr>
          <w:rFonts w:ascii="David" w:hAnsi="David"/>
          <w:rtl/>
        </w:rPr>
        <w:t>–</w:t>
      </w:r>
      <w:r>
        <w:rPr>
          <w:rFonts w:ascii="David" w:hAnsi="David" w:hint="cs"/>
          <w:rtl/>
        </w:rPr>
        <w:t xml:space="preserve"> 25 [פורסם בנבו] (18.4.18)). </w:t>
      </w:r>
    </w:p>
    <w:p w14:paraId="65C1B25A" w14:textId="77777777" w:rsidR="00473769" w:rsidRDefault="00473769" w:rsidP="00473769">
      <w:pPr>
        <w:pStyle w:val="a9"/>
        <w:spacing w:line="360" w:lineRule="auto"/>
        <w:ind w:left="360"/>
        <w:jc w:val="both"/>
        <w:rPr>
          <w:rFonts w:ascii="David" w:hAnsi="David"/>
        </w:rPr>
      </w:pPr>
    </w:p>
    <w:p w14:paraId="52E4067E" w14:textId="77777777" w:rsidR="00473769" w:rsidRDefault="00473769" w:rsidP="00473769">
      <w:pPr>
        <w:pStyle w:val="a9"/>
        <w:numPr>
          <w:ilvl w:val="0"/>
          <w:numId w:val="1"/>
        </w:numPr>
        <w:spacing w:line="360" w:lineRule="auto"/>
        <w:ind w:left="360"/>
        <w:jc w:val="both"/>
        <w:rPr>
          <w:rFonts w:ascii="David" w:hAnsi="David"/>
        </w:rPr>
      </w:pPr>
      <w:r>
        <w:rPr>
          <w:rFonts w:ascii="David" w:hAnsi="David" w:hint="cs"/>
          <w:rtl/>
        </w:rPr>
        <w:t xml:space="preserve">נראה כי הפרמטרים והשיקולים המנויים בפסיקת בית המשפט העליון מתקיימים באופן מלא בענייננו. </w:t>
      </w:r>
    </w:p>
    <w:p w14:paraId="10D9DF33" w14:textId="77777777" w:rsidR="00473769" w:rsidRDefault="00473769" w:rsidP="00473769">
      <w:pPr>
        <w:pStyle w:val="a9"/>
        <w:spacing w:line="360" w:lineRule="auto"/>
        <w:ind w:left="360"/>
        <w:jc w:val="both"/>
        <w:rPr>
          <w:rFonts w:ascii="David" w:hAnsi="David"/>
          <w:rtl/>
        </w:rPr>
      </w:pPr>
    </w:p>
    <w:p w14:paraId="11546FB0" w14:textId="77777777" w:rsidR="00473769" w:rsidRDefault="00473769" w:rsidP="00473769">
      <w:pPr>
        <w:pStyle w:val="a9"/>
        <w:spacing w:line="360" w:lineRule="auto"/>
        <w:ind w:left="360"/>
        <w:jc w:val="both"/>
        <w:rPr>
          <w:rFonts w:ascii="David" w:hAnsi="David"/>
        </w:rPr>
      </w:pPr>
      <w:r>
        <w:rPr>
          <w:rFonts w:ascii="David" w:hAnsi="David" w:hint="cs"/>
          <w:rtl/>
        </w:rPr>
        <w:t>שוכנעתי לחלוטין כי לא רק שקיים סיכוי ממשי לשיקום של הנאשם, אלא ששיקום זה כבר הוכח הלכה למעשה במהלך אותן שנתיים וארבעה חודשים שחלפו מאז ביצוע העבירות.</w:t>
      </w:r>
    </w:p>
    <w:p w14:paraId="6F4D6357" w14:textId="77777777" w:rsidR="00473769" w:rsidRDefault="00473769" w:rsidP="00473769">
      <w:pPr>
        <w:pStyle w:val="a9"/>
        <w:spacing w:line="360" w:lineRule="auto"/>
        <w:ind w:left="360"/>
        <w:jc w:val="both"/>
        <w:rPr>
          <w:rFonts w:ascii="David" w:hAnsi="David"/>
        </w:rPr>
      </w:pPr>
    </w:p>
    <w:p w14:paraId="06E8E77C" w14:textId="77777777" w:rsidR="00473769" w:rsidRDefault="00473769" w:rsidP="00473769">
      <w:pPr>
        <w:pStyle w:val="a9"/>
        <w:spacing w:line="360" w:lineRule="auto"/>
        <w:ind w:left="360"/>
        <w:jc w:val="both"/>
        <w:rPr>
          <w:rFonts w:ascii="David" w:hAnsi="David"/>
          <w:rtl/>
        </w:rPr>
      </w:pPr>
      <w:r>
        <w:rPr>
          <w:rFonts w:ascii="David" w:hAnsi="David" w:hint="cs"/>
          <w:rtl/>
        </w:rPr>
        <w:t xml:space="preserve">כך, לנאשם לא נפתחו מאז תיקים נוספים; הוא הוכיח יציבות תעסוקתית; ניתק את קשריו החברתיים עם גורמי שוליים; הוא התחתן, עבר להתגורר יחד עם זוגתו שנמצאת בהריון, ומתעתד להתחיל ללמוד. הנאשם שיקם את יחסיו עם אמו, ועולה בבירור כי התנהגותו היום היא מתונה ורגועה ויחסו אליה הוא מכבד (השוו </w:t>
      </w:r>
      <w:r>
        <w:rPr>
          <w:rFonts w:ascii="David" w:hAnsi="David"/>
          <w:rtl/>
        </w:rPr>
        <w:t>–</w:t>
      </w:r>
      <w:r>
        <w:rPr>
          <w:rFonts w:ascii="David" w:hAnsi="David" w:hint="cs"/>
          <w:rtl/>
        </w:rPr>
        <w:t xml:space="preserve"> </w:t>
      </w:r>
      <w:hyperlink r:id="rId45" w:history="1">
        <w:r w:rsidR="001B49EC" w:rsidRPr="001B49EC">
          <w:rPr>
            <w:rFonts w:ascii="David" w:hAnsi="David"/>
            <w:color w:val="0000FF"/>
            <w:u w:val="single"/>
            <w:rtl/>
          </w:rPr>
          <w:t>ע"פ (י-ם) 2272-06-18</w:t>
        </w:r>
      </w:hyperlink>
      <w:r>
        <w:rPr>
          <w:rFonts w:ascii="David" w:hAnsi="David" w:hint="cs"/>
          <w:rtl/>
        </w:rPr>
        <w:t xml:space="preserve"> </w:t>
      </w:r>
      <w:r w:rsidRPr="00EE7277">
        <w:rPr>
          <w:rFonts w:ascii="David" w:hAnsi="David" w:hint="cs"/>
          <w:b/>
          <w:bCs/>
          <w:rtl/>
        </w:rPr>
        <w:t>מאור כהן נ' מדינת ישראל</w:t>
      </w:r>
      <w:r>
        <w:rPr>
          <w:rFonts w:ascii="David" w:hAnsi="David" w:hint="cs"/>
          <w:rtl/>
        </w:rPr>
        <w:t xml:space="preserve"> [פורסם בנבו] (21.5.19)). </w:t>
      </w:r>
    </w:p>
    <w:p w14:paraId="300542A9" w14:textId="77777777" w:rsidR="00473769" w:rsidRDefault="00473769" w:rsidP="00473769">
      <w:pPr>
        <w:pStyle w:val="a9"/>
        <w:spacing w:line="360" w:lineRule="auto"/>
        <w:ind w:left="360"/>
        <w:jc w:val="both"/>
        <w:rPr>
          <w:rFonts w:ascii="David" w:hAnsi="David"/>
          <w:rtl/>
        </w:rPr>
      </w:pPr>
    </w:p>
    <w:p w14:paraId="54DB133A" w14:textId="77777777" w:rsidR="00473769" w:rsidRDefault="00473769" w:rsidP="00473769">
      <w:pPr>
        <w:pStyle w:val="a9"/>
        <w:numPr>
          <w:ilvl w:val="0"/>
          <w:numId w:val="1"/>
        </w:numPr>
        <w:spacing w:line="360" w:lineRule="auto"/>
        <w:ind w:left="360"/>
        <w:jc w:val="both"/>
        <w:rPr>
          <w:rFonts w:ascii="David" w:hAnsi="David"/>
          <w:rtl/>
        </w:rPr>
      </w:pPr>
      <w:r>
        <w:rPr>
          <w:rFonts w:ascii="David" w:hAnsi="David" w:hint="cs"/>
          <w:rtl/>
        </w:rPr>
        <w:t xml:space="preserve">ויודגש, עובדות אלה אינן עומדות לבדן בחלל האוויר שכן הן נתמכות בשלושה תסקירים של שירות המבחן, המלמדים על נטילת אחריות כנה ואמיתית של הנאשם והבעת צער וחרטה ממשיים על העבירות שביצע. </w:t>
      </w:r>
    </w:p>
    <w:p w14:paraId="737D7CFF" w14:textId="77777777" w:rsidR="00473769" w:rsidRDefault="00473769" w:rsidP="00473769">
      <w:pPr>
        <w:pStyle w:val="a9"/>
        <w:spacing w:line="360" w:lineRule="auto"/>
        <w:ind w:left="360"/>
        <w:jc w:val="both"/>
        <w:rPr>
          <w:rFonts w:ascii="David" w:hAnsi="David"/>
          <w:rtl/>
        </w:rPr>
      </w:pPr>
    </w:p>
    <w:p w14:paraId="3031362D" w14:textId="77777777" w:rsidR="00473769" w:rsidRDefault="00473769" w:rsidP="00473769">
      <w:pPr>
        <w:pStyle w:val="a9"/>
        <w:spacing w:line="360" w:lineRule="auto"/>
        <w:ind w:left="360"/>
        <w:jc w:val="both"/>
        <w:rPr>
          <w:rFonts w:ascii="David" w:hAnsi="David"/>
          <w:rtl/>
        </w:rPr>
      </w:pPr>
      <w:r>
        <w:rPr>
          <w:rFonts w:ascii="David" w:hAnsi="David" w:hint="cs"/>
          <w:rtl/>
        </w:rPr>
        <w:t xml:space="preserve">לא רק שהתסקירים מלמדים על נכונות של הנאשם להשתלב בהליך טיפולי </w:t>
      </w:r>
      <w:r>
        <w:rPr>
          <w:rFonts w:ascii="David" w:hAnsi="David"/>
          <w:rtl/>
        </w:rPr>
        <w:t>–</w:t>
      </w:r>
      <w:r>
        <w:rPr>
          <w:rFonts w:ascii="David" w:hAnsi="David" w:hint="cs"/>
          <w:rtl/>
        </w:rPr>
        <w:t xml:space="preserve"> אלא שהם מלמדים כי הוא משולב מזה תקופה לא קצרה בתוך הליך טיפולי מתאים, וכי הוא מקפיד להגיע למפגשים באופן מוקפד סדיר ורצוף. מה גם שבדיקות לאיתור שרידי סם שנעשו לו כבר למן התסקיר הראשון, יצאו נקיות לחלוטין ולמעשה איששו את דבריו כי הוא חדל להשתמש בסמים. </w:t>
      </w:r>
    </w:p>
    <w:p w14:paraId="6AF839C8" w14:textId="77777777" w:rsidR="00473769" w:rsidRDefault="00473769" w:rsidP="00473769">
      <w:pPr>
        <w:pStyle w:val="a9"/>
        <w:spacing w:line="360" w:lineRule="auto"/>
        <w:ind w:left="360"/>
        <w:jc w:val="both"/>
        <w:rPr>
          <w:rFonts w:ascii="David" w:hAnsi="David"/>
          <w:rtl/>
        </w:rPr>
      </w:pPr>
    </w:p>
    <w:p w14:paraId="4FCD9AE7" w14:textId="77777777" w:rsidR="00473769" w:rsidRDefault="00473769" w:rsidP="00473769">
      <w:pPr>
        <w:pStyle w:val="a9"/>
        <w:numPr>
          <w:ilvl w:val="0"/>
          <w:numId w:val="1"/>
        </w:numPr>
        <w:spacing w:line="360" w:lineRule="auto"/>
        <w:ind w:left="360"/>
        <w:jc w:val="both"/>
        <w:rPr>
          <w:rFonts w:ascii="David" w:hAnsi="David"/>
        </w:rPr>
      </w:pPr>
      <w:r>
        <w:rPr>
          <w:rFonts w:ascii="David" w:hAnsi="David" w:hint="cs"/>
          <w:rtl/>
        </w:rPr>
        <w:t xml:space="preserve">איני מקבל את טענת ב"כ המאשימה </w:t>
      </w:r>
      <w:r>
        <w:rPr>
          <w:rFonts w:ascii="Arial" w:hAnsi="Arial" w:hint="cs"/>
          <w:rtl/>
        </w:rPr>
        <w:t xml:space="preserve">כי עולה מן התסקירים כי </w:t>
      </w:r>
      <w:r w:rsidRPr="009C17AE">
        <w:rPr>
          <w:rFonts w:ascii="Arial" w:hAnsi="Arial"/>
          <w:rtl/>
        </w:rPr>
        <w:t>הנאשם נוטה לפנות לפתרונות שוליים כמו סמי רחוב או התנהגות תוקפנית</w:t>
      </w:r>
      <w:r>
        <w:rPr>
          <w:rFonts w:ascii="Arial" w:hAnsi="Arial" w:hint="cs"/>
          <w:rtl/>
        </w:rPr>
        <w:t>, וכי ב</w:t>
      </w:r>
      <w:r w:rsidRPr="009C17AE">
        <w:rPr>
          <w:rFonts w:ascii="Arial" w:hAnsi="Arial"/>
          <w:rtl/>
        </w:rPr>
        <w:t xml:space="preserve">מפגשים </w:t>
      </w:r>
      <w:r>
        <w:rPr>
          <w:rFonts w:ascii="Arial" w:hAnsi="Arial" w:hint="cs"/>
          <w:rtl/>
        </w:rPr>
        <w:t xml:space="preserve">הטיפוליים הוא גילה </w:t>
      </w:r>
      <w:r w:rsidRPr="009C17AE">
        <w:rPr>
          <w:rFonts w:ascii="Arial" w:hAnsi="Arial"/>
          <w:rtl/>
        </w:rPr>
        <w:t>עמדה מתגוננת</w:t>
      </w:r>
      <w:r>
        <w:rPr>
          <w:rFonts w:ascii="Arial" w:hAnsi="Arial" w:hint="cs"/>
          <w:rtl/>
        </w:rPr>
        <w:t xml:space="preserve">. </w:t>
      </w:r>
    </w:p>
    <w:p w14:paraId="1DBC6377" w14:textId="77777777" w:rsidR="00473769" w:rsidRDefault="00473769" w:rsidP="00473769">
      <w:pPr>
        <w:pStyle w:val="a9"/>
        <w:spacing w:line="360" w:lineRule="auto"/>
        <w:ind w:left="360"/>
        <w:jc w:val="both"/>
        <w:rPr>
          <w:rFonts w:ascii="David" w:hAnsi="David"/>
        </w:rPr>
      </w:pPr>
    </w:p>
    <w:p w14:paraId="5F409403" w14:textId="77777777" w:rsidR="00473769" w:rsidRDefault="00473769" w:rsidP="00473769">
      <w:pPr>
        <w:pStyle w:val="a9"/>
        <w:numPr>
          <w:ilvl w:val="0"/>
          <w:numId w:val="1"/>
        </w:numPr>
        <w:spacing w:line="360" w:lineRule="auto"/>
        <w:ind w:left="360"/>
        <w:jc w:val="both"/>
        <w:rPr>
          <w:rFonts w:ascii="David" w:hAnsi="David"/>
        </w:rPr>
      </w:pPr>
      <w:r>
        <w:rPr>
          <w:rFonts w:ascii="David" w:hAnsi="David" w:hint="cs"/>
          <w:rtl/>
        </w:rPr>
        <w:t>יש לקרוא את התסקירים בקונטקסט הנכון, המלמד כי השימוש של הנאשם בסמים בעבר נעשה על רקע מצוקה ממשית בה היה; ממילא לאחר תקופה כה ארוכה בה הוכיח הנאשם כי הוא נקי לחלוטין מסמים יש קושי באמירה כי נטייתו היא להשתמש בהם כפתרון למצוקותיו.</w:t>
      </w:r>
    </w:p>
    <w:p w14:paraId="4B7B1161" w14:textId="77777777" w:rsidR="00473769" w:rsidRPr="00FA0197" w:rsidRDefault="00473769" w:rsidP="00473769">
      <w:pPr>
        <w:pStyle w:val="a9"/>
        <w:rPr>
          <w:rFonts w:ascii="David" w:hAnsi="David"/>
          <w:rtl/>
        </w:rPr>
      </w:pPr>
    </w:p>
    <w:p w14:paraId="4B568B5B" w14:textId="77777777" w:rsidR="00473769" w:rsidRDefault="00473769" w:rsidP="00473769">
      <w:pPr>
        <w:pStyle w:val="a9"/>
        <w:spacing w:line="360" w:lineRule="auto"/>
        <w:ind w:left="360"/>
        <w:jc w:val="both"/>
        <w:rPr>
          <w:rFonts w:ascii="David" w:hAnsi="David"/>
          <w:rtl/>
        </w:rPr>
      </w:pPr>
      <w:r>
        <w:rPr>
          <w:rFonts w:ascii="David" w:hAnsi="David" w:hint="cs"/>
          <w:rtl/>
        </w:rPr>
        <w:t xml:space="preserve">טיבו של הליך טיפולי שהוא הדרגתי וכולל שלבים שונים, וקריאת התסקירים מלמדת כי "העמדה המתגוננת" שהראה בתחילת הדרך לא נטועה באי נטילת אחריות, אלא בקושי להיפתח באופן מלא במסגרת הליך טיפולי קבוצתי.  </w:t>
      </w:r>
    </w:p>
    <w:p w14:paraId="522D0916" w14:textId="77777777" w:rsidR="00473769" w:rsidRDefault="00473769" w:rsidP="00473769">
      <w:pPr>
        <w:pStyle w:val="a9"/>
        <w:spacing w:line="360" w:lineRule="auto"/>
        <w:ind w:left="360"/>
        <w:jc w:val="both"/>
        <w:rPr>
          <w:rFonts w:ascii="David" w:hAnsi="David"/>
        </w:rPr>
      </w:pPr>
    </w:p>
    <w:p w14:paraId="24C26178" w14:textId="77777777" w:rsidR="00473769" w:rsidRDefault="00473769" w:rsidP="00473769">
      <w:pPr>
        <w:pStyle w:val="a9"/>
        <w:numPr>
          <w:ilvl w:val="0"/>
          <w:numId w:val="1"/>
        </w:numPr>
        <w:spacing w:line="360" w:lineRule="auto"/>
        <w:ind w:left="360"/>
        <w:jc w:val="both"/>
        <w:rPr>
          <w:rFonts w:ascii="David" w:hAnsi="David"/>
        </w:rPr>
      </w:pPr>
      <w:r>
        <w:rPr>
          <w:rFonts w:ascii="David" w:hAnsi="David" w:hint="cs"/>
          <w:rtl/>
        </w:rPr>
        <w:t xml:space="preserve">אני סבור כי הנאשם עבר כברת דרך שבה השכיל לשתף פעולה עם ההליך השיקומי ולהפיק ממנו את המרב. המצב בו נמצא הנאשם כעת הוא מצב טוב, בריא ונכון, שבמרכזו בניה של עתיד מקצועי, לימודים והקמת משפחה. כאשר משווים את מצבו הנוכחי של הנאשם לעומת זה בו היה נתון בעת ביצוע העבירות, לא ניתן שלא לחוש סיפוק מהדרך המשמעותית שהוא עשה, בסיוע ותמיכה של אמו ומשפחתו ובליווי צמוד, מקצועי וממושך של שירות המבחן. את ה- "דלתא" שבין מצבו לפני קרוב לשנתיים וחצי לבין מצבו כיום, ניתן להגדיר במילה אחת </w:t>
      </w:r>
      <w:r>
        <w:rPr>
          <w:rFonts w:ascii="David" w:hAnsi="David"/>
          <w:rtl/>
        </w:rPr>
        <w:t>–</w:t>
      </w:r>
      <w:r>
        <w:rPr>
          <w:rFonts w:ascii="David" w:hAnsi="David" w:hint="cs"/>
          <w:rtl/>
        </w:rPr>
        <w:t xml:space="preserve"> שיקום.</w:t>
      </w:r>
    </w:p>
    <w:p w14:paraId="5021EF37" w14:textId="77777777" w:rsidR="00473769" w:rsidRDefault="00473769" w:rsidP="00473769">
      <w:pPr>
        <w:pStyle w:val="a9"/>
        <w:spacing w:line="360" w:lineRule="auto"/>
        <w:ind w:left="360"/>
        <w:jc w:val="both"/>
        <w:rPr>
          <w:rFonts w:ascii="David" w:hAnsi="David"/>
        </w:rPr>
      </w:pPr>
    </w:p>
    <w:p w14:paraId="40E2FAC8" w14:textId="77777777" w:rsidR="00473769" w:rsidRDefault="00473769" w:rsidP="00473769">
      <w:pPr>
        <w:pStyle w:val="a9"/>
        <w:numPr>
          <w:ilvl w:val="0"/>
          <w:numId w:val="1"/>
        </w:numPr>
        <w:spacing w:line="360" w:lineRule="auto"/>
        <w:ind w:left="360"/>
        <w:jc w:val="both"/>
        <w:rPr>
          <w:rFonts w:ascii="David" w:hAnsi="David"/>
        </w:rPr>
      </w:pPr>
      <w:r>
        <w:rPr>
          <w:rFonts w:ascii="David" w:hAnsi="David" w:hint="cs"/>
          <w:rtl/>
        </w:rPr>
        <w:t xml:space="preserve">בנסיבות אלה, איני רואה כל טעם בהכבדת הענישה על הנאשם. איזו תועלת תצמח אם על הנאשם ייגזר עונש של מספר חודשי מאסר לריצוי בעבודות שירות? מן הסתם הדבר יפגע ביכולת שלו להתמיד במקום העבודה, על כל המשמעויות הנגזרות מכך; ובוודאי תיפגע האפשרות שלו להתחיל בלימודים בזמן הקרוב; שלא לדבר על הקושי המובנה בנסיבות אלה להמשיך ולקחת חלק, בדבקות ובהתמדה כפי שעשה עד כה, עם ההליך הטיפולי </w:t>
      </w:r>
      <w:r>
        <w:rPr>
          <w:rFonts w:ascii="David" w:hAnsi="David"/>
          <w:rtl/>
        </w:rPr>
        <w:t>–</w:t>
      </w:r>
      <w:r>
        <w:rPr>
          <w:rFonts w:ascii="David" w:hAnsi="David" w:hint="cs"/>
          <w:rtl/>
        </w:rPr>
        <w:t xml:space="preserve"> אשר שירות המבחן ממליץ להמשיך בו למשך שנה נוספת.   </w:t>
      </w:r>
    </w:p>
    <w:p w14:paraId="5EBB906A" w14:textId="77777777" w:rsidR="00473769" w:rsidRPr="00934B2D" w:rsidRDefault="00473769" w:rsidP="00473769">
      <w:pPr>
        <w:pStyle w:val="a9"/>
        <w:rPr>
          <w:rFonts w:ascii="David" w:hAnsi="David"/>
          <w:rtl/>
        </w:rPr>
      </w:pPr>
    </w:p>
    <w:p w14:paraId="5CA01077" w14:textId="77777777" w:rsidR="00473769" w:rsidRDefault="00473769" w:rsidP="00473769">
      <w:pPr>
        <w:pStyle w:val="a9"/>
        <w:numPr>
          <w:ilvl w:val="0"/>
          <w:numId w:val="1"/>
        </w:numPr>
        <w:spacing w:line="360" w:lineRule="auto"/>
        <w:ind w:left="360"/>
        <w:jc w:val="both"/>
        <w:rPr>
          <w:rFonts w:ascii="David" w:hAnsi="David"/>
        </w:rPr>
      </w:pPr>
      <w:r>
        <w:rPr>
          <w:rFonts w:ascii="David" w:hAnsi="David" w:hint="cs"/>
          <w:rtl/>
        </w:rPr>
        <w:t>מתחמי הענישה ומדיניות הענישה הם אינם חזות הכל. לעתים, הטלת ענישה שהיא פונקציה ישירה אך של חומרת העבירות ועקרון ההלימה, שבצידה ניתוק אינהרנטי מהליך שיקומי מועיל, עשויה להביא יותר נזק מאשר תועלת - זאת באותם מקרים בהם קיים פוטנציאל להסגת הנאשם לאחור נוכח האפשרות לפגיעה מסתמנת בהישגים שיקומיים ממשיים שכבר השיג.</w:t>
      </w:r>
    </w:p>
    <w:p w14:paraId="03A49CE5" w14:textId="77777777" w:rsidR="00473769" w:rsidRPr="00B00832" w:rsidRDefault="00473769" w:rsidP="00473769">
      <w:pPr>
        <w:pStyle w:val="a9"/>
        <w:rPr>
          <w:rFonts w:ascii="David" w:hAnsi="David"/>
          <w:rtl/>
        </w:rPr>
      </w:pPr>
    </w:p>
    <w:p w14:paraId="5D23B3BD" w14:textId="77777777" w:rsidR="00473769" w:rsidRDefault="00473769" w:rsidP="00473769">
      <w:pPr>
        <w:pStyle w:val="a9"/>
        <w:spacing w:line="360" w:lineRule="auto"/>
        <w:ind w:left="360"/>
        <w:jc w:val="both"/>
        <w:rPr>
          <w:rFonts w:ascii="David" w:hAnsi="David"/>
        </w:rPr>
      </w:pPr>
      <w:r w:rsidRPr="00216B2F">
        <w:rPr>
          <w:rFonts w:ascii="David" w:hAnsi="David" w:hint="cs"/>
          <w:b/>
          <w:bCs/>
          <w:rtl/>
        </w:rPr>
        <w:t>אם מקרה זה הוא הוא אינו מקרה אשר מצדיק סטיה לקולא ממתחם הענישה בשל שיקולי שיקום, לא אדע מהו אותו מקרה</w:t>
      </w:r>
      <w:r>
        <w:rPr>
          <w:rFonts w:ascii="David" w:hAnsi="David" w:hint="cs"/>
          <w:rtl/>
        </w:rPr>
        <w:t xml:space="preserve">.     </w:t>
      </w:r>
    </w:p>
    <w:p w14:paraId="3DB33C7E" w14:textId="77777777" w:rsidR="00473769" w:rsidRDefault="00473769" w:rsidP="00473769">
      <w:pPr>
        <w:pStyle w:val="a9"/>
        <w:spacing w:line="360" w:lineRule="auto"/>
        <w:ind w:left="360"/>
        <w:jc w:val="both"/>
        <w:rPr>
          <w:rFonts w:ascii="David" w:hAnsi="David"/>
        </w:rPr>
      </w:pPr>
      <w:r>
        <w:rPr>
          <w:rFonts w:ascii="David" w:hAnsi="David" w:hint="cs"/>
          <w:rtl/>
        </w:rPr>
        <w:t xml:space="preserve">    </w:t>
      </w:r>
    </w:p>
    <w:p w14:paraId="202477A8" w14:textId="77777777" w:rsidR="00473769" w:rsidRDefault="00473769" w:rsidP="00473769">
      <w:pPr>
        <w:pStyle w:val="a9"/>
        <w:numPr>
          <w:ilvl w:val="0"/>
          <w:numId w:val="1"/>
        </w:numPr>
        <w:spacing w:line="360" w:lineRule="auto"/>
        <w:ind w:left="360"/>
        <w:jc w:val="both"/>
        <w:rPr>
          <w:rFonts w:ascii="David" w:hAnsi="David"/>
        </w:rPr>
      </w:pPr>
      <w:r>
        <w:rPr>
          <w:rFonts w:ascii="David" w:hAnsi="David" w:hint="cs"/>
          <w:rtl/>
        </w:rPr>
        <w:t xml:space="preserve">אוסיף עוד, כי תקופה של קרוב לשנתיים וחצי מעת ביצוע העבירה מהווה זמן לא קצר, בוודאי כאשר מדובר באדם צעיר כנאשם, שביום ביצוע העבירות טרם מלאו לו 22, ואף עובדה זו מהווה שיקול מסוים, גם אם לא מכריע, להקל בעונשו (השוו </w:t>
      </w:r>
      <w:r w:rsidRPr="00F605C5">
        <w:rPr>
          <w:rFonts w:ascii="David" w:hAnsi="David"/>
          <w:rtl/>
        </w:rPr>
        <w:t>–</w:t>
      </w:r>
      <w:r w:rsidRPr="00F605C5">
        <w:rPr>
          <w:rFonts w:ascii="David" w:hAnsi="David" w:hint="cs"/>
          <w:rtl/>
        </w:rPr>
        <w:t xml:space="preserve"> </w:t>
      </w:r>
      <w:hyperlink r:id="rId46" w:history="1">
        <w:r w:rsidR="001B49EC" w:rsidRPr="001B49EC">
          <w:rPr>
            <w:rFonts w:ascii="David" w:hAnsi="David"/>
            <w:color w:val="0000FF"/>
            <w:u w:val="single"/>
            <w:rtl/>
          </w:rPr>
          <w:t>ע"פ 4762/22</w:t>
        </w:r>
      </w:hyperlink>
      <w:r>
        <w:rPr>
          <w:rFonts w:ascii="David" w:hAnsi="David" w:hint="cs"/>
          <w:rtl/>
        </w:rPr>
        <w:t xml:space="preserve"> </w:t>
      </w:r>
      <w:r w:rsidRPr="002D5DFF">
        <w:rPr>
          <w:rFonts w:ascii="David" w:hAnsi="David" w:hint="cs"/>
          <w:b/>
          <w:bCs/>
          <w:rtl/>
        </w:rPr>
        <w:t>עמרם כנפו ואח' נ' מדינת ישראל</w:t>
      </w:r>
      <w:r>
        <w:rPr>
          <w:rFonts w:ascii="David" w:hAnsi="David" w:hint="cs"/>
          <w:rtl/>
        </w:rPr>
        <w:t xml:space="preserve">, בפסקאות 19 </w:t>
      </w:r>
      <w:r>
        <w:rPr>
          <w:rFonts w:ascii="David" w:hAnsi="David"/>
          <w:rtl/>
        </w:rPr>
        <w:t>–</w:t>
      </w:r>
      <w:r>
        <w:rPr>
          <w:rFonts w:ascii="David" w:hAnsi="David" w:hint="cs"/>
          <w:rtl/>
        </w:rPr>
        <w:t xml:space="preserve"> 21 וההפניות שם [פורסם בנבו] (15.8.23)). הוא הדין בהודאותיו המהירות של הנאשם בשני כתבי האישום ככתבם וכלשונם.</w:t>
      </w:r>
    </w:p>
    <w:p w14:paraId="320F1F41" w14:textId="77777777" w:rsidR="00473769" w:rsidRDefault="00473769" w:rsidP="00473769">
      <w:pPr>
        <w:pStyle w:val="a9"/>
        <w:spacing w:line="360" w:lineRule="auto"/>
        <w:ind w:left="360"/>
        <w:jc w:val="both"/>
        <w:rPr>
          <w:rFonts w:ascii="David" w:hAnsi="David"/>
        </w:rPr>
      </w:pPr>
    </w:p>
    <w:p w14:paraId="092ED570" w14:textId="77777777" w:rsidR="00473769" w:rsidRDefault="00473769" w:rsidP="00473769">
      <w:pPr>
        <w:pStyle w:val="a9"/>
        <w:numPr>
          <w:ilvl w:val="0"/>
          <w:numId w:val="1"/>
        </w:numPr>
        <w:spacing w:line="360" w:lineRule="auto"/>
        <w:ind w:left="360"/>
        <w:jc w:val="both"/>
        <w:rPr>
          <w:rFonts w:ascii="David" w:hAnsi="David"/>
        </w:rPr>
      </w:pPr>
      <w:r>
        <w:rPr>
          <w:rFonts w:ascii="David" w:hAnsi="David" w:hint="cs"/>
          <w:rtl/>
        </w:rPr>
        <w:t>על אף שקיימת בעיני הצדקה מלאה לחרוג לקולא ממתחם הענישה, סברתי כי על מנת להמחיש לנאשם את חומרת העבירות שעבר, לא ניתן להסתפק ב- 180 שעות של"צ עליהן המליץ שירות המבחן, ויש לחייב את הנאשם בביצוע שעות של"צ בהיקף נרחב יותר. ממילא שירות לתועלת הציבור לא רק שלא יפגע בנאשם, אלא גם יתרום לשיקומו על דרך של סיוע שהוא יעניק לאחרים.</w:t>
      </w:r>
    </w:p>
    <w:p w14:paraId="64BECE7A" w14:textId="77777777" w:rsidR="00473769" w:rsidRPr="00216B2F" w:rsidRDefault="00473769" w:rsidP="00473769">
      <w:pPr>
        <w:pStyle w:val="a9"/>
        <w:rPr>
          <w:rFonts w:ascii="David" w:hAnsi="David"/>
          <w:rtl/>
        </w:rPr>
      </w:pPr>
    </w:p>
    <w:p w14:paraId="0703FF48" w14:textId="77777777" w:rsidR="00473769" w:rsidRDefault="00473769" w:rsidP="00473769">
      <w:pPr>
        <w:pStyle w:val="a9"/>
        <w:spacing w:line="360" w:lineRule="auto"/>
        <w:ind w:left="360"/>
        <w:jc w:val="both"/>
        <w:rPr>
          <w:rFonts w:ascii="David" w:hAnsi="David"/>
        </w:rPr>
      </w:pPr>
      <w:r>
        <w:rPr>
          <w:rFonts w:ascii="David" w:hAnsi="David" w:hint="cs"/>
          <w:rtl/>
        </w:rPr>
        <w:t xml:space="preserve">בשל אותם נימוקים מצאתי לקבל גם את עתירת התביעה להטיל על הנאשם קנס, אולם נוכח כל המפורט מעלה החלטתי כי יהיה זה קנס מתון. כמו כן, מצאתי שיש מקום לחייב את הנאשם אף בהתחייבות כספית צופה פני עתיד להימנע מביצוע עבירות בעתיד.  </w:t>
      </w:r>
    </w:p>
    <w:p w14:paraId="3F652248" w14:textId="77777777" w:rsidR="00473769" w:rsidRDefault="00473769" w:rsidP="00473769">
      <w:pPr>
        <w:pStyle w:val="a9"/>
        <w:spacing w:line="360" w:lineRule="auto"/>
        <w:ind w:left="360"/>
        <w:jc w:val="both"/>
        <w:rPr>
          <w:rFonts w:ascii="David" w:hAnsi="David"/>
        </w:rPr>
      </w:pPr>
    </w:p>
    <w:p w14:paraId="25E0F5AE" w14:textId="77777777" w:rsidR="00473769" w:rsidRDefault="00473769" w:rsidP="00473769">
      <w:pPr>
        <w:pStyle w:val="a9"/>
        <w:spacing w:line="360" w:lineRule="auto"/>
        <w:ind w:left="360"/>
        <w:jc w:val="both"/>
        <w:rPr>
          <w:rFonts w:ascii="David" w:hAnsi="David"/>
        </w:rPr>
      </w:pPr>
    </w:p>
    <w:p w14:paraId="423DDFAA" w14:textId="77777777" w:rsidR="00473769" w:rsidRDefault="00473769" w:rsidP="00473769">
      <w:pPr>
        <w:pStyle w:val="a9"/>
        <w:numPr>
          <w:ilvl w:val="0"/>
          <w:numId w:val="1"/>
        </w:numPr>
        <w:spacing w:line="360" w:lineRule="auto"/>
        <w:ind w:left="360"/>
        <w:jc w:val="both"/>
        <w:rPr>
          <w:rFonts w:ascii="David" w:hAnsi="David"/>
        </w:rPr>
      </w:pPr>
      <w:r>
        <w:rPr>
          <w:rFonts w:ascii="David" w:hAnsi="David"/>
          <w:b/>
          <w:bCs/>
          <w:u w:val="single"/>
          <w:rtl/>
        </w:rPr>
        <w:t>אני גוזר אפוא את עונשו של הנאשם לאלה</w:t>
      </w:r>
      <w:r>
        <w:rPr>
          <w:rFonts w:ascii="David" w:hAnsi="David"/>
          <w:rtl/>
        </w:rPr>
        <w:t>:</w:t>
      </w:r>
    </w:p>
    <w:p w14:paraId="5ABA5339" w14:textId="77777777" w:rsidR="00473769" w:rsidRDefault="00473769" w:rsidP="00473769">
      <w:pPr>
        <w:pStyle w:val="a9"/>
        <w:rPr>
          <w:rFonts w:ascii="David" w:hAnsi="David"/>
        </w:rPr>
      </w:pPr>
    </w:p>
    <w:p w14:paraId="3917A313" w14:textId="77777777" w:rsidR="00473769" w:rsidRDefault="00473769" w:rsidP="00473769">
      <w:pPr>
        <w:pStyle w:val="a9"/>
        <w:numPr>
          <w:ilvl w:val="0"/>
          <w:numId w:val="2"/>
        </w:numPr>
        <w:spacing w:line="360" w:lineRule="auto"/>
        <w:jc w:val="both"/>
        <w:rPr>
          <w:rFonts w:ascii="David" w:hAnsi="David"/>
          <w:rtl/>
        </w:rPr>
      </w:pPr>
      <w:r w:rsidRPr="00B40D39">
        <w:rPr>
          <w:rFonts w:ascii="David" w:hAnsi="David" w:hint="cs"/>
          <w:b/>
          <w:bCs/>
          <w:rtl/>
        </w:rPr>
        <w:t xml:space="preserve">מאסר על תנאי של </w:t>
      </w:r>
      <w:r>
        <w:rPr>
          <w:rFonts w:ascii="David" w:hAnsi="David" w:hint="cs"/>
          <w:b/>
          <w:bCs/>
          <w:rtl/>
        </w:rPr>
        <w:t>ארבעה</w:t>
      </w:r>
      <w:r w:rsidRPr="00B40D39">
        <w:rPr>
          <w:rFonts w:ascii="David" w:hAnsi="David" w:hint="cs"/>
          <w:b/>
          <w:bCs/>
          <w:rtl/>
        </w:rPr>
        <w:t xml:space="preserve"> חודשים, והתנאי הוא כי הנאשם לא יעבור במשך שלוש שנים מהיום כל עבירת סמים שהיא פשע או </w:t>
      </w:r>
      <w:r>
        <w:rPr>
          <w:rFonts w:ascii="David" w:hAnsi="David" w:hint="cs"/>
          <w:b/>
          <w:bCs/>
          <w:rtl/>
        </w:rPr>
        <w:t xml:space="preserve">עבירה שעניינה </w:t>
      </w:r>
      <w:r w:rsidRPr="00B40D39">
        <w:rPr>
          <w:rFonts w:ascii="David" w:hAnsi="David" w:hint="cs"/>
          <w:b/>
          <w:bCs/>
          <w:rtl/>
        </w:rPr>
        <w:t>החזקת סכין או אגרופן, ויורשע באיזה מן העבירות בתוך תקופת זמן זו או אחריה</w:t>
      </w:r>
      <w:r>
        <w:rPr>
          <w:rFonts w:ascii="David" w:hAnsi="David" w:hint="cs"/>
          <w:rtl/>
        </w:rPr>
        <w:t>.</w:t>
      </w:r>
    </w:p>
    <w:p w14:paraId="5AD7E2EC" w14:textId="77777777" w:rsidR="00473769" w:rsidRPr="00B40D39" w:rsidRDefault="00473769" w:rsidP="00473769">
      <w:pPr>
        <w:pStyle w:val="a9"/>
        <w:spacing w:line="360" w:lineRule="auto"/>
        <w:jc w:val="both"/>
        <w:rPr>
          <w:rFonts w:ascii="David" w:hAnsi="David"/>
        </w:rPr>
      </w:pPr>
    </w:p>
    <w:p w14:paraId="27295B77" w14:textId="77777777" w:rsidR="00473769" w:rsidRDefault="00473769" w:rsidP="00473769">
      <w:pPr>
        <w:pStyle w:val="a9"/>
        <w:numPr>
          <w:ilvl w:val="0"/>
          <w:numId w:val="2"/>
        </w:numPr>
        <w:spacing w:line="360" w:lineRule="auto"/>
        <w:jc w:val="both"/>
        <w:rPr>
          <w:rFonts w:ascii="David" w:hAnsi="David"/>
        </w:rPr>
      </w:pPr>
      <w:r>
        <w:rPr>
          <w:rFonts w:ascii="David" w:hAnsi="David"/>
          <w:b/>
          <w:bCs/>
          <w:rtl/>
        </w:rPr>
        <w:t>מאסר על תנאי של חודשיים, והתנאי הוא כי הנאשם לא יעבור במשך שנתיים מהיום כל עבירת איומים</w:t>
      </w:r>
      <w:r>
        <w:rPr>
          <w:rFonts w:ascii="David" w:hAnsi="David" w:hint="cs"/>
          <w:b/>
          <w:bCs/>
          <w:rtl/>
        </w:rPr>
        <w:t xml:space="preserve"> או היזק בזדון</w:t>
      </w:r>
      <w:r>
        <w:rPr>
          <w:rFonts w:ascii="David" w:hAnsi="David"/>
          <w:b/>
          <w:bCs/>
          <w:rtl/>
        </w:rPr>
        <w:t>, ויורשע בה בתוך תקופת זמן זו או אחריה</w:t>
      </w:r>
      <w:r>
        <w:rPr>
          <w:rFonts w:ascii="David" w:hAnsi="David"/>
          <w:rtl/>
        </w:rPr>
        <w:t>.</w:t>
      </w:r>
    </w:p>
    <w:p w14:paraId="78A6B500" w14:textId="77777777" w:rsidR="00473769" w:rsidRPr="00B40D39" w:rsidRDefault="00473769" w:rsidP="00473769">
      <w:pPr>
        <w:pStyle w:val="a9"/>
        <w:rPr>
          <w:rFonts w:ascii="David" w:hAnsi="David"/>
          <w:rtl/>
        </w:rPr>
      </w:pPr>
    </w:p>
    <w:p w14:paraId="2E7AB9DC" w14:textId="77777777" w:rsidR="00473769" w:rsidRDefault="00473769" w:rsidP="00473769">
      <w:pPr>
        <w:pStyle w:val="a9"/>
        <w:numPr>
          <w:ilvl w:val="0"/>
          <w:numId w:val="2"/>
        </w:numPr>
        <w:spacing w:line="360" w:lineRule="auto"/>
        <w:jc w:val="both"/>
        <w:rPr>
          <w:rFonts w:ascii="David" w:hAnsi="David"/>
        </w:rPr>
      </w:pPr>
      <w:r w:rsidRPr="00CE66B3">
        <w:rPr>
          <w:rFonts w:ascii="David" w:hAnsi="David" w:hint="cs"/>
          <w:b/>
          <w:bCs/>
          <w:rtl/>
        </w:rPr>
        <w:t xml:space="preserve">הנאשם יבצע שירות לתועלת הציבור בהיקף של </w:t>
      </w:r>
      <w:r>
        <w:rPr>
          <w:rFonts w:ascii="David" w:hAnsi="David" w:hint="cs"/>
          <w:b/>
          <w:bCs/>
          <w:rtl/>
        </w:rPr>
        <w:t xml:space="preserve">300 </w:t>
      </w:r>
      <w:r w:rsidRPr="00CE66B3">
        <w:rPr>
          <w:rFonts w:ascii="David" w:hAnsi="David" w:hint="cs"/>
          <w:b/>
          <w:bCs/>
          <w:rtl/>
        </w:rPr>
        <w:t>שעות</w:t>
      </w:r>
      <w:r>
        <w:rPr>
          <w:rFonts w:ascii="David" w:hAnsi="David" w:hint="cs"/>
          <w:b/>
          <w:bCs/>
          <w:rtl/>
        </w:rPr>
        <w:t xml:space="preserve">, </w:t>
      </w:r>
      <w:r w:rsidRPr="00CE66B3">
        <w:rPr>
          <w:rFonts w:ascii="David" w:hAnsi="David" w:hint="cs"/>
          <w:b/>
          <w:bCs/>
          <w:rtl/>
        </w:rPr>
        <w:t xml:space="preserve">בהתאם לתוכנית </w:t>
      </w:r>
      <w:r>
        <w:rPr>
          <w:rFonts w:ascii="David" w:hAnsi="David" w:hint="cs"/>
          <w:b/>
          <w:bCs/>
          <w:rtl/>
        </w:rPr>
        <w:t xml:space="preserve">שיגיש שירות המבחן </w:t>
      </w:r>
      <w:r w:rsidRPr="00654F24">
        <w:rPr>
          <w:rFonts w:ascii="David" w:hAnsi="David" w:hint="cs"/>
          <w:b/>
          <w:bCs/>
          <w:rtl/>
        </w:rPr>
        <w:t>לאישור בית המשפט עד ליום 15.8.24</w:t>
      </w:r>
      <w:r>
        <w:rPr>
          <w:rFonts w:ascii="David" w:hAnsi="David" w:hint="cs"/>
          <w:rtl/>
        </w:rPr>
        <w:t xml:space="preserve">. </w:t>
      </w:r>
    </w:p>
    <w:p w14:paraId="35390650" w14:textId="77777777" w:rsidR="00473769" w:rsidRPr="00A56F11" w:rsidRDefault="00473769" w:rsidP="00473769">
      <w:pPr>
        <w:pStyle w:val="a9"/>
        <w:rPr>
          <w:rFonts w:ascii="David" w:hAnsi="David"/>
          <w:rtl/>
        </w:rPr>
      </w:pPr>
    </w:p>
    <w:p w14:paraId="67B3F949" w14:textId="77777777" w:rsidR="00473769" w:rsidRDefault="00473769" w:rsidP="00473769">
      <w:pPr>
        <w:pStyle w:val="a9"/>
        <w:numPr>
          <w:ilvl w:val="0"/>
          <w:numId w:val="2"/>
        </w:numPr>
        <w:spacing w:line="360" w:lineRule="auto"/>
        <w:jc w:val="both"/>
        <w:rPr>
          <w:rFonts w:ascii="David" w:hAnsi="David"/>
        </w:rPr>
      </w:pPr>
      <w:r w:rsidRPr="00A56F11">
        <w:rPr>
          <w:rFonts w:ascii="David" w:hAnsi="David" w:hint="cs"/>
          <w:b/>
          <w:bCs/>
          <w:rtl/>
        </w:rPr>
        <w:t xml:space="preserve">ניתן בזה צו פיקוח למשך 12 חודשים מהיום </w:t>
      </w:r>
      <w:r w:rsidRPr="00A56F11">
        <w:rPr>
          <w:rFonts w:ascii="David" w:hAnsi="David"/>
          <w:b/>
          <w:bCs/>
          <w:rtl/>
        </w:rPr>
        <w:t>–</w:t>
      </w:r>
      <w:r w:rsidRPr="00A56F11">
        <w:rPr>
          <w:rFonts w:ascii="David" w:hAnsi="David" w:hint="cs"/>
          <w:b/>
          <w:bCs/>
          <w:rtl/>
        </w:rPr>
        <w:t xml:space="preserve"> בהם ימשיך הנאשם בהליך הטיפולי במסגרת צו מבחן, תחת פיקוח שירות המבחן</w:t>
      </w:r>
      <w:r>
        <w:rPr>
          <w:rFonts w:ascii="David" w:hAnsi="David" w:hint="cs"/>
          <w:rtl/>
        </w:rPr>
        <w:t>.</w:t>
      </w:r>
    </w:p>
    <w:p w14:paraId="7E6F57A2" w14:textId="77777777" w:rsidR="00473769" w:rsidRPr="001D30C6" w:rsidRDefault="00473769" w:rsidP="00473769">
      <w:pPr>
        <w:pStyle w:val="a9"/>
        <w:rPr>
          <w:rFonts w:ascii="David" w:hAnsi="David"/>
          <w:rtl/>
        </w:rPr>
      </w:pPr>
    </w:p>
    <w:p w14:paraId="1081D432" w14:textId="77777777" w:rsidR="00473769" w:rsidRDefault="00473769" w:rsidP="00473769">
      <w:pPr>
        <w:pStyle w:val="a9"/>
        <w:spacing w:line="360" w:lineRule="auto"/>
        <w:jc w:val="both"/>
        <w:rPr>
          <w:rFonts w:ascii="David" w:hAnsi="David"/>
        </w:rPr>
      </w:pPr>
      <w:r>
        <w:rPr>
          <w:rFonts w:ascii="David" w:hAnsi="David" w:hint="cs"/>
          <w:rtl/>
        </w:rPr>
        <w:t>מובהר בזה לנאשם, כי אם לא יבצע את השל"צ כנדרש או אם לא יעמוד בתנאי צו המבחן שהוטל עליו, ניתן יהיה להחזיר את עניינו לבית המשפט, ובית המשפט עשוי לגזור עליו עונש אחר.</w:t>
      </w:r>
    </w:p>
    <w:p w14:paraId="5FB63CD5" w14:textId="77777777" w:rsidR="00473769" w:rsidRDefault="00473769" w:rsidP="00473769">
      <w:pPr>
        <w:pStyle w:val="a9"/>
        <w:spacing w:line="360" w:lineRule="auto"/>
        <w:jc w:val="both"/>
        <w:rPr>
          <w:rFonts w:ascii="David" w:hAnsi="David"/>
        </w:rPr>
      </w:pPr>
    </w:p>
    <w:p w14:paraId="6D4899D5" w14:textId="77777777" w:rsidR="00473769" w:rsidRDefault="00473769" w:rsidP="00473769">
      <w:pPr>
        <w:pStyle w:val="a9"/>
        <w:numPr>
          <w:ilvl w:val="0"/>
          <w:numId w:val="2"/>
        </w:numPr>
        <w:spacing w:line="360" w:lineRule="auto"/>
        <w:jc w:val="both"/>
        <w:rPr>
          <w:rFonts w:ascii="David" w:hAnsi="David"/>
        </w:rPr>
      </w:pPr>
      <w:r>
        <w:rPr>
          <w:rFonts w:ascii="David" w:hAnsi="David"/>
          <w:b/>
          <w:bCs/>
          <w:rtl/>
        </w:rPr>
        <w:t xml:space="preserve">הנאשם יחתום על התחייבות כספית בסך של </w:t>
      </w:r>
      <w:r>
        <w:rPr>
          <w:rFonts w:ascii="David" w:hAnsi="David" w:hint="cs"/>
          <w:b/>
          <w:bCs/>
          <w:rtl/>
        </w:rPr>
        <w:t>1,500</w:t>
      </w:r>
      <w:r>
        <w:rPr>
          <w:rFonts w:ascii="David" w:hAnsi="David"/>
          <w:b/>
          <w:bCs/>
          <w:rtl/>
        </w:rPr>
        <w:t xml:space="preserve"> ₪, בה יתחייב להימנע מלעבור במשך שנתיים מהיום כל ע</w:t>
      </w:r>
      <w:r>
        <w:rPr>
          <w:rFonts w:ascii="David" w:hAnsi="David" w:hint="cs"/>
          <w:b/>
          <w:bCs/>
          <w:rtl/>
        </w:rPr>
        <w:t>בירה מן העבירות בהן הורשע בתיק</w:t>
      </w:r>
      <w:r>
        <w:rPr>
          <w:rFonts w:ascii="David" w:hAnsi="David"/>
          <w:rtl/>
        </w:rPr>
        <w:t>.</w:t>
      </w:r>
    </w:p>
    <w:p w14:paraId="15427425" w14:textId="77777777" w:rsidR="00473769" w:rsidRDefault="00473769" w:rsidP="00473769">
      <w:pPr>
        <w:pStyle w:val="a9"/>
        <w:rPr>
          <w:rFonts w:ascii="David" w:hAnsi="David"/>
        </w:rPr>
      </w:pPr>
    </w:p>
    <w:p w14:paraId="316E7B58" w14:textId="77777777" w:rsidR="00473769" w:rsidRDefault="00473769" w:rsidP="00473769">
      <w:pPr>
        <w:pStyle w:val="a9"/>
        <w:numPr>
          <w:ilvl w:val="0"/>
          <w:numId w:val="2"/>
        </w:numPr>
        <w:spacing w:line="360" w:lineRule="auto"/>
        <w:jc w:val="both"/>
        <w:rPr>
          <w:rFonts w:ascii="David" w:hAnsi="David"/>
          <w:rtl/>
        </w:rPr>
      </w:pPr>
      <w:r>
        <w:rPr>
          <w:rFonts w:ascii="David" w:hAnsi="David" w:hint="cs"/>
          <w:b/>
          <w:bCs/>
          <w:rtl/>
        </w:rPr>
        <w:t xml:space="preserve">הנאשם ישלם </w:t>
      </w:r>
      <w:r>
        <w:rPr>
          <w:rFonts w:ascii="David" w:hAnsi="David"/>
          <w:b/>
          <w:bCs/>
          <w:rtl/>
        </w:rPr>
        <w:t xml:space="preserve">קנס בסך </w:t>
      </w:r>
      <w:r>
        <w:rPr>
          <w:rFonts w:ascii="David" w:hAnsi="David" w:hint="cs"/>
          <w:b/>
          <w:bCs/>
          <w:rtl/>
        </w:rPr>
        <w:t xml:space="preserve">1,200 </w:t>
      </w:r>
      <w:r>
        <w:rPr>
          <w:rFonts w:ascii="David" w:hAnsi="David"/>
          <w:b/>
          <w:bCs/>
          <w:rtl/>
        </w:rPr>
        <w:t xml:space="preserve">₪ </w:t>
      </w:r>
      <w:r>
        <w:rPr>
          <w:rFonts w:ascii="David" w:hAnsi="David" w:hint="cs"/>
          <w:b/>
          <w:bCs/>
          <w:rtl/>
        </w:rPr>
        <w:t>או יישא בשישה ימי מאסר תמורתו</w:t>
      </w:r>
      <w:r>
        <w:rPr>
          <w:rFonts w:ascii="David" w:hAnsi="David"/>
          <w:rtl/>
        </w:rPr>
        <w:t>.</w:t>
      </w:r>
    </w:p>
    <w:p w14:paraId="767EB8E1" w14:textId="77777777" w:rsidR="00473769" w:rsidRDefault="00473769" w:rsidP="00473769">
      <w:pPr>
        <w:pStyle w:val="a9"/>
        <w:rPr>
          <w:rFonts w:ascii="David" w:hAnsi="David"/>
        </w:rPr>
      </w:pPr>
    </w:p>
    <w:p w14:paraId="76878EBD" w14:textId="77777777" w:rsidR="00473769" w:rsidRDefault="00473769" w:rsidP="00473769">
      <w:pPr>
        <w:spacing w:after="160" w:line="360" w:lineRule="auto"/>
        <w:ind w:left="720"/>
        <w:contextualSpacing/>
        <w:jc w:val="both"/>
        <w:rPr>
          <w:rFonts w:ascii="Arial" w:hAnsi="Arial"/>
          <w:rtl/>
        </w:rPr>
      </w:pPr>
      <w:r>
        <w:rPr>
          <w:rFonts w:ascii="Arial" w:hAnsi="Arial"/>
          <w:b/>
          <w:bCs/>
          <w:rtl/>
        </w:rPr>
        <w:t>הקנס ישולם באמצעות המרכז לגביית קנסות, זאת לא יאוחר מיום 5.12.24</w:t>
      </w:r>
      <w:r>
        <w:rPr>
          <w:rFonts w:ascii="Arial" w:hAnsi="Arial"/>
          <w:rtl/>
        </w:rPr>
        <w:t xml:space="preserve">. </w:t>
      </w:r>
    </w:p>
    <w:p w14:paraId="497BE45E" w14:textId="77777777" w:rsidR="00473769" w:rsidRDefault="00473769" w:rsidP="00473769">
      <w:pPr>
        <w:spacing w:after="160" w:line="360" w:lineRule="auto"/>
        <w:ind w:left="720"/>
        <w:contextualSpacing/>
        <w:jc w:val="both"/>
        <w:rPr>
          <w:rFonts w:ascii="Arial" w:hAnsi="Arial"/>
          <w:rtl/>
        </w:rPr>
      </w:pPr>
    </w:p>
    <w:p w14:paraId="30F4BFCB" w14:textId="77777777" w:rsidR="00473769" w:rsidRDefault="00473769" w:rsidP="00473769">
      <w:pPr>
        <w:spacing w:after="160" w:line="360" w:lineRule="auto"/>
        <w:ind w:left="720"/>
        <w:contextualSpacing/>
        <w:jc w:val="both"/>
        <w:rPr>
          <w:rFonts w:ascii="Arial" w:hAnsi="Arial"/>
          <w:rtl/>
        </w:rPr>
      </w:pPr>
      <w:r>
        <w:rPr>
          <w:rFonts w:ascii="Arial" w:hAnsi="Arial"/>
          <w:rtl/>
        </w:rPr>
        <w:t xml:space="preserve">מוסבר בזאת לנאשם כי עליו להסדיר את תשלום הקנס באמצעות המרכז לגביית קנסות, וככל שהוא חפץ לשלם את הקנס במספר תשלומים, הוא רשאי לעשות כן ב- 5 תשלומים, ועליו להסדיר זאת באמצעות המרכז לגביית קנסות. </w:t>
      </w:r>
    </w:p>
    <w:p w14:paraId="386E99D3" w14:textId="77777777" w:rsidR="00473769" w:rsidRDefault="00473769" w:rsidP="00473769">
      <w:pPr>
        <w:spacing w:after="160" w:line="360" w:lineRule="auto"/>
        <w:ind w:left="720"/>
        <w:contextualSpacing/>
        <w:jc w:val="both"/>
        <w:rPr>
          <w:rFonts w:ascii="Arial" w:hAnsi="Arial"/>
          <w:rtl/>
        </w:rPr>
      </w:pPr>
    </w:p>
    <w:p w14:paraId="06100DA5" w14:textId="77777777" w:rsidR="00473769" w:rsidRDefault="00473769" w:rsidP="00473769">
      <w:pPr>
        <w:spacing w:after="160" w:line="360" w:lineRule="auto"/>
        <w:ind w:left="720"/>
        <w:contextualSpacing/>
        <w:jc w:val="both"/>
        <w:rPr>
          <w:rFonts w:ascii="Arial" w:hAnsi="Arial"/>
          <w:rtl/>
        </w:rPr>
      </w:pPr>
      <w:r>
        <w:rPr>
          <w:rFonts w:ascii="Arial" w:hAnsi="Arial"/>
          <w:rtl/>
        </w:rPr>
        <w:t>את הקנס ניתן יהיה לשלם כעבור שלושה ימים מיום מתן גזר הדין לחשבון המרכז לגביית קנסות, אגרות והוצאות ברשות האכיפה והגביה, באחת מהדרכים הבאות:</w:t>
      </w:r>
    </w:p>
    <w:p w14:paraId="30E82C30" w14:textId="77777777" w:rsidR="00473769" w:rsidRDefault="00473769" w:rsidP="00473769">
      <w:pPr>
        <w:spacing w:after="160" w:line="360" w:lineRule="auto"/>
        <w:ind w:left="720"/>
        <w:contextualSpacing/>
        <w:jc w:val="both"/>
        <w:rPr>
          <w:rFonts w:ascii="Arial" w:hAnsi="Arial"/>
          <w:rtl/>
        </w:rPr>
      </w:pPr>
      <w:r>
        <w:rPr>
          <w:rFonts w:ascii="Arial" w:hAnsi="Arial"/>
          <w:b/>
          <w:bCs/>
          <w:rtl/>
        </w:rPr>
        <w:t>בכרטיס אשראי</w:t>
      </w:r>
      <w:r>
        <w:rPr>
          <w:rFonts w:ascii="Arial" w:hAnsi="Arial"/>
          <w:rtl/>
        </w:rPr>
        <w:t xml:space="preserve"> – באתר המקוון של רשות האכיפה והגביה, </w:t>
      </w:r>
      <w:hyperlink r:id="rId47" w:history="1">
        <w:r w:rsidRPr="001D30C6">
          <w:rPr>
            <w:rStyle w:val="Hyperlink"/>
            <w:rFonts w:ascii="Arial" w:hAnsi="Arial"/>
          </w:rPr>
          <w:t>www.eca.gov.il</w:t>
        </w:r>
      </w:hyperlink>
    </w:p>
    <w:p w14:paraId="55F3FE95" w14:textId="77777777" w:rsidR="00473769" w:rsidRDefault="00473769" w:rsidP="00473769">
      <w:pPr>
        <w:spacing w:after="160" w:line="360" w:lineRule="auto"/>
        <w:ind w:left="720"/>
        <w:contextualSpacing/>
        <w:jc w:val="both"/>
        <w:rPr>
          <w:rFonts w:ascii="Arial" w:hAnsi="Arial"/>
          <w:rtl/>
        </w:rPr>
      </w:pPr>
      <w:r>
        <w:rPr>
          <w:rFonts w:ascii="Arial" w:hAnsi="Arial"/>
          <w:b/>
          <w:bCs/>
          <w:rtl/>
        </w:rPr>
        <w:t>במוקד שירות טלפוני בשירות עצמי</w:t>
      </w:r>
      <w:r>
        <w:rPr>
          <w:rFonts w:ascii="Arial" w:hAnsi="Arial"/>
          <w:rtl/>
        </w:rPr>
        <w:t xml:space="preserve"> (מרכז גביה) – בטלפון 35592* או בטלפון 073-2055000.</w:t>
      </w:r>
    </w:p>
    <w:p w14:paraId="0C7A8F78" w14:textId="77777777" w:rsidR="00473769" w:rsidRDefault="00473769" w:rsidP="00473769">
      <w:pPr>
        <w:spacing w:after="160" w:line="360" w:lineRule="auto"/>
        <w:ind w:left="720"/>
        <w:contextualSpacing/>
        <w:jc w:val="both"/>
        <w:rPr>
          <w:rFonts w:ascii="Arial" w:hAnsi="Arial"/>
          <w:rtl/>
        </w:rPr>
      </w:pPr>
      <w:r>
        <w:rPr>
          <w:rFonts w:ascii="Arial" w:hAnsi="Arial"/>
          <w:b/>
          <w:bCs/>
          <w:rtl/>
        </w:rPr>
        <w:t>במזומן</w:t>
      </w:r>
      <w:r>
        <w:rPr>
          <w:rFonts w:ascii="Arial" w:hAnsi="Arial"/>
          <w:rtl/>
        </w:rPr>
        <w:t xml:space="preserve"> – בכל סניף של בנק הדואר – בהצגת תעודת זהות בלבד.</w:t>
      </w:r>
    </w:p>
    <w:p w14:paraId="54DEB34D" w14:textId="77777777" w:rsidR="00473769" w:rsidRDefault="00473769" w:rsidP="00473769">
      <w:pPr>
        <w:spacing w:after="160" w:line="360" w:lineRule="auto"/>
        <w:ind w:left="720"/>
        <w:contextualSpacing/>
        <w:jc w:val="both"/>
        <w:rPr>
          <w:rFonts w:ascii="Arial" w:hAnsi="Arial"/>
          <w:rtl/>
        </w:rPr>
      </w:pPr>
    </w:p>
    <w:p w14:paraId="7E918076" w14:textId="77777777" w:rsidR="00473769" w:rsidRDefault="00473769" w:rsidP="00473769">
      <w:pPr>
        <w:spacing w:after="160" w:line="360" w:lineRule="auto"/>
        <w:contextualSpacing/>
        <w:jc w:val="both"/>
        <w:rPr>
          <w:rFonts w:ascii="Arial" w:hAnsi="Arial"/>
          <w:rtl/>
        </w:rPr>
      </w:pPr>
      <w:r w:rsidRPr="00B40D39">
        <w:rPr>
          <w:rFonts w:ascii="Arial" w:hAnsi="Arial" w:hint="cs"/>
          <w:b/>
          <w:bCs/>
          <w:rtl/>
        </w:rPr>
        <w:t>אני מורה על השמדת המוצגים שנתפסו</w:t>
      </w:r>
      <w:r>
        <w:rPr>
          <w:rFonts w:ascii="Arial" w:hAnsi="Arial" w:hint="cs"/>
          <w:rtl/>
        </w:rPr>
        <w:t>.</w:t>
      </w:r>
    </w:p>
    <w:p w14:paraId="2EFA39DC" w14:textId="77777777" w:rsidR="00473769" w:rsidRDefault="00473769" w:rsidP="00473769">
      <w:pPr>
        <w:spacing w:after="160" w:line="360" w:lineRule="auto"/>
        <w:contextualSpacing/>
        <w:jc w:val="both"/>
        <w:rPr>
          <w:rFonts w:ascii="Arial" w:hAnsi="Arial"/>
          <w:rtl/>
        </w:rPr>
      </w:pPr>
    </w:p>
    <w:p w14:paraId="508A84AA" w14:textId="77777777" w:rsidR="00473769" w:rsidRDefault="00473769" w:rsidP="00473769">
      <w:pPr>
        <w:spacing w:after="160" w:line="360" w:lineRule="auto"/>
        <w:contextualSpacing/>
        <w:jc w:val="both"/>
        <w:rPr>
          <w:rFonts w:ascii="Arial" w:hAnsi="Arial"/>
          <w:rtl/>
        </w:rPr>
      </w:pPr>
      <w:r w:rsidRPr="002D6906">
        <w:rPr>
          <w:rFonts w:ascii="Arial" w:hAnsi="Arial" w:hint="cs"/>
          <w:b/>
          <w:bCs/>
          <w:rtl/>
        </w:rPr>
        <w:t>המזכירות תעביר את גזר הדין לשירות המבחן</w:t>
      </w:r>
      <w:r>
        <w:rPr>
          <w:rFonts w:ascii="Arial" w:hAnsi="Arial" w:hint="cs"/>
          <w:rtl/>
        </w:rPr>
        <w:t>.</w:t>
      </w:r>
    </w:p>
    <w:p w14:paraId="6D103C21" w14:textId="77777777" w:rsidR="00473769" w:rsidRDefault="00473769" w:rsidP="00473769">
      <w:pPr>
        <w:spacing w:after="160" w:line="360" w:lineRule="auto"/>
        <w:ind w:left="720"/>
        <w:contextualSpacing/>
        <w:jc w:val="both"/>
        <w:rPr>
          <w:rFonts w:ascii="Arial" w:hAnsi="Arial"/>
          <w:rtl/>
        </w:rPr>
      </w:pPr>
    </w:p>
    <w:p w14:paraId="22DFBE0B" w14:textId="77777777" w:rsidR="00473769" w:rsidRDefault="00473769" w:rsidP="00473769">
      <w:pPr>
        <w:spacing w:line="360" w:lineRule="auto"/>
        <w:jc w:val="both"/>
        <w:rPr>
          <w:rFonts w:ascii="Arial" w:hAnsi="Arial"/>
          <w:color w:val="FFFFFF"/>
          <w:sz w:val="2"/>
          <w:szCs w:val="2"/>
        </w:rPr>
      </w:pPr>
      <w:r>
        <w:rPr>
          <w:rFonts w:ascii="Arial" w:hAnsi="Arial"/>
          <w:color w:val="FFFFFF"/>
          <w:sz w:val="2"/>
          <w:szCs w:val="2"/>
          <w:rtl/>
        </w:rPr>
        <w:t>5129371</w:t>
      </w:r>
    </w:p>
    <w:p w14:paraId="7C8A6FCE" w14:textId="77777777" w:rsidR="00473769" w:rsidRDefault="00473769" w:rsidP="00473769">
      <w:pPr>
        <w:spacing w:line="360" w:lineRule="auto"/>
        <w:jc w:val="both"/>
        <w:rPr>
          <w:rFonts w:ascii="Arial" w:hAnsi="Arial"/>
          <w:b/>
          <w:bCs/>
          <w:u w:val="single"/>
          <w:rtl/>
        </w:rPr>
      </w:pPr>
      <w:r>
        <w:rPr>
          <w:rFonts w:ascii="Arial" w:hAnsi="Arial"/>
          <w:b/>
          <w:bCs/>
          <w:color w:val="FFFFFF"/>
          <w:sz w:val="2"/>
          <w:szCs w:val="2"/>
          <w:u w:val="single"/>
          <w:rtl/>
        </w:rPr>
        <w:t>54678313</w:t>
      </w:r>
      <w:r>
        <w:rPr>
          <w:rFonts w:ascii="Arial" w:hAnsi="Arial"/>
          <w:b/>
          <w:bCs/>
          <w:u w:val="single"/>
          <w:rtl/>
        </w:rPr>
        <w:t>זכות ערעור לבית המשפט המחוזי בחיפה תוך 45 ימים.</w:t>
      </w:r>
    </w:p>
    <w:p w14:paraId="65F01A6F" w14:textId="77777777" w:rsidR="00473769" w:rsidRPr="001B49EC" w:rsidRDefault="001B49EC" w:rsidP="00473769">
      <w:pPr>
        <w:pStyle w:val="a9"/>
        <w:spacing w:line="360" w:lineRule="auto"/>
        <w:jc w:val="both"/>
        <w:rPr>
          <w:rFonts w:ascii="David" w:hAnsi="David"/>
          <w:color w:val="FFFFFF"/>
          <w:sz w:val="2"/>
          <w:szCs w:val="2"/>
        </w:rPr>
      </w:pPr>
      <w:r w:rsidRPr="001B49EC">
        <w:rPr>
          <w:rFonts w:ascii="David" w:hAnsi="David"/>
          <w:color w:val="FFFFFF"/>
          <w:sz w:val="2"/>
          <w:szCs w:val="2"/>
          <w:rtl/>
        </w:rPr>
        <w:t>5129371</w:t>
      </w:r>
    </w:p>
    <w:p w14:paraId="4733040B" w14:textId="77777777" w:rsidR="00473769" w:rsidRPr="001B49EC" w:rsidRDefault="001B49EC" w:rsidP="00473769">
      <w:pPr>
        <w:rPr>
          <w:rFonts w:ascii="Arial" w:hAnsi="Arial"/>
          <w:color w:val="FFFFFF"/>
          <w:sz w:val="2"/>
          <w:szCs w:val="2"/>
          <w:rtl/>
        </w:rPr>
      </w:pPr>
      <w:r w:rsidRPr="001B49EC">
        <w:rPr>
          <w:rFonts w:ascii="Arial" w:hAnsi="Arial"/>
          <w:color w:val="FFFFFF"/>
          <w:sz w:val="2"/>
          <w:szCs w:val="2"/>
          <w:rtl/>
        </w:rPr>
        <w:t>54678313</w:t>
      </w:r>
    </w:p>
    <w:p w14:paraId="0B2EED2C" w14:textId="77777777" w:rsidR="00473769" w:rsidRPr="000F2247" w:rsidRDefault="00473769" w:rsidP="00473769">
      <w:pPr>
        <w:rPr>
          <w:rFonts w:ascii="Arial" w:hAnsi="Arial"/>
          <w:b/>
          <w:bCs/>
          <w:sz w:val="26"/>
          <w:szCs w:val="26"/>
          <w:rtl/>
        </w:rPr>
      </w:pPr>
    </w:p>
    <w:p w14:paraId="224D55ED" w14:textId="77777777" w:rsidR="00473769" w:rsidRPr="000F2247" w:rsidRDefault="001B49EC" w:rsidP="00473769">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ח' תמוז תשפ"ד, 14 יולי 2024, בהעדר הצדדים. </w:t>
      </w:r>
      <w:bookmarkEnd w:id="8"/>
      <w:r w:rsidR="00473769">
        <w:rPr>
          <w:rFonts w:ascii="Arial" w:hAnsi="Arial"/>
          <w:b/>
          <w:bCs/>
          <w:sz w:val="26"/>
          <w:szCs w:val="26"/>
          <w:rtl/>
        </w:rPr>
        <w:tab/>
      </w:r>
      <w:r w:rsidR="00473769">
        <w:rPr>
          <w:rFonts w:ascii="Arial" w:hAnsi="Arial"/>
          <w:b/>
          <w:bCs/>
          <w:sz w:val="26"/>
          <w:szCs w:val="26"/>
          <w:rtl/>
        </w:rPr>
        <w:tab/>
      </w:r>
      <w:r w:rsidR="00473769">
        <w:rPr>
          <w:rFonts w:ascii="Arial" w:hAnsi="Arial"/>
          <w:b/>
          <w:bCs/>
          <w:sz w:val="26"/>
          <w:szCs w:val="26"/>
          <w:rtl/>
        </w:rPr>
        <w:tab/>
      </w:r>
      <w:r w:rsidR="00473769">
        <w:rPr>
          <w:rFonts w:ascii="Arial" w:hAnsi="Arial"/>
          <w:b/>
          <w:bCs/>
          <w:sz w:val="26"/>
          <w:szCs w:val="26"/>
          <w:rtl/>
        </w:rPr>
        <w:tab/>
      </w:r>
      <w:r w:rsidR="00473769">
        <w:rPr>
          <w:rFonts w:ascii="Arial" w:hAnsi="Arial"/>
          <w:b/>
          <w:bCs/>
          <w:sz w:val="26"/>
          <w:szCs w:val="26"/>
          <w:rtl/>
        </w:rPr>
        <w:tab/>
      </w:r>
      <w:r w:rsidR="00473769">
        <w:rPr>
          <w:rFonts w:ascii="Arial" w:hAnsi="Arial"/>
          <w:b/>
          <w:bCs/>
          <w:sz w:val="26"/>
          <w:szCs w:val="26"/>
          <w:rtl/>
        </w:rPr>
        <w:tab/>
      </w:r>
      <w:r w:rsidR="00473769">
        <w:rPr>
          <w:rFonts w:ascii="Arial" w:hAnsi="Arial"/>
          <w:b/>
          <w:bCs/>
          <w:sz w:val="26"/>
          <w:szCs w:val="26"/>
          <w:rtl/>
        </w:rPr>
        <w:tab/>
      </w:r>
      <w:r w:rsidR="00473769">
        <w:rPr>
          <w:rFonts w:ascii="Arial" w:hAnsi="Arial" w:hint="cs"/>
          <w:b/>
          <w:bCs/>
          <w:sz w:val="26"/>
          <w:szCs w:val="26"/>
          <w:rtl/>
        </w:rPr>
        <w:t xml:space="preserve">         </w:t>
      </w:r>
    </w:p>
    <w:p w14:paraId="0BE62DA2" w14:textId="77777777" w:rsidR="001B49EC" w:rsidRDefault="001B49EC" w:rsidP="001B49EC">
      <w:pPr>
        <w:rPr>
          <w:rtl/>
        </w:rPr>
      </w:pPr>
    </w:p>
    <w:p w14:paraId="18714CBD" w14:textId="77777777" w:rsidR="001B49EC" w:rsidRDefault="001B49EC" w:rsidP="001B49EC">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4D999A91" w14:textId="77777777" w:rsidR="00B50747" w:rsidRPr="00B50747" w:rsidRDefault="00B50747" w:rsidP="00B50747">
      <w:pPr>
        <w:keepNext/>
        <w:rPr>
          <w:rFonts w:ascii="David" w:hAnsi="David"/>
          <w:color w:val="000000"/>
          <w:sz w:val="22"/>
          <w:szCs w:val="22"/>
          <w:rtl/>
        </w:rPr>
      </w:pPr>
    </w:p>
    <w:p w14:paraId="18CB9774" w14:textId="77777777" w:rsidR="00B50747" w:rsidRPr="00B50747" w:rsidRDefault="00B50747" w:rsidP="00B50747">
      <w:pPr>
        <w:keepNext/>
        <w:rPr>
          <w:rFonts w:ascii="David" w:hAnsi="David"/>
          <w:color w:val="000000"/>
          <w:sz w:val="22"/>
          <w:szCs w:val="22"/>
          <w:rtl/>
        </w:rPr>
      </w:pPr>
      <w:r w:rsidRPr="00B50747">
        <w:rPr>
          <w:rFonts w:ascii="David" w:hAnsi="David"/>
          <w:color w:val="000000"/>
          <w:sz w:val="22"/>
          <w:szCs w:val="22"/>
          <w:rtl/>
        </w:rPr>
        <w:t>ערן זלר 54678313-/</w:t>
      </w:r>
    </w:p>
    <w:p w14:paraId="557DEA65" w14:textId="77777777" w:rsidR="001B49EC" w:rsidRPr="001B49EC" w:rsidRDefault="00B50747" w:rsidP="00B50747">
      <w:pPr>
        <w:rPr>
          <w:color w:val="0000FF"/>
          <w:u w:val="single"/>
        </w:rPr>
      </w:pPr>
      <w:r w:rsidRPr="00B50747">
        <w:rPr>
          <w:color w:val="000000"/>
          <w:u w:val="single"/>
          <w:rtl/>
        </w:rPr>
        <w:t>נוסח מסמך זה כפוף לשינויי ניסוח ועריכה</w:t>
      </w:r>
    </w:p>
    <w:sectPr w:rsidR="001B49EC" w:rsidRPr="001B49EC" w:rsidSect="00B50747">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B9ADB" w14:textId="77777777" w:rsidR="007318D6" w:rsidRDefault="007318D6" w:rsidP="001A5BE4">
      <w:r>
        <w:separator/>
      </w:r>
    </w:p>
  </w:endnote>
  <w:endnote w:type="continuationSeparator" w:id="0">
    <w:p w14:paraId="5813E692" w14:textId="77777777" w:rsidR="007318D6" w:rsidRDefault="007318D6" w:rsidP="001A5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A4BDE" w14:textId="77777777" w:rsidR="00B50747" w:rsidRDefault="00B50747" w:rsidP="00B5074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8D5879" w14:textId="77777777" w:rsidR="002509D5" w:rsidRPr="00B50747" w:rsidRDefault="00B50747" w:rsidP="00B50747">
    <w:pPr>
      <w:pStyle w:val="a5"/>
      <w:pBdr>
        <w:top w:val="single" w:sz="4" w:space="1" w:color="auto"/>
        <w:between w:val="single" w:sz="4" w:space="0" w:color="auto"/>
      </w:pBdr>
      <w:spacing w:after="60"/>
      <w:jc w:val="center"/>
      <w:rPr>
        <w:rFonts w:ascii="FrankRuehl" w:hAnsi="FrankRuehl" w:cs="FrankRuehl"/>
        <w:color w:val="000000"/>
      </w:rPr>
    </w:pPr>
    <w:r w:rsidRPr="00B5074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D8658" w14:textId="77777777" w:rsidR="00B50747" w:rsidRDefault="00B50747" w:rsidP="00B5074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B7387">
      <w:rPr>
        <w:rFonts w:ascii="FrankRuehl" w:hAnsi="FrankRuehl" w:cs="FrankRuehl"/>
        <w:noProof/>
        <w:rtl/>
      </w:rPr>
      <w:t>1</w:t>
    </w:r>
    <w:r>
      <w:rPr>
        <w:rFonts w:ascii="FrankRuehl" w:hAnsi="FrankRuehl" w:cs="FrankRuehl"/>
        <w:rtl/>
      </w:rPr>
      <w:fldChar w:fldCharType="end"/>
    </w:r>
  </w:p>
  <w:p w14:paraId="7F07B974" w14:textId="77777777" w:rsidR="002509D5" w:rsidRPr="00B50747" w:rsidRDefault="00B50747" w:rsidP="00B50747">
    <w:pPr>
      <w:pStyle w:val="a5"/>
      <w:pBdr>
        <w:top w:val="single" w:sz="4" w:space="1" w:color="auto"/>
        <w:between w:val="single" w:sz="4" w:space="0" w:color="auto"/>
      </w:pBdr>
      <w:spacing w:after="60"/>
      <w:jc w:val="center"/>
      <w:rPr>
        <w:rFonts w:ascii="FrankRuehl" w:hAnsi="FrankRuehl" w:cs="FrankRuehl"/>
        <w:color w:val="000000"/>
      </w:rPr>
    </w:pPr>
    <w:r w:rsidRPr="00B50747">
      <w:rPr>
        <w:rFonts w:ascii="FrankRuehl" w:hAnsi="FrankRuehl" w:cs="FrankRuehl"/>
        <w:color w:val="000000"/>
      </w:rPr>
      <w:pict w14:anchorId="55196F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8CA01" w14:textId="77777777" w:rsidR="007318D6" w:rsidRDefault="007318D6" w:rsidP="001A5BE4">
      <w:r>
        <w:separator/>
      </w:r>
    </w:p>
  </w:footnote>
  <w:footnote w:type="continuationSeparator" w:id="0">
    <w:p w14:paraId="248F7E11" w14:textId="77777777" w:rsidR="007318D6" w:rsidRDefault="007318D6" w:rsidP="001A5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B2599" w14:textId="77777777" w:rsidR="001B49EC" w:rsidRPr="00B50747" w:rsidRDefault="00B50747" w:rsidP="00B5074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54472-09-22</w:t>
    </w:r>
    <w:r>
      <w:rPr>
        <w:rFonts w:ascii="David" w:hAnsi="David"/>
        <w:color w:val="000000"/>
        <w:sz w:val="22"/>
        <w:szCs w:val="22"/>
        <w:rtl/>
      </w:rPr>
      <w:tab/>
      <w:t xml:space="preserve"> מדינת ישראל נ' דניאל וסרמן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41DC3" w14:textId="77777777" w:rsidR="001B49EC" w:rsidRPr="00B50747" w:rsidRDefault="00B50747" w:rsidP="00B5074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54472-09-22</w:t>
    </w:r>
    <w:r>
      <w:rPr>
        <w:rFonts w:ascii="David" w:hAnsi="David"/>
        <w:color w:val="000000"/>
        <w:sz w:val="22"/>
        <w:szCs w:val="22"/>
        <w:rtl/>
      </w:rPr>
      <w:tab/>
      <w:t xml:space="preserve"> מדינת ישראל נ' דניאל וסרמן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A44B9"/>
    <w:multiLevelType w:val="hybridMultilevel"/>
    <w:tmpl w:val="6D666EA0"/>
    <w:lvl w:ilvl="0" w:tplc="CFB6303A">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79F566A"/>
    <w:multiLevelType w:val="hybridMultilevel"/>
    <w:tmpl w:val="31C01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41699647">
    <w:abstractNumId w:val="1"/>
  </w:num>
  <w:num w:numId="2" w16cid:durableId="1767076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73769"/>
    <w:rsid w:val="00024FA7"/>
    <w:rsid w:val="001A5BE4"/>
    <w:rsid w:val="001B49EC"/>
    <w:rsid w:val="001B5A3B"/>
    <w:rsid w:val="002509D5"/>
    <w:rsid w:val="00473769"/>
    <w:rsid w:val="00566972"/>
    <w:rsid w:val="00567D90"/>
    <w:rsid w:val="007318D6"/>
    <w:rsid w:val="00734AAD"/>
    <w:rsid w:val="00AB4047"/>
    <w:rsid w:val="00B50747"/>
    <w:rsid w:val="00CB7387"/>
    <w:rsid w:val="00CD23D8"/>
    <w:rsid w:val="00D45F0E"/>
    <w:rsid w:val="00E850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FEA353"/>
  <w15:chartTrackingRefBased/>
  <w15:docId w15:val="{A41D3E51-EACD-4A80-897B-52F40BE7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376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73769"/>
    <w:pPr>
      <w:tabs>
        <w:tab w:val="center" w:pos="4153"/>
        <w:tab w:val="right" w:pos="8306"/>
      </w:tabs>
    </w:pPr>
  </w:style>
  <w:style w:type="character" w:customStyle="1" w:styleId="a4">
    <w:name w:val="כותרת עליונה תו"/>
    <w:link w:val="a3"/>
    <w:rsid w:val="00473769"/>
    <w:rPr>
      <w:rFonts w:ascii="Times New Roman" w:eastAsia="Times New Roman" w:hAnsi="Times New Roman" w:cs="David"/>
      <w:sz w:val="24"/>
      <w:szCs w:val="24"/>
    </w:rPr>
  </w:style>
  <w:style w:type="paragraph" w:styleId="a5">
    <w:name w:val="footer"/>
    <w:basedOn w:val="a"/>
    <w:link w:val="a6"/>
    <w:rsid w:val="00473769"/>
    <w:pPr>
      <w:tabs>
        <w:tab w:val="center" w:pos="4153"/>
        <w:tab w:val="right" w:pos="8306"/>
      </w:tabs>
    </w:pPr>
  </w:style>
  <w:style w:type="character" w:customStyle="1" w:styleId="a6">
    <w:name w:val="כותרת תחתונה תו"/>
    <w:link w:val="a5"/>
    <w:rsid w:val="00473769"/>
    <w:rPr>
      <w:rFonts w:ascii="Times New Roman" w:eastAsia="Times New Roman" w:hAnsi="Times New Roman" w:cs="David"/>
      <w:sz w:val="24"/>
      <w:szCs w:val="24"/>
    </w:rPr>
  </w:style>
  <w:style w:type="table" w:styleId="a7">
    <w:name w:val="Table Grid"/>
    <w:basedOn w:val="a1"/>
    <w:rsid w:val="0047376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73769"/>
  </w:style>
  <w:style w:type="character" w:styleId="Hyperlink">
    <w:name w:val="Hyperlink"/>
    <w:rsid w:val="00473769"/>
    <w:rPr>
      <w:color w:val="0000FF"/>
      <w:u w:val="single"/>
    </w:rPr>
  </w:style>
  <w:style w:type="paragraph" w:styleId="a9">
    <w:name w:val="List Paragraph"/>
    <w:basedOn w:val="a"/>
    <w:qFormat/>
    <w:rsid w:val="00473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28969971" TargetMode="External"/><Relationship Id="rId26" Type="http://schemas.openxmlformats.org/officeDocument/2006/relationships/hyperlink" Target="http://www.nevo.co.il/case/20420489" TargetMode="External"/><Relationship Id="rId39" Type="http://schemas.openxmlformats.org/officeDocument/2006/relationships/hyperlink" Target="http://www.nevo.co.il/case/30150287"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9396498" TargetMode="External"/><Relationship Id="rId42" Type="http://schemas.openxmlformats.org/officeDocument/2006/relationships/hyperlink" Target="http://www.nevo.co.il/law/70301/40d.a" TargetMode="External"/><Relationship Id="rId47" Type="http://schemas.openxmlformats.org/officeDocument/2006/relationships/hyperlink" Target="http://www.eca.gov.il" TargetMode="External"/><Relationship Id="rId50"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17944047" TargetMode="External"/><Relationship Id="rId11" Type="http://schemas.openxmlformats.org/officeDocument/2006/relationships/hyperlink" Target="http://www.nevo.co.il/law/70301/452"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1929021" TargetMode="External"/><Relationship Id="rId37" Type="http://schemas.openxmlformats.org/officeDocument/2006/relationships/hyperlink" Target="http://www.nevo.co.il/case/17030490" TargetMode="External"/><Relationship Id="rId40" Type="http://schemas.openxmlformats.org/officeDocument/2006/relationships/hyperlink" Target="http://www.nevo.co.il/case/19999565" TargetMode="External"/><Relationship Id="rId45" Type="http://schemas.openxmlformats.org/officeDocument/2006/relationships/hyperlink" Target="http://www.nevo.co.il/case/24268077"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0301/192"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6723998" TargetMode="External"/><Relationship Id="rId44" Type="http://schemas.openxmlformats.org/officeDocument/2006/relationships/hyperlink" Target="http://www.nevo.co.il/case/22938500"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86.a"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186.a" TargetMode="External"/><Relationship Id="rId27" Type="http://schemas.openxmlformats.org/officeDocument/2006/relationships/hyperlink" Target="http://www.nevo.co.il/case/28330512" TargetMode="External"/><Relationship Id="rId30" Type="http://schemas.openxmlformats.org/officeDocument/2006/relationships/hyperlink" Target="http://www.nevo.co.il/case/27361181" TargetMode="External"/><Relationship Id="rId35" Type="http://schemas.openxmlformats.org/officeDocument/2006/relationships/hyperlink" Target="http://www.nevo.co.il/case/28710074" TargetMode="External"/><Relationship Id="rId43" Type="http://schemas.openxmlformats.org/officeDocument/2006/relationships/hyperlink" Target="http://www.nevo.co.il/law/70301"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40d.a"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452"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case/27210766" TargetMode="External"/><Relationship Id="rId38" Type="http://schemas.openxmlformats.org/officeDocument/2006/relationships/hyperlink" Target="http://www.nevo.co.il/case/8448905" TargetMode="External"/><Relationship Id="rId46" Type="http://schemas.openxmlformats.org/officeDocument/2006/relationships/hyperlink" Target="http://www.nevo.co.il/case/28774350" TargetMode="External"/><Relationship Id="rId20" Type="http://schemas.openxmlformats.org/officeDocument/2006/relationships/hyperlink" Target="http://www.nevo.co.il/law/4216/7.c" TargetMode="External"/><Relationship Id="rId41" Type="http://schemas.openxmlformats.org/officeDocument/2006/relationships/hyperlink" Target="http://www.nevo.co.il/law/70301"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92"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808394" TargetMode="External"/><Relationship Id="rId36" Type="http://schemas.openxmlformats.org/officeDocument/2006/relationships/hyperlink" Target="http://www.nevo.co.il/case/2887374"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4878</Words>
  <Characters>24390</Characters>
  <Application>Microsoft Office Word</Application>
  <DocSecurity>0</DocSecurity>
  <Lines>203</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29210</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7864368</vt:i4>
      </vt:variant>
      <vt:variant>
        <vt:i4>120</vt:i4>
      </vt:variant>
      <vt:variant>
        <vt:i4>0</vt:i4>
      </vt:variant>
      <vt:variant>
        <vt:i4>5</vt:i4>
      </vt:variant>
      <vt:variant>
        <vt:lpwstr>http://www.eca.gov.il/</vt:lpwstr>
      </vt:variant>
      <vt:variant>
        <vt:lpwstr/>
      </vt:variant>
      <vt:variant>
        <vt:i4>3407992</vt:i4>
      </vt:variant>
      <vt:variant>
        <vt:i4>117</vt:i4>
      </vt:variant>
      <vt:variant>
        <vt:i4>0</vt:i4>
      </vt:variant>
      <vt:variant>
        <vt:i4>5</vt:i4>
      </vt:variant>
      <vt:variant>
        <vt:lpwstr>http://www.nevo.co.il/case/28774350</vt:lpwstr>
      </vt:variant>
      <vt:variant>
        <vt:lpwstr/>
      </vt:variant>
      <vt:variant>
        <vt:i4>4128886</vt:i4>
      </vt:variant>
      <vt:variant>
        <vt:i4>114</vt:i4>
      </vt:variant>
      <vt:variant>
        <vt:i4>0</vt:i4>
      </vt:variant>
      <vt:variant>
        <vt:i4>5</vt:i4>
      </vt:variant>
      <vt:variant>
        <vt:lpwstr>http://www.nevo.co.il/case/24268077</vt:lpwstr>
      </vt:variant>
      <vt:variant>
        <vt:lpwstr/>
      </vt:variant>
      <vt:variant>
        <vt:i4>3342448</vt:i4>
      </vt:variant>
      <vt:variant>
        <vt:i4>111</vt:i4>
      </vt:variant>
      <vt:variant>
        <vt:i4>0</vt:i4>
      </vt:variant>
      <vt:variant>
        <vt:i4>5</vt:i4>
      </vt:variant>
      <vt:variant>
        <vt:lpwstr>http://www.nevo.co.il/case/22938500</vt:lpwstr>
      </vt:variant>
      <vt:variant>
        <vt:lpwstr/>
      </vt:variant>
      <vt:variant>
        <vt:i4>7995492</vt:i4>
      </vt:variant>
      <vt:variant>
        <vt:i4>108</vt:i4>
      </vt:variant>
      <vt:variant>
        <vt:i4>0</vt:i4>
      </vt:variant>
      <vt:variant>
        <vt:i4>5</vt:i4>
      </vt:variant>
      <vt:variant>
        <vt:lpwstr>http://www.nevo.co.il/law/70301</vt:lpwstr>
      </vt:variant>
      <vt:variant>
        <vt:lpwstr/>
      </vt:variant>
      <vt:variant>
        <vt:i4>4915205</vt:i4>
      </vt:variant>
      <vt:variant>
        <vt:i4>105</vt:i4>
      </vt:variant>
      <vt:variant>
        <vt:i4>0</vt:i4>
      </vt:variant>
      <vt:variant>
        <vt:i4>5</vt:i4>
      </vt:variant>
      <vt:variant>
        <vt:lpwstr>http://www.nevo.co.il/law/70301/40d.a</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3604593</vt:i4>
      </vt:variant>
      <vt:variant>
        <vt:i4>99</vt:i4>
      </vt:variant>
      <vt:variant>
        <vt:i4>0</vt:i4>
      </vt:variant>
      <vt:variant>
        <vt:i4>5</vt:i4>
      </vt:variant>
      <vt:variant>
        <vt:lpwstr>http://www.nevo.co.il/case/19999565</vt:lpwstr>
      </vt:variant>
      <vt:variant>
        <vt:lpwstr/>
      </vt:variant>
      <vt:variant>
        <vt:i4>3801203</vt:i4>
      </vt:variant>
      <vt:variant>
        <vt:i4>96</vt:i4>
      </vt:variant>
      <vt:variant>
        <vt:i4>0</vt:i4>
      </vt:variant>
      <vt:variant>
        <vt:i4>5</vt:i4>
      </vt:variant>
      <vt:variant>
        <vt:lpwstr>http://www.nevo.co.il/case/30150287</vt:lpwstr>
      </vt:variant>
      <vt:variant>
        <vt:lpwstr/>
      </vt:variant>
      <vt:variant>
        <vt:i4>3145848</vt:i4>
      </vt:variant>
      <vt:variant>
        <vt:i4>93</vt:i4>
      </vt:variant>
      <vt:variant>
        <vt:i4>0</vt:i4>
      </vt:variant>
      <vt:variant>
        <vt:i4>5</vt:i4>
      </vt:variant>
      <vt:variant>
        <vt:lpwstr>http://www.nevo.co.il/case/8448905</vt:lpwstr>
      </vt:variant>
      <vt:variant>
        <vt:lpwstr/>
      </vt:variant>
      <vt:variant>
        <vt:i4>3670132</vt:i4>
      </vt:variant>
      <vt:variant>
        <vt:i4>90</vt:i4>
      </vt:variant>
      <vt:variant>
        <vt:i4>0</vt:i4>
      </vt:variant>
      <vt:variant>
        <vt:i4>5</vt:i4>
      </vt:variant>
      <vt:variant>
        <vt:lpwstr>http://www.nevo.co.il/case/17030490</vt:lpwstr>
      </vt:variant>
      <vt:variant>
        <vt:lpwstr/>
      </vt:variant>
      <vt:variant>
        <vt:i4>3997820</vt:i4>
      </vt:variant>
      <vt:variant>
        <vt:i4>87</vt:i4>
      </vt:variant>
      <vt:variant>
        <vt:i4>0</vt:i4>
      </vt:variant>
      <vt:variant>
        <vt:i4>5</vt:i4>
      </vt:variant>
      <vt:variant>
        <vt:lpwstr>http://www.nevo.co.il/case/2887374</vt:lpwstr>
      </vt:variant>
      <vt:variant>
        <vt:lpwstr/>
      </vt:variant>
      <vt:variant>
        <vt:i4>3276925</vt:i4>
      </vt:variant>
      <vt:variant>
        <vt:i4>84</vt:i4>
      </vt:variant>
      <vt:variant>
        <vt:i4>0</vt:i4>
      </vt:variant>
      <vt:variant>
        <vt:i4>5</vt:i4>
      </vt:variant>
      <vt:variant>
        <vt:lpwstr>http://www.nevo.co.il/case/28710074</vt:lpwstr>
      </vt:variant>
      <vt:variant>
        <vt:lpwstr/>
      </vt:variant>
      <vt:variant>
        <vt:i4>4063344</vt:i4>
      </vt:variant>
      <vt:variant>
        <vt:i4>81</vt:i4>
      </vt:variant>
      <vt:variant>
        <vt:i4>0</vt:i4>
      </vt:variant>
      <vt:variant>
        <vt:i4>5</vt:i4>
      </vt:variant>
      <vt:variant>
        <vt:lpwstr>http://www.nevo.co.il/case/29396498</vt:lpwstr>
      </vt:variant>
      <vt:variant>
        <vt:lpwstr/>
      </vt:variant>
      <vt:variant>
        <vt:i4>3539061</vt:i4>
      </vt:variant>
      <vt:variant>
        <vt:i4>78</vt:i4>
      </vt:variant>
      <vt:variant>
        <vt:i4>0</vt:i4>
      </vt:variant>
      <vt:variant>
        <vt:i4>5</vt:i4>
      </vt:variant>
      <vt:variant>
        <vt:lpwstr>http://www.nevo.co.il/case/27210766</vt:lpwstr>
      </vt:variant>
      <vt:variant>
        <vt:lpwstr/>
      </vt:variant>
      <vt:variant>
        <vt:i4>3145847</vt:i4>
      </vt:variant>
      <vt:variant>
        <vt:i4>75</vt:i4>
      </vt:variant>
      <vt:variant>
        <vt:i4>0</vt:i4>
      </vt:variant>
      <vt:variant>
        <vt:i4>5</vt:i4>
      </vt:variant>
      <vt:variant>
        <vt:lpwstr>http://www.nevo.co.il/case/21929021</vt:lpwstr>
      </vt:variant>
      <vt:variant>
        <vt:lpwstr/>
      </vt:variant>
      <vt:variant>
        <vt:i4>3473529</vt:i4>
      </vt:variant>
      <vt:variant>
        <vt:i4>72</vt:i4>
      </vt:variant>
      <vt:variant>
        <vt:i4>0</vt:i4>
      </vt:variant>
      <vt:variant>
        <vt:i4>5</vt:i4>
      </vt:variant>
      <vt:variant>
        <vt:lpwstr>http://www.nevo.co.il/case/6723998</vt:lpwstr>
      </vt:variant>
      <vt:variant>
        <vt:lpwstr/>
      </vt:variant>
      <vt:variant>
        <vt:i4>3670132</vt:i4>
      </vt:variant>
      <vt:variant>
        <vt:i4>69</vt:i4>
      </vt:variant>
      <vt:variant>
        <vt:i4>0</vt:i4>
      </vt:variant>
      <vt:variant>
        <vt:i4>5</vt:i4>
      </vt:variant>
      <vt:variant>
        <vt:lpwstr>http://www.nevo.co.il/case/27361181</vt:lpwstr>
      </vt:variant>
      <vt:variant>
        <vt:lpwstr/>
      </vt:variant>
      <vt:variant>
        <vt:i4>3670135</vt:i4>
      </vt:variant>
      <vt:variant>
        <vt:i4>66</vt:i4>
      </vt:variant>
      <vt:variant>
        <vt:i4>0</vt:i4>
      </vt:variant>
      <vt:variant>
        <vt:i4>5</vt:i4>
      </vt:variant>
      <vt:variant>
        <vt:lpwstr>http://www.nevo.co.il/case/17944047</vt:lpwstr>
      </vt:variant>
      <vt:variant>
        <vt:lpwstr/>
      </vt:variant>
      <vt:variant>
        <vt:i4>3276925</vt:i4>
      </vt:variant>
      <vt:variant>
        <vt:i4>63</vt:i4>
      </vt:variant>
      <vt:variant>
        <vt:i4>0</vt:i4>
      </vt:variant>
      <vt:variant>
        <vt:i4>5</vt:i4>
      </vt:variant>
      <vt:variant>
        <vt:lpwstr>http://www.nevo.co.il/case/5808394</vt:lpwstr>
      </vt:variant>
      <vt:variant>
        <vt:lpwstr/>
      </vt:variant>
      <vt:variant>
        <vt:i4>3145850</vt:i4>
      </vt:variant>
      <vt:variant>
        <vt:i4>60</vt:i4>
      </vt:variant>
      <vt:variant>
        <vt:i4>0</vt:i4>
      </vt:variant>
      <vt:variant>
        <vt:i4>5</vt:i4>
      </vt:variant>
      <vt:variant>
        <vt:lpwstr>http://www.nevo.co.il/case/28330512</vt:lpwstr>
      </vt:variant>
      <vt:variant>
        <vt:lpwstr/>
      </vt:variant>
      <vt:variant>
        <vt:i4>4063346</vt:i4>
      </vt:variant>
      <vt:variant>
        <vt:i4>57</vt:i4>
      </vt:variant>
      <vt:variant>
        <vt:i4>0</vt:i4>
      </vt:variant>
      <vt:variant>
        <vt:i4>5</vt:i4>
      </vt:variant>
      <vt:variant>
        <vt:lpwstr>http://www.nevo.co.il/case/20420489</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7995492</vt:i4>
      </vt:variant>
      <vt:variant>
        <vt:i4>51</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4390994</vt:i4>
      </vt:variant>
      <vt:variant>
        <vt:i4>45</vt:i4>
      </vt:variant>
      <vt:variant>
        <vt:i4>0</vt:i4>
      </vt:variant>
      <vt:variant>
        <vt:i4>5</vt:i4>
      </vt:variant>
      <vt:variant>
        <vt:lpwstr>http://www.nevo.co.il/law/70301/186.a</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3473523</vt:i4>
      </vt:variant>
      <vt:variant>
        <vt:i4>33</vt:i4>
      </vt:variant>
      <vt:variant>
        <vt:i4>0</vt:i4>
      </vt:variant>
      <vt:variant>
        <vt:i4>5</vt:i4>
      </vt:variant>
      <vt:variant>
        <vt:lpwstr>http://www.nevo.co.il/case/28969971</vt:lpwstr>
      </vt:variant>
      <vt:variant>
        <vt:lpwstr/>
      </vt:variant>
      <vt:variant>
        <vt:i4>6291553</vt:i4>
      </vt:variant>
      <vt:variant>
        <vt:i4>30</vt:i4>
      </vt:variant>
      <vt:variant>
        <vt:i4>0</vt:i4>
      </vt:variant>
      <vt:variant>
        <vt:i4>5</vt:i4>
      </vt:variant>
      <vt:variant>
        <vt:lpwstr>http://www.nevo.co.il/law/70301/452</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6291553</vt:i4>
      </vt:variant>
      <vt:variant>
        <vt:i4>12</vt:i4>
      </vt:variant>
      <vt:variant>
        <vt:i4>0</vt:i4>
      </vt:variant>
      <vt:variant>
        <vt:i4>5</vt:i4>
      </vt:variant>
      <vt:variant>
        <vt:lpwstr>http://www.nevo.co.il/law/70301/452</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4390994</vt:i4>
      </vt:variant>
      <vt:variant>
        <vt:i4>6</vt:i4>
      </vt:variant>
      <vt:variant>
        <vt:i4>0</vt:i4>
      </vt:variant>
      <vt:variant>
        <vt:i4>5</vt:i4>
      </vt:variant>
      <vt:variant>
        <vt:lpwstr>http://www.nevo.co.il/law/70301/186.a</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2025-04-23T01:35:00Z</dcterms:created>
  <dcterms:modified xsi:type="dcterms:W3CDTF">2025-04-23T01:35:00Z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54472</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דניאל וסרמן</vt:lpwstr>
  </property>
  <property fmtid="{D5CDD505-2E9C-101B-9397-08002B2CF9AE}" pid="10" name="LAWYER">
    <vt:lpwstr>רותם כהן</vt:lpwstr>
  </property>
  <property fmtid="{D5CDD505-2E9C-101B-9397-08002B2CF9AE}" pid="11" name="JUDGE">
    <vt:lpwstr>ערן זלר</vt:lpwstr>
  </property>
  <property fmtid="{D5CDD505-2E9C-101B-9397-08002B2CF9AE}" pid="12" name="CITY">
    <vt:lpwstr>חד'</vt:lpwstr>
  </property>
  <property fmtid="{D5CDD505-2E9C-101B-9397-08002B2CF9AE}" pid="13" name="DATE">
    <vt:lpwstr>20240714</vt:lpwstr>
  </property>
  <property fmtid="{D5CDD505-2E9C-101B-9397-08002B2CF9AE}" pid="14" name="TYPE_N_DATE">
    <vt:lpwstr>38020240714</vt:lpwstr>
  </property>
  <property fmtid="{D5CDD505-2E9C-101B-9397-08002B2CF9AE}" pid="15" name="WORDNUMPAGES">
    <vt:lpwstr>16</vt:lpwstr>
  </property>
  <property fmtid="{D5CDD505-2E9C-101B-9397-08002B2CF9AE}" pid="16" name="TYPE_ABS_DATE">
    <vt:lpwstr>380020240714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28969971;13093721;20420489;28330512;5808394;17944047;27361181;6723998;21929021;27210766;29396498;28710074;2887374;17030490;8448905;30150287;19999565;22938500;24268077;28774350</vt:lpwstr>
  </property>
  <property fmtid="{D5CDD505-2E9C-101B-9397-08002B2CF9AE}" pid="36" name="LAWLISTTMP1">
    <vt:lpwstr>70301/192;452;186.a;040d.a</vt:lpwstr>
  </property>
  <property fmtid="{D5CDD505-2E9C-101B-9397-08002B2CF9AE}" pid="37" name="LAWLISTTMP2">
    <vt:lpwstr>4216/007.a;007.c</vt:lpwstr>
  </property>
</Properties>
</file>