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E0D83" w:rsidRPr="00BD1422" w14:paraId="239D5D29" w14:textId="77777777" w:rsidTr="00670102">
        <w:trPr>
          <w:trHeight w:hRule="exact" w:val="418"/>
          <w:jc w:val="center"/>
        </w:trPr>
        <w:tc>
          <w:tcPr>
            <w:tcW w:w="8721" w:type="dxa"/>
            <w:gridSpan w:val="2"/>
          </w:tcPr>
          <w:p w14:paraId="66E96A3C" w14:textId="77777777" w:rsidR="004E0D83" w:rsidRPr="00BD1422" w:rsidRDefault="004E0D83" w:rsidP="00EF15F2">
            <w:pPr>
              <w:pStyle w:val="a3"/>
              <w:jc w:val="center"/>
              <w:rPr>
                <w:rFonts w:ascii="Tahoma" w:hAnsi="Tahoma" w:cs="Tahoma"/>
                <w:color w:val="000080"/>
                <w:rtl/>
              </w:rPr>
            </w:pPr>
            <w:bookmarkStart w:id="0" w:name="LastJudge"/>
            <w:r w:rsidRPr="00BD1422">
              <w:rPr>
                <w:rFonts w:ascii="Tahoma" w:hAnsi="Tahoma" w:cs="Tahoma"/>
                <w:b/>
                <w:bCs/>
                <w:color w:val="000080"/>
                <w:rtl/>
              </w:rPr>
              <w:t>בית משפט השלום בירושלים</w:t>
            </w:r>
          </w:p>
        </w:tc>
      </w:tr>
      <w:tr w:rsidR="004E0D83" w:rsidRPr="00BD1422" w14:paraId="08429C1E" w14:textId="77777777" w:rsidTr="00670102">
        <w:trPr>
          <w:trHeight w:val="337"/>
          <w:jc w:val="center"/>
        </w:trPr>
        <w:tc>
          <w:tcPr>
            <w:tcW w:w="5054" w:type="dxa"/>
          </w:tcPr>
          <w:p w14:paraId="670BADCE" w14:textId="77777777" w:rsidR="004E0D83" w:rsidRPr="00BD1422" w:rsidRDefault="004E0D83" w:rsidP="00EF15F2">
            <w:pPr>
              <w:rPr>
                <w:rFonts w:ascii="David" w:hAnsi="David"/>
                <w:b/>
                <w:bCs/>
                <w:sz w:val="26"/>
                <w:szCs w:val="26"/>
                <w:rtl/>
              </w:rPr>
            </w:pPr>
            <w:r w:rsidRPr="00BD1422">
              <w:rPr>
                <w:rFonts w:ascii="David" w:hAnsi="David"/>
                <w:b/>
                <w:bCs/>
                <w:sz w:val="26"/>
                <w:szCs w:val="26"/>
                <w:rtl/>
              </w:rPr>
              <w:t>ת"פ 55487-09-22 מדינת ישראל נ' לוי</w:t>
            </w:r>
            <w:r w:rsidRPr="00BD1422">
              <w:rPr>
                <w:rFonts w:ascii="David" w:hAnsi="David"/>
                <w:b/>
                <w:bCs/>
                <w:sz w:val="26"/>
                <w:szCs w:val="26"/>
                <w:rtl/>
              </w:rPr>
              <w:br/>
              <w:t>ת"פ 27084-08-21</w:t>
            </w:r>
          </w:p>
          <w:p w14:paraId="4617B5B7" w14:textId="77777777" w:rsidR="004E0D83" w:rsidRPr="00BD1422" w:rsidRDefault="004E0D83" w:rsidP="00EF15F2">
            <w:pPr>
              <w:pStyle w:val="a3"/>
              <w:rPr>
                <w:rFonts w:cs="FrankRuehl"/>
                <w:sz w:val="28"/>
                <w:szCs w:val="28"/>
                <w:rtl/>
              </w:rPr>
            </w:pPr>
          </w:p>
        </w:tc>
        <w:tc>
          <w:tcPr>
            <w:tcW w:w="3667" w:type="dxa"/>
          </w:tcPr>
          <w:p w14:paraId="16A30D51" w14:textId="77777777" w:rsidR="004E0D83" w:rsidRPr="00BD1422" w:rsidRDefault="004E0D83" w:rsidP="00EF15F2">
            <w:pPr>
              <w:pStyle w:val="a3"/>
              <w:jc w:val="right"/>
              <w:rPr>
                <w:rFonts w:cs="FrankRuehl"/>
                <w:sz w:val="28"/>
                <w:szCs w:val="28"/>
                <w:rtl/>
              </w:rPr>
            </w:pPr>
          </w:p>
        </w:tc>
      </w:tr>
    </w:tbl>
    <w:p w14:paraId="7E6BED82" w14:textId="77777777" w:rsidR="004E0D83" w:rsidRPr="00BD1422" w:rsidRDefault="004E0D83" w:rsidP="00670102">
      <w:pPr>
        <w:pStyle w:val="a3"/>
        <w:rPr>
          <w:rtl/>
        </w:rPr>
      </w:pPr>
      <w:r w:rsidRPr="00BD1422">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E0D83" w:rsidRPr="00BD1422" w14:paraId="44781F0E" w14:textId="77777777" w:rsidTr="004E0D83">
        <w:trPr>
          <w:trHeight w:val="295"/>
          <w:jc w:val="center"/>
        </w:trPr>
        <w:tc>
          <w:tcPr>
            <w:tcW w:w="923" w:type="dxa"/>
            <w:tcBorders>
              <w:top w:val="nil"/>
              <w:left w:val="nil"/>
              <w:bottom w:val="nil"/>
              <w:right w:val="nil"/>
            </w:tcBorders>
            <w:shd w:val="clear" w:color="auto" w:fill="auto"/>
          </w:tcPr>
          <w:p w14:paraId="0D83806D" w14:textId="77777777" w:rsidR="004E0D83" w:rsidRPr="00BD1422" w:rsidRDefault="004E0D83" w:rsidP="004E0D83">
            <w:pPr>
              <w:jc w:val="both"/>
              <w:rPr>
                <w:rFonts w:ascii="David" w:hAnsi="David"/>
                <w:b/>
                <w:bCs/>
                <w:sz w:val="26"/>
                <w:szCs w:val="26"/>
              </w:rPr>
            </w:pPr>
            <w:r w:rsidRPr="00BD1422">
              <w:rPr>
                <w:rFonts w:ascii="David" w:hAnsi="David" w:hint="cs"/>
                <w:b/>
                <w:bCs/>
                <w:sz w:val="26"/>
                <w:szCs w:val="26"/>
                <w:rtl/>
              </w:rPr>
              <w:t>ל</w:t>
            </w:r>
            <w:r w:rsidRPr="00BD1422">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08E2942B" w14:textId="77777777" w:rsidR="004E0D83" w:rsidRPr="00BD1422" w:rsidRDefault="004E0D83" w:rsidP="00EF15F2">
            <w:pPr>
              <w:rPr>
                <w:rFonts w:ascii="David" w:hAnsi="David"/>
                <w:b/>
                <w:bCs/>
                <w:sz w:val="26"/>
                <w:szCs w:val="26"/>
                <w:rtl/>
              </w:rPr>
            </w:pPr>
            <w:r w:rsidRPr="00BD1422">
              <w:rPr>
                <w:rFonts w:ascii="David" w:hAnsi="David"/>
                <w:b/>
                <w:bCs/>
                <w:sz w:val="26"/>
                <w:szCs w:val="26"/>
                <w:rtl/>
              </w:rPr>
              <w:t>כבוד השופט  דוד שאול גבאי ריכטר</w:t>
            </w:r>
          </w:p>
          <w:p w14:paraId="775ADC6E" w14:textId="77777777" w:rsidR="004E0D83" w:rsidRPr="00BD1422" w:rsidRDefault="004E0D83" w:rsidP="00EF15F2">
            <w:pPr>
              <w:rPr>
                <w:rFonts w:ascii="David" w:hAnsi="David"/>
                <w:b/>
                <w:bCs/>
                <w:sz w:val="26"/>
                <w:szCs w:val="26"/>
                <w:rtl/>
              </w:rPr>
            </w:pPr>
          </w:p>
          <w:p w14:paraId="73C76B9B" w14:textId="77777777" w:rsidR="004E0D83" w:rsidRPr="00BD1422" w:rsidRDefault="004E0D83" w:rsidP="004E0D83">
            <w:pPr>
              <w:jc w:val="both"/>
              <w:rPr>
                <w:rFonts w:ascii="David" w:hAnsi="David"/>
                <w:b/>
                <w:bCs/>
                <w:sz w:val="26"/>
                <w:szCs w:val="26"/>
              </w:rPr>
            </w:pPr>
          </w:p>
        </w:tc>
      </w:tr>
      <w:tr w:rsidR="004E0D83" w:rsidRPr="00BD1422" w14:paraId="66B5DA89" w14:textId="77777777" w:rsidTr="004E0D83">
        <w:trPr>
          <w:trHeight w:val="355"/>
          <w:jc w:val="center"/>
        </w:trPr>
        <w:tc>
          <w:tcPr>
            <w:tcW w:w="923" w:type="dxa"/>
            <w:tcBorders>
              <w:top w:val="nil"/>
              <w:left w:val="nil"/>
              <w:bottom w:val="nil"/>
              <w:right w:val="nil"/>
            </w:tcBorders>
            <w:shd w:val="clear" w:color="auto" w:fill="auto"/>
          </w:tcPr>
          <w:p w14:paraId="4F4C3EC4" w14:textId="77777777" w:rsidR="004E0D83" w:rsidRPr="00BD1422" w:rsidRDefault="004E0D83" w:rsidP="004E0D83">
            <w:pPr>
              <w:jc w:val="both"/>
              <w:rPr>
                <w:rFonts w:ascii="David" w:hAnsi="David"/>
                <w:b/>
                <w:bCs/>
                <w:sz w:val="26"/>
                <w:szCs w:val="26"/>
              </w:rPr>
            </w:pPr>
            <w:bookmarkStart w:id="1" w:name="FirstAppellant"/>
            <w:bookmarkStart w:id="2" w:name="FirstLawyer"/>
            <w:r w:rsidRPr="00BD1422">
              <w:rPr>
                <w:rFonts w:ascii="David" w:hAnsi="David"/>
                <w:b/>
                <w:bCs/>
                <w:sz w:val="26"/>
                <w:szCs w:val="26"/>
                <w:rtl/>
              </w:rPr>
              <w:t>בעניין:</w:t>
            </w:r>
          </w:p>
        </w:tc>
        <w:tc>
          <w:tcPr>
            <w:tcW w:w="3219" w:type="dxa"/>
            <w:tcBorders>
              <w:top w:val="nil"/>
              <w:left w:val="nil"/>
              <w:bottom w:val="nil"/>
              <w:right w:val="nil"/>
            </w:tcBorders>
            <w:shd w:val="clear" w:color="auto" w:fill="auto"/>
          </w:tcPr>
          <w:p w14:paraId="3B10C782" w14:textId="77777777" w:rsidR="004E0D83" w:rsidRPr="00BD1422" w:rsidRDefault="004E0D83" w:rsidP="004E0D83">
            <w:pPr>
              <w:suppressLineNumbers/>
              <w:rPr>
                <w:b/>
                <w:bCs/>
              </w:rPr>
            </w:pPr>
            <w:r w:rsidRPr="00BD1422">
              <w:rPr>
                <w:rFonts w:ascii="Arial" w:hAnsi="Arial" w:hint="cs"/>
                <w:b/>
                <w:bCs/>
                <w:sz w:val="26"/>
                <w:szCs w:val="26"/>
                <w:rtl/>
              </w:rPr>
              <w:t>ה</w:t>
            </w:r>
            <w:r w:rsidRPr="00BD1422">
              <w:rPr>
                <w:rFonts w:ascii="Arial" w:hAnsi="Arial"/>
                <w:b/>
                <w:bCs/>
                <w:sz w:val="26"/>
                <w:szCs w:val="26"/>
                <w:rtl/>
              </w:rPr>
              <w:t>מאשימה</w:t>
            </w:r>
          </w:p>
          <w:p w14:paraId="0DC2AC0F" w14:textId="77777777" w:rsidR="004E0D83" w:rsidRPr="00BD1422" w:rsidRDefault="004E0D83" w:rsidP="00EF15F2">
            <w:pPr>
              <w:rPr>
                <w:rFonts w:ascii="David" w:hAnsi="David"/>
                <w:b/>
                <w:bCs/>
                <w:sz w:val="26"/>
                <w:szCs w:val="26"/>
              </w:rPr>
            </w:pPr>
          </w:p>
        </w:tc>
        <w:tc>
          <w:tcPr>
            <w:tcW w:w="4678" w:type="dxa"/>
            <w:tcBorders>
              <w:top w:val="nil"/>
              <w:left w:val="nil"/>
              <w:bottom w:val="nil"/>
              <w:right w:val="nil"/>
            </w:tcBorders>
            <w:shd w:val="clear" w:color="auto" w:fill="auto"/>
            <w:vAlign w:val="center"/>
          </w:tcPr>
          <w:p w14:paraId="004F6929" w14:textId="77777777" w:rsidR="004E0D83" w:rsidRPr="00BD1422" w:rsidRDefault="004E0D83" w:rsidP="004E0D83">
            <w:pPr>
              <w:suppressLineNumbers/>
              <w:rPr>
                <w:rFonts w:ascii="Arial" w:hAnsi="Arial"/>
                <w:b/>
                <w:bCs/>
                <w:sz w:val="26"/>
                <w:szCs w:val="26"/>
                <w:rtl/>
              </w:rPr>
            </w:pPr>
            <w:r w:rsidRPr="00BD1422">
              <w:rPr>
                <w:rFonts w:ascii="Arial" w:hAnsi="Arial"/>
                <w:b/>
                <w:bCs/>
                <w:sz w:val="26"/>
                <w:szCs w:val="26"/>
                <w:rtl/>
              </w:rPr>
              <w:t>מדינת ישראל</w:t>
            </w:r>
            <w:r w:rsidRPr="00BD1422">
              <w:rPr>
                <w:rFonts w:ascii="Arial" w:hAnsi="Arial" w:hint="cs"/>
                <w:b/>
                <w:bCs/>
                <w:sz w:val="26"/>
                <w:szCs w:val="26"/>
                <w:rtl/>
              </w:rPr>
              <w:t xml:space="preserve"> </w:t>
            </w:r>
          </w:p>
          <w:p w14:paraId="0181F5BB" w14:textId="77777777" w:rsidR="004E0D83" w:rsidRPr="00BD1422" w:rsidRDefault="004E0D83" w:rsidP="004E0D83">
            <w:pPr>
              <w:suppressLineNumbers/>
              <w:rPr>
                <w:rFonts w:ascii="Arial" w:hAnsi="Arial"/>
                <w:b/>
                <w:bCs/>
                <w:sz w:val="26"/>
                <w:szCs w:val="26"/>
                <w:rtl/>
              </w:rPr>
            </w:pPr>
            <w:r w:rsidRPr="00BD1422">
              <w:rPr>
                <w:rFonts w:ascii="Arial" w:hAnsi="Arial"/>
                <w:b/>
                <w:bCs/>
                <w:sz w:val="26"/>
                <w:szCs w:val="26"/>
                <w:rtl/>
              </w:rPr>
              <w:t xml:space="preserve">ע"י ב"כ </w:t>
            </w:r>
            <w:r w:rsidRPr="00BD1422">
              <w:rPr>
                <w:rFonts w:ascii="Arial" w:hAnsi="Arial" w:hint="cs"/>
                <w:b/>
                <w:bCs/>
                <w:sz w:val="26"/>
                <w:szCs w:val="26"/>
                <w:rtl/>
              </w:rPr>
              <w:t>רפ"ק פיני ספיר, מתמחה</w:t>
            </w:r>
          </w:p>
          <w:p w14:paraId="71BCC460" w14:textId="77777777" w:rsidR="004E0D83" w:rsidRPr="00BD1422" w:rsidRDefault="004E0D83" w:rsidP="004E0D83">
            <w:pPr>
              <w:suppressLineNumbers/>
              <w:rPr>
                <w:b/>
                <w:bCs/>
              </w:rPr>
            </w:pPr>
            <w:r w:rsidRPr="00BD1422">
              <w:rPr>
                <w:rFonts w:ascii="Arial" w:hAnsi="Arial" w:hint="cs"/>
                <w:b/>
                <w:bCs/>
                <w:sz w:val="26"/>
                <w:szCs w:val="26"/>
                <w:rtl/>
              </w:rPr>
              <w:t>מתביעות ירושלים</w:t>
            </w:r>
          </w:p>
          <w:p w14:paraId="71C67CFD" w14:textId="77777777" w:rsidR="004E0D83" w:rsidRPr="00BD1422" w:rsidRDefault="004E0D83" w:rsidP="00EF15F2">
            <w:pPr>
              <w:rPr>
                <w:rFonts w:ascii="David" w:hAnsi="David"/>
                <w:b/>
                <w:bCs/>
                <w:sz w:val="26"/>
                <w:szCs w:val="26"/>
              </w:rPr>
            </w:pPr>
          </w:p>
        </w:tc>
      </w:tr>
      <w:bookmarkEnd w:id="1"/>
      <w:bookmarkEnd w:id="2"/>
      <w:tr w:rsidR="004E0D83" w:rsidRPr="00BD1422" w14:paraId="2CE7A386" w14:textId="77777777" w:rsidTr="004E0D83">
        <w:trPr>
          <w:trHeight w:val="355"/>
          <w:jc w:val="center"/>
        </w:trPr>
        <w:tc>
          <w:tcPr>
            <w:tcW w:w="923" w:type="dxa"/>
            <w:tcBorders>
              <w:top w:val="nil"/>
              <w:left w:val="nil"/>
              <w:bottom w:val="nil"/>
              <w:right w:val="nil"/>
            </w:tcBorders>
            <w:shd w:val="clear" w:color="auto" w:fill="auto"/>
          </w:tcPr>
          <w:p w14:paraId="698DB7DF" w14:textId="77777777" w:rsidR="004E0D83" w:rsidRPr="00BD1422" w:rsidRDefault="004E0D83" w:rsidP="004E0D83">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7CD3DABF" w14:textId="77777777" w:rsidR="004E0D83" w:rsidRPr="00BD1422" w:rsidRDefault="004E0D83" w:rsidP="004E0D83">
            <w:pPr>
              <w:jc w:val="center"/>
              <w:rPr>
                <w:rFonts w:ascii="David" w:hAnsi="David"/>
                <w:b/>
                <w:bCs/>
                <w:sz w:val="26"/>
                <w:szCs w:val="26"/>
                <w:rtl/>
              </w:rPr>
            </w:pPr>
          </w:p>
          <w:p w14:paraId="667BD170" w14:textId="77777777" w:rsidR="004E0D83" w:rsidRPr="00BD1422" w:rsidRDefault="004E0D83" w:rsidP="004E0D83">
            <w:pPr>
              <w:jc w:val="center"/>
              <w:rPr>
                <w:rFonts w:ascii="David" w:hAnsi="David"/>
                <w:b/>
                <w:bCs/>
                <w:sz w:val="26"/>
                <w:szCs w:val="26"/>
                <w:rtl/>
              </w:rPr>
            </w:pPr>
            <w:r w:rsidRPr="00BD1422">
              <w:rPr>
                <w:rFonts w:ascii="David" w:hAnsi="David"/>
                <w:b/>
                <w:bCs/>
                <w:sz w:val="26"/>
                <w:szCs w:val="26"/>
                <w:rtl/>
              </w:rPr>
              <w:t>נגד</w:t>
            </w:r>
          </w:p>
          <w:p w14:paraId="371E9FDD" w14:textId="77777777" w:rsidR="004E0D83" w:rsidRPr="00BD1422" w:rsidRDefault="004E0D83" w:rsidP="004E0D83">
            <w:pPr>
              <w:jc w:val="both"/>
              <w:rPr>
                <w:rFonts w:ascii="David" w:hAnsi="David"/>
                <w:b/>
                <w:bCs/>
                <w:sz w:val="26"/>
                <w:szCs w:val="26"/>
              </w:rPr>
            </w:pPr>
          </w:p>
        </w:tc>
      </w:tr>
      <w:tr w:rsidR="004E0D83" w:rsidRPr="00BD1422" w14:paraId="1B95DDB8" w14:textId="77777777" w:rsidTr="004E0D83">
        <w:trPr>
          <w:trHeight w:val="355"/>
          <w:jc w:val="center"/>
        </w:trPr>
        <w:tc>
          <w:tcPr>
            <w:tcW w:w="923" w:type="dxa"/>
            <w:tcBorders>
              <w:top w:val="nil"/>
              <w:left w:val="nil"/>
              <w:bottom w:val="nil"/>
              <w:right w:val="nil"/>
            </w:tcBorders>
            <w:shd w:val="clear" w:color="auto" w:fill="auto"/>
          </w:tcPr>
          <w:p w14:paraId="4D791509" w14:textId="77777777" w:rsidR="004E0D83" w:rsidRPr="00BD1422" w:rsidRDefault="004E0D83" w:rsidP="00EF15F2">
            <w:pPr>
              <w:rPr>
                <w:rFonts w:ascii="David" w:hAnsi="David"/>
                <w:b/>
                <w:bCs/>
                <w:sz w:val="26"/>
                <w:szCs w:val="26"/>
                <w:rtl/>
              </w:rPr>
            </w:pPr>
          </w:p>
        </w:tc>
        <w:tc>
          <w:tcPr>
            <w:tcW w:w="3219" w:type="dxa"/>
            <w:tcBorders>
              <w:top w:val="nil"/>
              <w:left w:val="nil"/>
              <w:bottom w:val="nil"/>
              <w:right w:val="nil"/>
            </w:tcBorders>
            <w:shd w:val="clear" w:color="auto" w:fill="auto"/>
          </w:tcPr>
          <w:p w14:paraId="3928CD71" w14:textId="77777777" w:rsidR="004E0D83" w:rsidRPr="00BD1422" w:rsidRDefault="004E0D83" w:rsidP="00EF15F2">
            <w:pPr>
              <w:rPr>
                <w:rFonts w:ascii="Arial" w:hAnsi="Arial"/>
                <w:b/>
                <w:bCs/>
                <w:sz w:val="26"/>
                <w:szCs w:val="26"/>
                <w:rtl/>
              </w:rPr>
            </w:pPr>
            <w:r w:rsidRPr="00BD1422">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6D5E335A" w14:textId="77777777" w:rsidR="004E0D83" w:rsidRPr="00BD1422" w:rsidRDefault="004E0D83" w:rsidP="004E0D83">
            <w:pPr>
              <w:suppressLineNumbers/>
              <w:rPr>
                <w:rFonts w:ascii="Arial" w:hAnsi="Arial"/>
                <w:b/>
                <w:bCs/>
                <w:sz w:val="26"/>
                <w:szCs w:val="26"/>
                <w:rtl/>
              </w:rPr>
            </w:pPr>
            <w:r w:rsidRPr="00BD1422">
              <w:rPr>
                <w:rFonts w:ascii="Arial" w:hAnsi="Arial"/>
                <w:b/>
                <w:bCs/>
                <w:sz w:val="26"/>
                <w:szCs w:val="26"/>
                <w:rtl/>
              </w:rPr>
              <w:t xml:space="preserve">ברכיה לוי </w:t>
            </w:r>
            <w:r w:rsidRPr="00BD1422">
              <w:rPr>
                <w:rFonts w:ascii="Arial" w:hAnsi="Arial" w:hint="cs"/>
                <w:b/>
                <w:bCs/>
                <w:sz w:val="26"/>
                <w:szCs w:val="26"/>
                <w:rtl/>
              </w:rPr>
              <w:t xml:space="preserve"> </w:t>
            </w:r>
          </w:p>
          <w:p w14:paraId="51E4F297" w14:textId="77777777" w:rsidR="004E0D83" w:rsidRPr="00BD1422" w:rsidRDefault="004E0D83" w:rsidP="004E0D83">
            <w:pPr>
              <w:suppressLineNumbers/>
              <w:rPr>
                <w:b/>
                <w:bCs/>
              </w:rPr>
            </w:pPr>
            <w:r w:rsidRPr="00BD1422">
              <w:rPr>
                <w:rFonts w:ascii="Arial" w:hAnsi="Arial"/>
                <w:b/>
                <w:bCs/>
                <w:sz w:val="26"/>
                <w:szCs w:val="26"/>
                <w:rtl/>
              </w:rPr>
              <w:t>ע"י ב"כ עוה"ד</w:t>
            </w:r>
            <w:r w:rsidRPr="00BD1422">
              <w:rPr>
                <w:rFonts w:ascii="Arial" w:hAnsi="Arial" w:hint="cs"/>
                <w:b/>
                <w:bCs/>
                <w:sz w:val="26"/>
                <w:szCs w:val="26"/>
                <w:rtl/>
              </w:rPr>
              <w:t xml:space="preserve"> שלום בן שבת</w:t>
            </w:r>
          </w:p>
          <w:p w14:paraId="573B5E1A" w14:textId="77777777" w:rsidR="004E0D83" w:rsidRPr="00BD1422" w:rsidRDefault="004E0D83" w:rsidP="00EF15F2">
            <w:pPr>
              <w:rPr>
                <w:rFonts w:ascii="David" w:hAnsi="David"/>
                <w:b/>
                <w:bCs/>
                <w:sz w:val="26"/>
                <w:szCs w:val="26"/>
              </w:rPr>
            </w:pPr>
          </w:p>
        </w:tc>
      </w:tr>
    </w:tbl>
    <w:p w14:paraId="5F67A040" w14:textId="77777777" w:rsidR="00BD1422" w:rsidRPr="00BD1422" w:rsidRDefault="00BD1422" w:rsidP="00BD1422">
      <w:pPr>
        <w:spacing w:before="120" w:after="120" w:line="240" w:lineRule="exact"/>
        <w:ind w:left="283" w:hanging="283"/>
        <w:jc w:val="both"/>
        <w:rPr>
          <w:rFonts w:ascii="FrankRuehl" w:hAnsi="FrankRuehl" w:cs="FrankRuehl"/>
          <w:rtl/>
        </w:rPr>
      </w:pPr>
    </w:p>
    <w:p w14:paraId="257BB13C" w14:textId="77777777" w:rsidR="00BD1422" w:rsidRPr="00BD1422" w:rsidRDefault="00BD1422" w:rsidP="00BD1422">
      <w:pPr>
        <w:rPr>
          <w:sz w:val="26"/>
          <w:szCs w:val="26"/>
          <w:rtl/>
        </w:rPr>
      </w:pPr>
    </w:p>
    <w:p w14:paraId="154B198D" w14:textId="77777777" w:rsidR="00670102" w:rsidRPr="00670102" w:rsidRDefault="00670102" w:rsidP="00670102">
      <w:pPr>
        <w:spacing w:before="120" w:after="120" w:line="240" w:lineRule="exact"/>
        <w:ind w:left="283" w:hanging="283"/>
        <w:jc w:val="both"/>
        <w:rPr>
          <w:rFonts w:ascii="FrankRuehl" w:hAnsi="FrankRuehl" w:cs="FrankRuehl"/>
          <w:rtl/>
        </w:rPr>
      </w:pPr>
    </w:p>
    <w:p w14:paraId="7D1FE606" w14:textId="77777777" w:rsidR="00863416" w:rsidRPr="00863416" w:rsidRDefault="00863416" w:rsidP="00863416">
      <w:pPr>
        <w:spacing w:before="120" w:after="120" w:line="240" w:lineRule="exact"/>
        <w:ind w:left="283" w:hanging="283"/>
        <w:jc w:val="both"/>
        <w:rPr>
          <w:rFonts w:ascii="FrankRuehl" w:hAnsi="FrankRuehl" w:cs="FrankRuehl"/>
          <w:rtl/>
        </w:rPr>
      </w:pPr>
    </w:p>
    <w:p w14:paraId="4BC87009" w14:textId="77777777" w:rsidR="00F01C87" w:rsidRDefault="00F01C87" w:rsidP="00F01C87">
      <w:pPr>
        <w:rPr>
          <w:sz w:val="26"/>
          <w:szCs w:val="26"/>
          <w:rtl/>
        </w:rPr>
      </w:pPr>
      <w:bookmarkStart w:id="3" w:name="LawTable"/>
      <w:bookmarkEnd w:id="3"/>
    </w:p>
    <w:p w14:paraId="637EECD9" w14:textId="77777777" w:rsidR="00F01C87" w:rsidRPr="00F01C87" w:rsidRDefault="00F01C87" w:rsidP="00F01C87">
      <w:pPr>
        <w:spacing w:before="120" w:after="120" w:line="240" w:lineRule="exact"/>
        <w:ind w:left="283" w:hanging="283"/>
        <w:jc w:val="both"/>
        <w:rPr>
          <w:rFonts w:ascii="FrankRuehl" w:hAnsi="FrankRuehl" w:cs="FrankRuehl"/>
          <w:rtl/>
        </w:rPr>
      </w:pPr>
    </w:p>
    <w:p w14:paraId="17512A09" w14:textId="77777777" w:rsidR="00F01C87" w:rsidRPr="00F01C87" w:rsidRDefault="00F01C87" w:rsidP="00F01C87">
      <w:pPr>
        <w:spacing w:before="120" w:after="120" w:line="240" w:lineRule="exact"/>
        <w:ind w:left="283" w:hanging="283"/>
        <w:jc w:val="both"/>
        <w:rPr>
          <w:rFonts w:ascii="FrankRuehl" w:hAnsi="FrankRuehl" w:cs="FrankRuehl"/>
          <w:rtl/>
        </w:rPr>
      </w:pPr>
    </w:p>
    <w:p w14:paraId="1FC64FA6" w14:textId="77777777" w:rsidR="00F01C87" w:rsidRPr="00F01C87" w:rsidRDefault="00F01C87" w:rsidP="00F01C87">
      <w:pPr>
        <w:spacing w:before="120" w:after="120" w:line="240" w:lineRule="exact"/>
        <w:ind w:left="283" w:hanging="283"/>
        <w:jc w:val="both"/>
        <w:rPr>
          <w:rFonts w:ascii="FrankRuehl" w:hAnsi="FrankRuehl" w:cs="FrankRuehl"/>
          <w:rtl/>
        </w:rPr>
      </w:pPr>
      <w:r w:rsidRPr="00F01C87">
        <w:rPr>
          <w:rFonts w:ascii="FrankRuehl" w:hAnsi="FrankRuehl" w:cs="FrankRuehl"/>
          <w:rtl/>
        </w:rPr>
        <w:t xml:space="preserve">חקיקה שאוזכרה: </w:t>
      </w:r>
    </w:p>
    <w:p w14:paraId="15EA4582" w14:textId="77777777" w:rsidR="00F01C87" w:rsidRPr="00F01C87" w:rsidRDefault="00F01C87" w:rsidP="00F01C87">
      <w:pPr>
        <w:spacing w:before="120" w:after="120" w:line="240" w:lineRule="exact"/>
        <w:ind w:left="283" w:hanging="283"/>
        <w:jc w:val="both"/>
        <w:rPr>
          <w:rFonts w:ascii="FrankRuehl" w:hAnsi="FrankRuehl" w:cs="FrankRuehl"/>
          <w:rtl/>
        </w:rPr>
      </w:pPr>
      <w:hyperlink r:id="rId7" w:history="1">
        <w:r w:rsidRPr="00F01C87">
          <w:rPr>
            <w:rFonts w:ascii="FrankRuehl" w:hAnsi="FrankRuehl" w:cs="FrankRuehl"/>
            <w:color w:val="0000FF"/>
            <w:rtl/>
          </w:rPr>
          <w:t>פקודת הסמים המסוכנים [נוסח חדש], תשל"ג-1973</w:t>
        </w:r>
      </w:hyperlink>
      <w:r w:rsidRPr="00F01C87">
        <w:rPr>
          <w:rFonts w:ascii="FrankRuehl" w:hAnsi="FrankRuehl" w:cs="FrankRuehl"/>
          <w:rtl/>
        </w:rPr>
        <w:t xml:space="preserve">: סע'  </w:t>
      </w:r>
      <w:hyperlink r:id="rId8" w:history="1">
        <w:r w:rsidRPr="00F01C87">
          <w:rPr>
            <w:rFonts w:ascii="FrankRuehl" w:hAnsi="FrankRuehl" w:cs="FrankRuehl"/>
            <w:color w:val="0000FF"/>
            <w:rtl/>
          </w:rPr>
          <w:t>7.א.</w:t>
        </w:r>
      </w:hyperlink>
      <w:r w:rsidRPr="00F01C87">
        <w:rPr>
          <w:rFonts w:ascii="FrankRuehl" w:hAnsi="FrankRuehl" w:cs="FrankRuehl"/>
          <w:rtl/>
        </w:rPr>
        <w:t xml:space="preserve">, </w:t>
      </w:r>
      <w:hyperlink r:id="rId9" w:history="1">
        <w:r w:rsidRPr="00F01C87">
          <w:rPr>
            <w:rFonts w:ascii="FrankRuehl" w:hAnsi="FrankRuehl" w:cs="FrankRuehl"/>
            <w:color w:val="0000FF"/>
            <w:rtl/>
          </w:rPr>
          <w:t>7.ג</w:t>
        </w:r>
      </w:hyperlink>
    </w:p>
    <w:p w14:paraId="57795A87" w14:textId="77777777" w:rsidR="00F01C87" w:rsidRPr="00F01C87" w:rsidRDefault="00F01C87" w:rsidP="00F01C87">
      <w:pPr>
        <w:spacing w:before="120" w:after="120" w:line="240" w:lineRule="exact"/>
        <w:ind w:left="283" w:hanging="283"/>
        <w:jc w:val="both"/>
        <w:rPr>
          <w:rFonts w:ascii="FrankRuehl" w:hAnsi="FrankRuehl" w:cs="FrankRuehl"/>
          <w:rtl/>
        </w:rPr>
      </w:pPr>
      <w:hyperlink r:id="rId10" w:history="1">
        <w:r w:rsidRPr="00F01C87">
          <w:rPr>
            <w:rFonts w:ascii="FrankRuehl" w:hAnsi="FrankRuehl" w:cs="FrankRuehl"/>
            <w:color w:val="0000FF"/>
            <w:rtl/>
          </w:rPr>
          <w:t>חוק העונשין, תשל"ז-1977</w:t>
        </w:r>
      </w:hyperlink>
      <w:r w:rsidRPr="00F01C87">
        <w:rPr>
          <w:rFonts w:ascii="FrankRuehl" w:hAnsi="FrankRuehl" w:cs="FrankRuehl"/>
          <w:rtl/>
        </w:rPr>
        <w:t xml:space="preserve">: סע'  </w:t>
      </w:r>
      <w:hyperlink r:id="rId11" w:history="1">
        <w:r w:rsidRPr="00F01C87">
          <w:rPr>
            <w:rFonts w:ascii="FrankRuehl" w:hAnsi="FrankRuehl" w:cs="FrankRuehl"/>
            <w:color w:val="0000FF"/>
            <w:rtl/>
          </w:rPr>
          <w:t>186(א)</w:t>
        </w:r>
      </w:hyperlink>
    </w:p>
    <w:p w14:paraId="6592BFC3" w14:textId="77777777" w:rsidR="00F01C87" w:rsidRPr="00F01C87" w:rsidRDefault="00F01C87" w:rsidP="00F01C87">
      <w:pPr>
        <w:rPr>
          <w:sz w:val="26"/>
          <w:szCs w:val="26"/>
          <w:rtl/>
        </w:rPr>
      </w:pPr>
      <w:bookmarkStart w:id="4" w:name="LawTable_End"/>
      <w:bookmarkEnd w:id="4"/>
    </w:p>
    <w:p w14:paraId="49D38A0F" w14:textId="77777777" w:rsidR="00670102" w:rsidRPr="00863416" w:rsidRDefault="00670102" w:rsidP="00863416">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E0D83" w14:paraId="22BDAF27" w14:textId="77777777" w:rsidTr="004E0D83">
        <w:trPr>
          <w:trHeight w:val="355"/>
          <w:jc w:val="center"/>
        </w:trPr>
        <w:tc>
          <w:tcPr>
            <w:tcW w:w="8820" w:type="dxa"/>
            <w:tcBorders>
              <w:top w:val="nil"/>
              <w:left w:val="nil"/>
              <w:bottom w:val="nil"/>
              <w:right w:val="nil"/>
            </w:tcBorders>
            <w:shd w:val="clear" w:color="auto" w:fill="auto"/>
          </w:tcPr>
          <w:p w14:paraId="536442B5" w14:textId="77777777" w:rsidR="00BD1422" w:rsidRPr="00BD1422" w:rsidRDefault="00BD1422" w:rsidP="00BD1422">
            <w:pPr>
              <w:jc w:val="center"/>
              <w:rPr>
                <w:rFonts w:ascii="David" w:hAnsi="David"/>
                <w:b/>
                <w:bCs/>
                <w:sz w:val="32"/>
                <w:szCs w:val="32"/>
                <w:u w:val="single"/>
                <w:rtl/>
              </w:rPr>
            </w:pPr>
            <w:bookmarkStart w:id="5" w:name="PsakDin" w:colFirst="0" w:colLast="0"/>
            <w:bookmarkEnd w:id="0"/>
            <w:r w:rsidRPr="00BD1422">
              <w:rPr>
                <w:rFonts w:ascii="David" w:hAnsi="David"/>
                <w:b/>
                <w:bCs/>
                <w:sz w:val="32"/>
                <w:szCs w:val="32"/>
                <w:u w:val="single"/>
                <w:rtl/>
              </w:rPr>
              <w:t>גזר דין</w:t>
            </w:r>
          </w:p>
          <w:p w14:paraId="485FEAC0" w14:textId="77777777" w:rsidR="004E0D83" w:rsidRPr="00BD1422" w:rsidRDefault="004E0D83" w:rsidP="00BD1422">
            <w:pPr>
              <w:jc w:val="center"/>
              <w:rPr>
                <w:rFonts w:ascii="David" w:hAnsi="David"/>
                <w:bCs/>
                <w:sz w:val="32"/>
                <w:szCs w:val="32"/>
                <w:u w:val="single"/>
                <w:rtl/>
              </w:rPr>
            </w:pPr>
          </w:p>
        </w:tc>
      </w:tr>
      <w:bookmarkEnd w:id="5"/>
    </w:tbl>
    <w:p w14:paraId="61F5381E" w14:textId="77777777" w:rsidR="004E0D83" w:rsidRPr="000F2247" w:rsidRDefault="004E0D83" w:rsidP="004E0D83">
      <w:pPr>
        <w:rPr>
          <w:rFonts w:ascii="Arial" w:hAnsi="Arial"/>
          <w:b/>
          <w:bCs/>
          <w:sz w:val="26"/>
          <w:szCs w:val="26"/>
          <w:rtl/>
        </w:rPr>
      </w:pPr>
    </w:p>
    <w:p w14:paraId="1776C5A5" w14:textId="77777777" w:rsidR="004E0D83" w:rsidRDefault="004E0D83" w:rsidP="004E0D83">
      <w:pPr>
        <w:spacing w:after="160" w:line="252" w:lineRule="auto"/>
        <w:rPr>
          <w:rFonts w:ascii="David" w:hAnsi="David"/>
          <w:b/>
          <w:bCs/>
          <w:sz w:val="26"/>
          <w:szCs w:val="26"/>
          <w:u w:val="single"/>
        </w:rPr>
      </w:pPr>
      <w:r>
        <w:rPr>
          <w:rFonts w:ascii="David" w:hAnsi="David"/>
          <w:b/>
          <w:bCs/>
          <w:sz w:val="26"/>
          <w:szCs w:val="26"/>
          <w:u w:val="single"/>
          <w:rtl/>
        </w:rPr>
        <w:t>כתב</w:t>
      </w:r>
      <w:r>
        <w:rPr>
          <w:rFonts w:ascii="David" w:hAnsi="David" w:hint="cs"/>
          <w:b/>
          <w:bCs/>
          <w:sz w:val="26"/>
          <w:szCs w:val="26"/>
          <w:u w:val="single"/>
          <w:rtl/>
        </w:rPr>
        <w:t>י</w:t>
      </w:r>
      <w:r>
        <w:rPr>
          <w:rFonts w:ascii="David" w:hAnsi="David"/>
          <w:b/>
          <w:bCs/>
          <w:sz w:val="26"/>
          <w:szCs w:val="26"/>
          <w:u w:val="single"/>
          <w:rtl/>
        </w:rPr>
        <w:t xml:space="preserve"> האישום</w:t>
      </w:r>
      <w:r>
        <w:rPr>
          <w:rFonts w:ascii="David" w:hAnsi="David" w:hint="cs"/>
          <w:b/>
          <w:bCs/>
          <w:sz w:val="26"/>
          <w:szCs w:val="26"/>
          <w:u w:val="single"/>
          <w:rtl/>
        </w:rPr>
        <w:t xml:space="preserve"> בהם הודה הנאשם</w:t>
      </w:r>
    </w:p>
    <w:p w14:paraId="42891040" w14:textId="77777777" w:rsidR="004E0D83" w:rsidRDefault="004E0D83" w:rsidP="004E0D83">
      <w:pPr>
        <w:pStyle w:val="a9"/>
        <w:numPr>
          <w:ilvl w:val="0"/>
          <w:numId w:val="2"/>
        </w:numPr>
        <w:spacing w:after="160" w:line="360" w:lineRule="auto"/>
        <w:jc w:val="both"/>
        <w:rPr>
          <w:rFonts w:ascii="David" w:hAnsi="David"/>
          <w:sz w:val="26"/>
          <w:szCs w:val="26"/>
        </w:rPr>
      </w:pPr>
      <w:bookmarkStart w:id="6" w:name="ABSTRACT_START"/>
      <w:bookmarkEnd w:id="6"/>
      <w:r>
        <w:rPr>
          <w:rFonts w:ascii="David" w:hAnsi="David" w:hint="cs"/>
          <w:sz w:val="26"/>
          <w:szCs w:val="26"/>
          <w:rtl/>
        </w:rPr>
        <w:t>הנאשם הודה לפניי בשני כתבי אישום כמפורט להלן:</w:t>
      </w:r>
    </w:p>
    <w:p w14:paraId="1F4141C4" w14:textId="77777777" w:rsidR="004E0D83" w:rsidRDefault="00BD1422" w:rsidP="004E0D83">
      <w:pPr>
        <w:pStyle w:val="a9"/>
        <w:numPr>
          <w:ilvl w:val="0"/>
          <w:numId w:val="4"/>
        </w:numPr>
        <w:spacing w:after="160" w:line="360" w:lineRule="auto"/>
        <w:jc w:val="both"/>
        <w:rPr>
          <w:rFonts w:ascii="David" w:hAnsi="David"/>
          <w:sz w:val="26"/>
          <w:szCs w:val="26"/>
        </w:rPr>
      </w:pPr>
      <w:hyperlink r:id="rId12" w:history="1">
        <w:r w:rsidRPr="00BD1422">
          <w:rPr>
            <w:rFonts w:ascii="David" w:hAnsi="David"/>
            <w:b/>
            <w:bCs/>
            <w:color w:val="0000FF"/>
            <w:sz w:val="26"/>
            <w:szCs w:val="26"/>
            <w:u w:val="single"/>
            <w:rtl/>
          </w:rPr>
          <w:t>ת"פ 55487-09-22</w:t>
        </w:r>
      </w:hyperlink>
      <w:r w:rsidR="004E0D83" w:rsidRPr="00E82FA2">
        <w:rPr>
          <w:rFonts w:ascii="David" w:hAnsi="David" w:hint="cs"/>
          <w:b/>
          <w:bCs/>
          <w:sz w:val="26"/>
          <w:szCs w:val="26"/>
          <w:rtl/>
        </w:rPr>
        <w:t xml:space="preserve"> (התיק הראשון)</w:t>
      </w:r>
      <w:r w:rsidR="004E0D83">
        <w:rPr>
          <w:rFonts w:ascii="David" w:hAnsi="David" w:hint="cs"/>
          <w:sz w:val="26"/>
          <w:szCs w:val="26"/>
          <w:rtl/>
        </w:rPr>
        <w:t xml:space="preserve"> </w:t>
      </w:r>
      <w:r w:rsidR="004E0D83">
        <w:rPr>
          <w:rFonts w:ascii="David" w:hAnsi="David"/>
          <w:sz w:val="26"/>
          <w:szCs w:val="26"/>
          <w:rtl/>
        </w:rPr>
        <w:t>–</w:t>
      </w:r>
      <w:r w:rsidR="004E0D83">
        <w:rPr>
          <w:rFonts w:ascii="David" w:hAnsi="David" w:hint="cs"/>
          <w:sz w:val="26"/>
          <w:szCs w:val="26"/>
          <w:rtl/>
        </w:rPr>
        <w:t xml:space="preserve"> בתיק זה הודה הנאשם בכתב אישום מתוקן בעבירה של </w:t>
      </w:r>
      <w:r w:rsidR="004E0D83" w:rsidRPr="00A47DCC">
        <w:rPr>
          <w:rFonts w:ascii="David" w:hAnsi="David" w:hint="cs"/>
          <w:b/>
          <w:bCs/>
          <w:sz w:val="26"/>
          <w:szCs w:val="26"/>
          <w:rtl/>
        </w:rPr>
        <w:t>החזקה בסמים שלא לצריכה עצמית</w:t>
      </w:r>
      <w:r w:rsidR="004E0D83">
        <w:rPr>
          <w:rFonts w:ascii="David" w:hAnsi="David" w:hint="cs"/>
          <w:sz w:val="26"/>
          <w:szCs w:val="26"/>
          <w:rtl/>
        </w:rPr>
        <w:t xml:space="preserve">, לפי </w:t>
      </w:r>
      <w:hyperlink r:id="rId13" w:history="1">
        <w:r w:rsidR="00670102" w:rsidRPr="00670102">
          <w:rPr>
            <w:rStyle w:val="Hyperlink"/>
            <w:rFonts w:ascii="David" w:hAnsi="David"/>
            <w:sz w:val="26"/>
            <w:szCs w:val="26"/>
            <w:rtl/>
          </w:rPr>
          <w:t>סעיף 7(א)(ג)</w:t>
        </w:r>
      </w:hyperlink>
      <w:r w:rsidR="004E0D83">
        <w:rPr>
          <w:rFonts w:ascii="David" w:hAnsi="David" w:hint="cs"/>
          <w:sz w:val="26"/>
          <w:szCs w:val="26"/>
          <w:rtl/>
        </w:rPr>
        <w:t xml:space="preserve"> רישא ל</w:t>
      </w:r>
      <w:hyperlink r:id="rId14" w:history="1">
        <w:r w:rsidRPr="00BD1422">
          <w:rPr>
            <w:rFonts w:ascii="David" w:hAnsi="David"/>
            <w:color w:val="0000FF"/>
            <w:sz w:val="26"/>
            <w:szCs w:val="26"/>
            <w:u w:val="single"/>
            <w:rtl/>
          </w:rPr>
          <w:t>פקודת הסמים המסוכנים</w:t>
        </w:r>
      </w:hyperlink>
      <w:r w:rsidR="004E0D83">
        <w:rPr>
          <w:rFonts w:ascii="David" w:hAnsi="David" w:hint="cs"/>
          <w:sz w:val="26"/>
          <w:szCs w:val="26"/>
          <w:rtl/>
        </w:rPr>
        <w:t xml:space="preserve">. מעובדות כתב האישום עולה כי ביום 14.9.2022 בשעת ערב נתפס הנאשם בסמוך למחסן אותו שכר, ובידו קנביס במשקל 20.25 גרם. באותו מועד נערך </w:t>
      </w:r>
      <w:r w:rsidR="004E0D83">
        <w:rPr>
          <w:rFonts w:ascii="David" w:hAnsi="David" w:hint="cs"/>
          <w:sz w:val="26"/>
          <w:szCs w:val="26"/>
          <w:rtl/>
        </w:rPr>
        <w:lastRenderedPageBreak/>
        <w:t>במחסן האמור חיפוש ובו נתפס סם מסוג קנביס במשקל כולל של 2,018.62 גרם שהיה מפוזר באריזות ושקיות, וכן נתפסו שני משקלים דיגיטליים ושקיות חלוקה.</w:t>
      </w:r>
      <w:bookmarkStart w:id="7" w:name="ABSTRACT_END"/>
      <w:bookmarkEnd w:id="7"/>
    </w:p>
    <w:p w14:paraId="2584BFDE" w14:textId="77777777" w:rsidR="004E0D83" w:rsidRDefault="00BD1422" w:rsidP="004E0D83">
      <w:pPr>
        <w:pStyle w:val="a9"/>
        <w:numPr>
          <w:ilvl w:val="0"/>
          <w:numId w:val="4"/>
        </w:numPr>
        <w:spacing w:after="160" w:line="360" w:lineRule="auto"/>
        <w:jc w:val="both"/>
        <w:rPr>
          <w:rFonts w:ascii="David" w:hAnsi="David"/>
          <w:sz w:val="26"/>
          <w:szCs w:val="26"/>
        </w:rPr>
      </w:pPr>
      <w:hyperlink r:id="rId15" w:history="1">
        <w:r w:rsidRPr="00BD1422">
          <w:rPr>
            <w:rFonts w:ascii="David" w:hAnsi="David"/>
            <w:b/>
            <w:bCs/>
            <w:color w:val="0000FF"/>
            <w:sz w:val="26"/>
            <w:szCs w:val="26"/>
            <w:u w:val="single"/>
            <w:rtl/>
          </w:rPr>
          <w:t>ת"פ 27084-08-21</w:t>
        </w:r>
      </w:hyperlink>
      <w:r w:rsidR="004E0D83" w:rsidRPr="00E82FA2">
        <w:rPr>
          <w:rFonts w:ascii="David" w:hAnsi="David" w:hint="cs"/>
          <w:b/>
          <w:bCs/>
          <w:sz w:val="26"/>
          <w:szCs w:val="26"/>
          <w:rtl/>
        </w:rPr>
        <w:t xml:space="preserve"> (התיק השני)</w:t>
      </w:r>
      <w:r w:rsidR="004E0D83">
        <w:rPr>
          <w:rFonts w:ascii="David" w:hAnsi="David" w:hint="cs"/>
          <w:sz w:val="26"/>
          <w:szCs w:val="26"/>
          <w:rtl/>
        </w:rPr>
        <w:t xml:space="preserve"> </w:t>
      </w:r>
      <w:r w:rsidR="004E0D83">
        <w:rPr>
          <w:rFonts w:ascii="David" w:hAnsi="David"/>
          <w:sz w:val="26"/>
          <w:szCs w:val="26"/>
          <w:rtl/>
        </w:rPr>
        <w:t>–</w:t>
      </w:r>
      <w:r w:rsidR="004E0D83">
        <w:rPr>
          <w:rFonts w:ascii="David" w:hAnsi="David" w:hint="cs"/>
          <w:sz w:val="26"/>
          <w:szCs w:val="26"/>
          <w:rtl/>
        </w:rPr>
        <w:t xml:space="preserve"> בתיק זה הודה הנאשם בעביר של </w:t>
      </w:r>
      <w:r w:rsidR="004E0D83" w:rsidRPr="00A47DCC">
        <w:rPr>
          <w:rFonts w:ascii="David" w:hAnsi="David" w:hint="cs"/>
          <w:b/>
          <w:bCs/>
          <w:sz w:val="26"/>
          <w:szCs w:val="26"/>
          <w:rtl/>
        </w:rPr>
        <w:t>החזקת סכין</w:t>
      </w:r>
      <w:r w:rsidR="004E0D83">
        <w:rPr>
          <w:rFonts w:ascii="David" w:hAnsi="David" w:hint="cs"/>
          <w:sz w:val="26"/>
          <w:szCs w:val="26"/>
          <w:rtl/>
        </w:rPr>
        <w:t xml:space="preserve">, לפי </w:t>
      </w:r>
      <w:hyperlink r:id="rId16" w:history="1">
        <w:r w:rsidR="00670102" w:rsidRPr="00670102">
          <w:rPr>
            <w:rStyle w:val="Hyperlink"/>
            <w:rFonts w:ascii="David" w:hAnsi="David" w:hint="eastAsia"/>
            <w:sz w:val="26"/>
            <w:szCs w:val="26"/>
            <w:rtl/>
          </w:rPr>
          <w:t>סעיף</w:t>
        </w:r>
        <w:r w:rsidR="00670102" w:rsidRPr="00670102">
          <w:rPr>
            <w:rStyle w:val="Hyperlink"/>
            <w:rFonts w:ascii="David" w:hAnsi="David"/>
            <w:sz w:val="26"/>
            <w:szCs w:val="26"/>
            <w:rtl/>
          </w:rPr>
          <w:t xml:space="preserve"> 186(א)</w:t>
        </w:r>
      </w:hyperlink>
      <w:r w:rsidR="004E0D83">
        <w:rPr>
          <w:rFonts w:ascii="David" w:hAnsi="David" w:hint="cs"/>
          <w:sz w:val="26"/>
          <w:szCs w:val="26"/>
          <w:rtl/>
        </w:rPr>
        <w:t xml:space="preserve"> ל</w:t>
      </w:r>
      <w:hyperlink r:id="rId17" w:history="1">
        <w:r w:rsidRPr="00BD1422">
          <w:rPr>
            <w:rFonts w:ascii="David" w:hAnsi="David"/>
            <w:color w:val="0000FF"/>
            <w:sz w:val="26"/>
            <w:szCs w:val="26"/>
            <w:u w:val="single"/>
            <w:rtl/>
          </w:rPr>
          <w:t>חוק העונשין</w:t>
        </w:r>
      </w:hyperlink>
      <w:r w:rsidR="004E0D83">
        <w:rPr>
          <w:rFonts w:ascii="David" w:hAnsi="David" w:hint="cs"/>
          <w:sz w:val="26"/>
          <w:szCs w:val="26"/>
          <w:rtl/>
        </w:rPr>
        <w:t>, התשל"ז-1977, בכך שביום 5.10.2020 נתפס כשבקטנוע שברשותו נמצאה סכין בתא הרכב.</w:t>
      </w:r>
    </w:p>
    <w:p w14:paraId="70C15BF2" w14:textId="77777777" w:rsidR="004E0D83" w:rsidRDefault="004E0D83" w:rsidP="004E0D83">
      <w:pPr>
        <w:spacing w:after="160" w:line="360" w:lineRule="auto"/>
        <w:jc w:val="both"/>
        <w:rPr>
          <w:rFonts w:ascii="David" w:hAnsi="David"/>
          <w:b/>
          <w:bCs/>
          <w:sz w:val="26"/>
          <w:szCs w:val="26"/>
          <w:u w:val="single"/>
        </w:rPr>
      </w:pPr>
    </w:p>
    <w:p w14:paraId="44F14AE0" w14:textId="77777777" w:rsidR="004E0D83" w:rsidRDefault="004E0D83" w:rsidP="004E0D83">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14:paraId="77D245DE" w14:textId="77777777" w:rsidR="004E0D83" w:rsidRPr="008627FA" w:rsidRDefault="004E0D83" w:rsidP="004E0D83">
      <w:pPr>
        <w:pStyle w:val="a9"/>
        <w:numPr>
          <w:ilvl w:val="0"/>
          <w:numId w:val="2"/>
        </w:numPr>
        <w:spacing w:after="160" w:line="360" w:lineRule="auto"/>
        <w:jc w:val="both"/>
        <w:rPr>
          <w:rFonts w:ascii="David" w:hAnsi="David"/>
          <w:sz w:val="26"/>
          <w:szCs w:val="26"/>
        </w:rPr>
      </w:pPr>
      <w:r>
        <w:rPr>
          <w:rFonts w:ascii="David" w:hAnsi="David" w:hint="cs"/>
          <w:sz w:val="26"/>
          <w:szCs w:val="26"/>
          <w:rtl/>
        </w:rPr>
        <w:t xml:space="preserve">במסגרת התיק הראשון נעצר הנאשם ביום ביצוע העבירה, 14.9.2022, ונותר במעצר עד לשחרורו למעצר בית מלא ביום 3.10.2022. בהמשך הוקלו התנאים מעת לעת. </w:t>
      </w:r>
    </w:p>
    <w:p w14:paraId="58CF5553" w14:textId="77777777" w:rsidR="004E0D83" w:rsidRDefault="004E0D83" w:rsidP="004E0D83">
      <w:pPr>
        <w:spacing w:after="160" w:line="360" w:lineRule="auto"/>
        <w:jc w:val="both"/>
        <w:rPr>
          <w:rFonts w:ascii="David" w:hAnsi="David"/>
          <w:b/>
          <w:bCs/>
          <w:sz w:val="26"/>
          <w:szCs w:val="26"/>
          <w:u w:val="single"/>
        </w:rPr>
      </w:pPr>
    </w:p>
    <w:p w14:paraId="25093EC6" w14:textId="77777777" w:rsidR="004E0D83" w:rsidRDefault="004E0D83" w:rsidP="004E0D83">
      <w:pPr>
        <w:spacing w:after="160" w:line="360" w:lineRule="auto"/>
        <w:jc w:val="both"/>
        <w:rPr>
          <w:rFonts w:ascii="David" w:hAnsi="David"/>
          <w:b/>
          <w:bCs/>
          <w:sz w:val="26"/>
          <w:szCs w:val="26"/>
          <w:u w:val="single"/>
        </w:rPr>
      </w:pPr>
      <w:r>
        <w:rPr>
          <w:rFonts w:ascii="David" w:hAnsi="David"/>
          <w:b/>
          <w:bCs/>
          <w:sz w:val="26"/>
          <w:szCs w:val="26"/>
          <w:u w:val="single"/>
          <w:rtl/>
        </w:rPr>
        <w:t>תסקיר</w:t>
      </w:r>
      <w:r>
        <w:rPr>
          <w:rFonts w:ascii="David" w:hAnsi="David" w:hint="cs"/>
          <w:b/>
          <w:bCs/>
          <w:sz w:val="26"/>
          <w:szCs w:val="26"/>
          <w:u w:val="single"/>
          <w:rtl/>
        </w:rPr>
        <w:t>י</w:t>
      </w:r>
      <w:r>
        <w:rPr>
          <w:rFonts w:ascii="David" w:hAnsi="David"/>
          <w:b/>
          <w:bCs/>
          <w:sz w:val="26"/>
          <w:szCs w:val="26"/>
          <w:u w:val="single"/>
          <w:rtl/>
        </w:rPr>
        <w:t xml:space="preserve"> שירות המבחן</w:t>
      </w:r>
    </w:p>
    <w:p w14:paraId="6EBA01CD" w14:textId="77777777" w:rsidR="004E0D83" w:rsidRPr="008627FA" w:rsidRDefault="004E0D83" w:rsidP="004E0D83">
      <w:pPr>
        <w:pStyle w:val="a9"/>
        <w:numPr>
          <w:ilvl w:val="0"/>
          <w:numId w:val="2"/>
        </w:numPr>
        <w:spacing w:after="160" w:line="360" w:lineRule="auto"/>
        <w:jc w:val="both"/>
        <w:rPr>
          <w:rFonts w:ascii="David" w:hAnsi="David"/>
          <w:sz w:val="26"/>
          <w:szCs w:val="26"/>
        </w:rPr>
      </w:pPr>
      <w:r>
        <w:rPr>
          <w:rFonts w:ascii="David" w:hAnsi="David" w:hint="cs"/>
          <w:sz w:val="26"/>
          <w:szCs w:val="26"/>
          <w:rtl/>
        </w:rPr>
        <w:t xml:space="preserve">בעניינו של הנאשם הוגשו שני תסקירים. </w:t>
      </w:r>
      <w:r w:rsidRPr="008627FA">
        <w:rPr>
          <w:rFonts w:ascii="David" w:hAnsi="David"/>
          <w:sz w:val="26"/>
          <w:szCs w:val="26"/>
          <w:rtl/>
        </w:rPr>
        <w:t xml:space="preserve">מהתסקיר שהוגש </w:t>
      </w:r>
      <w:r>
        <w:rPr>
          <w:rFonts w:ascii="David" w:hAnsi="David" w:hint="cs"/>
          <w:sz w:val="26"/>
          <w:szCs w:val="26"/>
          <w:rtl/>
        </w:rPr>
        <w:t xml:space="preserve">בחודש יוני 2023 </w:t>
      </w:r>
      <w:r w:rsidRPr="008627FA">
        <w:rPr>
          <w:rFonts w:ascii="David" w:hAnsi="David"/>
          <w:sz w:val="26"/>
          <w:szCs w:val="26"/>
          <w:rtl/>
        </w:rPr>
        <w:t>בעניינו של הנאשם עולה</w:t>
      </w:r>
      <w:r>
        <w:rPr>
          <w:rFonts w:ascii="David" w:hAnsi="David" w:hint="cs"/>
          <w:sz w:val="26"/>
          <w:szCs w:val="26"/>
          <w:rtl/>
        </w:rPr>
        <w:t xml:space="preserve"> כי הוא כבן 26, נשוי ואב לשני פעוטות, עובד כאחראי משמרת במסעדה ושואף לפתוח עסק משלו. לנאשם אין עבר פלילי. הנאשם מגיע מרקע חרדי וניסיונו להתגייס לצבא לא עלה יפה ובגין כך הוא חש החמצה. הנאשם קיבל אחריות למעשים ביחס לסמים, וציין כי ניצל את כמות הסמים כדי לעשות בהם שימוש. כיום הוא בעל רישיון לשימוש בקנביס רפואי. אשר להחזקת הסכין שירות המבחן התרשם מקבלת אחריות מצמצמת. השירות עמד על מאפייני אישיותו של הנאשם ועל קורותיו. הנאשם סיפר כי נחשף לסמים בתחילת שנות העשרים שלו. הנאשם שלל כל צורך בטיפול, ושירות המבחן סבר שהדבר אינו רצוי, וכי יש צורך כי הנאשם יעמיק את ההתבוננות הפנימית ואת יכולתו לכלכל את צעדיו ולהפיק לקחים לעתיד לבוא. בהיעדר המלצה טיפולית, המליץ שירות המבחן על הטלת מאסר בעבודות שירות. בתסקיר נוסף שהוגש בחודש ספטמבר השנה חזר שירות המבחן על המלצתו, עמד על כך שלא נפתחו לנאשם תיקים חדשים וסבר כי הנאשם אינו זקוק לטיפול.</w:t>
      </w:r>
    </w:p>
    <w:p w14:paraId="70E40770" w14:textId="77777777" w:rsidR="004E0D83" w:rsidRPr="00D10C1E" w:rsidRDefault="004E0D83" w:rsidP="004E0D83">
      <w:pPr>
        <w:spacing w:after="160" w:line="360" w:lineRule="auto"/>
        <w:jc w:val="both"/>
        <w:rPr>
          <w:rFonts w:ascii="David" w:hAnsi="David"/>
          <w:b/>
          <w:bCs/>
          <w:sz w:val="26"/>
          <w:szCs w:val="26"/>
          <w:u w:val="single"/>
        </w:rPr>
      </w:pPr>
    </w:p>
    <w:p w14:paraId="76FE382A" w14:textId="77777777" w:rsidR="004E0D83" w:rsidRDefault="004E0D83" w:rsidP="004E0D83">
      <w:pPr>
        <w:spacing w:after="160" w:line="360" w:lineRule="auto"/>
        <w:jc w:val="both"/>
        <w:rPr>
          <w:rFonts w:ascii="David" w:hAnsi="David"/>
          <w:b/>
          <w:bCs/>
          <w:sz w:val="26"/>
          <w:szCs w:val="26"/>
          <w:u w:val="single"/>
          <w:rtl/>
        </w:rPr>
      </w:pPr>
      <w:r>
        <w:rPr>
          <w:rFonts w:ascii="David" w:hAnsi="David"/>
          <w:b/>
          <w:bCs/>
          <w:sz w:val="26"/>
          <w:szCs w:val="26"/>
          <w:u w:val="single"/>
          <w:rtl/>
        </w:rPr>
        <w:t>חוות הדעת של הממונה על עבודות השירות</w:t>
      </w:r>
    </w:p>
    <w:p w14:paraId="11BD936E" w14:textId="77777777" w:rsidR="004E0D83" w:rsidRDefault="004E0D83" w:rsidP="004E0D83">
      <w:pPr>
        <w:pStyle w:val="a9"/>
        <w:numPr>
          <w:ilvl w:val="0"/>
          <w:numId w:val="2"/>
        </w:numPr>
        <w:spacing w:after="160" w:line="360" w:lineRule="auto"/>
        <w:jc w:val="both"/>
        <w:rPr>
          <w:rFonts w:ascii="David" w:hAnsi="David"/>
          <w:sz w:val="26"/>
          <w:szCs w:val="26"/>
          <w:rtl/>
        </w:rPr>
      </w:pPr>
      <w:r>
        <w:rPr>
          <w:rFonts w:ascii="David" w:hAnsi="David"/>
          <w:sz w:val="26"/>
          <w:szCs w:val="26"/>
          <w:rtl/>
        </w:rPr>
        <w:t xml:space="preserve">הממונה הגיש חוות דעת על אודות כשירות הנאשם לבצע מאסר בעבודות שירות. מחוות הדעת עולה, כי </w:t>
      </w:r>
      <w:r>
        <w:rPr>
          <w:rFonts w:ascii="David" w:hAnsi="David" w:hint="cs"/>
          <w:sz w:val="26"/>
          <w:szCs w:val="26"/>
          <w:rtl/>
        </w:rPr>
        <w:t>הנאשם נמצא כשיר לבצע עבודות שירות ב"מפעל חיים בירושלים " החל מיום 14.11.2024.</w:t>
      </w:r>
    </w:p>
    <w:p w14:paraId="30CD934A" w14:textId="77777777" w:rsidR="004E0D83" w:rsidRDefault="004E0D83" w:rsidP="004E0D83">
      <w:pPr>
        <w:spacing w:after="160" w:line="360" w:lineRule="auto"/>
        <w:jc w:val="both"/>
        <w:rPr>
          <w:rFonts w:ascii="David" w:hAnsi="David"/>
          <w:sz w:val="26"/>
          <w:szCs w:val="26"/>
          <w:rtl/>
        </w:rPr>
      </w:pPr>
    </w:p>
    <w:p w14:paraId="59985DCA" w14:textId="77777777" w:rsidR="004E0D83" w:rsidRDefault="004E0D83" w:rsidP="004E0D83">
      <w:pPr>
        <w:spacing w:after="160" w:line="360" w:lineRule="auto"/>
        <w:jc w:val="both"/>
        <w:rPr>
          <w:rFonts w:ascii="David" w:hAnsi="David"/>
          <w:b/>
          <w:bCs/>
          <w:sz w:val="26"/>
          <w:szCs w:val="26"/>
          <w:u w:val="single"/>
        </w:rPr>
      </w:pPr>
      <w:r>
        <w:rPr>
          <w:rFonts w:ascii="David" w:hAnsi="David"/>
          <w:b/>
          <w:bCs/>
          <w:sz w:val="26"/>
          <w:szCs w:val="26"/>
          <w:u w:val="single"/>
          <w:rtl/>
        </w:rPr>
        <w:t>טיעונים לעונש</w:t>
      </w:r>
    </w:p>
    <w:p w14:paraId="4552FB67" w14:textId="77777777" w:rsidR="004E0D83" w:rsidRDefault="004E0D83" w:rsidP="004E0D83">
      <w:pPr>
        <w:pStyle w:val="a9"/>
        <w:numPr>
          <w:ilvl w:val="0"/>
          <w:numId w:val="2"/>
        </w:numPr>
        <w:spacing w:after="160" w:line="360" w:lineRule="auto"/>
        <w:jc w:val="both"/>
        <w:rPr>
          <w:rFonts w:ascii="David" w:hAnsi="David"/>
          <w:sz w:val="26"/>
          <w:szCs w:val="26"/>
          <w:rtl/>
        </w:rPr>
      </w:pPr>
      <w:r>
        <w:rPr>
          <w:rFonts w:ascii="David" w:hAnsi="David"/>
          <w:sz w:val="26"/>
          <w:szCs w:val="26"/>
          <w:rtl/>
        </w:rPr>
        <w:t>הצדדים לא הגיעו להסכמה עונשית. מחד גיסא, ב"כ המאשימה</w:t>
      </w:r>
      <w:r>
        <w:rPr>
          <w:rFonts w:ascii="David" w:hAnsi="David" w:hint="cs"/>
          <w:sz w:val="26"/>
          <w:szCs w:val="26"/>
          <w:rtl/>
        </w:rPr>
        <w:t xml:space="preserve"> עתר למתחם שבין 4 ל-12 חודשי מאסר וביקש להשית על הנאשם 4 חודשי מאסר בעבודות שירות וענישה נלווית.  כמו כן עתר לחלט את הרכב, הסמים והרכוש. </w:t>
      </w:r>
      <w:r>
        <w:rPr>
          <w:rFonts w:ascii="David" w:hAnsi="David"/>
          <w:sz w:val="26"/>
          <w:szCs w:val="26"/>
          <w:rtl/>
        </w:rPr>
        <w:t xml:space="preserve">מאידך גיסא, הסניגור טוען כי ניתן להסתפק בעונש </w:t>
      </w:r>
      <w:r>
        <w:rPr>
          <w:rFonts w:ascii="David" w:hAnsi="David" w:hint="cs"/>
          <w:sz w:val="26"/>
          <w:szCs w:val="26"/>
          <w:rtl/>
        </w:rPr>
        <w:t xml:space="preserve">צופה פני עתיד ולחלופין בתקופה קצרה של עבודות שירות. </w:t>
      </w:r>
    </w:p>
    <w:p w14:paraId="1B838346" w14:textId="77777777" w:rsidR="004E0D83" w:rsidRDefault="004E0D83" w:rsidP="004E0D83">
      <w:pPr>
        <w:spacing w:after="160" w:line="360" w:lineRule="auto"/>
        <w:jc w:val="both"/>
        <w:rPr>
          <w:rFonts w:ascii="David" w:hAnsi="David"/>
          <w:b/>
          <w:bCs/>
          <w:sz w:val="26"/>
          <w:szCs w:val="26"/>
          <w:u w:val="single"/>
          <w:rtl/>
        </w:rPr>
      </w:pPr>
    </w:p>
    <w:p w14:paraId="1F4FDAA4" w14:textId="77777777" w:rsidR="004E0D83" w:rsidRDefault="004E0D83" w:rsidP="004E0D83">
      <w:pPr>
        <w:spacing w:after="160" w:line="360" w:lineRule="auto"/>
        <w:jc w:val="both"/>
        <w:rPr>
          <w:rFonts w:ascii="David" w:hAnsi="David"/>
          <w:sz w:val="26"/>
          <w:szCs w:val="26"/>
        </w:rPr>
      </w:pPr>
    </w:p>
    <w:p w14:paraId="5583809F" w14:textId="77777777" w:rsidR="004E0D83" w:rsidRDefault="004E0D83" w:rsidP="004E0D83">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14:paraId="30EA32B2" w14:textId="77777777" w:rsidR="004E0D83" w:rsidRDefault="004E0D83" w:rsidP="004E0D83">
      <w:pPr>
        <w:pStyle w:val="a9"/>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23A7B5D3" w14:textId="77777777" w:rsidR="004E0D83" w:rsidRDefault="004E0D83" w:rsidP="004E0D83">
      <w:pPr>
        <w:spacing w:after="160" w:line="360" w:lineRule="auto"/>
        <w:jc w:val="both"/>
        <w:rPr>
          <w:rFonts w:ascii="David" w:hAnsi="David"/>
          <w:b/>
          <w:bCs/>
          <w:sz w:val="26"/>
          <w:szCs w:val="26"/>
          <w:u w:val="single"/>
          <w:rtl/>
        </w:rPr>
      </w:pPr>
    </w:p>
    <w:p w14:paraId="73F72D5A" w14:textId="77777777" w:rsidR="004E0D83" w:rsidRDefault="004E0D83" w:rsidP="004E0D83">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לערך המוגן, </w:t>
      </w:r>
      <w:r>
        <w:rPr>
          <w:rFonts w:ascii="David" w:hAnsi="David"/>
          <w:sz w:val="26"/>
          <w:szCs w:val="26"/>
          <w:rtl/>
        </w:rPr>
        <w:t xml:space="preserve">העבירות אותן עבר הנאשם פוגעות בערך המוגן של </w:t>
      </w:r>
      <w:r>
        <w:rPr>
          <w:rFonts w:ascii="David" w:hAnsi="David" w:hint="cs"/>
          <w:sz w:val="26"/>
          <w:szCs w:val="26"/>
          <w:rtl/>
        </w:rPr>
        <w:t xml:space="preserve">שלום הציבור, בריאותו וביטחונו. מידת הפגיעה בערכים המוגנים בינונית. </w:t>
      </w:r>
    </w:p>
    <w:p w14:paraId="6C93BD65" w14:textId="77777777" w:rsidR="004E0D83" w:rsidRDefault="004E0D83" w:rsidP="004E0D83">
      <w:pPr>
        <w:pStyle w:val="a9"/>
        <w:rPr>
          <w:rFonts w:ascii="David" w:hAnsi="David"/>
          <w:sz w:val="26"/>
          <w:szCs w:val="26"/>
          <w:rtl/>
        </w:rPr>
      </w:pPr>
    </w:p>
    <w:p w14:paraId="7AD5B483" w14:textId="77777777" w:rsidR="004E0D83" w:rsidRDefault="004E0D83" w:rsidP="004E0D83">
      <w:pPr>
        <w:spacing w:after="160" w:line="360" w:lineRule="auto"/>
        <w:jc w:val="both"/>
        <w:rPr>
          <w:rFonts w:ascii="David" w:hAnsi="David"/>
          <w:sz w:val="26"/>
          <w:szCs w:val="26"/>
          <w:rtl/>
        </w:rPr>
      </w:pPr>
    </w:p>
    <w:p w14:paraId="737B0A49" w14:textId="77777777" w:rsidR="004E0D83" w:rsidRDefault="004E0D83" w:rsidP="004E0D83">
      <w:pPr>
        <w:pStyle w:val="a9"/>
        <w:numPr>
          <w:ilvl w:val="0"/>
          <w:numId w:val="2"/>
        </w:numPr>
        <w:spacing w:after="160" w:line="360" w:lineRule="auto"/>
        <w:jc w:val="both"/>
        <w:rPr>
          <w:rFonts w:ascii="David" w:hAnsi="David"/>
          <w:sz w:val="26"/>
          <w:szCs w:val="26"/>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w:t>
      </w:r>
      <w:r w:rsidRPr="0063209C">
        <w:rPr>
          <w:rFonts w:ascii="David" w:hAnsi="David" w:hint="cs"/>
          <w:b/>
          <w:bCs/>
          <w:sz w:val="26"/>
          <w:szCs w:val="26"/>
          <w:rtl/>
        </w:rPr>
        <w:t>אשר לתיק הראשון</w:t>
      </w:r>
      <w:r>
        <w:rPr>
          <w:rFonts w:ascii="David" w:hAnsi="David" w:hint="cs"/>
          <w:sz w:val="26"/>
          <w:szCs w:val="26"/>
          <w:rtl/>
        </w:rPr>
        <w:t xml:space="preserve"> </w:t>
      </w:r>
      <w:r>
        <w:rPr>
          <w:rFonts w:ascii="David" w:hAnsi="David"/>
          <w:sz w:val="26"/>
          <w:szCs w:val="26"/>
          <w:rtl/>
        </w:rPr>
        <w:t>–</w:t>
      </w:r>
      <w:r>
        <w:rPr>
          <w:rFonts w:ascii="David" w:hAnsi="David" w:hint="cs"/>
          <w:sz w:val="26"/>
          <w:szCs w:val="26"/>
          <w:rtl/>
        </w:rPr>
        <w:t xml:space="preserve"> מדובר בעבירה מתוכננת ממניעים כלכליים. מדובר בכמות סמים גדולה מעל 2 ק"ג, כשהחומרה שבהחזקת כמות כזו של סם, אינה פוחתת רק משום שמדובר ב"סם קל". נסיבות ההחזקה ברורות ומטרת הנאשם הייתה להפיצן לכל דורש נוכח אופן החזקת הסם, שקיות החלוקה והמשקלים. הנאשם אחראי למעשיו ופוטנציאל הנזק מהפצת הסם עלולה הייתה להיות קשה. בפועל הנזק שנגרם מצומצם משום שהנאשם נתפס בכף, ולא בשל חרטתו.  </w:t>
      </w:r>
      <w:r w:rsidRPr="0063209C">
        <w:rPr>
          <w:rFonts w:ascii="David" w:hAnsi="David" w:hint="cs"/>
          <w:b/>
          <w:bCs/>
          <w:sz w:val="26"/>
          <w:szCs w:val="26"/>
          <w:rtl/>
        </w:rPr>
        <w:t>אשר לתיק השני</w:t>
      </w:r>
      <w:r>
        <w:rPr>
          <w:rFonts w:ascii="David" w:hAnsi="David" w:hint="cs"/>
          <w:sz w:val="26"/>
          <w:szCs w:val="26"/>
          <w:rtl/>
        </w:rPr>
        <w:t xml:space="preserve"> </w:t>
      </w:r>
      <w:r>
        <w:rPr>
          <w:rFonts w:ascii="David" w:hAnsi="David"/>
          <w:sz w:val="26"/>
          <w:szCs w:val="26"/>
          <w:rtl/>
        </w:rPr>
        <w:t>–</w:t>
      </w:r>
      <w:r>
        <w:rPr>
          <w:rFonts w:ascii="David" w:hAnsi="David" w:hint="cs"/>
          <w:sz w:val="26"/>
          <w:szCs w:val="26"/>
          <w:rtl/>
        </w:rPr>
        <w:t xml:space="preserve"> החזקת סכין ברכב אין בה להעיד על החזקה תמימה של הסכין. בפועל לא נגרם נזק אך הנזק הפוטנציאלי עלול להיות חמור. הנאשם אחראי גם למעשיו אלו.</w:t>
      </w:r>
    </w:p>
    <w:p w14:paraId="524686BC" w14:textId="77777777" w:rsidR="004E0D83" w:rsidRDefault="004E0D83" w:rsidP="004E0D83">
      <w:pPr>
        <w:pStyle w:val="a9"/>
        <w:spacing w:after="160" w:line="360" w:lineRule="auto"/>
        <w:ind w:left="360"/>
        <w:jc w:val="both"/>
        <w:rPr>
          <w:rFonts w:ascii="David" w:hAnsi="David"/>
          <w:sz w:val="26"/>
          <w:szCs w:val="26"/>
        </w:rPr>
      </w:pPr>
    </w:p>
    <w:p w14:paraId="76ABA9A5" w14:textId="77777777" w:rsidR="004E0D83" w:rsidRDefault="004E0D83" w:rsidP="004E0D83">
      <w:pPr>
        <w:pStyle w:val="a9"/>
        <w:numPr>
          <w:ilvl w:val="0"/>
          <w:numId w:val="2"/>
        </w:numPr>
        <w:spacing w:after="160" w:line="360" w:lineRule="auto"/>
        <w:jc w:val="both"/>
        <w:rPr>
          <w:rFonts w:ascii="David" w:hAnsi="David"/>
          <w:sz w:val="26"/>
          <w:szCs w:val="26"/>
        </w:rPr>
      </w:pPr>
      <w:r>
        <w:rPr>
          <w:rFonts w:ascii="David" w:hAnsi="David"/>
          <w:b/>
          <w:bCs/>
          <w:sz w:val="26"/>
          <w:szCs w:val="26"/>
          <w:rtl/>
        </w:rPr>
        <w:t xml:space="preserve">אשר למדיניות הענישה הנוהגת, </w:t>
      </w:r>
      <w:r>
        <w:rPr>
          <w:rFonts w:ascii="David" w:hAnsi="David" w:hint="cs"/>
          <w:sz w:val="26"/>
          <w:szCs w:val="26"/>
          <w:rtl/>
        </w:rPr>
        <w:t>בנסיבות של החזקת קנביס בכמות מסחרית, מדיניות הענישה מגוונת.</w:t>
      </w:r>
    </w:p>
    <w:p w14:paraId="3298067E" w14:textId="77777777" w:rsidR="004E0D83" w:rsidRPr="0063209C" w:rsidRDefault="004E0D83" w:rsidP="004E0D83">
      <w:pPr>
        <w:pStyle w:val="a9"/>
        <w:rPr>
          <w:rFonts w:ascii="David" w:hAnsi="David"/>
          <w:sz w:val="26"/>
          <w:szCs w:val="26"/>
          <w:rtl/>
        </w:rPr>
      </w:pPr>
    </w:p>
    <w:p w14:paraId="0D3DEAD1" w14:textId="77777777" w:rsidR="004E0D83" w:rsidRPr="0031155A" w:rsidRDefault="00BD1422" w:rsidP="004E0D83">
      <w:pPr>
        <w:pStyle w:val="a9"/>
        <w:numPr>
          <w:ilvl w:val="0"/>
          <w:numId w:val="5"/>
        </w:numPr>
        <w:spacing w:after="160" w:line="360" w:lineRule="auto"/>
        <w:jc w:val="both"/>
        <w:rPr>
          <w:rFonts w:ascii="David" w:hAnsi="David"/>
          <w:sz w:val="26"/>
          <w:szCs w:val="26"/>
          <w:rtl/>
        </w:rPr>
      </w:pPr>
      <w:hyperlink r:id="rId18" w:history="1">
        <w:r w:rsidRPr="00BD1422">
          <w:rPr>
            <w:rFonts w:ascii="David" w:hAnsi="David"/>
            <w:color w:val="0000FF"/>
            <w:sz w:val="26"/>
            <w:szCs w:val="26"/>
            <w:u w:val="single"/>
            <w:rtl/>
          </w:rPr>
          <w:t>רע"פ 5243/23</w:t>
        </w:r>
      </w:hyperlink>
      <w:r w:rsidR="004E0D83" w:rsidRPr="0031155A">
        <w:rPr>
          <w:rFonts w:ascii="David" w:hAnsi="David" w:hint="cs"/>
          <w:sz w:val="26"/>
          <w:szCs w:val="26"/>
          <w:rtl/>
        </w:rPr>
        <w:t xml:space="preserve"> </w:t>
      </w:r>
      <w:r w:rsidR="004E0D83" w:rsidRPr="0031155A">
        <w:rPr>
          <w:rFonts w:ascii="David" w:hAnsi="David" w:hint="cs"/>
          <w:b/>
          <w:bCs/>
          <w:sz w:val="26"/>
          <w:szCs w:val="26"/>
          <w:rtl/>
        </w:rPr>
        <w:t>שמאייב נ' מ"י</w:t>
      </w:r>
      <w:r w:rsidR="004E0D83" w:rsidRPr="0031155A">
        <w:rPr>
          <w:rFonts w:ascii="David" w:hAnsi="David" w:hint="cs"/>
          <w:sz w:val="26"/>
          <w:szCs w:val="26"/>
          <w:rtl/>
        </w:rPr>
        <w:t xml:space="preserve"> (מיום 17.7.2023) </w:t>
      </w:r>
      <w:r w:rsidR="004E0D83" w:rsidRPr="0031155A">
        <w:rPr>
          <w:rFonts w:ascii="David" w:hAnsi="David"/>
          <w:sz w:val="26"/>
          <w:szCs w:val="26"/>
          <w:rtl/>
        </w:rPr>
        <w:t>–</w:t>
      </w:r>
      <w:r w:rsidR="004E0D83" w:rsidRPr="0031155A">
        <w:rPr>
          <w:rFonts w:ascii="David" w:hAnsi="David" w:hint="cs"/>
          <w:sz w:val="26"/>
          <w:szCs w:val="26"/>
          <w:rtl/>
        </w:rPr>
        <w:t xml:space="preserve"> נאשמת שנתפסו בדירתה תחמושת ו-1.3 ק"ג קנביס נדונה למאסר מובן מבחן וקנס, כאשר בית המשפט קבע שאין מקום לבטל את ההרשעה. אושר מתחם שבין 5 ל-10 חודשי מאסר, והעונש נבע מחריגה מטעמי שיקום. </w:t>
      </w:r>
    </w:p>
    <w:p w14:paraId="1B65FBA4" w14:textId="77777777" w:rsidR="004E0D83" w:rsidRPr="0031155A" w:rsidRDefault="00BD1422" w:rsidP="004E0D83">
      <w:pPr>
        <w:pStyle w:val="a9"/>
        <w:numPr>
          <w:ilvl w:val="0"/>
          <w:numId w:val="5"/>
        </w:numPr>
        <w:spacing w:after="160" w:line="360" w:lineRule="auto"/>
        <w:jc w:val="both"/>
        <w:rPr>
          <w:rFonts w:ascii="David" w:hAnsi="David"/>
          <w:sz w:val="26"/>
          <w:szCs w:val="26"/>
          <w:rtl/>
        </w:rPr>
      </w:pPr>
      <w:hyperlink r:id="rId19" w:history="1">
        <w:r w:rsidRPr="00BD1422">
          <w:rPr>
            <w:rFonts w:ascii="David" w:hAnsi="David"/>
            <w:color w:val="0000FF"/>
            <w:sz w:val="26"/>
            <w:szCs w:val="26"/>
            <w:u w:val="single"/>
            <w:rtl/>
          </w:rPr>
          <w:t>רע"פ 1787/15</w:t>
        </w:r>
      </w:hyperlink>
      <w:r w:rsidR="004E0D83" w:rsidRPr="0031155A">
        <w:rPr>
          <w:rFonts w:ascii="David" w:hAnsi="David" w:hint="cs"/>
          <w:sz w:val="26"/>
          <w:szCs w:val="26"/>
          <w:rtl/>
        </w:rPr>
        <w:t xml:space="preserve"> </w:t>
      </w:r>
      <w:r w:rsidR="004E0D83" w:rsidRPr="0031155A">
        <w:rPr>
          <w:rFonts w:ascii="David" w:hAnsi="David" w:hint="cs"/>
          <w:b/>
          <w:bCs/>
          <w:sz w:val="26"/>
          <w:szCs w:val="26"/>
          <w:rtl/>
        </w:rPr>
        <w:t>עמר נ' מ"י</w:t>
      </w:r>
      <w:r w:rsidR="004E0D83" w:rsidRPr="0031155A">
        <w:rPr>
          <w:rFonts w:ascii="David" w:hAnsi="David" w:hint="cs"/>
          <w:sz w:val="26"/>
          <w:szCs w:val="26"/>
          <w:rtl/>
        </w:rPr>
        <w:t xml:space="preserve"> (מיום 24.3.2015) </w:t>
      </w:r>
      <w:r w:rsidR="004E0D83" w:rsidRPr="0031155A">
        <w:rPr>
          <w:rFonts w:ascii="David" w:hAnsi="David"/>
          <w:sz w:val="26"/>
          <w:szCs w:val="26"/>
          <w:rtl/>
        </w:rPr>
        <w:t>–</w:t>
      </w:r>
      <w:r w:rsidR="004E0D83" w:rsidRPr="0031155A">
        <w:rPr>
          <w:rFonts w:ascii="David" w:hAnsi="David" w:hint="cs"/>
          <w:sz w:val="26"/>
          <w:szCs w:val="26"/>
          <w:rtl/>
        </w:rPr>
        <w:t xml:space="preserve"> הנאשם גידל 4.3 ק"ג קנביס תוך שימוש בציוד לצורך כך. אושר מתחם שבין 8 ל-20 חודשי מאסר ועונש של 8 חודשי מאסר בפועל.</w:t>
      </w:r>
    </w:p>
    <w:p w14:paraId="32738065" w14:textId="77777777" w:rsidR="004E0D83" w:rsidRPr="0031155A" w:rsidRDefault="00BD1422" w:rsidP="004E0D83">
      <w:pPr>
        <w:pStyle w:val="a9"/>
        <w:numPr>
          <w:ilvl w:val="0"/>
          <w:numId w:val="5"/>
        </w:numPr>
        <w:spacing w:after="160" w:line="360" w:lineRule="auto"/>
        <w:jc w:val="both"/>
        <w:rPr>
          <w:rFonts w:ascii="David" w:hAnsi="David"/>
          <w:sz w:val="26"/>
          <w:szCs w:val="26"/>
          <w:rtl/>
        </w:rPr>
      </w:pPr>
      <w:hyperlink r:id="rId20" w:history="1">
        <w:r w:rsidRPr="00BD1422">
          <w:rPr>
            <w:rFonts w:ascii="David" w:hAnsi="David"/>
            <w:color w:val="0000FF"/>
            <w:sz w:val="26"/>
            <w:szCs w:val="26"/>
            <w:u w:val="single"/>
            <w:rtl/>
          </w:rPr>
          <w:t>רע"פ 7005/14</w:t>
        </w:r>
      </w:hyperlink>
      <w:r w:rsidR="004E0D83" w:rsidRPr="0031155A">
        <w:rPr>
          <w:rFonts w:ascii="David" w:hAnsi="David" w:hint="cs"/>
          <w:sz w:val="26"/>
          <w:szCs w:val="26"/>
          <w:rtl/>
        </w:rPr>
        <w:t xml:space="preserve"> </w:t>
      </w:r>
      <w:r w:rsidR="004E0D83" w:rsidRPr="0031155A">
        <w:rPr>
          <w:rFonts w:ascii="David" w:hAnsi="David" w:hint="cs"/>
          <w:b/>
          <w:bCs/>
          <w:sz w:val="26"/>
          <w:szCs w:val="26"/>
          <w:rtl/>
        </w:rPr>
        <w:t>דגן נ' מ"י</w:t>
      </w:r>
      <w:r w:rsidR="004E0D83" w:rsidRPr="0031155A">
        <w:rPr>
          <w:rFonts w:ascii="David" w:hAnsi="David" w:hint="cs"/>
          <w:sz w:val="26"/>
          <w:szCs w:val="26"/>
          <w:rtl/>
        </w:rPr>
        <w:t xml:space="preserve"> (מיום 30.11.2014) </w:t>
      </w:r>
      <w:r w:rsidR="004E0D83" w:rsidRPr="0031155A">
        <w:rPr>
          <w:rFonts w:ascii="David" w:hAnsi="David"/>
          <w:sz w:val="26"/>
          <w:szCs w:val="26"/>
          <w:rtl/>
        </w:rPr>
        <w:t>–</w:t>
      </w:r>
      <w:r w:rsidR="004E0D83" w:rsidRPr="0031155A">
        <w:rPr>
          <w:rFonts w:ascii="David" w:hAnsi="David" w:hint="cs"/>
          <w:sz w:val="26"/>
          <w:szCs w:val="26"/>
          <w:rtl/>
        </w:rPr>
        <w:t xml:space="preserve"> הנאשם גידל 2.7 ק"ג קנביס והחזיק קנביס לצריכה עצמית. הצדדים הציגו הסדר שבין 6 ל-12 חודשי מאסר, והנאשם נדון ל-10 חודשי מאסר.</w:t>
      </w:r>
    </w:p>
    <w:p w14:paraId="141176EA" w14:textId="77777777" w:rsidR="004E0D83" w:rsidRPr="0031155A" w:rsidRDefault="00BD1422" w:rsidP="004E0D83">
      <w:pPr>
        <w:pStyle w:val="a9"/>
        <w:numPr>
          <w:ilvl w:val="0"/>
          <w:numId w:val="5"/>
        </w:numPr>
        <w:spacing w:after="160" w:line="360" w:lineRule="auto"/>
        <w:jc w:val="both"/>
        <w:rPr>
          <w:rFonts w:ascii="David" w:hAnsi="David"/>
          <w:sz w:val="26"/>
          <w:szCs w:val="26"/>
          <w:rtl/>
        </w:rPr>
      </w:pPr>
      <w:hyperlink r:id="rId21" w:history="1">
        <w:r w:rsidRPr="00BD1422">
          <w:rPr>
            <w:rFonts w:ascii="David" w:hAnsi="David"/>
            <w:color w:val="0000FF"/>
            <w:sz w:val="26"/>
            <w:szCs w:val="26"/>
            <w:u w:val="single"/>
            <w:rtl/>
          </w:rPr>
          <w:t>עפ"ג (חיפה) 28110-10-15</w:t>
        </w:r>
      </w:hyperlink>
      <w:r w:rsidR="004E0D83" w:rsidRPr="0031155A">
        <w:rPr>
          <w:rFonts w:ascii="David" w:hAnsi="David" w:hint="cs"/>
          <w:sz w:val="26"/>
          <w:szCs w:val="26"/>
          <w:rtl/>
        </w:rPr>
        <w:t xml:space="preserve"> </w:t>
      </w:r>
      <w:r w:rsidR="004E0D83" w:rsidRPr="0031155A">
        <w:rPr>
          <w:rFonts w:ascii="David" w:hAnsi="David" w:hint="cs"/>
          <w:b/>
          <w:bCs/>
          <w:sz w:val="26"/>
          <w:szCs w:val="26"/>
          <w:rtl/>
        </w:rPr>
        <w:t>מ"י נ' דוד</w:t>
      </w:r>
      <w:r w:rsidR="004E0D83" w:rsidRPr="0031155A">
        <w:rPr>
          <w:rFonts w:ascii="David" w:hAnsi="David" w:hint="cs"/>
          <w:sz w:val="26"/>
          <w:szCs w:val="26"/>
          <w:rtl/>
        </w:rPr>
        <w:t xml:space="preserve"> (מיום 17.12.2015) </w:t>
      </w:r>
      <w:r w:rsidR="004E0D83" w:rsidRPr="0031155A">
        <w:rPr>
          <w:rFonts w:ascii="David" w:hAnsi="David"/>
          <w:sz w:val="26"/>
          <w:szCs w:val="26"/>
          <w:rtl/>
        </w:rPr>
        <w:t>–</w:t>
      </w:r>
      <w:r w:rsidR="004E0D83" w:rsidRPr="0031155A">
        <w:rPr>
          <w:rFonts w:ascii="David" w:hAnsi="David" w:hint="cs"/>
          <w:sz w:val="26"/>
          <w:szCs w:val="26"/>
          <w:rtl/>
        </w:rPr>
        <w:t xml:space="preserve"> הנאשם גידל עם אחר 21 שתילי קנביס במשקל של 3.6 ק"ג במעבדה. אושר מתחם שבין 6 ל-12 חודשי מאסר והתיק הסתיים ללא הרשעה ו-180 שעות של"ץ משיקולי שיקום. </w:t>
      </w:r>
    </w:p>
    <w:p w14:paraId="7D0BA8C6" w14:textId="77777777" w:rsidR="004E0D83" w:rsidRPr="0031155A" w:rsidRDefault="00BD1422" w:rsidP="004E0D83">
      <w:pPr>
        <w:pStyle w:val="a9"/>
        <w:numPr>
          <w:ilvl w:val="0"/>
          <w:numId w:val="5"/>
        </w:numPr>
        <w:spacing w:after="160" w:line="360" w:lineRule="auto"/>
        <w:jc w:val="both"/>
        <w:rPr>
          <w:rFonts w:ascii="David" w:hAnsi="David"/>
          <w:sz w:val="26"/>
          <w:szCs w:val="26"/>
          <w:rtl/>
        </w:rPr>
      </w:pPr>
      <w:hyperlink r:id="rId22" w:history="1">
        <w:r w:rsidRPr="00BD1422">
          <w:rPr>
            <w:rFonts w:ascii="David" w:hAnsi="David"/>
            <w:color w:val="0000FF"/>
            <w:sz w:val="26"/>
            <w:szCs w:val="26"/>
            <w:u w:val="single"/>
            <w:rtl/>
          </w:rPr>
          <w:t>עפ"ג (תל-אביב-יפו) 31126-05-14</w:t>
        </w:r>
      </w:hyperlink>
      <w:r w:rsidR="004E0D83" w:rsidRPr="0031155A">
        <w:rPr>
          <w:rFonts w:ascii="David" w:hAnsi="David" w:hint="cs"/>
          <w:sz w:val="26"/>
          <w:szCs w:val="26"/>
          <w:rtl/>
        </w:rPr>
        <w:t xml:space="preserve"> </w:t>
      </w:r>
      <w:r w:rsidR="004E0D83" w:rsidRPr="0031155A">
        <w:rPr>
          <w:rFonts w:ascii="David" w:hAnsi="David" w:hint="cs"/>
          <w:b/>
          <w:bCs/>
          <w:sz w:val="26"/>
          <w:szCs w:val="26"/>
          <w:rtl/>
        </w:rPr>
        <w:t>מ"י נ' חריט</w:t>
      </w:r>
      <w:r w:rsidR="004E0D83" w:rsidRPr="0031155A">
        <w:rPr>
          <w:rFonts w:ascii="David" w:hAnsi="David" w:hint="cs"/>
          <w:sz w:val="26"/>
          <w:szCs w:val="26"/>
          <w:rtl/>
        </w:rPr>
        <w:t xml:space="preserve"> (מיום 12.1.2015) </w:t>
      </w:r>
      <w:r w:rsidR="004E0D83" w:rsidRPr="0031155A">
        <w:rPr>
          <w:rFonts w:ascii="David" w:hAnsi="David"/>
          <w:sz w:val="26"/>
          <w:szCs w:val="26"/>
          <w:rtl/>
        </w:rPr>
        <w:t>–</w:t>
      </w:r>
      <w:r w:rsidR="004E0D83" w:rsidRPr="0031155A">
        <w:rPr>
          <w:rFonts w:ascii="David" w:hAnsi="David" w:hint="cs"/>
          <w:sz w:val="26"/>
          <w:szCs w:val="26"/>
          <w:rtl/>
        </w:rPr>
        <w:t xml:space="preserve"> נסיבות של גידול קנביס במשקל כולל של 763 גרם. אושר מתחם המתחיל במאסר ומסתיים ב-18 חודשי מאסר, והעונש הוחמר משל"ץ ל-6 חודשי מאסר בעבודות שירות. </w:t>
      </w:r>
    </w:p>
    <w:p w14:paraId="4356B5DB" w14:textId="77777777" w:rsidR="004E0D83" w:rsidRDefault="004E0D83" w:rsidP="004E0D83">
      <w:pPr>
        <w:spacing w:after="160" w:line="360" w:lineRule="auto"/>
        <w:jc w:val="both"/>
        <w:rPr>
          <w:rFonts w:ascii="David" w:hAnsi="David"/>
          <w:b/>
          <w:bCs/>
          <w:sz w:val="26"/>
          <w:szCs w:val="26"/>
          <w:u w:val="single"/>
          <w:rtl/>
        </w:rPr>
      </w:pPr>
    </w:p>
    <w:p w14:paraId="708B6B32" w14:textId="77777777" w:rsidR="004E0D83" w:rsidRDefault="004E0D83" w:rsidP="004E0D83">
      <w:pPr>
        <w:pStyle w:val="a9"/>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לפיכך, מתחם הענישה צריך לעמוד על </w:t>
      </w:r>
      <w:r>
        <w:rPr>
          <w:rFonts w:ascii="David" w:hAnsi="David" w:hint="cs"/>
          <w:sz w:val="26"/>
          <w:szCs w:val="26"/>
          <w:rtl/>
        </w:rPr>
        <w:t>בין חודשיים ל-10 חודשי מאסר בתיק הראשון, ועל מאסר מותנה ועד 4 חודשי מאסר בתיק השני.</w:t>
      </w:r>
    </w:p>
    <w:p w14:paraId="2F9C58CC" w14:textId="77777777" w:rsidR="004E0D83" w:rsidRDefault="004E0D83" w:rsidP="004E0D83">
      <w:pPr>
        <w:spacing w:after="160" w:line="360" w:lineRule="auto"/>
        <w:jc w:val="both"/>
        <w:rPr>
          <w:rFonts w:ascii="David" w:hAnsi="David"/>
          <w:sz w:val="26"/>
          <w:szCs w:val="26"/>
          <w:rtl/>
        </w:rPr>
      </w:pPr>
    </w:p>
    <w:p w14:paraId="1C0758DD" w14:textId="77777777" w:rsidR="004E0D83" w:rsidRDefault="004E0D83" w:rsidP="004E0D83">
      <w:pPr>
        <w:spacing w:after="160" w:line="360" w:lineRule="auto"/>
        <w:jc w:val="both"/>
        <w:rPr>
          <w:rFonts w:ascii="David" w:hAnsi="David"/>
          <w:b/>
          <w:bCs/>
          <w:sz w:val="26"/>
          <w:szCs w:val="26"/>
          <w:u w:val="single"/>
          <w:rtl/>
        </w:rPr>
      </w:pPr>
      <w:r>
        <w:rPr>
          <w:rFonts w:ascii="David" w:hAnsi="David"/>
          <w:b/>
          <w:bCs/>
          <w:sz w:val="26"/>
          <w:szCs w:val="26"/>
          <w:u w:val="single"/>
          <w:rtl/>
        </w:rPr>
        <w:t xml:space="preserve">נסיבות שאינן קשורות בביצוע העבירה </w:t>
      </w:r>
      <w:r>
        <w:rPr>
          <w:rFonts w:ascii="David" w:hAnsi="David" w:hint="cs"/>
          <w:b/>
          <w:bCs/>
          <w:sz w:val="26"/>
          <w:szCs w:val="26"/>
          <w:u w:val="single"/>
          <w:rtl/>
        </w:rPr>
        <w:t>והמיקום במתחם</w:t>
      </w:r>
    </w:p>
    <w:p w14:paraId="60E8C616" w14:textId="77777777" w:rsidR="004E0D83" w:rsidRDefault="004E0D83" w:rsidP="004E0D83">
      <w:pPr>
        <w:pStyle w:val="a9"/>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מדובר בנאשם צעיר, נשוי ואב ל-2, עובד לפרנסתו, נעדר עבר פלילי. הנאשם קיבל אחריות למעשיו בשני תיקים ובכך חסך בזמן שיפוטי ניכר. נוכח מכלול מאפייניו עליהם עמד שירות המבחן, אין לי ספק כי שליחתו של הנאשם למאסר ממש תדרדר אותו לעבר ניהול אורח חיים פלילי. הנאשם חווה את ההליכים באופן מרתיע ויש לקוות שהרתעה זו תימשך גם להבא. מכל מקום הנאשם לא פתח תיקים חדשים והדבר הוא סימן מעיד חיובי לעתיד, כך יש לקוות. יש למקם את הנאשם בראשית המתחמים. </w:t>
      </w:r>
    </w:p>
    <w:p w14:paraId="5D0435D9" w14:textId="77777777" w:rsidR="004E0D83" w:rsidRDefault="004E0D83" w:rsidP="004E0D83">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0592A957" w14:textId="77777777" w:rsidR="004E0D83" w:rsidRDefault="004E0D83" w:rsidP="004E0D83">
      <w:pPr>
        <w:pStyle w:val="a9"/>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66772A79" w14:textId="77777777" w:rsidR="004E0D83" w:rsidRDefault="004E0D83" w:rsidP="004E0D83">
      <w:pPr>
        <w:numPr>
          <w:ilvl w:val="0"/>
          <w:numId w:val="1"/>
        </w:numPr>
        <w:spacing w:after="160" w:line="360" w:lineRule="auto"/>
        <w:contextualSpacing/>
        <w:jc w:val="both"/>
        <w:rPr>
          <w:rFonts w:ascii="David" w:hAnsi="David"/>
          <w:sz w:val="26"/>
          <w:szCs w:val="26"/>
          <w:rtl/>
        </w:rPr>
      </w:pPr>
      <w:r>
        <w:rPr>
          <w:rFonts w:ascii="David" w:hAnsi="David" w:hint="cs"/>
          <w:b/>
          <w:bCs/>
          <w:sz w:val="26"/>
          <w:szCs w:val="26"/>
          <w:rtl/>
        </w:rPr>
        <w:t>חודשיים (2 חודשים)</w:t>
      </w:r>
      <w:r w:rsidRPr="0031155A">
        <w:rPr>
          <w:rFonts w:ascii="David" w:hAnsi="David"/>
          <w:b/>
          <w:bCs/>
          <w:sz w:val="26"/>
          <w:szCs w:val="26"/>
          <w:rtl/>
        </w:rPr>
        <w:t>, אשר ירוצו בעבודות שירות ב</w:t>
      </w:r>
      <w:r>
        <w:rPr>
          <w:rFonts w:ascii="David" w:hAnsi="David" w:hint="cs"/>
          <w:b/>
          <w:bCs/>
          <w:sz w:val="26"/>
          <w:szCs w:val="26"/>
          <w:rtl/>
        </w:rPr>
        <w:t xml:space="preserve">מפעל חיים בירושלים </w:t>
      </w:r>
      <w:r w:rsidRPr="0031155A">
        <w:rPr>
          <w:rFonts w:ascii="David" w:hAnsi="David"/>
          <w:b/>
          <w:bCs/>
          <w:sz w:val="26"/>
          <w:szCs w:val="26"/>
          <w:rtl/>
        </w:rPr>
        <w:t xml:space="preserve">וזאת על פי חוות דעת הממונה על עבודות השירות. </w:t>
      </w:r>
      <w:r w:rsidRPr="0031155A">
        <w:rPr>
          <w:rFonts w:ascii="David" w:hAnsi="David" w:hint="cs"/>
          <w:b/>
          <w:bCs/>
          <w:sz w:val="26"/>
          <w:szCs w:val="26"/>
          <w:rtl/>
        </w:rPr>
        <w:t>יש לנכות מתקופה זו את ימי מעצרו של הנאשם ע"פ חישוב שב"ס שיכריע.</w:t>
      </w:r>
      <w:r>
        <w:rPr>
          <w:rFonts w:ascii="David" w:hAnsi="David" w:hint="cs"/>
          <w:sz w:val="26"/>
          <w:szCs w:val="26"/>
          <w:rtl/>
        </w:rPr>
        <w:t xml:space="preserve"> </w:t>
      </w:r>
      <w:r>
        <w:rPr>
          <w:rFonts w:ascii="David" w:hAnsi="David"/>
          <w:sz w:val="26"/>
          <w:szCs w:val="26"/>
          <w:rtl/>
        </w:rPr>
        <w:t xml:space="preserve">על הנאשם להתייצב ביום </w:t>
      </w:r>
      <w:r>
        <w:rPr>
          <w:rFonts w:ascii="David" w:hAnsi="David" w:hint="cs"/>
          <w:sz w:val="26"/>
          <w:szCs w:val="26"/>
          <w:rtl/>
        </w:rPr>
        <w:t xml:space="preserve">14.11.2024 </w:t>
      </w:r>
      <w:r>
        <w:rPr>
          <w:rFonts w:ascii="David" w:hAnsi="David"/>
          <w:sz w:val="26"/>
          <w:szCs w:val="26"/>
          <w:rtl/>
        </w:rPr>
        <w:t xml:space="preserve">  עד לשעה 08:00 במשרד הממונה על עבודות שירות בבאר שבע לתחילת ריצוי עונשו. מובהר בזה כי הפרת הוראות הממונה ואי עמידה בכללים הנוגעים לריצוי עבודות השירות עלולים להביא להפקעת העבודות ולהמרת העונש בעונש מאסר של ממש;</w:t>
      </w:r>
    </w:p>
    <w:p w14:paraId="04A542D2" w14:textId="77777777" w:rsidR="004E0D83" w:rsidRDefault="004E0D83" w:rsidP="004E0D83">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6 </w:t>
      </w:r>
      <w:r>
        <w:rPr>
          <w:rFonts w:ascii="David" w:hAnsi="David"/>
          <w:sz w:val="26"/>
          <w:szCs w:val="26"/>
          <w:rtl/>
        </w:rPr>
        <w:t xml:space="preserve">חודשי מאסר על-תנאי, שלא יעבור הנאשם בתוך </w:t>
      </w:r>
      <w:r>
        <w:rPr>
          <w:rFonts w:ascii="David" w:hAnsi="David" w:hint="cs"/>
          <w:sz w:val="26"/>
          <w:szCs w:val="26"/>
          <w:rtl/>
        </w:rPr>
        <w:t xml:space="preserve">3 </w:t>
      </w:r>
      <w:r>
        <w:rPr>
          <w:rFonts w:ascii="David" w:hAnsi="David"/>
          <w:sz w:val="26"/>
          <w:szCs w:val="26"/>
          <w:rtl/>
        </w:rPr>
        <w:t xml:space="preserve">שנים מסיום עבודות השירות כל </w:t>
      </w:r>
      <w:r>
        <w:rPr>
          <w:rFonts w:ascii="David" w:hAnsi="David" w:hint="cs"/>
          <w:sz w:val="26"/>
          <w:szCs w:val="26"/>
          <w:rtl/>
        </w:rPr>
        <w:t>עבירת פשע לפי פקודת הסמים</w:t>
      </w:r>
      <w:r>
        <w:rPr>
          <w:rFonts w:ascii="David" w:hAnsi="David"/>
          <w:sz w:val="26"/>
          <w:szCs w:val="26"/>
          <w:rtl/>
        </w:rPr>
        <w:t>;</w:t>
      </w:r>
    </w:p>
    <w:p w14:paraId="5301241E" w14:textId="77777777" w:rsidR="004E0D83" w:rsidRDefault="004E0D83" w:rsidP="004E0D83">
      <w:pPr>
        <w:numPr>
          <w:ilvl w:val="0"/>
          <w:numId w:val="1"/>
        </w:numPr>
        <w:spacing w:after="160" w:line="360" w:lineRule="auto"/>
        <w:contextualSpacing/>
        <w:jc w:val="both"/>
        <w:rPr>
          <w:rFonts w:ascii="David" w:hAnsi="David"/>
          <w:sz w:val="26"/>
          <w:szCs w:val="26"/>
          <w:rtl/>
        </w:rPr>
      </w:pPr>
      <w:r>
        <w:rPr>
          <w:rFonts w:ascii="David" w:hAnsi="David" w:hint="cs"/>
          <w:sz w:val="26"/>
          <w:szCs w:val="26"/>
          <w:rtl/>
        </w:rPr>
        <w:t>חודש מאסר על-תנאי, שלא יעבור הנאשם בתוך שנתיים מסיום עבודות השירות עבירה של החזקת סכין או אגרופן;</w:t>
      </w:r>
    </w:p>
    <w:p w14:paraId="6DD364B8" w14:textId="77777777" w:rsidR="004E0D83" w:rsidRDefault="004E0D83" w:rsidP="004E0D83">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קנס בסך </w:t>
      </w:r>
      <w:r>
        <w:rPr>
          <w:rFonts w:ascii="David" w:hAnsi="David" w:hint="cs"/>
          <w:sz w:val="26"/>
          <w:szCs w:val="26"/>
          <w:rtl/>
        </w:rPr>
        <w:t xml:space="preserve">4,000 </w:t>
      </w:r>
      <w:r>
        <w:rPr>
          <w:rFonts w:ascii="David" w:hAnsi="David"/>
          <w:sz w:val="26"/>
          <w:szCs w:val="26"/>
          <w:rtl/>
        </w:rPr>
        <w:t xml:space="preserve">₪, או </w:t>
      </w:r>
      <w:r>
        <w:rPr>
          <w:rFonts w:ascii="David" w:hAnsi="David" w:hint="cs"/>
          <w:sz w:val="26"/>
          <w:szCs w:val="26"/>
          <w:rtl/>
        </w:rPr>
        <w:t xml:space="preserve">20 </w:t>
      </w:r>
      <w:r>
        <w:rPr>
          <w:rFonts w:ascii="David" w:hAnsi="David"/>
          <w:sz w:val="26"/>
          <w:szCs w:val="26"/>
          <w:rtl/>
        </w:rPr>
        <w:t xml:space="preserve">ימי מאסר תמורתו אם לא ישולם. הקנס ישולם עד ליום </w:t>
      </w:r>
      <w:r>
        <w:rPr>
          <w:rFonts w:ascii="David" w:hAnsi="David" w:hint="cs"/>
          <w:sz w:val="26"/>
          <w:szCs w:val="26"/>
          <w:rtl/>
        </w:rPr>
        <w:t>1.12.2024</w:t>
      </w:r>
      <w:r>
        <w:rPr>
          <w:rFonts w:ascii="David" w:hAnsi="David"/>
          <w:sz w:val="26"/>
          <w:szCs w:val="26"/>
          <w:rtl/>
        </w:rPr>
        <w:t xml:space="preserve">; </w:t>
      </w:r>
    </w:p>
    <w:p w14:paraId="61CBCE2B" w14:textId="77777777" w:rsidR="004E0D83" w:rsidRDefault="004E0D83" w:rsidP="004E0D83">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10,000 </w:t>
      </w:r>
      <w:r>
        <w:rPr>
          <w:rFonts w:ascii="David" w:hAnsi="David"/>
          <w:sz w:val="26"/>
          <w:szCs w:val="26"/>
          <w:rtl/>
        </w:rPr>
        <w:t>₪ שלא לעבור כל עבי</w:t>
      </w:r>
      <w:r>
        <w:rPr>
          <w:rFonts w:ascii="David" w:hAnsi="David" w:hint="cs"/>
          <w:sz w:val="26"/>
          <w:szCs w:val="26"/>
          <w:rtl/>
        </w:rPr>
        <w:t xml:space="preserve">רת פשע לפי פקודת הסמים </w:t>
      </w:r>
      <w:r>
        <w:rPr>
          <w:rFonts w:ascii="David" w:hAnsi="David"/>
          <w:sz w:val="26"/>
          <w:szCs w:val="26"/>
          <w:rtl/>
        </w:rPr>
        <w:t>במשך שנתיים מהיום. הובהר לנאשם שמשמעות ההתחייבות היא, כי אם יעבור את העבירה בתוך התקופה שצוינה, בית המשפט שיגזור את הדין יהא חייב לחלט את ההתחייבות כקנס</w:t>
      </w:r>
      <w:r>
        <w:rPr>
          <w:rFonts w:ascii="David" w:hAnsi="David" w:hint="cs"/>
          <w:sz w:val="26"/>
          <w:szCs w:val="26"/>
          <w:rtl/>
        </w:rPr>
        <w:t>;</w:t>
      </w:r>
    </w:p>
    <w:p w14:paraId="62B1340A" w14:textId="77777777" w:rsidR="004E0D83" w:rsidRDefault="004E0D83" w:rsidP="004E0D83">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מורה על השמדת הסמים והסכין וכן ועל חילוט הרכוש שנתפס למעט הרכב, שנטען כי נגנב. </w:t>
      </w:r>
    </w:p>
    <w:p w14:paraId="43265D77" w14:textId="77777777" w:rsidR="004E0D83" w:rsidRDefault="004E0D83" w:rsidP="004E0D83">
      <w:pPr>
        <w:spacing w:line="360" w:lineRule="auto"/>
        <w:jc w:val="both"/>
        <w:rPr>
          <w:rFonts w:ascii="David" w:hAnsi="David"/>
          <w:b/>
          <w:bCs/>
          <w:sz w:val="26"/>
          <w:szCs w:val="26"/>
          <w:rtl/>
        </w:rPr>
      </w:pPr>
    </w:p>
    <w:p w14:paraId="31DC8568" w14:textId="77777777" w:rsidR="004E0D83" w:rsidRDefault="004E0D83" w:rsidP="004E0D83">
      <w:pPr>
        <w:spacing w:line="360" w:lineRule="auto"/>
        <w:jc w:val="both"/>
        <w:rPr>
          <w:rFonts w:ascii="David" w:hAnsi="David"/>
          <w:b/>
          <w:bCs/>
          <w:sz w:val="26"/>
          <w:szCs w:val="26"/>
          <w:rtl/>
        </w:rPr>
      </w:pPr>
      <w:r>
        <w:rPr>
          <w:rFonts w:ascii="David" w:hAnsi="David" w:hint="cs"/>
          <w:b/>
          <w:bCs/>
          <w:sz w:val="26"/>
          <w:szCs w:val="26"/>
          <w:rtl/>
        </w:rPr>
        <w:t>ק</w:t>
      </w:r>
      <w:r>
        <w:rPr>
          <w:rFonts w:ascii="David" w:hAnsi="David"/>
          <w:b/>
          <w:bCs/>
          <w:sz w:val="26"/>
          <w:szCs w:val="26"/>
          <w:rtl/>
        </w:rPr>
        <w:t>נסות ופיצויים ניתן לשלם כעבור 3 ימים מיום מתן גזר הדין בחשבון המרכז לגביית קנסות בדרכים הבאות:</w:t>
      </w:r>
    </w:p>
    <w:p w14:paraId="73F6C530" w14:textId="77777777" w:rsidR="004E0D83" w:rsidRDefault="004E0D83" w:rsidP="004E0D83">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23"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5CF7BD8B" w14:textId="77777777" w:rsidR="004E0D83" w:rsidRDefault="004E0D83" w:rsidP="004E0D83">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272F681F" w14:textId="77777777" w:rsidR="004E0D83" w:rsidRDefault="004E0D83" w:rsidP="004E0D83">
      <w:pPr>
        <w:pStyle w:val="a9"/>
        <w:numPr>
          <w:ilvl w:val="0"/>
          <w:numId w:val="3"/>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60BA32F2" w14:textId="77777777" w:rsidR="004E0D83" w:rsidRDefault="004E0D83" w:rsidP="004E0D83">
      <w:pPr>
        <w:spacing w:line="360" w:lineRule="auto"/>
        <w:jc w:val="both"/>
        <w:rPr>
          <w:rFonts w:ascii="David" w:hAnsi="David"/>
          <w:b/>
          <w:bCs/>
          <w:sz w:val="26"/>
          <w:szCs w:val="26"/>
        </w:rPr>
      </w:pPr>
      <w:r>
        <w:rPr>
          <w:rFonts w:ascii="David" w:hAnsi="David"/>
          <w:b/>
          <w:bCs/>
          <w:sz w:val="26"/>
          <w:szCs w:val="26"/>
          <w:rtl/>
        </w:rPr>
        <w:t>לא יונפקו שוברי תשלום.</w:t>
      </w:r>
    </w:p>
    <w:p w14:paraId="624144E7" w14:textId="77777777" w:rsidR="004E0D83" w:rsidRDefault="004E0D83" w:rsidP="004E0D83">
      <w:pPr>
        <w:spacing w:line="360" w:lineRule="auto"/>
        <w:jc w:val="both"/>
        <w:rPr>
          <w:rtl/>
        </w:rPr>
      </w:pPr>
      <w:r>
        <w:rPr>
          <w:b/>
          <w:bCs/>
          <w:sz w:val="26"/>
          <w:szCs w:val="26"/>
          <w:rtl/>
        </w:rPr>
        <w:t>ניתן לקזז מכל הפקדה שבתיק או בתיק קשור על אף הודעת עיקול. ככל שקיימות יתרות זכות ואין עיקולים ניתן להשיב למפקיד.</w:t>
      </w:r>
    </w:p>
    <w:p w14:paraId="7CFD4DB2" w14:textId="77777777" w:rsidR="004E0D83" w:rsidRPr="00BD1422" w:rsidRDefault="00BD1422" w:rsidP="004E0D83">
      <w:pPr>
        <w:rPr>
          <w:color w:val="FFFFFF"/>
          <w:sz w:val="2"/>
          <w:szCs w:val="2"/>
          <w:rtl/>
        </w:rPr>
      </w:pPr>
      <w:r w:rsidRPr="00BD1422">
        <w:rPr>
          <w:color w:val="FFFFFF"/>
          <w:sz w:val="2"/>
          <w:szCs w:val="2"/>
          <w:rtl/>
        </w:rPr>
        <w:t>5129371</w:t>
      </w:r>
    </w:p>
    <w:p w14:paraId="1C9AA891" w14:textId="77777777" w:rsidR="004E0D83" w:rsidRPr="00A0111C" w:rsidRDefault="00BD1422" w:rsidP="004E0D83">
      <w:pPr>
        <w:spacing w:after="160" w:line="360" w:lineRule="auto"/>
        <w:rPr>
          <w:rFonts w:ascii="David" w:hAnsi="David"/>
          <w:b/>
          <w:bCs/>
          <w:sz w:val="26"/>
          <w:szCs w:val="26"/>
          <w:rtl/>
        </w:rPr>
      </w:pPr>
      <w:r w:rsidRPr="00BD1422">
        <w:rPr>
          <w:rFonts w:ascii="David" w:hAnsi="David"/>
          <w:b/>
          <w:bCs/>
          <w:color w:val="FFFFFF"/>
          <w:sz w:val="2"/>
          <w:szCs w:val="2"/>
          <w:rtl/>
        </w:rPr>
        <w:t>54678313</w:t>
      </w:r>
      <w:r w:rsidR="004E0D83" w:rsidRPr="00A0111C">
        <w:rPr>
          <w:rFonts w:ascii="David" w:hAnsi="David"/>
          <w:b/>
          <w:bCs/>
          <w:sz w:val="26"/>
          <w:szCs w:val="26"/>
          <w:rtl/>
        </w:rPr>
        <w:t>יש לשלוח לשירות המבחן ולממונה על עבודות שירות.</w:t>
      </w:r>
    </w:p>
    <w:p w14:paraId="744182BD" w14:textId="77777777" w:rsidR="004E0D83" w:rsidRDefault="004E0D83" w:rsidP="004E0D83">
      <w:pPr>
        <w:spacing w:after="160" w:line="252" w:lineRule="auto"/>
        <w:rPr>
          <w:rFonts w:ascii="David" w:hAnsi="David"/>
          <w:b/>
          <w:bCs/>
          <w:sz w:val="26"/>
          <w:szCs w:val="26"/>
        </w:rPr>
      </w:pPr>
      <w:r>
        <w:rPr>
          <w:rFonts w:ascii="David" w:hAnsi="David"/>
          <w:b/>
          <w:bCs/>
          <w:sz w:val="26"/>
          <w:szCs w:val="26"/>
          <w:rtl/>
        </w:rPr>
        <w:t>זכות ערעור כחוק לבית המשפט המחוזי בירושלים בתוך 45 יום מהיום.</w:t>
      </w:r>
    </w:p>
    <w:p w14:paraId="1041721E" w14:textId="77777777" w:rsidR="004E0D83" w:rsidRPr="000F2247" w:rsidRDefault="00BD1422" w:rsidP="004E0D8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י"ב אלול תשפ"ד, 15 ספטמבר 2024, במעמד הצדדים. </w:t>
      </w:r>
      <w:bookmarkEnd w:id="8"/>
      <w:r w:rsidR="004E0D83">
        <w:rPr>
          <w:rFonts w:ascii="Arial" w:hAnsi="Arial"/>
          <w:b/>
          <w:bCs/>
          <w:sz w:val="26"/>
          <w:szCs w:val="26"/>
          <w:rtl/>
        </w:rPr>
        <w:tab/>
      </w:r>
      <w:r w:rsidR="004E0D83">
        <w:rPr>
          <w:rFonts w:ascii="Arial" w:hAnsi="Arial"/>
          <w:b/>
          <w:bCs/>
          <w:sz w:val="26"/>
          <w:szCs w:val="26"/>
          <w:rtl/>
        </w:rPr>
        <w:tab/>
      </w:r>
      <w:r w:rsidR="004E0D83">
        <w:rPr>
          <w:rFonts w:ascii="Arial" w:hAnsi="Arial"/>
          <w:b/>
          <w:bCs/>
          <w:sz w:val="26"/>
          <w:szCs w:val="26"/>
          <w:rtl/>
        </w:rPr>
        <w:tab/>
      </w:r>
      <w:r w:rsidR="004E0D83">
        <w:rPr>
          <w:rFonts w:ascii="Arial" w:hAnsi="Arial"/>
          <w:b/>
          <w:bCs/>
          <w:sz w:val="26"/>
          <w:szCs w:val="26"/>
          <w:rtl/>
        </w:rPr>
        <w:tab/>
      </w:r>
      <w:r w:rsidR="004E0D83">
        <w:rPr>
          <w:rFonts w:ascii="Arial" w:hAnsi="Arial"/>
          <w:b/>
          <w:bCs/>
          <w:sz w:val="26"/>
          <w:szCs w:val="26"/>
          <w:rtl/>
        </w:rPr>
        <w:tab/>
      </w:r>
      <w:r w:rsidR="004E0D83">
        <w:rPr>
          <w:rFonts w:ascii="Arial" w:hAnsi="Arial"/>
          <w:b/>
          <w:bCs/>
          <w:sz w:val="26"/>
          <w:szCs w:val="26"/>
          <w:rtl/>
        </w:rPr>
        <w:tab/>
      </w:r>
      <w:r w:rsidR="004E0D83">
        <w:rPr>
          <w:rFonts w:ascii="Arial" w:hAnsi="Arial"/>
          <w:b/>
          <w:bCs/>
          <w:sz w:val="26"/>
          <w:szCs w:val="26"/>
          <w:rtl/>
        </w:rPr>
        <w:tab/>
      </w:r>
      <w:r w:rsidR="004E0D83">
        <w:rPr>
          <w:rFonts w:ascii="Arial" w:hAnsi="Arial" w:hint="cs"/>
          <w:b/>
          <w:bCs/>
          <w:sz w:val="26"/>
          <w:szCs w:val="26"/>
          <w:rtl/>
        </w:rPr>
        <w:t xml:space="preserve">         </w:t>
      </w:r>
    </w:p>
    <w:p w14:paraId="39C39A47" w14:textId="77777777" w:rsidR="00BD1422" w:rsidRDefault="00BD1422" w:rsidP="00BD1422">
      <w:pPr>
        <w:rPr>
          <w:rtl/>
        </w:rPr>
      </w:pPr>
    </w:p>
    <w:p w14:paraId="2002642C" w14:textId="77777777" w:rsidR="00BD1422" w:rsidRDefault="00BD1422" w:rsidP="00BD1422">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16C99F50" w14:textId="77777777" w:rsidR="00670102" w:rsidRPr="00670102" w:rsidRDefault="00670102" w:rsidP="00670102">
      <w:pPr>
        <w:keepNext/>
        <w:rPr>
          <w:rFonts w:ascii="David" w:hAnsi="David"/>
          <w:color w:val="000000"/>
          <w:sz w:val="22"/>
          <w:szCs w:val="22"/>
          <w:rtl/>
        </w:rPr>
      </w:pPr>
    </w:p>
    <w:p w14:paraId="4FF183CC" w14:textId="77777777" w:rsidR="00670102" w:rsidRPr="00670102" w:rsidRDefault="00670102" w:rsidP="00670102">
      <w:pPr>
        <w:keepNext/>
        <w:rPr>
          <w:rFonts w:ascii="David" w:hAnsi="David"/>
          <w:color w:val="000000"/>
          <w:sz w:val="22"/>
          <w:szCs w:val="22"/>
          <w:rtl/>
        </w:rPr>
      </w:pPr>
      <w:r w:rsidRPr="00670102">
        <w:rPr>
          <w:rFonts w:ascii="David" w:hAnsi="David"/>
          <w:color w:val="000000"/>
          <w:sz w:val="22"/>
          <w:szCs w:val="22"/>
          <w:rtl/>
        </w:rPr>
        <w:t>דוד שאול גבאי ריכטר 54678313-/</w:t>
      </w:r>
    </w:p>
    <w:p w14:paraId="7F5A0ABD" w14:textId="77777777" w:rsidR="00BD1422" w:rsidRPr="00BD1422" w:rsidRDefault="00670102" w:rsidP="00670102">
      <w:pPr>
        <w:rPr>
          <w:color w:val="0000FF"/>
          <w:u w:val="single"/>
        </w:rPr>
      </w:pPr>
      <w:r w:rsidRPr="00670102">
        <w:rPr>
          <w:color w:val="000000"/>
          <w:u w:val="single"/>
          <w:rtl/>
        </w:rPr>
        <w:t>נוסח מסמך זה כפוף לשינויי ניסוח ועריכה</w:t>
      </w:r>
    </w:p>
    <w:sectPr w:rsidR="00BD1422" w:rsidRPr="00BD1422" w:rsidSect="00670102">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180C6" w14:textId="77777777" w:rsidR="00002D88" w:rsidRDefault="00002D88" w:rsidP="005B4BFE">
      <w:r>
        <w:separator/>
      </w:r>
    </w:p>
  </w:endnote>
  <w:endnote w:type="continuationSeparator" w:id="0">
    <w:p w14:paraId="4785999C" w14:textId="77777777" w:rsidR="00002D88" w:rsidRDefault="00002D88" w:rsidP="005B4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B06E4" w14:textId="77777777" w:rsidR="00670102" w:rsidRDefault="00670102" w:rsidP="0067010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7245608" w14:textId="77777777" w:rsidR="00EF15F2" w:rsidRPr="00670102" w:rsidRDefault="00670102" w:rsidP="00670102">
    <w:pPr>
      <w:pStyle w:val="a5"/>
      <w:pBdr>
        <w:top w:val="single" w:sz="4" w:space="1" w:color="auto"/>
        <w:between w:val="single" w:sz="4" w:space="0" w:color="auto"/>
      </w:pBdr>
      <w:spacing w:after="60"/>
      <w:jc w:val="center"/>
      <w:rPr>
        <w:rFonts w:ascii="FrankRuehl" w:hAnsi="FrankRuehl" w:cs="FrankRuehl"/>
        <w:color w:val="000000"/>
      </w:rPr>
    </w:pPr>
    <w:r w:rsidRPr="0067010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3B066" w14:textId="77777777" w:rsidR="00670102" w:rsidRDefault="00670102" w:rsidP="0067010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A061D">
      <w:rPr>
        <w:rFonts w:ascii="FrankRuehl" w:hAnsi="FrankRuehl" w:cs="FrankRuehl"/>
        <w:noProof/>
        <w:rtl/>
      </w:rPr>
      <w:t>1</w:t>
    </w:r>
    <w:r>
      <w:rPr>
        <w:rFonts w:ascii="FrankRuehl" w:hAnsi="FrankRuehl" w:cs="FrankRuehl"/>
        <w:rtl/>
      </w:rPr>
      <w:fldChar w:fldCharType="end"/>
    </w:r>
  </w:p>
  <w:p w14:paraId="1B631A8A" w14:textId="77777777" w:rsidR="00EF15F2" w:rsidRPr="00670102" w:rsidRDefault="00670102" w:rsidP="00670102">
    <w:pPr>
      <w:pStyle w:val="a5"/>
      <w:pBdr>
        <w:top w:val="single" w:sz="4" w:space="1" w:color="auto"/>
        <w:between w:val="single" w:sz="4" w:space="0" w:color="auto"/>
      </w:pBdr>
      <w:spacing w:after="60"/>
      <w:jc w:val="center"/>
      <w:rPr>
        <w:rFonts w:ascii="FrankRuehl" w:hAnsi="FrankRuehl" w:cs="FrankRuehl"/>
        <w:color w:val="000000"/>
      </w:rPr>
    </w:pPr>
    <w:r w:rsidRPr="00670102">
      <w:rPr>
        <w:rFonts w:ascii="FrankRuehl" w:hAnsi="FrankRuehl" w:cs="FrankRuehl"/>
        <w:color w:val="000000"/>
      </w:rPr>
      <w:pict w14:anchorId="534CE0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964973" w14:textId="77777777" w:rsidR="00002D88" w:rsidRDefault="00002D88" w:rsidP="005B4BFE">
      <w:r>
        <w:separator/>
      </w:r>
    </w:p>
  </w:footnote>
  <w:footnote w:type="continuationSeparator" w:id="0">
    <w:p w14:paraId="7DC4CE3D" w14:textId="77777777" w:rsidR="00002D88" w:rsidRDefault="00002D88" w:rsidP="005B4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08410" w14:textId="77777777" w:rsidR="00BD1422" w:rsidRPr="00670102" w:rsidRDefault="00670102" w:rsidP="0067010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55487-09-22</w:t>
    </w:r>
    <w:r>
      <w:rPr>
        <w:rFonts w:ascii="David" w:hAnsi="David"/>
        <w:color w:val="000000"/>
        <w:sz w:val="22"/>
        <w:szCs w:val="22"/>
        <w:rtl/>
      </w:rPr>
      <w:tab/>
      <w:t xml:space="preserve"> מדינת ישראל נ' ברכיה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6D47B" w14:textId="77777777" w:rsidR="00BD1422" w:rsidRPr="00670102" w:rsidRDefault="00670102" w:rsidP="0067010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55487-09-22</w:t>
    </w:r>
    <w:r>
      <w:rPr>
        <w:rFonts w:ascii="David" w:hAnsi="David"/>
        <w:color w:val="000000"/>
        <w:sz w:val="22"/>
        <w:szCs w:val="22"/>
        <w:rtl/>
      </w:rPr>
      <w:tab/>
      <w:t xml:space="preserve"> מדינת ישראל נ' ברכיה לוי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7A3C3C"/>
    <w:multiLevelType w:val="hybridMultilevel"/>
    <w:tmpl w:val="238AE8F4"/>
    <w:lvl w:ilvl="0" w:tplc="8DF43D18">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44BFC"/>
    <w:multiLevelType w:val="hybridMultilevel"/>
    <w:tmpl w:val="6F8E31CA"/>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9857463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4493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43383977">
    <w:abstractNumId w:val="0"/>
  </w:num>
  <w:num w:numId="4" w16cid:durableId="2136440657">
    <w:abstractNumId w:val="1"/>
  </w:num>
  <w:num w:numId="5" w16cid:durableId="314728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E0D83"/>
    <w:rsid w:val="00002D88"/>
    <w:rsid w:val="001F0CD2"/>
    <w:rsid w:val="00353E13"/>
    <w:rsid w:val="004E0D83"/>
    <w:rsid w:val="005B44C4"/>
    <w:rsid w:val="005B4BFE"/>
    <w:rsid w:val="00670102"/>
    <w:rsid w:val="007A061D"/>
    <w:rsid w:val="00863416"/>
    <w:rsid w:val="00A245DF"/>
    <w:rsid w:val="00AD236D"/>
    <w:rsid w:val="00B54E94"/>
    <w:rsid w:val="00BD1422"/>
    <w:rsid w:val="00D6319C"/>
    <w:rsid w:val="00EF15F2"/>
    <w:rsid w:val="00F01C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FCFEB4"/>
  <w15:chartTrackingRefBased/>
  <w15:docId w15:val="{842D8C0F-18C9-4F60-9C7B-45166B71B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E0D8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E0D83"/>
    <w:pPr>
      <w:tabs>
        <w:tab w:val="center" w:pos="4153"/>
        <w:tab w:val="right" w:pos="8306"/>
      </w:tabs>
    </w:pPr>
  </w:style>
  <w:style w:type="character" w:customStyle="1" w:styleId="a4">
    <w:name w:val="כותרת עליונה תו"/>
    <w:link w:val="a3"/>
    <w:rsid w:val="004E0D83"/>
    <w:rPr>
      <w:rFonts w:ascii="Times New Roman" w:eastAsia="Times New Roman" w:hAnsi="Times New Roman" w:cs="David"/>
      <w:sz w:val="24"/>
      <w:szCs w:val="24"/>
    </w:rPr>
  </w:style>
  <w:style w:type="paragraph" w:styleId="a5">
    <w:name w:val="footer"/>
    <w:basedOn w:val="a"/>
    <w:link w:val="a6"/>
    <w:rsid w:val="004E0D83"/>
    <w:pPr>
      <w:tabs>
        <w:tab w:val="center" w:pos="4153"/>
        <w:tab w:val="right" w:pos="8306"/>
      </w:tabs>
    </w:pPr>
  </w:style>
  <w:style w:type="character" w:customStyle="1" w:styleId="a6">
    <w:name w:val="כותרת תחתונה תו"/>
    <w:link w:val="a5"/>
    <w:rsid w:val="004E0D83"/>
    <w:rPr>
      <w:rFonts w:ascii="Times New Roman" w:eastAsia="Times New Roman" w:hAnsi="Times New Roman" w:cs="David"/>
      <w:sz w:val="24"/>
      <w:szCs w:val="24"/>
    </w:rPr>
  </w:style>
  <w:style w:type="table" w:styleId="a7">
    <w:name w:val="Table Grid"/>
    <w:basedOn w:val="a1"/>
    <w:rsid w:val="004E0D8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E0D83"/>
  </w:style>
  <w:style w:type="character" w:styleId="Hyperlink">
    <w:name w:val="Hyperlink"/>
    <w:rsid w:val="004E0D83"/>
    <w:rPr>
      <w:noProof w:val="0"/>
      <w:color w:val="0000FF"/>
      <w:u w:val="single"/>
    </w:rPr>
  </w:style>
  <w:style w:type="paragraph" w:styleId="a9">
    <w:name w:val="List Paragraph"/>
    <w:basedOn w:val="a"/>
    <w:qFormat/>
    <w:rsid w:val="004E0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a.;7.c" TargetMode="External"/><Relationship Id="rId18" Type="http://schemas.openxmlformats.org/officeDocument/2006/relationships/hyperlink" Target="http://www.nevo.co.il/case/29823684"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20632055" TargetMode="External"/><Relationship Id="rId7" Type="http://schemas.openxmlformats.org/officeDocument/2006/relationships/hyperlink" Target="http://www.nevo.co.il/law/4216" TargetMode="External"/><Relationship Id="rId12" Type="http://schemas.openxmlformats.org/officeDocument/2006/relationships/hyperlink" Target="http://www.nevo.co.il/case/28971001" TargetMode="External"/><Relationship Id="rId17" Type="http://schemas.openxmlformats.org/officeDocument/2006/relationships/hyperlink" Target="http://www.nevo.co.il/law/70301"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0301/186.a" TargetMode="External"/><Relationship Id="rId20" Type="http://schemas.openxmlformats.org/officeDocument/2006/relationships/hyperlink" Target="http://www.nevo.co.il/case/1810752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86.a"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case/27855941" TargetMode="External"/><Relationship Id="rId23" Type="http://schemas.openxmlformats.org/officeDocument/2006/relationships/hyperlink" Target="http://www.eca.gov.il" TargetMode="External"/><Relationship Id="rId28"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20111708"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16938303"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1337</Words>
  <Characters>6686</Characters>
  <Application>Microsoft Office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8007</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7864368</vt:i4>
      </vt:variant>
      <vt:variant>
        <vt:i4>48</vt:i4>
      </vt:variant>
      <vt:variant>
        <vt:i4>0</vt:i4>
      </vt:variant>
      <vt:variant>
        <vt:i4>5</vt:i4>
      </vt:variant>
      <vt:variant>
        <vt:lpwstr>http://www.eca.gov.il/</vt:lpwstr>
      </vt:variant>
      <vt:variant>
        <vt:lpwstr/>
      </vt:variant>
      <vt:variant>
        <vt:i4>3145842</vt:i4>
      </vt:variant>
      <vt:variant>
        <vt:i4>45</vt:i4>
      </vt:variant>
      <vt:variant>
        <vt:i4>0</vt:i4>
      </vt:variant>
      <vt:variant>
        <vt:i4>5</vt:i4>
      </vt:variant>
      <vt:variant>
        <vt:lpwstr>http://www.nevo.co.il/case/16938303</vt:lpwstr>
      </vt:variant>
      <vt:variant>
        <vt:lpwstr/>
      </vt:variant>
      <vt:variant>
        <vt:i4>3342455</vt:i4>
      </vt:variant>
      <vt:variant>
        <vt:i4>42</vt:i4>
      </vt:variant>
      <vt:variant>
        <vt:i4>0</vt:i4>
      </vt:variant>
      <vt:variant>
        <vt:i4>5</vt:i4>
      </vt:variant>
      <vt:variant>
        <vt:lpwstr>http://www.nevo.co.il/case/20632055</vt:lpwstr>
      </vt:variant>
      <vt:variant>
        <vt:lpwstr/>
      </vt:variant>
      <vt:variant>
        <vt:i4>3473529</vt:i4>
      </vt:variant>
      <vt:variant>
        <vt:i4>39</vt:i4>
      </vt:variant>
      <vt:variant>
        <vt:i4>0</vt:i4>
      </vt:variant>
      <vt:variant>
        <vt:i4>5</vt:i4>
      </vt:variant>
      <vt:variant>
        <vt:lpwstr>http://www.nevo.co.il/case/18107527</vt:lpwstr>
      </vt:variant>
      <vt:variant>
        <vt:lpwstr/>
      </vt:variant>
      <vt:variant>
        <vt:i4>3276914</vt:i4>
      </vt:variant>
      <vt:variant>
        <vt:i4>36</vt:i4>
      </vt:variant>
      <vt:variant>
        <vt:i4>0</vt:i4>
      </vt:variant>
      <vt:variant>
        <vt:i4>5</vt:i4>
      </vt:variant>
      <vt:variant>
        <vt:lpwstr>http://www.nevo.co.il/case/20111708</vt:lpwstr>
      </vt:variant>
      <vt:variant>
        <vt:lpwstr/>
      </vt:variant>
      <vt:variant>
        <vt:i4>3211385</vt:i4>
      </vt:variant>
      <vt:variant>
        <vt:i4>33</vt:i4>
      </vt:variant>
      <vt:variant>
        <vt:i4>0</vt:i4>
      </vt:variant>
      <vt:variant>
        <vt:i4>5</vt:i4>
      </vt:variant>
      <vt:variant>
        <vt:lpwstr>http://www.nevo.co.il/case/29823684</vt:lpwstr>
      </vt:variant>
      <vt:variant>
        <vt:lpwstr/>
      </vt:variant>
      <vt:variant>
        <vt:i4>7995492</vt:i4>
      </vt:variant>
      <vt:variant>
        <vt:i4>30</vt:i4>
      </vt:variant>
      <vt:variant>
        <vt:i4>0</vt:i4>
      </vt:variant>
      <vt:variant>
        <vt:i4>5</vt:i4>
      </vt:variant>
      <vt:variant>
        <vt:lpwstr>http://www.nevo.co.il/law/70301</vt:lpwstr>
      </vt:variant>
      <vt:variant>
        <vt:lpwstr/>
      </vt:variant>
      <vt:variant>
        <vt:i4>4390994</vt:i4>
      </vt:variant>
      <vt:variant>
        <vt:i4>27</vt:i4>
      </vt:variant>
      <vt:variant>
        <vt:i4>0</vt:i4>
      </vt:variant>
      <vt:variant>
        <vt:i4>5</vt:i4>
      </vt:variant>
      <vt:variant>
        <vt:lpwstr>http://www.nevo.co.il/law/70301/186.a</vt:lpwstr>
      </vt:variant>
      <vt:variant>
        <vt:lpwstr/>
      </vt:variant>
      <vt:variant>
        <vt:i4>3866751</vt:i4>
      </vt:variant>
      <vt:variant>
        <vt:i4>24</vt:i4>
      </vt:variant>
      <vt:variant>
        <vt:i4>0</vt:i4>
      </vt:variant>
      <vt:variant>
        <vt:i4>5</vt:i4>
      </vt:variant>
      <vt:variant>
        <vt:lpwstr>http://www.nevo.co.il/case/27855941</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3801211</vt:i4>
      </vt:variant>
      <vt:variant>
        <vt:i4>15</vt:i4>
      </vt:variant>
      <vt:variant>
        <vt:i4>0</vt:i4>
      </vt:variant>
      <vt:variant>
        <vt:i4>5</vt:i4>
      </vt:variant>
      <vt:variant>
        <vt:lpwstr>http://www.nevo.co.il/case/28971001</vt:lpwstr>
      </vt:variant>
      <vt:variant>
        <vt:lpwstr/>
      </vt:variant>
      <vt:variant>
        <vt:i4>4390994</vt:i4>
      </vt:variant>
      <vt:variant>
        <vt:i4>12</vt:i4>
      </vt:variant>
      <vt:variant>
        <vt:i4>0</vt:i4>
      </vt:variant>
      <vt:variant>
        <vt:i4>5</vt:i4>
      </vt:variant>
      <vt:variant>
        <vt:lpwstr>http://www.nevo.co.il/law/70301/186.a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2025-04-23T01:35:00Z</dcterms:created>
  <dcterms:modified xsi:type="dcterms:W3CDTF">2025-04-23T01:35:00Z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55487;27084</vt:lpwstr>
  </property>
  <property fmtid="{D5CDD505-2E9C-101B-9397-08002B2CF9AE}" pid="6" name="NEWPARTB">
    <vt:lpwstr>09;08</vt:lpwstr>
  </property>
  <property fmtid="{D5CDD505-2E9C-101B-9397-08002B2CF9AE}" pid="7" name="NEWPARTC">
    <vt:lpwstr>22;21</vt:lpwstr>
  </property>
  <property fmtid="{D5CDD505-2E9C-101B-9397-08002B2CF9AE}" pid="8" name="APPELLANT">
    <vt:lpwstr>מדינת ישראל</vt:lpwstr>
  </property>
  <property fmtid="{D5CDD505-2E9C-101B-9397-08002B2CF9AE}" pid="9" name="APPELLEE">
    <vt:lpwstr>ברכיה לוי</vt:lpwstr>
  </property>
  <property fmtid="{D5CDD505-2E9C-101B-9397-08002B2CF9AE}" pid="10" name="LAWYER">
    <vt:lpwstr>שלום בן  שבת</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20240915</vt:lpwstr>
  </property>
  <property fmtid="{D5CDD505-2E9C-101B-9397-08002B2CF9AE}" pid="14" name="TYPE_N_DATE">
    <vt:lpwstr>38020240915</vt:lpwstr>
  </property>
  <property fmtid="{D5CDD505-2E9C-101B-9397-08002B2CF9AE}" pid="15" name="WORDNUMPAGES">
    <vt:lpwstr>5</vt:lpwstr>
  </property>
  <property fmtid="{D5CDD505-2E9C-101B-9397-08002B2CF9AE}" pid="16" name="TYPE_ABS_DATE">
    <vt:lpwstr>380020240915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28971001;27855941;29823684;20111708;18107527;20632055;16938303</vt:lpwstr>
  </property>
  <property fmtid="{D5CDD505-2E9C-101B-9397-08002B2CF9AE}" pid="36" name="LAWLISTTMP1">
    <vt:lpwstr>4216/007.a;007.c</vt:lpwstr>
  </property>
  <property fmtid="{D5CDD505-2E9C-101B-9397-08002B2CF9AE}" pid="37" name="LAWLISTTMP2">
    <vt:lpwstr>70301/186.a</vt:lpwstr>
  </property>
</Properties>
</file>