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43723" w:rsidRPr="00F038A7" w14:paraId="72D1DD5D" w14:textId="77777777" w:rsidTr="0039759C">
        <w:trPr>
          <w:trHeight w:hRule="exact" w:val="418"/>
          <w:jc w:val="center"/>
        </w:trPr>
        <w:tc>
          <w:tcPr>
            <w:tcW w:w="8721" w:type="dxa"/>
            <w:gridSpan w:val="2"/>
          </w:tcPr>
          <w:p w14:paraId="04816379" w14:textId="77777777" w:rsidR="00B43723" w:rsidRPr="00F038A7" w:rsidRDefault="00B43723" w:rsidP="00AC2148">
            <w:pPr>
              <w:pStyle w:val="a4"/>
              <w:jc w:val="center"/>
              <w:rPr>
                <w:rFonts w:ascii="Tahoma" w:hAnsi="Tahoma" w:cs="Tahoma"/>
                <w:color w:val="000080"/>
                <w:rtl/>
              </w:rPr>
            </w:pPr>
            <w:bookmarkStart w:id="0" w:name="LastJudge"/>
            <w:r w:rsidRPr="00F038A7">
              <w:rPr>
                <w:rFonts w:ascii="Tahoma" w:hAnsi="Tahoma" w:cs="Tahoma"/>
                <w:b/>
                <w:bCs/>
                <w:color w:val="000080"/>
                <w:rtl/>
              </w:rPr>
              <w:t>בית משפט השלום בבאר שבע</w:t>
            </w:r>
          </w:p>
        </w:tc>
      </w:tr>
      <w:tr w:rsidR="00B43723" w:rsidRPr="00F038A7" w14:paraId="4E3DDFA8" w14:textId="77777777" w:rsidTr="0039759C">
        <w:trPr>
          <w:trHeight w:val="337"/>
          <w:jc w:val="center"/>
        </w:trPr>
        <w:tc>
          <w:tcPr>
            <w:tcW w:w="5055" w:type="dxa"/>
          </w:tcPr>
          <w:p w14:paraId="782632C4" w14:textId="77777777" w:rsidR="00B43723" w:rsidRPr="00F038A7" w:rsidRDefault="00B43723" w:rsidP="00AC2148">
            <w:pPr>
              <w:rPr>
                <w:rFonts w:cs="FrankRuehl"/>
                <w:sz w:val="28"/>
                <w:szCs w:val="28"/>
                <w:rtl/>
              </w:rPr>
            </w:pPr>
            <w:r w:rsidRPr="00F038A7">
              <w:rPr>
                <w:rFonts w:cs="FrankRuehl"/>
                <w:sz w:val="28"/>
                <w:szCs w:val="28"/>
                <w:rtl/>
              </w:rPr>
              <w:t>ת"פ</w:t>
            </w:r>
            <w:r w:rsidRPr="00F038A7">
              <w:rPr>
                <w:rFonts w:cs="FrankRuehl" w:hint="cs"/>
                <w:sz w:val="28"/>
                <w:szCs w:val="28"/>
                <w:rtl/>
              </w:rPr>
              <w:t xml:space="preserve"> </w:t>
            </w:r>
            <w:r w:rsidRPr="00F038A7">
              <w:rPr>
                <w:rFonts w:cs="FrankRuehl"/>
                <w:sz w:val="28"/>
                <w:szCs w:val="28"/>
                <w:rtl/>
              </w:rPr>
              <w:t>10410-10-22</w:t>
            </w:r>
            <w:r w:rsidRPr="00F038A7">
              <w:rPr>
                <w:rFonts w:cs="FrankRuehl" w:hint="cs"/>
                <w:sz w:val="28"/>
                <w:szCs w:val="28"/>
                <w:rtl/>
              </w:rPr>
              <w:t xml:space="preserve"> </w:t>
            </w:r>
            <w:r w:rsidRPr="00F038A7">
              <w:rPr>
                <w:rFonts w:cs="FrankRuehl"/>
                <w:sz w:val="28"/>
                <w:szCs w:val="28"/>
                <w:rtl/>
              </w:rPr>
              <w:t>מדינת ישראל נ' יורובניק</w:t>
            </w:r>
          </w:p>
          <w:p w14:paraId="6C767E50" w14:textId="77777777" w:rsidR="00B43723" w:rsidRPr="00F038A7" w:rsidRDefault="00B43723" w:rsidP="00AC2148">
            <w:pPr>
              <w:pStyle w:val="a4"/>
              <w:rPr>
                <w:rFonts w:cs="FrankRuehl"/>
                <w:sz w:val="28"/>
                <w:szCs w:val="28"/>
                <w:rtl/>
              </w:rPr>
            </w:pPr>
          </w:p>
        </w:tc>
        <w:tc>
          <w:tcPr>
            <w:tcW w:w="3666" w:type="dxa"/>
          </w:tcPr>
          <w:p w14:paraId="18D8BFAC" w14:textId="77777777" w:rsidR="00B43723" w:rsidRPr="00F038A7" w:rsidRDefault="00B43723" w:rsidP="00AC2148">
            <w:pPr>
              <w:pStyle w:val="a4"/>
              <w:jc w:val="right"/>
              <w:rPr>
                <w:rFonts w:cs="FrankRuehl"/>
                <w:sz w:val="28"/>
                <w:szCs w:val="28"/>
                <w:rtl/>
              </w:rPr>
            </w:pPr>
          </w:p>
        </w:tc>
      </w:tr>
    </w:tbl>
    <w:p w14:paraId="36BA1662" w14:textId="77777777" w:rsidR="00B43723" w:rsidRPr="00F038A7" w:rsidRDefault="00B43723" w:rsidP="00B43723">
      <w:pPr>
        <w:pStyle w:val="a4"/>
        <w:rPr>
          <w:rtl/>
        </w:rPr>
      </w:pPr>
      <w:r w:rsidRPr="00F038A7">
        <w:rPr>
          <w:rFonts w:hint="cs"/>
          <w:rtl/>
        </w:rPr>
        <w:t xml:space="preserve"> </w:t>
      </w:r>
    </w:p>
    <w:p w14:paraId="1BF98C17" w14:textId="77777777" w:rsidR="00B43723" w:rsidRPr="00F038A7" w:rsidRDefault="00B43723" w:rsidP="00B43723">
      <w:pPr>
        <w:rPr>
          <w:rFonts w:cs="Times New Roman"/>
          <w:rtl/>
        </w:rPr>
      </w:pPr>
    </w:p>
    <w:p w14:paraId="4F8003B4" w14:textId="77777777" w:rsidR="00B43723" w:rsidRPr="00F038A7" w:rsidRDefault="00B43723" w:rsidP="00B43723">
      <w:pPr>
        <w:rPr>
          <w:rFonts w:cs="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43723" w:rsidRPr="00F038A7" w14:paraId="3A856FA4" w14:textId="77777777" w:rsidTr="00B43723">
        <w:trPr>
          <w:trHeight w:val="295"/>
          <w:jc w:val="center"/>
        </w:trPr>
        <w:tc>
          <w:tcPr>
            <w:tcW w:w="923" w:type="dxa"/>
            <w:tcBorders>
              <w:top w:val="nil"/>
              <w:left w:val="nil"/>
              <w:bottom w:val="nil"/>
              <w:right w:val="nil"/>
            </w:tcBorders>
            <w:shd w:val="clear" w:color="auto" w:fill="auto"/>
          </w:tcPr>
          <w:p w14:paraId="7D1AF6D0" w14:textId="77777777" w:rsidR="00B43723" w:rsidRPr="00F038A7" w:rsidRDefault="00B43723" w:rsidP="00B43723">
            <w:pPr>
              <w:jc w:val="both"/>
              <w:rPr>
                <w:rFonts w:cs="Times New Roman"/>
              </w:rPr>
            </w:pPr>
            <w:r w:rsidRPr="00F038A7">
              <w:rPr>
                <w:rFonts w:cs="Times New Roman"/>
                <w:rtl/>
              </w:rPr>
              <w:t xml:space="preserve">לפני </w:t>
            </w:r>
          </w:p>
        </w:tc>
        <w:tc>
          <w:tcPr>
            <w:tcW w:w="7897" w:type="dxa"/>
            <w:gridSpan w:val="2"/>
            <w:tcBorders>
              <w:top w:val="nil"/>
              <w:left w:val="nil"/>
              <w:bottom w:val="nil"/>
              <w:right w:val="nil"/>
            </w:tcBorders>
            <w:shd w:val="clear" w:color="auto" w:fill="auto"/>
          </w:tcPr>
          <w:p w14:paraId="0E7B9562" w14:textId="77777777" w:rsidR="00B43723" w:rsidRPr="00F038A7" w:rsidRDefault="00B43723" w:rsidP="00AC2148">
            <w:pPr>
              <w:rPr>
                <w:rFonts w:cs="Times New Roman"/>
                <w:b/>
                <w:bCs/>
                <w:rtl/>
              </w:rPr>
            </w:pPr>
            <w:r w:rsidRPr="00F038A7">
              <w:rPr>
                <w:rFonts w:cs="Times New Roman"/>
                <w:b/>
                <w:bCs/>
                <w:rtl/>
              </w:rPr>
              <w:t>כבוד השופט  אריה דורני-דורון</w:t>
            </w:r>
          </w:p>
          <w:p w14:paraId="361E81FB" w14:textId="77777777" w:rsidR="00B43723" w:rsidRPr="00F038A7" w:rsidRDefault="00B43723" w:rsidP="00AC2148">
            <w:pPr>
              <w:rPr>
                <w:rFonts w:cs="Times New Roman"/>
                <w:rtl/>
              </w:rPr>
            </w:pPr>
          </w:p>
          <w:p w14:paraId="4B6D488F" w14:textId="77777777" w:rsidR="00B43723" w:rsidRPr="00F038A7" w:rsidRDefault="00B43723" w:rsidP="00B43723">
            <w:pPr>
              <w:jc w:val="both"/>
              <w:rPr>
                <w:rFonts w:cs="Times New Roman"/>
              </w:rPr>
            </w:pPr>
          </w:p>
        </w:tc>
      </w:tr>
      <w:tr w:rsidR="00B43723" w:rsidRPr="00F038A7" w14:paraId="7D425520" w14:textId="77777777" w:rsidTr="00B43723">
        <w:trPr>
          <w:trHeight w:val="355"/>
          <w:jc w:val="center"/>
        </w:trPr>
        <w:tc>
          <w:tcPr>
            <w:tcW w:w="923" w:type="dxa"/>
            <w:tcBorders>
              <w:top w:val="nil"/>
              <w:left w:val="nil"/>
              <w:bottom w:val="nil"/>
              <w:right w:val="nil"/>
            </w:tcBorders>
            <w:shd w:val="clear" w:color="auto" w:fill="auto"/>
          </w:tcPr>
          <w:p w14:paraId="2C18AA51" w14:textId="77777777" w:rsidR="00B43723" w:rsidRPr="00F038A7" w:rsidRDefault="00B43723" w:rsidP="00B43723">
            <w:pPr>
              <w:jc w:val="both"/>
              <w:rPr>
                <w:rFonts w:cs="Times New Roman"/>
              </w:rPr>
            </w:pPr>
            <w:bookmarkStart w:id="1" w:name="FirstAppellant"/>
            <w:bookmarkStart w:id="2" w:name="FirstLawyer"/>
            <w:r w:rsidRPr="00F038A7">
              <w:rPr>
                <w:rFonts w:cs="Times New Roman"/>
                <w:rtl/>
              </w:rPr>
              <w:t>בעניין:</w:t>
            </w:r>
          </w:p>
        </w:tc>
        <w:tc>
          <w:tcPr>
            <w:tcW w:w="3219" w:type="dxa"/>
            <w:tcBorders>
              <w:top w:val="nil"/>
              <w:left w:val="nil"/>
              <w:bottom w:val="nil"/>
              <w:right w:val="nil"/>
            </w:tcBorders>
            <w:shd w:val="clear" w:color="auto" w:fill="auto"/>
          </w:tcPr>
          <w:p w14:paraId="494AA0B2" w14:textId="77777777" w:rsidR="00B43723" w:rsidRPr="00F038A7" w:rsidRDefault="00B43723" w:rsidP="00B43723">
            <w:pPr>
              <w:suppressLineNumbers/>
              <w:rPr>
                <w:rFonts w:cs="Times New Roman"/>
              </w:rPr>
            </w:pPr>
            <w:r w:rsidRPr="00F038A7">
              <w:rPr>
                <w:rFonts w:cs="Times New Roman"/>
                <w:b/>
                <w:bCs/>
                <w:rtl/>
              </w:rPr>
              <w:t>המאשימה</w:t>
            </w:r>
          </w:p>
          <w:p w14:paraId="4F039A24" w14:textId="77777777" w:rsidR="00B43723" w:rsidRPr="00F038A7" w:rsidRDefault="00B43723" w:rsidP="00AC2148">
            <w:pPr>
              <w:rPr>
                <w:rFonts w:cs="Times New Roman"/>
              </w:rPr>
            </w:pPr>
          </w:p>
        </w:tc>
        <w:tc>
          <w:tcPr>
            <w:tcW w:w="4678" w:type="dxa"/>
            <w:tcBorders>
              <w:top w:val="nil"/>
              <w:left w:val="nil"/>
              <w:bottom w:val="nil"/>
              <w:right w:val="nil"/>
            </w:tcBorders>
            <w:shd w:val="clear" w:color="auto" w:fill="auto"/>
            <w:vAlign w:val="center"/>
          </w:tcPr>
          <w:p w14:paraId="583D29DF" w14:textId="77777777" w:rsidR="00B43723" w:rsidRPr="00F038A7" w:rsidRDefault="00B43723" w:rsidP="00B43723">
            <w:pPr>
              <w:suppressLineNumbers/>
              <w:rPr>
                <w:rFonts w:cs="Times New Roman"/>
                <w:b/>
                <w:bCs/>
                <w:rtl/>
              </w:rPr>
            </w:pPr>
            <w:r w:rsidRPr="00F038A7">
              <w:rPr>
                <w:rFonts w:cs="Times New Roman"/>
                <w:b/>
                <w:bCs/>
                <w:rtl/>
              </w:rPr>
              <w:t xml:space="preserve">מדינת ישראל </w:t>
            </w:r>
          </w:p>
          <w:p w14:paraId="3D7C4533" w14:textId="77777777" w:rsidR="00B43723" w:rsidRPr="00F038A7" w:rsidRDefault="00B43723" w:rsidP="00B43723">
            <w:pPr>
              <w:suppressLineNumbers/>
              <w:rPr>
                <w:rFonts w:cs="Times New Roman"/>
              </w:rPr>
            </w:pPr>
            <w:r w:rsidRPr="00F038A7">
              <w:rPr>
                <w:rFonts w:cs="Times New Roman"/>
                <w:b/>
                <w:bCs/>
                <w:rtl/>
              </w:rPr>
              <w:t>ע"י ב"כ עוה"ד</w:t>
            </w:r>
            <w:r w:rsidRPr="00F038A7">
              <w:rPr>
                <w:rFonts w:cs="Times New Roman" w:hint="cs"/>
                <w:rtl/>
              </w:rPr>
              <w:t xml:space="preserve"> </w:t>
            </w:r>
            <w:r w:rsidRPr="00F038A7">
              <w:rPr>
                <w:rFonts w:cs="Times New Roman" w:hint="cs"/>
                <w:b/>
                <w:bCs/>
                <w:rtl/>
              </w:rPr>
              <w:t>מתן פחימה</w:t>
            </w:r>
          </w:p>
          <w:p w14:paraId="637792A9" w14:textId="77777777" w:rsidR="00B43723" w:rsidRPr="00F038A7" w:rsidRDefault="00B43723" w:rsidP="00AC2148">
            <w:pPr>
              <w:rPr>
                <w:rFonts w:cs="Times New Roman"/>
              </w:rPr>
            </w:pPr>
          </w:p>
        </w:tc>
      </w:tr>
      <w:bookmarkEnd w:id="1"/>
      <w:bookmarkEnd w:id="2"/>
      <w:tr w:rsidR="00B43723" w:rsidRPr="00F038A7" w14:paraId="03F62952" w14:textId="77777777" w:rsidTr="00B43723">
        <w:trPr>
          <w:trHeight w:val="355"/>
          <w:jc w:val="center"/>
        </w:trPr>
        <w:tc>
          <w:tcPr>
            <w:tcW w:w="923" w:type="dxa"/>
            <w:tcBorders>
              <w:top w:val="nil"/>
              <w:left w:val="nil"/>
              <w:bottom w:val="nil"/>
              <w:right w:val="nil"/>
            </w:tcBorders>
            <w:shd w:val="clear" w:color="auto" w:fill="auto"/>
          </w:tcPr>
          <w:p w14:paraId="74C8B6DD" w14:textId="77777777" w:rsidR="00B43723" w:rsidRPr="00F038A7" w:rsidRDefault="00B43723" w:rsidP="00B43723">
            <w:pPr>
              <w:jc w:val="both"/>
              <w:rPr>
                <w:rFonts w:cs="Times New Roman"/>
                <w:rtl/>
              </w:rPr>
            </w:pPr>
          </w:p>
        </w:tc>
        <w:tc>
          <w:tcPr>
            <w:tcW w:w="7897" w:type="dxa"/>
            <w:gridSpan w:val="2"/>
            <w:tcBorders>
              <w:top w:val="nil"/>
              <w:left w:val="nil"/>
              <w:bottom w:val="nil"/>
              <w:right w:val="nil"/>
            </w:tcBorders>
            <w:shd w:val="clear" w:color="auto" w:fill="auto"/>
          </w:tcPr>
          <w:p w14:paraId="531C416F" w14:textId="77777777" w:rsidR="00B43723" w:rsidRPr="00F038A7" w:rsidRDefault="00B43723" w:rsidP="00B43723">
            <w:pPr>
              <w:jc w:val="center"/>
              <w:rPr>
                <w:rFonts w:cs="Times New Roman"/>
                <w:b/>
                <w:bCs/>
                <w:rtl/>
              </w:rPr>
            </w:pPr>
          </w:p>
          <w:p w14:paraId="7E07109E" w14:textId="77777777" w:rsidR="00B43723" w:rsidRPr="00F038A7" w:rsidRDefault="00B43723" w:rsidP="00B43723">
            <w:pPr>
              <w:jc w:val="center"/>
              <w:rPr>
                <w:rFonts w:cs="Times New Roman"/>
                <w:b/>
                <w:bCs/>
                <w:rtl/>
              </w:rPr>
            </w:pPr>
            <w:r w:rsidRPr="00F038A7">
              <w:rPr>
                <w:rFonts w:cs="Times New Roman"/>
                <w:b/>
                <w:bCs/>
                <w:rtl/>
              </w:rPr>
              <w:t>נגד</w:t>
            </w:r>
          </w:p>
          <w:p w14:paraId="701580AC" w14:textId="77777777" w:rsidR="00B43723" w:rsidRPr="00F038A7" w:rsidRDefault="00B43723" w:rsidP="00B43723">
            <w:pPr>
              <w:jc w:val="both"/>
              <w:rPr>
                <w:rFonts w:cs="Times New Roman"/>
              </w:rPr>
            </w:pPr>
          </w:p>
        </w:tc>
      </w:tr>
      <w:tr w:rsidR="00B43723" w:rsidRPr="00F038A7" w14:paraId="725EF5DD" w14:textId="77777777" w:rsidTr="00B43723">
        <w:trPr>
          <w:trHeight w:val="355"/>
          <w:jc w:val="center"/>
        </w:trPr>
        <w:tc>
          <w:tcPr>
            <w:tcW w:w="923" w:type="dxa"/>
            <w:tcBorders>
              <w:top w:val="nil"/>
              <w:left w:val="nil"/>
              <w:bottom w:val="nil"/>
              <w:right w:val="nil"/>
            </w:tcBorders>
            <w:shd w:val="clear" w:color="auto" w:fill="auto"/>
          </w:tcPr>
          <w:p w14:paraId="159BD262" w14:textId="77777777" w:rsidR="00B43723" w:rsidRPr="00F038A7" w:rsidRDefault="00B43723" w:rsidP="00AC2148">
            <w:pPr>
              <w:rPr>
                <w:rFonts w:cs="Times New Roman"/>
                <w:rtl/>
              </w:rPr>
            </w:pPr>
          </w:p>
        </w:tc>
        <w:tc>
          <w:tcPr>
            <w:tcW w:w="3219" w:type="dxa"/>
            <w:tcBorders>
              <w:top w:val="nil"/>
              <w:left w:val="nil"/>
              <w:bottom w:val="nil"/>
              <w:right w:val="nil"/>
            </w:tcBorders>
            <w:shd w:val="clear" w:color="auto" w:fill="auto"/>
          </w:tcPr>
          <w:p w14:paraId="15E2B7CC" w14:textId="77777777" w:rsidR="00B43723" w:rsidRPr="00F038A7" w:rsidRDefault="00B43723" w:rsidP="00AC2148">
            <w:pPr>
              <w:rPr>
                <w:rFonts w:cs="Times New Roman"/>
                <w:b/>
                <w:bCs/>
                <w:rtl/>
              </w:rPr>
            </w:pPr>
            <w:r w:rsidRPr="00F038A7">
              <w:rPr>
                <w:rFonts w:cs="Times New Roman"/>
                <w:b/>
                <w:bCs/>
                <w:rtl/>
              </w:rPr>
              <w:t>הנאש</w:t>
            </w:r>
            <w:r w:rsidRPr="00F038A7">
              <w:rPr>
                <w:rFonts w:cs="Times New Roman" w:hint="cs"/>
                <w:b/>
                <w:bCs/>
                <w:rtl/>
              </w:rPr>
              <w:t xml:space="preserve">ם </w:t>
            </w:r>
          </w:p>
        </w:tc>
        <w:tc>
          <w:tcPr>
            <w:tcW w:w="4678" w:type="dxa"/>
            <w:tcBorders>
              <w:top w:val="nil"/>
              <w:left w:val="nil"/>
              <w:bottom w:val="nil"/>
              <w:right w:val="nil"/>
            </w:tcBorders>
            <w:shd w:val="clear" w:color="auto" w:fill="auto"/>
            <w:vAlign w:val="center"/>
          </w:tcPr>
          <w:p w14:paraId="35B1B772" w14:textId="77777777" w:rsidR="00B43723" w:rsidRPr="00F038A7" w:rsidRDefault="00B43723" w:rsidP="00B43723">
            <w:pPr>
              <w:suppressLineNumbers/>
              <w:rPr>
                <w:rFonts w:cs="Times New Roman"/>
                <w:b/>
                <w:bCs/>
                <w:rtl/>
              </w:rPr>
            </w:pPr>
            <w:r w:rsidRPr="00F038A7">
              <w:rPr>
                <w:rFonts w:cs="Times New Roman"/>
                <w:b/>
                <w:bCs/>
                <w:rtl/>
              </w:rPr>
              <w:t xml:space="preserve">יורי יורובניק </w:t>
            </w:r>
          </w:p>
          <w:p w14:paraId="7DD75BF0" w14:textId="77777777" w:rsidR="00B43723" w:rsidRPr="00F038A7" w:rsidRDefault="00B43723" w:rsidP="00B43723">
            <w:pPr>
              <w:suppressLineNumbers/>
              <w:rPr>
                <w:rFonts w:cs="Times New Roman"/>
              </w:rPr>
            </w:pPr>
            <w:r w:rsidRPr="00F038A7">
              <w:rPr>
                <w:rFonts w:cs="Times New Roman"/>
                <w:b/>
                <w:bCs/>
                <w:rtl/>
              </w:rPr>
              <w:t>ע"י ב"כ עוה"ד</w:t>
            </w:r>
            <w:r w:rsidRPr="00F038A7">
              <w:rPr>
                <w:rFonts w:cs="Times New Roman" w:hint="cs"/>
                <w:rtl/>
              </w:rPr>
              <w:t xml:space="preserve"> </w:t>
            </w:r>
            <w:r w:rsidRPr="00F038A7">
              <w:rPr>
                <w:rFonts w:cs="Times New Roman" w:hint="cs"/>
                <w:b/>
                <w:bCs/>
                <w:rtl/>
              </w:rPr>
              <w:t>בונדר בשמו של עוה"ד אייל שמילוביץ'</w:t>
            </w:r>
          </w:p>
          <w:p w14:paraId="49EF09FC" w14:textId="77777777" w:rsidR="00B43723" w:rsidRPr="00F038A7" w:rsidRDefault="00B43723" w:rsidP="00AC2148">
            <w:pPr>
              <w:rPr>
                <w:rFonts w:cs="Times New Roman"/>
              </w:rPr>
            </w:pPr>
          </w:p>
        </w:tc>
      </w:tr>
    </w:tbl>
    <w:p w14:paraId="400B2003" w14:textId="77777777" w:rsidR="00F038A7" w:rsidRPr="00F038A7" w:rsidRDefault="00F038A7" w:rsidP="00F038A7">
      <w:pPr>
        <w:spacing w:before="120" w:after="120" w:line="240" w:lineRule="exact"/>
        <w:ind w:left="283" w:hanging="283"/>
        <w:jc w:val="both"/>
        <w:rPr>
          <w:rFonts w:ascii="FrankRuehl" w:hAnsi="FrankRuehl" w:cs="FrankRuehl"/>
          <w:rtl/>
        </w:rPr>
      </w:pPr>
    </w:p>
    <w:p w14:paraId="05D7EF55" w14:textId="77777777" w:rsidR="008340BA" w:rsidRPr="008340BA" w:rsidRDefault="008340BA" w:rsidP="008340BA">
      <w:pPr>
        <w:spacing w:before="120" w:after="120" w:line="240" w:lineRule="exact"/>
        <w:ind w:left="283" w:hanging="283"/>
        <w:jc w:val="both"/>
        <w:rPr>
          <w:rFonts w:ascii="FrankRuehl" w:hAnsi="FrankRuehl" w:cs="FrankRuehl"/>
          <w:rtl/>
        </w:rPr>
      </w:pPr>
    </w:p>
    <w:p w14:paraId="480533FF" w14:textId="77777777" w:rsidR="00B072E2" w:rsidRDefault="00B072E2" w:rsidP="00B072E2">
      <w:pPr>
        <w:rPr>
          <w:rFonts w:cs="Times New Roman"/>
          <w:rtl/>
        </w:rPr>
      </w:pPr>
      <w:bookmarkStart w:id="3" w:name="LawTable"/>
      <w:bookmarkEnd w:id="3"/>
    </w:p>
    <w:p w14:paraId="0AA8863F" w14:textId="77777777" w:rsidR="00B072E2" w:rsidRPr="00B072E2" w:rsidRDefault="00B072E2" w:rsidP="00B072E2">
      <w:pPr>
        <w:spacing w:before="120" w:after="120" w:line="240" w:lineRule="exact"/>
        <w:ind w:left="283" w:hanging="283"/>
        <w:jc w:val="both"/>
        <w:rPr>
          <w:rFonts w:ascii="FrankRuehl" w:hAnsi="FrankRuehl" w:cs="FrankRuehl"/>
          <w:rtl/>
        </w:rPr>
      </w:pPr>
    </w:p>
    <w:p w14:paraId="7E32D2BC" w14:textId="77777777" w:rsidR="00B072E2" w:rsidRPr="00B072E2" w:rsidRDefault="00B072E2" w:rsidP="00B072E2">
      <w:pPr>
        <w:spacing w:before="120" w:after="120" w:line="240" w:lineRule="exact"/>
        <w:ind w:left="283" w:hanging="283"/>
        <w:jc w:val="both"/>
        <w:rPr>
          <w:rFonts w:ascii="FrankRuehl" w:hAnsi="FrankRuehl" w:cs="FrankRuehl"/>
          <w:rtl/>
        </w:rPr>
      </w:pPr>
    </w:p>
    <w:p w14:paraId="7ECB6ACF" w14:textId="77777777" w:rsidR="00B072E2" w:rsidRPr="00B072E2" w:rsidRDefault="00B072E2" w:rsidP="00B072E2">
      <w:pPr>
        <w:spacing w:before="120" w:after="120" w:line="240" w:lineRule="exact"/>
        <w:ind w:left="283" w:hanging="283"/>
        <w:jc w:val="both"/>
        <w:rPr>
          <w:rFonts w:ascii="FrankRuehl" w:hAnsi="FrankRuehl" w:cs="FrankRuehl"/>
          <w:rtl/>
        </w:rPr>
      </w:pPr>
      <w:r w:rsidRPr="00B072E2">
        <w:rPr>
          <w:rFonts w:ascii="FrankRuehl" w:hAnsi="FrankRuehl" w:cs="FrankRuehl"/>
          <w:rtl/>
        </w:rPr>
        <w:t xml:space="preserve">חקיקה שאוזכרה: </w:t>
      </w:r>
    </w:p>
    <w:p w14:paraId="5CCD726C" w14:textId="77777777" w:rsidR="00B072E2" w:rsidRPr="00B072E2" w:rsidRDefault="00B072E2" w:rsidP="00B072E2">
      <w:pPr>
        <w:spacing w:before="120" w:after="120" w:line="240" w:lineRule="exact"/>
        <w:ind w:left="283" w:hanging="283"/>
        <w:jc w:val="both"/>
        <w:rPr>
          <w:rFonts w:ascii="FrankRuehl" w:hAnsi="FrankRuehl" w:cs="FrankRuehl"/>
          <w:rtl/>
        </w:rPr>
      </w:pPr>
      <w:hyperlink r:id="rId7" w:history="1">
        <w:r w:rsidRPr="00B072E2">
          <w:rPr>
            <w:rFonts w:ascii="FrankRuehl" w:hAnsi="FrankRuehl" w:cs="FrankRuehl"/>
            <w:color w:val="0000FF"/>
            <w:rtl/>
          </w:rPr>
          <w:t>פקודת הסמים המסוכנים [נוסח חדש], תשל"ג-1973</w:t>
        </w:r>
      </w:hyperlink>
      <w:r w:rsidRPr="00B072E2">
        <w:rPr>
          <w:rFonts w:ascii="FrankRuehl" w:hAnsi="FrankRuehl" w:cs="FrankRuehl"/>
          <w:rtl/>
        </w:rPr>
        <w:t xml:space="preserve">: סע'  </w:t>
      </w:r>
      <w:hyperlink r:id="rId8" w:history="1">
        <w:r w:rsidRPr="00B072E2">
          <w:rPr>
            <w:rFonts w:ascii="FrankRuehl" w:hAnsi="FrankRuehl" w:cs="FrankRuehl"/>
            <w:color w:val="0000FF"/>
            <w:rtl/>
          </w:rPr>
          <w:t>7 (א)</w:t>
        </w:r>
      </w:hyperlink>
      <w:r w:rsidRPr="00B072E2">
        <w:rPr>
          <w:rFonts w:ascii="FrankRuehl" w:hAnsi="FrankRuehl" w:cs="FrankRuehl"/>
          <w:rtl/>
        </w:rPr>
        <w:t xml:space="preserve">, </w:t>
      </w:r>
      <w:hyperlink r:id="rId9" w:history="1">
        <w:r w:rsidRPr="00B072E2">
          <w:rPr>
            <w:rFonts w:ascii="FrankRuehl" w:hAnsi="FrankRuehl" w:cs="FrankRuehl"/>
            <w:color w:val="0000FF"/>
            <w:rtl/>
          </w:rPr>
          <w:t>7 (ג)</w:t>
        </w:r>
      </w:hyperlink>
    </w:p>
    <w:p w14:paraId="50AB7060" w14:textId="77777777" w:rsidR="00B072E2" w:rsidRPr="00B072E2" w:rsidRDefault="00B072E2" w:rsidP="00B072E2">
      <w:pPr>
        <w:rPr>
          <w:rFonts w:cs="Times New Roman"/>
          <w:rtl/>
        </w:rPr>
      </w:pPr>
      <w:bookmarkStart w:id="4" w:name="LawTable_End"/>
      <w:bookmarkEnd w:id="4"/>
    </w:p>
    <w:p w14:paraId="5C02F63B" w14:textId="77777777" w:rsidR="00B43723" w:rsidRPr="008340BA" w:rsidRDefault="00B43723" w:rsidP="008340BA">
      <w:pPr>
        <w:rPr>
          <w:rFonts w:cs="Times New Roman"/>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723" w:rsidRPr="00EB4BEA" w14:paraId="3CDB9CED" w14:textId="77777777" w:rsidTr="00B43723">
        <w:trPr>
          <w:trHeight w:val="355"/>
          <w:jc w:val="center"/>
        </w:trPr>
        <w:tc>
          <w:tcPr>
            <w:tcW w:w="8820" w:type="dxa"/>
            <w:tcBorders>
              <w:top w:val="nil"/>
              <w:left w:val="nil"/>
              <w:bottom w:val="nil"/>
              <w:right w:val="nil"/>
            </w:tcBorders>
            <w:shd w:val="clear" w:color="auto" w:fill="auto"/>
          </w:tcPr>
          <w:p w14:paraId="78AD09BA" w14:textId="77777777" w:rsidR="00F038A7" w:rsidRPr="00F038A7" w:rsidRDefault="00F038A7" w:rsidP="00F038A7">
            <w:pPr>
              <w:jc w:val="center"/>
              <w:rPr>
                <w:rFonts w:cs="Times New Roman"/>
                <w:b/>
                <w:bCs/>
                <w:u w:val="single"/>
                <w:rtl/>
              </w:rPr>
            </w:pPr>
            <w:bookmarkStart w:id="5" w:name="PsakDin" w:colFirst="0" w:colLast="0"/>
            <w:bookmarkEnd w:id="0"/>
            <w:r w:rsidRPr="00F038A7">
              <w:rPr>
                <w:rFonts w:cs="Times New Roman"/>
                <w:b/>
                <w:bCs/>
                <w:u w:val="single"/>
                <w:rtl/>
              </w:rPr>
              <w:t>גזר דין</w:t>
            </w:r>
          </w:p>
          <w:p w14:paraId="215B0BAD" w14:textId="77777777" w:rsidR="00B43723" w:rsidRPr="00F038A7" w:rsidRDefault="00B43723" w:rsidP="00F038A7">
            <w:pPr>
              <w:jc w:val="center"/>
              <w:rPr>
                <w:rFonts w:cs="Times New Roman"/>
                <w:bCs/>
                <w:u w:val="single"/>
                <w:rtl/>
              </w:rPr>
            </w:pPr>
          </w:p>
        </w:tc>
      </w:tr>
    </w:tbl>
    <w:bookmarkEnd w:id="5"/>
    <w:p w14:paraId="502008F6" w14:textId="77777777" w:rsidR="00B43723" w:rsidRPr="00B43723" w:rsidRDefault="00B43723" w:rsidP="00B43723">
      <w:pPr>
        <w:spacing w:line="360" w:lineRule="auto"/>
        <w:jc w:val="both"/>
        <w:rPr>
          <w:rFonts w:cs="Times New Roman"/>
          <w:rtl/>
        </w:rPr>
      </w:pPr>
      <w:r w:rsidRPr="00B43723">
        <w:rPr>
          <w:rFonts w:cs="Times New Roman"/>
          <w:rtl/>
        </w:rPr>
        <w:tab/>
      </w:r>
    </w:p>
    <w:p w14:paraId="7804AF8A" w14:textId="77777777" w:rsidR="00B43723" w:rsidRPr="00B43723" w:rsidRDefault="00B43723" w:rsidP="00B43723">
      <w:pPr>
        <w:spacing w:line="360" w:lineRule="auto"/>
        <w:ind w:left="2160"/>
        <w:jc w:val="both"/>
        <w:rPr>
          <w:rFonts w:cs="Times New Roman"/>
          <w:i/>
          <w:iCs/>
          <w:rtl/>
        </w:rPr>
      </w:pPr>
      <w:r w:rsidRPr="00B43723">
        <w:rPr>
          <w:rFonts w:cs="Times New Roman" w:hint="cs"/>
          <w:i/>
          <w:iCs/>
          <w:rtl/>
        </w:rPr>
        <w:t xml:space="preserve">האיזונים בענישה לא אחת מחייבים ליתן משקל לרכיב האינדיווידואלי במסגרת האינטרס הציבורי , לא משום שהחברה אינה ראויה להגנה, אלא משום שגם החברה מבקשת במכמני תורותיה, חשיבה אחרת, שיתוף הרחמים בדין, אחריות על האדם ועתידו בנסיבותיו, לא במקומו של הדין אלא כחלק ממנו ומבלי לוותר עליו. אותה חברה מתוקנת מעוניינת בפרטיה שלמים בחייהם. תוצאה זו עשויה לבוא בראייה רחבה של כלל הפרמטרים, המושפעים מרכיבי הענישה המוכרים. יש שרק ההקצנה המחמירה תעורר ישנים מחושך פלילי וצלמוות, ויש שדווקא היעדרה של </w:t>
      </w:r>
      <w:r w:rsidRPr="00B43723">
        <w:rPr>
          <w:rFonts w:cs="Times New Roman" w:hint="cs"/>
          <w:i/>
          <w:iCs/>
          <w:rtl/>
        </w:rPr>
        <w:lastRenderedPageBreak/>
        <w:t xml:space="preserve">החמרה הפוגעת אנושות, תעיר נפש האדם לזרוח להאיר ולהתחזק בדרכו לחיים של אמון ותקווה, כי בית המשפט </w:t>
      </w:r>
      <w:r w:rsidRPr="00B43723">
        <w:rPr>
          <w:rFonts w:cs="Times New Roman"/>
          <w:i/>
          <w:iCs/>
          <w:rtl/>
        </w:rPr>
        <w:t>–</w:t>
      </w:r>
      <w:r w:rsidRPr="00B43723">
        <w:rPr>
          <w:rFonts w:cs="Times New Roman" w:hint="cs"/>
          <w:i/>
          <w:iCs/>
          <w:rtl/>
        </w:rPr>
        <w:t xml:space="preserve"> החברה </w:t>
      </w:r>
      <w:r w:rsidRPr="00B43723">
        <w:rPr>
          <w:rFonts w:cs="Times New Roman"/>
          <w:i/>
          <w:iCs/>
          <w:rtl/>
        </w:rPr>
        <w:t>–</w:t>
      </w:r>
      <w:r w:rsidRPr="00B43723">
        <w:rPr>
          <w:rFonts w:cs="Times New Roman" w:hint="cs"/>
          <w:i/>
          <w:iCs/>
          <w:rtl/>
        </w:rPr>
        <w:t xml:space="preserve"> המדינה  היא שהאירה לנפש העומדת לדין, הדרך לילך בה, בבחינת" קומי אורי כי בא אורך"( ישעיהו בפרק ס פס' א-ב).  </w:t>
      </w:r>
    </w:p>
    <w:p w14:paraId="66CF29BB" w14:textId="77777777" w:rsidR="00B43723" w:rsidRPr="00B43723" w:rsidRDefault="00B43723" w:rsidP="00B43723">
      <w:pPr>
        <w:spacing w:line="360" w:lineRule="auto"/>
        <w:jc w:val="both"/>
        <w:rPr>
          <w:rFonts w:cs="Times New Roman"/>
          <w:rtl/>
        </w:rPr>
      </w:pPr>
    </w:p>
    <w:p w14:paraId="3480DAA7" w14:textId="77777777" w:rsidR="00B43723" w:rsidRPr="00B43723" w:rsidRDefault="00B43723" w:rsidP="00B43723">
      <w:pPr>
        <w:spacing w:line="360" w:lineRule="auto"/>
        <w:jc w:val="both"/>
        <w:rPr>
          <w:rFonts w:cs="Times New Roman"/>
          <w:rtl/>
        </w:rPr>
      </w:pPr>
    </w:p>
    <w:p w14:paraId="4E510BD6" w14:textId="77777777" w:rsidR="00B43723" w:rsidRPr="00B43723" w:rsidRDefault="00B43723" w:rsidP="00B43723">
      <w:pPr>
        <w:pStyle w:val="aa"/>
        <w:numPr>
          <w:ilvl w:val="0"/>
          <w:numId w:val="3"/>
        </w:numPr>
        <w:spacing w:line="360" w:lineRule="auto"/>
        <w:jc w:val="both"/>
        <w:rPr>
          <w:rFonts w:cs="Times New Roman"/>
          <w:rtl/>
        </w:rPr>
      </w:pPr>
      <w:bookmarkStart w:id="6" w:name="ABSTRACT_START"/>
      <w:bookmarkEnd w:id="6"/>
      <w:r w:rsidRPr="00B43723">
        <w:rPr>
          <w:rFonts w:cs="Times New Roman"/>
          <w:rtl/>
        </w:rPr>
        <w:t xml:space="preserve">הנאשם הורשע על פי הודאתו בעבירה של החזקת סמים לצריכה עצמית לפי סעיפים </w:t>
      </w:r>
      <w:hyperlink r:id="rId10" w:history="1">
        <w:r w:rsidR="0039759C" w:rsidRPr="0039759C">
          <w:rPr>
            <w:rStyle w:val="Hyperlink"/>
            <w:rFonts w:cs="Times New Roman"/>
            <w:rtl/>
          </w:rPr>
          <w:t>7 (א)</w:t>
        </w:r>
      </w:hyperlink>
      <w:r w:rsidRPr="00B43723">
        <w:rPr>
          <w:rFonts w:cs="Times New Roman"/>
          <w:rtl/>
        </w:rPr>
        <w:t xml:space="preserve"> </w:t>
      </w:r>
      <w:hyperlink r:id="rId11" w:history="1">
        <w:r w:rsidR="0039759C" w:rsidRPr="0039759C">
          <w:rPr>
            <w:rStyle w:val="Hyperlink"/>
            <w:rFonts w:cs="Times New Roman"/>
            <w:rtl/>
          </w:rPr>
          <w:t>7 (ג)</w:t>
        </w:r>
      </w:hyperlink>
      <w:r w:rsidRPr="00B43723">
        <w:rPr>
          <w:rFonts w:cs="Times New Roman"/>
          <w:rtl/>
        </w:rPr>
        <w:t xml:space="preserve"> ל</w:t>
      </w:r>
      <w:hyperlink r:id="rId12" w:history="1">
        <w:r w:rsidR="00F038A7" w:rsidRPr="00F038A7">
          <w:rPr>
            <w:rFonts w:cs="Times New Roman"/>
            <w:color w:val="0000FF"/>
            <w:u w:val="single"/>
            <w:rtl/>
          </w:rPr>
          <w:t>פקודת הסמים המסוכנים</w:t>
        </w:r>
      </w:hyperlink>
      <w:r w:rsidRPr="00B43723">
        <w:rPr>
          <w:rFonts w:cs="Times New Roman"/>
          <w:rtl/>
        </w:rPr>
        <w:t xml:space="preserve"> ( נ"ח ) תשל"ג – 1973 , בכך שב1.1.22 החזיק ברכבו סמים מסוג </w:t>
      </w:r>
      <w:r w:rsidRPr="00B43723">
        <w:rPr>
          <w:rFonts w:cs="Times New Roman"/>
        </w:rPr>
        <w:t>MDMA</w:t>
      </w:r>
      <w:r w:rsidRPr="00B43723">
        <w:rPr>
          <w:rFonts w:cs="Times New Roman"/>
          <w:rtl/>
        </w:rPr>
        <w:t xml:space="preserve"> במשקל של 0.6121 גרם </w:t>
      </w:r>
      <w:r w:rsidRPr="00B43723">
        <w:rPr>
          <w:rFonts w:cs="Times New Roman"/>
          <w:b/>
          <w:bCs/>
          <w:rtl/>
        </w:rPr>
        <w:t>לצריכה עצמית,</w:t>
      </w:r>
      <w:r w:rsidRPr="00B43723">
        <w:rPr>
          <w:rFonts w:cs="Times New Roman"/>
          <w:rtl/>
        </w:rPr>
        <w:t xml:space="preserve"> הכול כאמור בכתב האישום המתוקן . </w:t>
      </w:r>
      <w:bookmarkStart w:id="7" w:name="ABSTRACT_END"/>
      <w:bookmarkEnd w:id="7"/>
    </w:p>
    <w:p w14:paraId="16400269" w14:textId="77777777" w:rsidR="00B43723" w:rsidRPr="00B43723" w:rsidRDefault="00B43723" w:rsidP="00B43723">
      <w:pPr>
        <w:spacing w:line="360" w:lineRule="auto"/>
        <w:jc w:val="both"/>
        <w:rPr>
          <w:rFonts w:cs="Times New Roman"/>
          <w:rtl/>
        </w:rPr>
      </w:pPr>
    </w:p>
    <w:p w14:paraId="30A93EAD" w14:textId="77777777" w:rsidR="00B43723" w:rsidRPr="00B43723" w:rsidRDefault="00B43723" w:rsidP="00B43723">
      <w:pPr>
        <w:pStyle w:val="aa"/>
        <w:numPr>
          <w:ilvl w:val="0"/>
          <w:numId w:val="3"/>
        </w:numPr>
        <w:spacing w:line="360" w:lineRule="auto"/>
        <w:jc w:val="both"/>
        <w:rPr>
          <w:rFonts w:cs="Times New Roman"/>
          <w:rtl/>
        </w:rPr>
      </w:pPr>
      <w:r w:rsidRPr="00B43723">
        <w:rPr>
          <w:rFonts w:cs="Times New Roman"/>
          <w:rtl/>
        </w:rPr>
        <w:t xml:space="preserve">הצדדים הגיעו ל" הסדר </w:t>
      </w:r>
      <w:r w:rsidRPr="00B43723">
        <w:rPr>
          <w:rFonts w:cs="Times New Roman" w:hint="cs"/>
          <w:rtl/>
        </w:rPr>
        <w:t xml:space="preserve">טיעון </w:t>
      </w:r>
      <w:r w:rsidRPr="00B43723">
        <w:rPr>
          <w:rFonts w:cs="Times New Roman"/>
          <w:rtl/>
        </w:rPr>
        <w:t xml:space="preserve">"לעניין </w:t>
      </w:r>
      <w:r w:rsidRPr="00B43723">
        <w:rPr>
          <w:rFonts w:cs="Times New Roman" w:hint="cs"/>
          <w:rtl/>
        </w:rPr>
        <w:t xml:space="preserve">אי הרשעה </w:t>
      </w:r>
      <w:r w:rsidRPr="00B43723">
        <w:rPr>
          <w:rFonts w:cs="Times New Roman"/>
          <w:rtl/>
        </w:rPr>
        <w:t xml:space="preserve">ובמסגרתו עתרו לביטול ההרשעה </w:t>
      </w:r>
      <w:r w:rsidRPr="00B43723">
        <w:rPr>
          <w:rFonts w:cs="Times New Roman" w:hint="cs"/>
          <w:rtl/>
        </w:rPr>
        <w:t>,</w:t>
      </w:r>
      <w:r w:rsidRPr="00B43723">
        <w:rPr>
          <w:rFonts w:cs="Times New Roman"/>
          <w:rtl/>
        </w:rPr>
        <w:t xml:space="preserve"> בהתאם ל</w:t>
      </w:r>
      <w:r w:rsidRPr="00B43723">
        <w:rPr>
          <w:rFonts w:cs="Times New Roman" w:hint="cs"/>
          <w:rtl/>
        </w:rPr>
        <w:t xml:space="preserve">" </w:t>
      </w:r>
      <w:r w:rsidRPr="00B43723">
        <w:rPr>
          <w:rFonts w:cs="Times New Roman"/>
          <w:rtl/>
        </w:rPr>
        <w:t>הילכת כתאב</w:t>
      </w:r>
      <w:r w:rsidRPr="00B43723">
        <w:rPr>
          <w:rFonts w:cs="Times New Roman" w:hint="cs"/>
          <w:rtl/>
        </w:rPr>
        <w:t xml:space="preserve">" </w:t>
      </w:r>
      <w:r w:rsidRPr="00B43723">
        <w:rPr>
          <w:rFonts w:cs="Times New Roman"/>
          <w:rtl/>
        </w:rPr>
        <w:t xml:space="preserve">ולתסקיר המבחן, </w:t>
      </w:r>
      <w:r w:rsidRPr="00B43723">
        <w:rPr>
          <w:rFonts w:cs="Times New Roman" w:hint="cs"/>
          <w:rtl/>
        </w:rPr>
        <w:t xml:space="preserve">והצדדים עתרו בהסכמה לענישה בדמות </w:t>
      </w:r>
      <w:r w:rsidRPr="00B43723">
        <w:rPr>
          <w:rFonts w:cs="Times New Roman"/>
          <w:rtl/>
        </w:rPr>
        <w:t>של"צ בהתאם לתסקיר</w:t>
      </w:r>
      <w:r w:rsidRPr="00B43723">
        <w:rPr>
          <w:rFonts w:cs="Times New Roman" w:hint="cs"/>
          <w:rtl/>
        </w:rPr>
        <w:t>,</w:t>
      </w:r>
      <w:r w:rsidRPr="00B43723">
        <w:rPr>
          <w:rFonts w:cs="Times New Roman"/>
          <w:rtl/>
        </w:rPr>
        <w:t xml:space="preserve"> </w:t>
      </w:r>
      <w:r w:rsidRPr="00B43723">
        <w:rPr>
          <w:rFonts w:cs="Times New Roman" w:hint="cs"/>
          <w:rtl/>
        </w:rPr>
        <w:t>ובעתירת המאשימה גם ל</w:t>
      </w:r>
      <w:r w:rsidRPr="00B43723">
        <w:rPr>
          <w:rFonts w:cs="Times New Roman"/>
          <w:rtl/>
        </w:rPr>
        <w:t xml:space="preserve">התחייבות כספית. </w:t>
      </w:r>
    </w:p>
    <w:p w14:paraId="67D64617" w14:textId="77777777" w:rsidR="00B43723" w:rsidRPr="00B43723" w:rsidRDefault="00B43723" w:rsidP="00B43723">
      <w:pPr>
        <w:spacing w:line="360" w:lineRule="auto"/>
        <w:jc w:val="both"/>
        <w:rPr>
          <w:rFonts w:cs="Times New Roman"/>
          <w:rtl/>
        </w:rPr>
      </w:pPr>
    </w:p>
    <w:p w14:paraId="224BD8FE" w14:textId="77777777" w:rsidR="00B43723" w:rsidRPr="00B43723" w:rsidRDefault="00B43723" w:rsidP="00B43723">
      <w:pPr>
        <w:pStyle w:val="a"/>
        <w:numPr>
          <w:ilvl w:val="0"/>
          <w:numId w:val="3"/>
        </w:numPr>
        <w:rPr>
          <w:rFonts w:ascii="Times New Roman" w:hAnsi="Times New Roman" w:cs="Times New Roman"/>
          <w:b/>
          <w:bCs/>
          <w:rtl/>
        </w:rPr>
      </w:pPr>
      <w:r w:rsidRPr="00B43723">
        <w:rPr>
          <w:rFonts w:ascii="Times New Roman" w:hAnsi="Times New Roman" w:cs="Times New Roman"/>
          <w:rtl/>
        </w:rPr>
        <w:t>נוכח הסכמת הצדדים לאחר</w:t>
      </w:r>
      <w:r w:rsidRPr="00B43723">
        <w:rPr>
          <w:rFonts w:ascii="Times New Roman" w:hAnsi="Times New Roman" w:cs="Times New Roman"/>
        </w:rPr>
        <w:t xml:space="preserve"> </w:t>
      </w:r>
      <w:r w:rsidRPr="00B43723">
        <w:rPr>
          <w:rFonts w:ascii="Times New Roman" w:hAnsi="Times New Roman" w:cs="Times New Roman"/>
          <w:rtl/>
        </w:rPr>
        <w:t xml:space="preserve">שנבדקה השלכתה של ההרשעה על עתידו של הנאשם בוודאות קונקרטית, וביחסים שבין מאפייני העבירה של השימוש העצמי הכמות המינורית, התסקיר החיובי ביחס לנאשם נעדר עבר פלילי, ובשל הודאתו של הנאשם קבלתו הדין, חרטתו ונסיבות ייחודיות הנוגעות לתיק זה בהצהרת המדינה, לאחר בדיקת ההשלכות התעסוקתיות, והיות הנאשם נקי מסמים לאחר בדיקות בהליך האבחון תוך קביעה, כי אין מדובר אלא במעידה חברתית חד פעמית ביחס לנאשם נורמטיבי בעל תארים </w:t>
      </w:r>
      <w:r w:rsidRPr="00B43723">
        <w:rPr>
          <w:rFonts w:ascii="Times New Roman" w:hAnsi="Times New Roman" w:cs="Times New Roman" w:hint="cs"/>
          <w:rtl/>
        </w:rPr>
        <w:t>אקדמיים שדפוס התנהגותו השגרתי תקין</w:t>
      </w:r>
      <w:r w:rsidRPr="00B43723">
        <w:rPr>
          <w:rFonts w:ascii="Times New Roman" w:hAnsi="Times New Roman" w:cs="Times New Roman"/>
          <w:rtl/>
        </w:rPr>
        <w:t xml:space="preserve">, המטפל באמו החולה במחלת נפש, לה הנאשם </w:t>
      </w:r>
      <w:r w:rsidRPr="00B43723">
        <w:rPr>
          <w:rFonts w:ascii="Times New Roman" w:hAnsi="Times New Roman" w:cs="Times New Roman" w:hint="cs"/>
          <w:rtl/>
        </w:rPr>
        <w:t xml:space="preserve">מהוה </w:t>
      </w:r>
      <w:r w:rsidRPr="00B43723">
        <w:rPr>
          <w:rFonts w:ascii="Times New Roman" w:hAnsi="Times New Roman" w:cs="Times New Roman"/>
          <w:rtl/>
        </w:rPr>
        <w:t xml:space="preserve">גורם תמיכה יחיד משמעותי, מקבל בית המשפט את ההסדר העונשי אליו הגיעו הצדדים . </w:t>
      </w:r>
    </w:p>
    <w:p w14:paraId="52D04CAF" w14:textId="77777777" w:rsidR="00B43723" w:rsidRPr="00B43723" w:rsidRDefault="00B43723" w:rsidP="00B43723">
      <w:pPr>
        <w:pStyle w:val="a"/>
        <w:numPr>
          <w:ilvl w:val="0"/>
          <w:numId w:val="0"/>
        </w:numPr>
        <w:tabs>
          <w:tab w:val="num" w:pos="1080"/>
        </w:tabs>
        <w:ind w:left="284"/>
        <w:rPr>
          <w:rFonts w:ascii="Times New Roman" w:hAnsi="Times New Roman" w:cs="Times New Roman"/>
          <w:b/>
          <w:bCs/>
          <w:rtl/>
        </w:rPr>
      </w:pPr>
    </w:p>
    <w:p w14:paraId="1C1AA932" w14:textId="77777777" w:rsidR="00B43723" w:rsidRPr="00B43723" w:rsidRDefault="00B43723" w:rsidP="00B43723">
      <w:pPr>
        <w:pStyle w:val="a"/>
        <w:numPr>
          <w:ilvl w:val="0"/>
          <w:numId w:val="3"/>
        </w:numPr>
        <w:rPr>
          <w:rFonts w:ascii="Times New Roman" w:hAnsi="Times New Roman" w:cs="Times New Roman"/>
          <w:rtl/>
        </w:rPr>
      </w:pPr>
      <w:r w:rsidRPr="00B43723">
        <w:rPr>
          <w:rFonts w:ascii="Times New Roman" w:hAnsi="Times New Roman" w:cs="Times New Roman"/>
          <w:rtl/>
        </w:rPr>
        <w:t xml:space="preserve">במסגרת </w:t>
      </w:r>
      <w:hyperlink r:id="rId13" w:history="1">
        <w:r w:rsidR="00F038A7" w:rsidRPr="00F038A7">
          <w:rPr>
            <w:rFonts w:ascii="Times New Roman" w:hAnsi="Times New Roman" w:cs="Times New Roman"/>
            <w:color w:val="0000FF"/>
            <w:u w:val="single"/>
            <w:rtl/>
          </w:rPr>
          <w:t>עפ"ג (מחוזי ב"ש) 27326-12-21</w:t>
        </w:r>
      </w:hyperlink>
      <w:r w:rsidRPr="00B43723">
        <w:rPr>
          <w:rFonts w:ascii="Times New Roman" w:hAnsi="Times New Roman" w:cs="Times New Roman"/>
          <w:rtl/>
        </w:rPr>
        <w:t xml:space="preserve"> יצחק קיזר נ' מדינת ישראל (נבו 09.03.2022) מיישם בית המשפט את עקרון מקבילית הכוחות, תוך הבהרה שמעשה עבירה קל יצדיק חשש כללי ולא קונקרטי לנזק בלתי הפיך או לא מידתי. </w:t>
      </w:r>
      <w:r w:rsidRPr="00B43723">
        <w:rPr>
          <w:rFonts w:ascii="Times New Roman" w:hAnsi="Times New Roman" w:cs="Times New Roman" w:hint="cs"/>
          <w:rtl/>
        </w:rPr>
        <w:t xml:space="preserve">מקום שחשש זה קונקרטי והעבירה מינורית ביחס לנאשם נורמטיבי נעדר עבר פלילי, לאחר הודאה חרטה וקבלת הדין ללא חשש הישנות עבירה לעתיד, הרי שישנה הצדקה במקרים החריגים לאי הרשעה , זאת באיזון לשאר </w:t>
      </w:r>
      <w:r w:rsidRPr="00B43723">
        <w:rPr>
          <w:rFonts w:ascii="Times New Roman" w:hAnsi="Times New Roman" w:cs="Times New Roman" w:hint="cs"/>
          <w:rtl/>
        </w:rPr>
        <w:lastRenderedPageBreak/>
        <w:t xml:space="preserve">רכיבי ענישה רלוונטיים. קל וחומר הוא כאשר מדובר ב" הסדר טיעון" ועתירת המאשימה עצמה לתוצאה זו . </w:t>
      </w:r>
    </w:p>
    <w:p w14:paraId="45D9B1EA" w14:textId="77777777" w:rsidR="00B43723" w:rsidRPr="00B43723" w:rsidRDefault="00B43723" w:rsidP="00B43723">
      <w:pPr>
        <w:pStyle w:val="ab"/>
        <w:spacing w:line="360" w:lineRule="auto"/>
        <w:ind w:left="2880"/>
        <w:rPr>
          <w:rFonts w:ascii="Times New Roman" w:hAnsi="Times New Roman" w:cs="Times New Roman"/>
          <w:i w:val="0"/>
          <w:iCs w:val="0"/>
          <w:rtl/>
        </w:rPr>
      </w:pPr>
      <w:r w:rsidRPr="00B43723">
        <w:rPr>
          <w:rFonts w:ascii="Times New Roman" w:hAnsi="Times New Roman" w:cs="Times New Roman"/>
          <w:i w:val="0"/>
          <w:iCs w:val="0"/>
          <w:shd w:val="clear" w:color="auto" w:fill="FFFFFF"/>
          <w:rtl/>
        </w:rPr>
        <w:t xml:space="preserve">"ניתן גם בעבירה שכזו להיעזר במקבילית כוחות: ככל שעוצמת הפגיעה בערכים המוגנים גבוהה, כך יידרשו נימוקים אישיים משמעותיים ביותר ומטבע הדברים יקשה על ההגנה להוכיח כי הפגיעה הנובעת מההרשעה אינה מידתית. מנגד, על הקצה השני של המידרג, 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 [השוו: </w:t>
      </w:r>
      <w:hyperlink r:id="rId14" w:history="1">
        <w:r w:rsidR="00F038A7" w:rsidRPr="00F038A7">
          <w:rPr>
            <w:rFonts w:ascii="Times New Roman" w:hAnsi="Times New Roman" w:cs="Times New Roman"/>
            <w:i w:val="0"/>
            <w:iCs w:val="0"/>
            <w:color w:val="0000FF"/>
            <w:u w:val="single"/>
            <w:shd w:val="clear" w:color="auto" w:fill="FFFFFF"/>
            <w:rtl/>
          </w:rPr>
          <w:t>עפ"ג (ב"ש) 66903-07-20</w:t>
        </w:r>
      </w:hyperlink>
      <w:r w:rsidRPr="00B43723">
        <w:rPr>
          <w:rFonts w:ascii="Times New Roman" w:hAnsi="Times New Roman" w:cs="Times New Roman"/>
          <w:i w:val="0"/>
          <w:iCs w:val="0"/>
          <w:shd w:val="clear" w:color="auto" w:fill="FFFFFF"/>
          <w:rtl/>
        </w:rPr>
        <w:t xml:space="preserve"> אבו מדיעם נ' מדינת ישראל [פורסם בנבו] (30.12.2020); </w:t>
      </w:r>
      <w:hyperlink r:id="rId15" w:history="1">
        <w:r w:rsidR="00F038A7" w:rsidRPr="00F038A7">
          <w:rPr>
            <w:rFonts w:ascii="Times New Roman" w:hAnsi="Times New Roman" w:cs="Times New Roman"/>
            <w:i w:val="0"/>
            <w:iCs w:val="0"/>
            <w:color w:val="0000FF"/>
            <w:u w:val="single"/>
            <w:shd w:val="clear" w:color="auto" w:fill="FFFFFF"/>
            <w:rtl/>
          </w:rPr>
          <w:t>ע"פ (מרכז) 24457-03-15</w:t>
        </w:r>
      </w:hyperlink>
      <w:r w:rsidRPr="00B43723">
        <w:rPr>
          <w:rFonts w:ascii="Times New Roman" w:hAnsi="Times New Roman" w:cs="Times New Roman"/>
          <w:i w:val="0"/>
          <w:iCs w:val="0"/>
          <w:shd w:val="clear" w:color="auto" w:fill="FFFFFF"/>
          <w:rtl/>
        </w:rPr>
        <w:t xml:space="preserve"> גוטרמן ואח' נ' מדינת ישראל [פורסם בנבו] (30.8.2015)</w:t>
      </w:r>
      <w:r w:rsidRPr="00B43723">
        <w:rPr>
          <w:rFonts w:ascii="Times New Roman" w:hAnsi="Times New Roman" w:cs="Times New Roman"/>
          <w:i w:val="0"/>
          <w:iCs w:val="0"/>
          <w:rtl/>
        </w:rPr>
        <w:t>].</w:t>
      </w:r>
    </w:p>
    <w:p w14:paraId="4B8B342D" w14:textId="77777777" w:rsidR="00B43723" w:rsidRPr="00B43723" w:rsidRDefault="00B43723" w:rsidP="00B43723">
      <w:pPr>
        <w:pStyle w:val="aa"/>
        <w:numPr>
          <w:ilvl w:val="0"/>
          <w:numId w:val="3"/>
        </w:numPr>
        <w:spacing w:line="360" w:lineRule="auto"/>
        <w:jc w:val="both"/>
        <w:rPr>
          <w:rFonts w:cs="Times New Roman"/>
          <w:b/>
          <w:bCs/>
          <w:rtl/>
        </w:rPr>
      </w:pPr>
      <w:r w:rsidRPr="00B43723">
        <w:rPr>
          <w:rFonts w:cs="Times New Roman"/>
          <w:rtl/>
        </w:rPr>
        <w:t xml:space="preserve">במקרה דנן, בחנה המאשימה במסמכים נזק קונקרטי </w:t>
      </w:r>
      <w:r w:rsidRPr="00B43723">
        <w:rPr>
          <w:rFonts w:cs="Times New Roman" w:hint="cs"/>
          <w:rtl/>
        </w:rPr>
        <w:t>ישיר</w:t>
      </w:r>
      <w:r w:rsidRPr="00B43723">
        <w:rPr>
          <w:rFonts w:cs="Times New Roman"/>
          <w:rtl/>
        </w:rPr>
        <w:t xml:space="preserve"> ומשמעותי ליציבות תעסוקתו של הנאשם, וביחס לעבירה מצאה לנכון לעתור לאי הרשעה דהיינו ביטול ההרשעה</w:t>
      </w:r>
      <w:r w:rsidRPr="00B43723">
        <w:rPr>
          <w:rFonts w:cs="Times New Roman" w:hint="cs"/>
          <w:rtl/>
        </w:rPr>
        <w:t xml:space="preserve">. </w:t>
      </w:r>
      <w:r w:rsidRPr="00B43723">
        <w:rPr>
          <w:rFonts w:cs="Times New Roman"/>
          <w:rtl/>
        </w:rPr>
        <w:t xml:space="preserve"> לפיכך, הריני לקבל מסקנתה זו במסגרת ההסדר</w:t>
      </w:r>
      <w:r w:rsidRPr="00B43723">
        <w:rPr>
          <w:rFonts w:cs="Times New Roman" w:hint="cs"/>
          <w:rtl/>
        </w:rPr>
        <w:t xml:space="preserve"> בשל חוסר המידתיות בין העבירה ונסיבותיה, הנאשם, תוצאות ההרשעה לגביו והשפעותיה על משפחתו באופן לא פרופורציוני</w:t>
      </w:r>
      <w:r w:rsidRPr="00B43723">
        <w:rPr>
          <w:rFonts w:cs="Times New Roman"/>
          <w:rtl/>
        </w:rPr>
        <w:t>. נוכח בדיקתה של זו המדינה , וההלכות הנוגעות ל</w:t>
      </w:r>
      <w:r w:rsidRPr="00B43723">
        <w:rPr>
          <w:rFonts w:cs="Times New Roman" w:hint="cs"/>
          <w:rtl/>
        </w:rPr>
        <w:t>"</w:t>
      </w:r>
      <w:r w:rsidRPr="00B43723">
        <w:rPr>
          <w:rFonts w:cs="Times New Roman"/>
          <w:rtl/>
        </w:rPr>
        <w:t xml:space="preserve">הסדר טיעון </w:t>
      </w:r>
      <w:r w:rsidRPr="00B43723">
        <w:rPr>
          <w:rFonts w:cs="Times New Roman" w:hint="cs"/>
          <w:rtl/>
        </w:rPr>
        <w:t xml:space="preserve">" המובא בפני בית המשפט </w:t>
      </w:r>
      <w:r w:rsidRPr="00B43723">
        <w:rPr>
          <w:rFonts w:cs="Times New Roman"/>
          <w:rtl/>
        </w:rPr>
        <w:t xml:space="preserve">על השלכות הרוחב של מוסד </w:t>
      </w:r>
      <w:r w:rsidRPr="00B43723">
        <w:rPr>
          <w:rFonts w:cs="Times New Roman" w:hint="cs"/>
          <w:rtl/>
        </w:rPr>
        <w:t xml:space="preserve">" </w:t>
      </w:r>
      <w:r w:rsidRPr="00B43723">
        <w:rPr>
          <w:rFonts w:cs="Times New Roman"/>
          <w:rtl/>
        </w:rPr>
        <w:t>הסדר הטיעון</w:t>
      </w:r>
      <w:r w:rsidRPr="00B43723">
        <w:rPr>
          <w:rFonts w:cs="Times New Roman" w:hint="cs"/>
          <w:rtl/>
        </w:rPr>
        <w:t xml:space="preserve">" </w:t>
      </w:r>
      <w:r w:rsidRPr="00B43723">
        <w:rPr>
          <w:rFonts w:cs="Times New Roman"/>
          <w:rtl/>
        </w:rPr>
        <w:t xml:space="preserve"> מערכתית</w:t>
      </w:r>
      <w:r w:rsidRPr="00B43723">
        <w:rPr>
          <w:rFonts w:cs="Times New Roman" w:hint="cs"/>
          <w:rtl/>
        </w:rPr>
        <w:t xml:space="preserve">, וכל הנוגע לפרטים המצויים בידי המאשימה בתיק זה </w:t>
      </w:r>
      <w:r w:rsidRPr="00B43723">
        <w:rPr>
          <w:rFonts w:cs="Times New Roman"/>
          <w:rtl/>
        </w:rPr>
        <w:t>, על פי הפסיקה, ו</w:t>
      </w:r>
      <w:r w:rsidRPr="00B43723">
        <w:rPr>
          <w:rFonts w:cs="Times New Roman" w:hint="cs"/>
          <w:rtl/>
        </w:rPr>
        <w:t>ב</w:t>
      </w:r>
      <w:r w:rsidRPr="00B43723">
        <w:rPr>
          <w:rFonts w:cs="Times New Roman"/>
          <w:rtl/>
        </w:rPr>
        <w:t xml:space="preserve">מכלול השיקולים </w:t>
      </w:r>
      <w:r w:rsidRPr="00B43723">
        <w:rPr>
          <w:rFonts w:cs="Times New Roman" w:hint="cs"/>
          <w:rtl/>
        </w:rPr>
        <w:t>שנשקלו על ידי</w:t>
      </w:r>
      <w:r w:rsidRPr="00B43723">
        <w:rPr>
          <w:rFonts w:cs="Times New Roman"/>
          <w:rtl/>
        </w:rPr>
        <w:t xml:space="preserve"> הצדדים, </w:t>
      </w:r>
      <w:r w:rsidRPr="00B43723">
        <w:rPr>
          <w:rFonts w:cs="Times New Roman"/>
          <w:b/>
          <w:bCs/>
          <w:rtl/>
        </w:rPr>
        <w:t xml:space="preserve">מקבל אני את ההסדר </w:t>
      </w:r>
      <w:r w:rsidRPr="00B43723">
        <w:rPr>
          <w:rFonts w:cs="Times New Roman" w:hint="cs"/>
          <w:b/>
          <w:bCs/>
          <w:rtl/>
        </w:rPr>
        <w:t xml:space="preserve">ועתירת המאשימה, </w:t>
      </w:r>
      <w:r w:rsidRPr="00B43723">
        <w:rPr>
          <w:rFonts w:cs="Times New Roman"/>
          <w:b/>
          <w:bCs/>
          <w:rtl/>
        </w:rPr>
        <w:t>ובמסגרת</w:t>
      </w:r>
      <w:r w:rsidRPr="00B43723">
        <w:rPr>
          <w:rFonts w:cs="Times New Roman" w:hint="cs"/>
          <w:b/>
          <w:bCs/>
          <w:rtl/>
        </w:rPr>
        <w:t>ם</w:t>
      </w:r>
      <w:r w:rsidRPr="00B43723">
        <w:rPr>
          <w:rFonts w:cs="Times New Roman"/>
          <w:b/>
          <w:bCs/>
          <w:rtl/>
        </w:rPr>
        <w:t xml:space="preserve"> מורה </w:t>
      </w:r>
      <w:r w:rsidRPr="00B43723">
        <w:rPr>
          <w:rFonts w:cs="Times New Roman" w:hint="cs"/>
          <w:b/>
          <w:bCs/>
          <w:rtl/>
        </w:rPr>
        <w:t xml:space="preserve">באופן חריג ויוצא דופן </w:t>
      </w:r>
      <w:r w:rsidRPr="00B43723">
        <w:rPr>
          <w:rFonts w:cs="Times New Roman"/>
          <w:b/>
          <w:bCs/>
          <w:rtl/>
        </w:rPr>
        <w:t xml:space="preserve">על ביטול ההרשעה, תוך קביעה כי הנאשם ביצע את המעשה המיוחס לו בכתב האישום המתוקן. </w:t>
      </w:r>
    </w:p>
    <w:p w14:paraId="365D77D7" w14:textId="77777777" w:rsidR="00B43723" w:rsidRPr="00B43723" w:rsidRDefault="00B43723" w:rsidP="00B43723">
      <w:pPr>
        <w:spacing w:line="360" w:lineRule="auto"/>
        <w:jc w:val="both"/>
        <w:rPr>
          <w:rFonts w:cs="Times New Roman"/>
          <w:rtl/>
        </w:rPr>
      </w:pPr>
    </w:p>
    <w:p w14:paraId="3ACB569C" w14:textId="77777777" w:rsidR="00B43723" w:rsidRPr="00B43723" w:rsidRDefault="00B43723" w:rsidP="00B43723">
      <w:pPr>
        <w:pStyle w:val="aa"/>
        <w:numPr>
          <w:ilvl w:val="0"/>
          <w:numId w:val="3"/>
        </w:numPr>
        <w:spacing w:line="360" w:lineRule="auto"/>
        <w:jc w:val="both"/>
        <w:rPr>
          <w:rFonts w:cs="Times New Roman"/>
          <w:rtl/>
        </w:rPr>
      </w:pPr>
      <w:r w:rsidRPr="00B43723">
        <w:rPr>
          <w:rFonts w:cs="Times New Roman"/>
          <w:rtl/>
        </w:rPr>
        <w:t xml:space="preserve">נוכח התסקיר החיובי והמלצותיו לאחר בדיקת מסמכים רלוונטיים, ותמיכת המדינה במסקנותיו, לאחר בחינת התיק, ומשדרשתי במסקנות הצדדים, </w:t>
      </w:r>
      <w:r w:rsidRPr="00B43723">
        <w:rPr>
          <w:rFonts w:cs="Times New Roman" w:hint="cs"/>
          <w:rtl/>
        </w:rPr>
        <w:t>ובחנתי התסקיר, וקביעתו לאחר אבחון  כי מדובר במעידה חברתית אחת וש</w:t>
      </w:r>
      <w:r w:rsidRPr="00B43723">
        <w:rPr>
          <w:rFonts w:cs="Times New Roman"/>
          <w:rtl/>
        </w:rPr>
        <w:t xml:space="preserve">אין מדובר בהתמכרות, או אורח חיים המחייב מענה עונשי מותאם מעבר לעתירת המאשימה,  אקבל ההמלצה לשל"צ ואאזן בהתחייבות הכספית מושא העתירה </w:t>
      </w:r>
      <w:r w:rsidRPr="00B43723">
        <w:rPr>
          <w:rFonts w:cs="Times New Roman" w:hint="cs"/>
          <w:rtl/>
        </w:rPr>
        <w:t>אותה ראיתי הכרחית באיזון המתבקש</w:t>
      </w:r>
      <w:r w:rsidRPr="00B43723">
        <w:rPr>
          <w:rFonts w:cs="Times New Roman"/>
          <w:rtl/>
        </w:rPr>
        <w:t xml:space="preserve">. </w:t>
      </w:r>
    </w:p>
    <w:p w14:paraId="25C680E8" w14:textId="77777777" w:rsidR="00B43723" w:rsidRPr="00B43723" w:rsidRDefault="00B43723" w:rsidP="00B43723">
      <w:pPr>
        <w:spacing w:line="360" w:lineRule="auto"/>
        <w:jc w:val="both"/>
        <w:rPr>
          <w:rFonts w:cs="Times New Roman"/>
          <w:rtl/>
        </w:rPr>
      </w:pPr>
    </w:p>
    <w:p w14:paraId="4B4BFCC7" w14:textId="77777777" w:rsidR="00B43723" w:rsidRPr="00B43723" w:rsidRDefault="00B43723" w:rsidP="00B43723">
      <w:pPr>
        <w:pStyle w:val="aa"/>
        <w:numPr>
          <w:ilvl w:val="0"/>
          <w:numId w:val="3"/>
        </w:numPr>
        <w:spacing w:line="360" w:lineRule="auto"/>
        <w:jc w:val="both"/>
        <w:rPr>
          <w:rFonts w:cs="Times New Roman"/>
          <w:rtl/>
        </w:rPr>
      </w:pPr>
      <w:r w:rsidRPr="00B43723">
        <w:rPr>
          <w:rFonts w:cs="Times New Roman" w:hint="cs"/>
          <w:rtl/>
        </w:rPr>
        <w:t xml:space="preserve">בית המשפט אינו בא רק להרשיע אלא במקרים המתאימים גם להושיע,  זאת מקום, שעלולה הרשעתו או רכיבי הענישה לפגוע בחוסר מידתיות והלימה ביחס למעשה העבירה. כל מקרה לגופו. מקום שגם תסקיר המבחן וגם המדינה הסוברנית לנהל את מאבקיה בפשיעה בשיקול דעת מערכתי, וההגנה אף היא , כולם יחד - תמימי דעים כי זו התוצאה הראויה למקרה נקודתי זה, אל לו לבית המשפט לפגוע באיזונים אלה אלא במקרים חריגים. כך מצוות הפסיקה עליו </w:t>
      </w:r>
      <w:r w:rsidRPr="00B43723">
        <w:rPr>
          <w:rFonts w:cs="Times New Roman" w:hint="cs"/>
          <w:b/>
          <w:bCs/>
          <w:rtl/>
        </w:rPr>
        <w:t xml:space="preserve">ראו </w:t>
      </w:r>
      <w:hyperlink r:id="rId16" w:history="1">
        <w:r w:rsidR="00F038A7" w:rsidRPr="00F038A7">
          <w:rPr>
            <w:rFonts w:cs="Times New Roman"/>
            <w:b/>
            <w:bCs/>
            <w:color w:val="0000FF"/>
            <w:u w:val="single"/>
            <w:rtl/>
          </w:rPr>
          <w:t>ע"פ 1958/98</w:t>
        </w:r>
      </w:hyperlink>
      <w:r w:rsidRPr="00B43723">
        <w:rPr>
          <w:rFonts w:cs="Times New Roman" w:hint="cs"/>
          <w:b/>
          <w:bCs/>
          <w:rtl/>
        </w:rPr>
        <w:t xml:space="preserve"> פלוני נגד</w:t>
      </w:r>
      <w:r w:rsidRPr="00B43723">
        <w:rPr>
          <w:rFonts w:cs="Times New Roman"/>
          <w:b/>
          <w:bCs/>
          <w:rtl/>
        </w:rPr>
        <w:t xml:space="preserve"> </w:t>
      </w:r>
      <w:r w:rsidRPr="00B43723">
        <w:rPr>
          <w:rFonts w:cs="Times New Roman" w:hint="cs"/>
          <w:b/>
          <w:bCs/>
          <w:rtl/>
        </w:rPr>
        <w:t xml:space="preserve">מדינת ישראל, פ"ד ישראל, נ"ז </w:t>
      </w:r>
      <w:r w:rsidRPr="00B43723">
        <w:rPr>
          <w:rFonts w:cs="Times New Roman"/>
          <w:b/>
          <w:bCs/>
        </w:rPr>
        <w:t>)</w:t>
      </w:r>
      <w:r w:rsidRPr="00B43723">
        <w:rPr>
          <w:rFonts w:cs="Times New Roman" w:hint="cs"/>
          <w:b/>
          <w:bCs/>
          <w:rtl/>
        </w:rPr>
        <w:t>1) 577,</w:t>
      </w:r>
      <w:r w:rsidRPr="00B43723">
        <w:rPr>
          <w:rFonts w:cs="Times New Roman" w:hint="cs"/>
          <w:rtl/>
        </w:rPr>
        <w:t xml:space="preserve"> זאת , גם אם יתמה, ידרוש ויבקש לדעת צפונות כל תיק ותיק לאלפיו. חשיבותם של הסדרי הטיעון ומעמדם מחייבים ראייה רחבה לתכליתם.  </w:t>
      </w:r>
    </w:p>
    <w:p w14:paraId="3D2D367C" w14:textId="77777777" w:rsidR="00B43723" w:rsidRPr="00B43723" w:rsidRDefault="00B43723" w:rsidP="00B43723">
      <w:pPr>
        <w:spacing w:line="360" w:lineRule="auto"/>
        <w:jc w:val="both"/>
        <w:rPr>
          <w:rFonts w:cs="Times New Roman"/>
          <w:rtl/>
        </w:rPr>
      </w:pPr>
    </w:p>
    <w:p w14:paraId="0A9004DF" w14:textId="77777777" w:rsidR="00B43723" w:rsidRPr="00B43723" w:rsidRDefault="00B43723" w:rsidP="00B43723">
      <w:pPr>
        <w:pStyle w:val="aa"/>
        <w:numPr>
          <w:ilvl w:val="0"/>
          <w:numId w:val="3"/>
        </w:numPr>
        <w:spacing w:line="360" w:lineRule="auto"/>
        <w:jc w:val="both"/>
        <w:rPr>
          <w:rFonts w:cs="Times New Roman"/>
          <w:rtl/>
        </w:rPr>
      </w:pPr>
      <w:r w:rsidRPr="00B43723">
        <w:rPr>
          <w:rFonts w:cs="Times New Roman"/>
          <w:rtl/>
        </w:rPr>
        <w:t xml:space="preserve">לאור האמור, הריני גוזר על הנאשם את העונשים הבאים: </w:t>
      </w:r>
    </w:p>
    <w:p w14:paraId="52179FF9" w14:textId="77777777" w:rsidR="00B43723" w:rsidRPr="00B43723" w:rsidRDefault="00B43723" w:rsidP="00B43723">
      <w:pPr>
        <w:spacing w:line="360" w:lineRule="auto"/>
        <w:jc w:val="both"/>
        <w:rPr>
          <w:rFonts w:cs="Times New Roman"/>
          <w:rtl/>
        </w:rPr>
      </w:pPr>
    </w:p>
    <w:p w14:paraId="6F60FFCD" w14:textId="77777777" w:rsidR="00B43723" w:rsidRPr="00B43723" w:rsidRDefault="00B43723" w:rsidP="00B43723">
      <w:pPr>
        <w:numPr>
          <w:ilvl w:val="0"/>
          <w:numId w:val="2"/>
        </w:numPr>
        <w:spacing w:line="360" w:lineRule="auto"/>
        <w:ind w:left="1080" w:right="-426"/>
        <w:jc w:val="both"/>
        <w:rPr>
          <w:rFonts w:cs="Times New Roman"/>
        </w:rPr>
      </w:pPr>
      <w:r w:rsidRPr="00B43723">
        <w:rPr>
          <w:rFonts w:cs="Times New Roman"/>
          <w:rtl/>
        </w:rPr>
        <w:t xml:space="preserve"> </w:t>
      </w:r>
      <w:r w:rsidRPr="00B43723">
        <w:rPr>
          <w:rFonts w:eastAsia="Calibri" w:cs="Times New Roman"/>
          <w:rtl/>
        </w:rPr>
        <w:t xml:space="preserve">200 שעות של"צ אשר תבוצענה על פי תכנית שתוכן על ידי שירות המבחן, במרכז יום לקשיש  בתל אביב בתפקיד סיוע לצוות – ובהתאם להוראות שירות המבחן . </w:t>
      </w:r>
    </w:p>
    <w:p w14:paraId="77424E56" w14:textId="77777777" w:rsidR="00B43723" w:rsidRPr="00B43723" w:rsidRDefault="00B43723" w:rsidP="00B43723">
      <w:pPr>
        <w:spacing w:line="360" w:lineRule="auto"/>
        <w:ind w:left="1080" w:right="-426"/>
        <w:jc w:val="both"/>
        <w:rPr>
          <w:rFonts w:cs="Times New Roman"/>
        </w:rPr>
      </w:pPr>
    </w:p>
    <w:p w14:paraId="45C4249D" w14:textId="77777777" w:rsidR="00B43723" w:rsidRPr="00B43723" w:rsidRDefault="00B43723" w:rsidP="00B43723">
      <w:pPr>
        <w:spacing w:line="360" w:lineRule="auto"/>
        <w:ind w:left="1080" w:right="-426"/>
        <w:jc w:val="both"/>
        <w:rPr>
          <w:rFonts w:cs="Times New Roman"/>
        </w:rPr>
      </w:pPr>
      <w:r w:rsidRPr="00B43723">
        <w:rPr>
          <w:rFonts w:cs="Times New Roman"/>
          <w:rtl/>
        </w:rPr>
        <w:t>יובהר כי אם לא יעמוד הנאשם בדרישות התוכנית, רשאי יהא בית המשפט לאחר הודעת שירות המבחן, לגזור עונשו מחדש ולא יהא באמור, כדי לפגוע בכל שיקול ענישה לכל דבר ועניין</w:t>
      </w:r>
      <w:r w:rsidRPr="00B43723">
        <w:rPr>
          <w:rFonts w:cs="Times New Roman" w:hint="cs"/>
          <w:rtl/>
        </w:rPr>
        <w:t>, לרבות שיקולי הרשעה</w:t>
      </w:r>
      <w:r w:rsidRPr="00B43723">
        <w:rPr>
          <w:rFonts w:cs="Times New Roman"/>
          <w:rtl/>
        </w:rPr>
        <w:t xml:space="preserve">. </w:t>
      </w:r>
    </w:p>
    <w:p w14:paraId="10BD801E" w14:textId="77777777" w:rsidR="00B43723" w:rsidRPr="00B43723" w:rsidRDefault="00B43723" w:rsidP="00B43723">
      <w:pPr>
        <w:spacing w:line="360" w:lineRule="auto"/>
        <w:ind w:right="-426"/>
        <w:jc w:val="both"/>
        <w:rPr>
          <w:rFonts w:cs="Times New Roman"/>
        </w:rPr>
      </w:pPr>
    </w:p>
    <w:p w14:paraId="50E8B3A6" w14:textId="77777777" w:rsidR="00B43723" w:rsidRPr="00B43723" w:rsidRDefault="00F038A7" w:rsidP="00B43723">
      <w:pPr>
        <w:numPr>
          <w:ilvl w:val="0"/>
          <w:numId w:val="2"/>
        </w:numPr>
        <w:spacing w:line="360" w:lineRule="auto"/>
        <w:ind w:left="1080" w:right="-426"/>
        <w:jc w:val="both"/>
        <w:rPr>
          <w:rFonts w:cs="Times New Roman"/>
        </w:rPr>
      </w:pPr>
      <w:r w:rsidRPr="00F038A7">
        <w:rPr>
          <w:rFonts w:cs="Times New Roman"/>
          <w:color w:val="FFFFFF"/>
          <w:sz w:val="2"/>
          <w:szCs w:val="2"/>
          <w:rtl/>
        </w:rPr>
        <w:t>5129371</w:t>
      </w:r>
      <w:r w:rsidR="00B43723" w:rsidRPr="00B43723">
        <w:rPr>
          <w:rFonts w:cs="Times New Roman"/>
          <w:rtl/>
        </w:rPr>
        <w:t xml:space="preserve">הנאשם יצהיר על התחייבות כספית בסך של:  5,000 ₪ שלא יעבור בתוך </w:t>
      </w:r>
      <w:r w:rsidR="00B43723" w:rsidRPr="00B43723">
        <w:rPr>
          <w:rFonts w:cs="Times New Roman" w:hint="cs"/>
          <w:rtl/>
        </w:rPr>
        <w:t xml:space="preserve">שנה </w:t>
      </w:r>
      <w:r w:rsidR="00B43723" w:rsidRPr="00B43723">
        <w:rPr>
          <w:rFonts w:cs="Times New Roman"/>
          <w:rtl/>
        </w:rPr>
        <w:t xml:space="preserve"> מהיום עבירה לפי </w:t>
      </w:r>
      <w:hyperlink r:id="rId17" w:history="1">
        <w:r w:rsidRPr="00F038A7">
          <w:rPr>
            <w:rFonts w:cs="Times New Roman"/>
            <w:color w:val="0000FF"/>
            <w:u w:val="single"/>
            <w:rtl/>
          </w:rPr>
          <w:t>פקודת הסמים המסוכנים</w:t>
        </w:r>
      </w:hyperlink>
      <w:r w:rsidR="00B43723" w:rsidRPr="00B43723">
        <w:rPr>
          <w:rFonts w:cs="Times New Roman"/>
          <w:rtl/>
        </w:rPr>
        <w:t xml:space="preserve"> ( נ"ח ) תשל"ג – 1973. ההתחייבות תוצהר לפרוטוקול.</w:t>
      </w:r>
    </w:p>
    <w:p w14:paraId="0A40BC5A" w14:textId="77777777" w:rsidR="00B43723" w:rsidRPr="00F038A7" w:rsidRDefault="00F038A7" w:rsidP="00B43723">
      <w:pPr>
        <w:spacing w:line="360" w:lineRule="auto"/>
        <w:jc w:val="both"/>
        <w:rPr>
          <w:rFonts w:cs="Times New Roman"/>
          <w:color w:val="FFFFFF"/>
          <w:sz w:val="2"/>
          <w:szCs w:val="2"/>
          <w:rtl/>
        </w:rPr>
      </w:pPr>
      <w:r w:rsidRPr="00F038A7">
        <w:rPr>
          <w:rFonts w:cs="Times New Roman"/>
          <w:color w:val="FFFFFF"/>
          <w:sz w:val="2"/>
          <w:szCs w:val="2"/>
          <w:rtl/>
        </w:rPr>
        <w:t>54678313</w:t>
      </w:r>
    </w:p>
    <w:p w14:paraId="70868263" w14:textId="77777777" w:rsidR="00B43723" w:rsidRPr="00B43723" w:rsidRDefault="00B43723" w:rsidP="00B43723">
      <w:pPr>
        <w:spacing w:line="360" w:lineRule="auto"/>
        <w:jc w:val="both"/>
        <w:rPr>
          <w:rFonts w:cs="Times New Roman"/>
          <w:b/>
          <w:bCs/>
          <w:rtl/>
        </w:rPr>
      </w:pPr>
      <w:r w:rsidRPr="00B43723">
        <w:rPr>
          <w:rFonts w:cs="Times New Roman"/>
          <w:b/>
          <w:bCs/>
          <w:rtl/>
        </w:rPr>
        <w:t>זכות ערעור כחוק.</w:t>
      </w:r>
    </w:p>
    <w:p w14:paraId="73450AEB" w14:textId="77777777" w:rsidR="00B43723" w:rsidRPr="00B43723" w:rsidRDefault="00F038A7" w:rsidP="00B43723">
      <w:pPr>
        <w:spacing w:line="360" w:lineRule="auto"/>
        <w:jc w:val="both"/>
        <w:rPr>
          <w:rFonts w:cs="Times New Roman"/>
          <w:rtl/>
        </w:rPr>
      </w:pPr>
      <w:bookmarkStart w:id="8" w:name="Nitan"/>
      <w:r>
        <w:rPr>
          <w:rFonts w:cs="Times New Roman"/>
          <w:rtl/>
        </w:rPr>
        <w:t xml:space="preserve">ניתן היום,  ז' ניסן תשפ"ד, 15 אפריל 2024, בהעדר הצדדים.     </w:t>
      </w:r>
      <w:bookmarkEnd w:id="8"/>
      <w:r w:rsidR="00B43723" w:rsidRPr="00B43723">
        <w:rPr>
          <w:rFonts w:cs="Times New Roman"/>
          <w:rtl/>
        </w:rPr>
        <w:tab/>
      </w:r>
      <w:r w:rsidR="00B43723" w:rsidRPr="00B43723">
        <w:rPr>
          <w:rFonts w:cs="Times New Roman"/>
          <w:rtl/>
        </w:rPr>
        <w:tab/>
        <w:t xml:space="preserve">         </w:t>
      </w:r>
    </w:p>
    <w:p w14:paraId="3AC0DC6C" w14:textId="77777777" w:rsidR="00B43723" w:rsidRPr="000E4570" w:rsidRDefault="00B43723" w:rsidP="00F038A7">
      <w:pPr>
        <w:jc w:val="center"/>
      </w:pPr>
      <w:r w:rsidRPr="00B43723">
        <w:rPr>
          <w:rFonts w:cs="Times New Roman"/>
          <w:rtl/>
        </w:rPr>
        <w:t xml:space="preserve">   </w:t>
      </w:r>
      <w:r w:rsidRPr="00B43723">
        <w:rPr>
          <w:rFonts w:cs="Times New Roman"/>
          <w:rtl/>
        </w:rPr>
        <w:tab/>
      </w:r>
      <w:r w:rsidRPr="00B43723">
        <w:rPr>
          <w:rFonts w:cs="Times New Roman"/>
          <w:rtl/>
        </w:rPr>
        <w:tab/>
      </w:r>
      <w:r w:rsidRPr="00B43723">
        <w:rPr>
          <w:rFonts w:cs="Times New Roman"/>
          <w:rtl/>
        </w:rPr>
        <w:tab/>
      </w:r>
      <w:r w:rsidRPr="00B43723">
        <w:rPr>
          <w:rFonts w:cs="Times New Roman"/>
          <w:rtl/>
        </w:rPr>
        <w:tab/>
      </w:r>
      <w:r w:rsidRPr="00B43723">
        <w:rPr>
          <w:rFonts w:cs="Times New Roman"/>
          <w:rtl/>
        </w:rPr>
        <w:tab/>
      </w:r>
    </w:p>
    <w:p w14:paraId="13D4E93D" w14:textId="77777777" w:rsidR="00B43723" w:rsidRPr="00B43723" w:rsidRDefault="00B43723" w:rsidP="00B43723">
      <w:pPr>
        <w:jc w:val="center"/>
        <w:rPr>
          <w:rFonts w:cs="Times New Roman"/>
          <w:rtl/>
        </w:rPr>
      </w:pPr>
    </w:p>
    <w:p w14:paraId="6A048001" w14:textId="77777777" w:rsidR="00420D37" w:rsidRPr="00F038A7" w:rsidRDefault="00420D37" w:rsidP="00F038A7">
      <w:pPr>
        <w:keepNext/>
        <w:rPr>
          <w:rFonts w:ascii="David" w:hAnsi="David"/>
          <w:color w:val="000000"/>
          <w:sz w:val="22"/>
          <w:szCs w:val="22"/>
          <w:rtl/>
        </w:rPr>
      </w:pPr>
    </w:p>
    <w:p w14:paraId="49AFA511" w14:textId="77777777" w:rsidR="00F038A7" w:rsidRPr="00F038A7" w:rsidRDefault="00F038A7" w:rsidP="00F038A7">
      <w:pPr>
        <w:keepNext/>
        <w:rPr>
          <w:rFonts w:ascii="David" w:hAnsi="David"/>
          <w:color w:val="000000"/>
          <w:sz w:val="22"/>
          <w:szCs w:val="22"/>
          <w:rtl/>
        </w:rPr>
      </w:pPr>
      <w:r w:rsidRPr="00F038A7">
        <w:rPr>
          <w:rFonts w:ascii="David" w:hAnsi="David"/>
          <w:color w:val="000000"/>
          <w:sz w:val="22"/>
          <w:szCs w:val="22"/>
          <w:rtl/>
        </w:rPr>
        <w:t>אריה דורני דורון 54678313</w:t>
      </w:r>
    </w:p>
    <w:p w14:paraId="725C5CEE" w14:textId="77777777" w:rsidR="00F038A7" w:rsidRDefault="00F038A7" w:rsidP="00F038A7">
      <w:r w:rsidRPr="00F038A7">
        <w:rPr>
          <w:color w:val="000000"/>
          <w:rtl/>
        </w:rPr>
        <w:t>נוסח מסמך זה כפוף לשינויי ניסוח ועריכה</w:t>
      </w:r>
    </w:p>
    <w:p w14:paraId="5C661BE8" w14:textId="77777777" w:rsidR="00F038A7" w:rsidRDefault="00F038A7" w:rsidP="00F038A7">
      <w:pPr>
        <w:rPr>
          <w:rtl/>
        </w:rPr>
      </w:pPr>
    </w:p>
    <w:p w14:paraId="54498073" w14:textId="77777777" w:rsidR="00F038A7" w:rsidRDefault="00F038A7" w:rsidP="00F038A7">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2D1AE92" w14:textId="77777777" w:rsidR="00F038A7" w:rsidRPr="00F038A7" w:rsidRDefault="00F038A7" w:rsidP="00F038A7">
      <w:pPr>
        <w:jc w:val="center"/>
        <w:rPr>
          <w:color w:val="0000FF"/>
          <w:u w:val="single"/>
        </w:rPr>
      </w:pPr>
    </w:p>
    <w:sectPr w:rsidR="00F038A7" w:rsidRPr="00F038A7" w:rsidSect="00F038A7">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EF81D" w14:textId="77777777" w:rsidR="001E6E7A" w:rsidRDefault="001E6E7A" w:rsidP="00DA36DA">
      <w:r>
        <w:separator/>
      </w:r>
    </w:p>
  </w:endnote>
  <w:endnote w:type="continuationSeparator" w:id="0">
    <w:p w14:paraId="00E1D737" w14:textId="77777777" w:rsidR="001E6E7A" w:rsidRDefault="001E6E7A" w:rsidP="00DA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968F4" w14:textId="77777777" w:rsidR="00F038A7" w:rsidRDefault="00F038A7" w:rsidP="00F038A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8FC46B6" w14:textId="77777777" w:rsidR="00AC2148" w:rsidRPr="00F038A7" w:rsidRDefault="00F038A7" w:rsidP="00F038A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5ACEE" w14:textId="77777777" w:rsidR="00F038A7" w:rsidRDefault="00F038A7" w:rsidP="00F038A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40B6">
      <w:rPr>
        <w:rFonts w:ascii="FrankRuehl" w:hAnsi="FrankRuehl" w:cs="FrankRuehl"/>
        <w:noProof/>
        <w:rtl/>
      </w:rPr>
      <w:t>1</w:t>
    </w:r>
    <w:r>
      <w:rPr>
        <w:rFonts w:ascii="FrankRuehl" w:hAnsi="FrankRuehl" w:cs="FrankRuehl"/>
        <w:rtl/>
      </w:rPr>
      <w:fldChar w:fldCharType="end"/>
    </w:r>
  </w:p>
  <w:p w14:paraId="5467E6C0" w14:textId="77777777" w:rsidR="00AC2148" w:rsidRPr="00F038A7" w:rsidRDefault="00F038A7" w:rsidP="00F038A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3418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6986" w14:textId="77777777" w:rsidR="001E6E7A" w:rsidRDefault="001E6E7A" w:rsidP="00DA36DA">
      <w:r>
        <w:separator/>
      </w:r>
    </w:p>
  </w:footnote>
  <w:footnote w:type="continuationSeparator" w:id="0">
    <w:p w14:paraId="529A2C91" w14:textId="77777777" w:rsidR="001E6E7A" w:rsidRDefault="001E6E7A" w:rsidP="00DA3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0A17" w14:textId="77777777" w:rsidR="00F038A7" w:rsidRPr="00F038A7" w:rsidRDefault="00F038A7" w:rsidP="00F038A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10410-10-22</w:t>
    </w:r>
    <w:r>
      <w:rPr>
        <w:rFonts w:ascii="David" w:hAnsi="David"/>
        <w:color w:val="000000"/>
        <w:sz w:val="22"/>
        <w:szCs w:val="22"/>
        <w:rtl/>
      </w:rPr>
      <w:tab/>
      <w:t xml:space="preserve"> מדינת ישראל נ' יורי יורובניק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C4EBE" w14:textId="77777777" w:rsidR="00F038A7" w:rsidRPr="00F038A7" w:rsidRDefault="00F038A7" w:rsidP="00F038A7">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10410-10-22</w:t>
    </w:r>
    <w:r>
      <w:rPr>
        <w:rFonts w:ascii="David" w:hAnsi="David"/>
        <w:color w:val="000000"/>
        <w:sz w:val="22"/>
        <w:szCs w:val="22"/>
        <w:rtl/>
      </w:rPr>
      <w:tab/>
      <w:t xml:space="preserve"> מדינת ישראל נ' יורי יורובניק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7DD27508"/>
    <w:lvl w:ilvl="0">
      <w:start w:val="1"/>
      <w:numFmt w:val="decimal"/>
      <w:lvlText w:val="%1."/>
      <w:lvlJc w:val="left"/>
      <w:pPr>
        <w:tabs>
          <w:tab w:val="num" w:pos="720"/>
        </w:tabs>
        <w:ind w:left="720" w:hanging="360"/>
      </w:pPr>
    </w:lvl>
    <w:lvl w:ilvl="1">
      <w:start w:val="1"/>
      <w:numFmt w:val="decimal"/>
      <w:pStyle w:val="a"/>
      <w:lvlText w:val="%2."/>
      <w:lvlJc w:val="left"/>
      <w:pPr>
        <w:tabs>
          <w:tab w:val="num" w:pos="1069"/>
        </w:tabs>
        <w:ind w:left="1069"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67F033A6"/>
    <w:multiLevelType w:val="hybridMultilevel"/>
    <w:tmpl w:val="9A449A64"/>
    <w:lvl w:ilvl="0" w:tplc="B3C28A1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92707"/>
    <w:multiLevelType w:val="hybridMultilevel"/>
    <w:tmpl w:val="EAE6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23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1009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9426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3723"/>
    <w:rsid w:val="001B5A3B"/>
    <w:rsid w:val="001E6E7A"/>
    <w:rsid w:val="0036251E"/>
    <w:rsid w:val="0039759C"/>
    <w:rsid w:val="00420D37"/>
    <w:rsid w:val="00624B60"/>
    <w:rsid w:val="008340BA"/>
    <w:rsid w:val="00844027"/>
    <w:rsid w:val="00AC2148"/>
    <w:rsid w:val="00AC40B6"/>
    <w:rsid w:val="00B072E2"/>
    <w:rsid w:val="00B43723"/>
    <w:rsid w:val="00D55923"/>
    <w:rsid w:val="00DA36DA"/>
    <w:rsid w:val="00DF1BA9"/>
    <w:rsid w:val="00EF1FB5"/>
    <w:rsid w:val="00F038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FBA932"/>
  <w15:chartTrackingRefBased/>
  <w15:docId w15:val="{8736CF61-F601-4493-8F17-B25C0895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4372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B43723"/>
    <w:pPr>
      <w:tabs>
        <w:tab w:val="center" w:pos="4153"/>
        <w:tab w:val="right" w:pos="8306"/>
      </w:tabs>
    </w:pPr>
  </w:style>
  <w:style w:type="character" w:customStyle="1" w:styleId="a5">
    <w:name w:val="כותרת עליונה תו"/>
    <w:link w:val="a4"/>
    <w:rsid w:val="00B43723"/>
    <w:rPr>
      <w:rFonts w:ascii="Times New Roman" w:eastAsia="Times New Roman" w:hAnsi="Times New Roman" w:cs="David"/>
      <w:sz w:val="24"/>
      <w:szCs w:val="24"/>
    </w:rPr>
  </w:style>
  <w:style w:type="paragraph" w:styleId="a6">
    <w:name w:val="footer"/>
    <w:basedOn w:val="a0"/>
    <w:link w:val="a7"/>
    <w:rsid w:val="00B43723"/>
    <w:pPr>
      <w:tabs>
        <w:tab w:val="center" w:pos="4153"/>
        <w:tab w:val="right" w:pos="8306"/>
      </w:tabs>
    </w:pPr>
  </w:style>
  <w:style w:type="character" w:customStyle="1" w:styleId="a7">
    <w:name w:val="כותרת תחתונה תו"/>
    <w:link w:val="a6"/>
    <w:rsid w:val="00B43723"/>
    <w:rPr>
      <w:rFonts w:ascii="Times New Roman" w:eastAsia="Times New Roman" w:hAnsi="Times New Roman" w:cs="David"/>
      <w:sz w:val="24"/>
      <w:szCs w:val="24"/>
    </w:rPr>
  </w:style>
  <w:style w:type="table" w:styleId="a8">
    <w:name w:val="Table Grid"/>
    <w:basedOn w:val="a2"/>
    <w:rsid w:val="00B437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43723"/>
  </w:style>
  <w:style w:type="paragraph" w:customStyle="1" w:styleId="a">
    <w:name w:val="ממוספר"/>
    <w:basedOn w:val="aa"/>
    <w:next w:val="a0"/>
    <w:rsid w:val="00B43723"/>
    <w:pPr>
      <w:numPr>
        <w:ilvl w:val="1"/>
        <w:numId w:val="1"/>
      </w:numPr>
      <w:tabs>
        <w:tab w:val="clear" w:pos="1069"/>
        <w:tab w:val="num" w:pos="360"/>
        <w:tab w:val="num" w:pos="1440"/>
      </w:tabs>
      <w:spacing w:after="240" w:line="360" w:lineRule="auto"/>
      <w:ind w:left="709" w:hanging="425"/>
      <w:contextualSpacing w:val="0"/>
      <w:jc w:val="both"/>
    </w:pPr>
    <w:rPr>
      <w:rFonts w:ascii="David" w:eastAsia="David" w:hAnsi="David"/>
    </w:rPr>
  </w:style>
  <w:style w:type="paragraph" w:customStyle="1" w:styleId="ab">
    <w:name w:val="צטוט"/>
    <w:next w:val="a0"/>
    <w:rsid w:val="00B43723"/>
    <w:pPr>
      <w:bidi/>
      <w:spacing w:after="240" w:line="276" w:lineRule="auto"/>
      <w:ind w:left="1503" w:right="709"/>
      <w:jc w:val="both"/>
    </w:pPr>
    <w:rPr>
      <w:rFonts w:ascii="David" w:hAnsi="David" w:cs="David"/>
      <w:i/>
      <w:iCs/>
      <w:sz w:val="24"/>
      <w:szCs w:val="24"/>
    </w:rPr>
  </w:style>
  <w:style w:type="paragraph" w:styleId="aa">
    <w:name w:val="List Paragraph"/>
    <w:basedOn w:val="a0"/>
    <w:qFormat/>
    <w:rsid w:val="00B43723"/>
    <w:pPr>
      <w:ind w:left="720"/>
      <w:contextualSpacing/>
    </w:pPr>
  </w:style>
  <w:style w:type="character" w:styleId="Hyperlink">
    <w:name w:val="Hyperlink"/>
    <w:rsid w:val="00F03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8170127"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6189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114120" TargetMode="External"/><Relationship Id="rId23"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688461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6140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589898</vt:i4>
      </vt:variant>
      <vt:variant>
        <vt:i4>27</vt:i4>
      </vt:variant>
      <vt:variant>
        <vt:i4>0</vt:i4>
      </vt:variant>
      <vt:variant>
        <vt:i4>5</vt:i4>
      </vt:variant>
      <vt:variant>
        <vt:lpwstr>http://www.nevo.co.il/case/161892</vt:lpwstr>
      </vt:variant>
      <vt:variant>
        <vt:lpwstr/>
      </vt:variant>
      <vt:variant>
        <vt:i4>3473524</vt:i4>
      </vt:variant>
      <vt:variant>
        <vt:i4>24</vt:i4>
      </vt:variant>
      <vt:variant>
        <vt:i4>0</vt:i4>
      </vt:variant>
      <vt:variant>
        <vt:i4>5</vt:i4>
      </vt:variant>
      <vt:variant>
        <vt:lpwstr>http://www.nevo.co.il/case/20114120</vt:lpwstr>
      </vt:variant>
      <vt:variant>
        <vt:lpwstr/>
      </vt:variant>
      <vt:variant>
        <vt:i4>4128892</vt:i4>
      </vt:variant>
      <vt:variant>
        <vt:i4>21</vt:i4>
      </vt:variant>
      <vt:variant>
        <vt:i4>0</vt:i4>
      </vt:variant>
      <vt:variant>
        <vt:i4>5</vt:i4>
      </vt:variant>
      <vt:variant>
        <vt:lpwstr>http://www.nevo.co.il/case/26884611</vt:lpwstr>
      </vt:variant>
      <vt:variant>
        <vt:lpwstr/>
      </vt:variant>
      <vt:variant>
        <vt:i4>3211386</vt:i4>
      </vt:variant>
      <vt:variant>
        <vt:i4>18</vt:i4>
      </vt:variant>
      <vt:variant>
        <vt:i4>0</vt:i4>
      </vt:variant>
      <vt:variant>
        <vt:i4>5</vt:i4>
      </vt:variant>
      <vt:variant>
        <vt:lpwstr>http://www.nevo.co.il/case/28170127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10410</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יורי יורובניק</vt:lpwstr>
  </property>
  <property fmtid="{D5CDD505-2E9C-101B-9397-08002B2CF9AE}" pid="10" name="LAWYER">
    <vt:lpwstr>מתן פחימה;בונדר בשמו של אייל שמילוביץ'</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20240415</vt:lpwstr>
  </property>
  <property fmtid="{D5CDD505-2E9C-101B-9397-08002B2CF9AE}" pid="14" name="TYPE_N_DATE">
    <vt:lpwstr>38020240415</vt:lpwstr>
  </property>
  <property fmtid="{D5CDD505-2E9C-101B-9397-08002B2CF9AE}" pid="15" name="WORDNUMPAGES">
    <vt:lpwstr>4</vt:lpwstr>
  </property>
  <property fmtid="{D5CDD505-2E9C-101B-9397-08002B2CF9AE}" pid="16" name="TYPE_ABS_DATE">
    <vt:lpwstr>380020240415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28170127;26884611;20114120;161892</vt:lpwstr>
  </property>
  <property fmtid="{D5CDD505-2E9C-101B-9397-08002B2CF9AE}" pid="36" name="LAWLISTTMP1">
    <vt:lpwstr>4216/007.a;007.c</vt:lpwstr>
  </property>
</Properties>
</file>