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0178A" w:rsidRPr="008A6A56" w14:paraId="7A6195D3" w14:textId="77777777" w:rsidTr="00F92677">
        <w:trPr>
          <w:gridAfter w:val="1"/>
          <w:wAfter w:w="99" w:type="dxa"/>
          <w:trHeight w:hRule="exact" w:val="418"/>
          <w:jc w:val="center"/>
        </w:trPr>
        <w:tc>
          <w:tcPr>
            <w:tcW w:w="8721" w:type="dxa"/>
            <w:gridSpan w:val="4"/>
          </w:tcPr>
          <w:p w14:paraId="068A1558" w14:textId="77777777" w:rsidR="0090178A" w:rsidRPr="008A6A56" w:rsidRDefault="0090178A" w:rsidP="00573543">
            <w:pPr>
              <w:pStyle w:val="a3"/>
              <w:jc w:val="center"/>
              <w:rPr>
                <w:rFonts w:ascii="Tahoma" w:hAnsi="Tahoma" w:cs="Tahoma"/>
                <w:color w:val="000080"/>
                <w:rtl/>
              </w:rPr>
            </w:pPr>
            <w:bookmarkStart w:id="0" w:name="FirstLawyer"/>
            <w:bookmarkStart w:id="1" w:name="LastJudge"/>
            <w:r w:rsidRPr="008A6A56">
              <w:rPr>
                <w:rFonts w:ascii="Tahoma" w:hAnsi="Tahoma" w:cs="Tahoma"/>
                <w:b/>
                <w:bCs/>
                <w:color w:val="000080"/>
                <w:rtl/>
              </w:rPr>
              <w:t>בית משפט השלום בחדרה</w:t>
            </w:r>
          </w:p>
        </w:tc>
      </w:tr>
      <w:tr w:rsidR="0090178A" w:rsidRPr="008A6A56" w14:paraId="1BCB4F29" w14:textId="77777777" w:rsidTr="00F92677">
        <w:trPr>
          <w:gridAfter w:val="1"/>
          <w:wAfter w:w="99" w:type="dxa"/>
          <w:trHeight w:val="337"/>
          <w:jc w:val="center"/>
        </w:trPr>
        <w:tc>
          <w:tcPr>
            <w:tcW w:w="5054" w:type="dxa"/>
            <w:gridSpan w:val="3"/>
          </w:tcPr>
          <w:p w14:paraId="0CBDBD16" w14:textId="77777777" w:rsidR="0090178A" w:rsidRPr="008A6A56" w:rsidRDefault="0090178A" w:rsidP="00573543">
            <w:pPr>
              <w:rPr>
                <w:rFonts w:cs="FrankRuehl"/>
                <w:sz w:val="28"/>
                <w:szCs w:val="28"/>
                <w:rtl/>
              </w:rPr>
            </w:pPr>
            <w:r w:rsidRPr="008A6A56">
              <w:rPr>
                <w:rFonts w:cs="FrankRuehl"/>
                <w:sz w:val="28"/>
                <w:szCs w:val="28"/>
                <w:rtl/>
              </w:rPr>
              <w:t>ת"פ</w:t>
            </w:r>
            <w:r w:rsidRPr="008A6A56">
              <w:rPr>
                <w:rFonts w:cs="FrankRuehl" w:hint="cs"/>
                <w:sz w:val="28"/>
                <w:szCs w:val="28"/>
                <w:rtl/>
              </w:rPr>
              <w:t xml:space="preserve"> </w:t>
            </w:r>
            <w:r w:rsidRPr="008A6A56">
              <w:rPr>
                <w:rFonts w:cs="FrankRuehl"/>
                <w:sz w:val="28"/>
                <w:szCs w:val="28"/>
                <w:rtl/>
              </w:rPr>
              <w:t>13249-10-22</w:t>
            </w:r>
            <w:r w:rsidRPr="008A6A56">
              <w:rPr>
                <w:rFonts w:cs="FrankRuehl" w:hint="cs"/>
                <w:sz w:val="28"/>
                <w:szCs w:val="28"/>
                <w:rtl/>
              </w:rPr>
              <w:t xml:space="preserve"> </w:t>
            </w:r>
            <w:r w:rsidRPr="008A6A56">
              <w:rPr>
                <w:rFonts w:cs="FrankRuehl"/>
                <w:sz w:val="28"/>
                <w:szCs w:val="28"/>
                <w:rtl/>
              </w:rPr>
              <w:t>מדינת ישראל נ' פרס</w:t>
            </w:r>
          </w:p>
          <w:p w14:paraId="660BAB2A" w14:textId="77777777" w:rsidR="0090178A" w:rsidRPr="008A6A56" w:rsidRDefault="0090178A" w:rsidP="00573543">
            <w:pPr>
              <w:pStyle w:val="a3"/>
              <w:rPr>
                <w:rFonts w:cs="FrankRuehl"/>
                <w:sz w:val="28"/>
                <w:szCs w:val="28"/>
                <w:rtl/>
              </w:rPr>
            </w:pPr>
          </w:p>
        </w:tc>
        <w:tc>
          <w:tcPr>
            <w:tcW w:w="3667" w:type="dxa"/>
          </w:tcPr>
          <w:p w14:paraId="68B2509C" w14:textId="77777777" w:rsidR="0090178A" w:rsidRPr="008A6A56" w:rsidRDefault="0090178A" w:rsidP="00573543">
            <w:pPr>
              <w:pStyle w:val="a3"/>
              <w:jc w:val="right"/>
              <w:rPr>
                <w:rFonts w:cs="FrankRuehl"/>
                <w:sz w:val="28"/>
                <w:szCs w:val="28"/>
                <w:rtl/>
              </w:rPr>
            </w:pPr>
          </w:p>
        </w:tc>
      </w:tr>
      <w:tr w:rsidR="0090178A" w:rsidRPr="008A6A56" w14:paraId="5416587B" w14:textId="77777777" w:rsidTr="00F92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1A88D3E" w14:textId="77777777" w:rsidR="0090178A" w:rsidRPr="008A6A56" w:rsidRDefault="0090178A" w:rsidP="0090178A">
            <w:pPr>
              <w:jc w:val="both"/>
              <w:rPr>
                <w:rFonts w:ascii="David" w:hAnsi="David"/>
                <w:sz w:val="26"/>
                <w:szCs w:val="26"/>
              </w:rPr>
            </w:pPr>
            <w:r w:rsidRPr="008A6A56">
              <w:rPr>
                <w:rFonts w:hint="cs"/>
                <w:rtl/>
              </w:rPr>
              <w:t xml:space="preserve"> </w:t>
            </w:r>
            <w:r w:rsidRPr="008A6A5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A3F69F4" w14:textId="77777777" w:rsidR="0090178A" w:rsidRPr="008A6A56" w:rsidRDefault="0090178A" w:rsidP="00573543">
            <w:pPr>
              <w:rPr>
                <w:rFonts w:ascii="David" w:hAnsi="David"/>
                <w:b/>
                <w:bCs/>
                <w:sz w:val="26"/>
                <w:szCs w:val="26"/>
                <w:rtl/>
              </w:rPr>
            </w:pPr>
            <w:r w:rsidRPr="008A6A56">
              <w:rPr>
                <w:rFonts w:ascii="David" w:hAnsi="David"/>
                <w:b/>
                <w:bCs/>
                <w:sz w:val="26"/>
                <w:szCs w:val="26"/>
                <w:rtl/>
              </w:rPr>
              <w:t>כבוד השופטת  נורית הרצמן אבי-יצחק</w:t>
            </w:r>
          </w:p>
          <w:p w14:paraId="0DD074BC" w14:textId="77777777" w:rsidR="0090178A" w:rsidRPr="008A6A56" w:rsidRDefault="0090178A" w:rsidP="00573543">
            <w:pPr>
              <w:rPr>
                <w:rFonts w:ascii="David" w:hAnsi="David"/>
                <w:sz w:val="26"/>
                <w:szCs w:val="26"/>
                <w:rtl/>
              </w:rPr>
            </w:pPr>
          </w:p>
          <w:p w14:paraId="111B0187" w14:textId="77777777" w:rsidR="0090178A" w:rsidRPr="008A6A56" w:rsidRDefault="0090178A" w:rsidP="0090178A">
            <w:pPr>
              <w:jc w:val="both"/>
              <w:rPr>
                <w:rFonts w:ascii="David" w:hAnsi="David"/>
                <w:sz w:val="26"/>
                <w:szCs w:val="26"/>
              </w:rPr>
            </w:pPr>
          </w:p>
        </w:tc>
      </w:tr>
      <w:tr w:rsidR="0090178A" w:rsidRPr="008A6A56" w14:paraId="6B13F35C" w14:textId="77777777" w:rsidTr="00F92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4D489D" w14:textId="77777777" w:rsidR="0090178A" w:rsidRPr="008A6A56" w:rsidRDefault="0090178A" w:rsidP="0090178A">
            <w:pPr>
              <w:jc w:val="both"/>
              <w:rPr>
                <w:rFonts w:ascii="David" w:hAnsi="David"/>
                <w:sz w:val="26"/>
                <w:szCs w:val="26"/>
              </w:rPr>
            </w:pPr>
            <w:bookmarkStart w:id="2" w:name="FirstAppellant"/>
            <w:r w:rsidRPr="008A6A56">
              <w:rPr>
                <w:rFonts w:ascii="David" w:hAnsi="David"/>
                <w:sz w:val="26"/>
                <w:szCs w:val="26"/>
                <w:rtl/>
              </w:rPr>
              <w:t>בעניין:</w:t>
            </w:r>
          </w:p>
        </w:tc>
        <w:tc>
          <w:tcPr>
            <w:tcW w:w="3219" w:type="dxa"/>
            <w:tcBorders>
              <w:top w:val="nil"/>
              <w:left w:val="nil"/>
              <w:bottom w:val="nil"/>
              <w:right w:val="nil"/>
            </w:tcBorders>
            <w:shd w:val="clear" w:color="auto" w:fill="auto"/>
          </w:tcPr>
          <w:p w14:paraId="47E79862" w14:textId="77777777" w:rsidR="0090178A" w:rsidRPr="008A6A56" w:rsidRDefault="0090178A" w:rsidP="0090178A">
            <w:pPr>
              <w:suppressLineNumbers/>
            </w:pPr>
            <w:r w:rsidRPr="008A6A56">
              <w:rPr>
                <w:rFonts w:ascii="Arial" w:hAnsi="Arial" w:hint="cs"/>
                <w:b/>
                <w:bCs/>
                <w:sz w:val="26"/>
                <w:szCs w:val="26"/>
                <w:rtl/>
              </w:rPr>
              <w:t>ה</w:t>
            </w:r>
            <w:r w:rsidRPr="008A6A56">
              <w:rPr>
                <w:rFonts w:ascii="Arial" w:hAnsi="Arial"/>
                <w:b/>
                <w:bCs/>
                <w:sz w:val="26"/>
                <w:szCs w:val="26"/>
                <w:rtl/>
              </w:rPr>
              <w:t>מאשימה</w:t>
            </w:r>
          </w:p>
          <w:p w14:paraId="1ACDD06E" w14:textId="77777777" w:rsidR="0090178A" w:rsidRPr="008A6A56" w:rsidRDefault="0090178A" w:rsidP="0057354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4C1C3DB" w14:textId="77777777" w:rsidR="0090178A" w:rsidRPr="008A6A56" w:rsidRDefault="0090178A" w:rsidP="0090178A">
            <w:pPr>
              <w:suppressLineNumbers/>
            </w:pPr>
            <w:r w:rsidRPr="008A6A56">
              <w:rPr>
                <w:rFonts w:ascii="Arial" w:hAnsi="Arial"/>
                <w:b/>
                <w:bCs/>
                <w:sz w:val="26"/>
                <w:szCs w:val="26"/>
                <w:rtl/>
              </w:rPr>
              <w:t>מדינת ישראל</w:t>
            </w:r>
            <w:r w:rsidRPr="008A6A56">
              <w:rPr>
                <w:rFonts w:ascii="Arial" w:hAnsi="Arial" w:hint="cs"/>
                <w:b/>
                <w:bCs/>
                <w:sz w:val="26"/>
                <w:szCs w:val="26"/>
                <w:rtl/>
              </w:rPr>
              <w:t xml:space="preserve"> </w:t>
            </w:r>
            <w:r w:rsidRPr="008A6A56">
              <w:rPr>
                <w:rFonts w:ascii="Arial" w:hAnsi="Arial"/>
                <w:b/>
                <w:bCs/>
                <w:sz w:val="26"/>
                <w:szCs w:val="26"/>
                <w:rtl/>
              </w:rPr>
              <w:t>ע"י ב"כ עוה"ד</w:t>
            </w:r>
          </w:p>
          <w:p w14:paraId="788395BA" w14:textId="77777777" w:rsidR="0090178A" w:rsidRPr="008A6A56" w:rsidRDefault="0090178A" w:rsidP="00573543">
            <w:pPr>
              <w:rPr>
                <w:rFonts w:ascii="David" w:hAnsi="David"/>
                <w:sz w:val="26"/>
                <w:szCs w:val="26"/>
              </w:rPr>
            </w:pPr>
          </w:p>
        </w:tc>
      </w:tr>
      <w:bookmarkEnd w:id="2"/>
      <w:tr w:rsidR="0090178A" w:rsidRPr="008A6A56" w14:paraId="4E180626" w14:textId="77777777" w:rsidTr="00F92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6BF4BF" w14:textId="77777777" w:rsidR="0090178A" w:rsidRPr="008A6A56" w:rsidRDefault="0090178A" w:rsidP="0090178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3994BFC" w14:textId="77777777" w:rsidR="0090178A" w:rsidRPr="008A6A56" w:rsidRDefault="0090178A" w:rsidP="0090178A">
            <w:pPr>
              <w:jc w:val="center"/>
              <w:rPr>
                <w:rFonts w:ascii="David" w:hAnsi="David"/>
                <w:b/>
                <w:bCs/>
                <w:sz w:val="26"/>
                <w:szCs w:val="26"/>
                <w:rtl/>
              </w:rPr>
            </w:pPr>
          </w:p>
          <w:p w14:paraId="2B04BB1F" w14:textId="77777777" w:rsidR="0090178A" w:rsidRPr="008A6A56" w:rsidRDefault="0090178A" w:rsidP="0090178A">
            <w:pPr>
              <w:jc w:val="center"/>
              <w:rPr>
                <w:rFonts w:ascii="David" w:hAnsi="David"/>
                <w:b/>
                <w:bCs/>
                <w:sz w:val="26"/>
                <w:szCs w:val="26"/>
                <w:rtl/>
              </w:rPr>
            </w:pPr>
            <w:r w:rsidRPr="008A6A56">
              <w:rPr>
                <w:rFonts w:ascii="David" w:hAnsi="David"/>
                <w:b/>
                <w:bCs/>
                <w:sz w:val="26"/>
                <w:szCs w:val="26"/>
                <w:rtl/>
              </w:rPr>
              <w:t>נגד</w:t>
            </w:r>
          </w:p>
          <w:p w14:paraId="6F8B4D0E" w14:textId="77777777" w:rsidR="0090178A" w:rsidRPr="008A6A56" w:rsidRDefault="0090178A" w:rsidP="0090178A">
            <w:pPr>
              <w:jc w:val="both"/>
              <w:rPr>
                <w:rFonts w:ascii="David" w:hAnsi="David"/>
                <w:sz w:val="26"/>
                <w:szCs w:val="26"/>
              </w:rPr>
            </w:pPr>
          </w:p>
        </w:tc>
      </w:tr>
      <w:tr w:rsidR="0090178A" w:rsidRPr="008A6A56" w14:paraId="4549BC0A" w14:textId="77777777" w:rsidTr="00F92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B0C795" w14:textId="77777777" w:rsidR="0090178A" w:rsidRPr="008A6A56" w:rsidRDefault="0090178A" w:rsidP="00573543">
            <w:pPr>
              <w:rPr>
                <w:rFonts w:ascii="David" w:hAnsi="David"/>
                <w:sz w:val="26"/>
                <w:szCs w:val="26"/>
                <w:rtl/>
              </w:rPr>
            </w:pPr>
          </w:p>
        </w:tc>
        <w:tc>
          <w:tcPr>
            <w:tcW w:w="3219" w:type="dxa"/>
            <w:tcBorders>
              <w:top w:val="nil"/>
              <w:left w:val="nil"/>
              <w:bottom w:val="nil"/>
              <w:right w:val="nil"/>
            </w:tcBorders>
            <w:shd w:val="clear" w:color="auto" w:fill="auto"/>
          </w:tcPr>
          <w:p w14:paraId="3AE5688F" w14:textId="77777777" w:rsidR="0090178A" w:rsidRPr="008A6A56" w:rsidRDefault="0090178A" w:rsidP="00573543">
            <w:pPr>
              <w:rPr>
                <w:rFonts w:ascii="Arial" w:hAnsi="Arial"/>
                <w:b/>
                <w:bCs/>
                <w:sz w:val="26"/>
                <w:szCs w:val="26"/>
                <w:rtl/>
              </w:rPr>
            </w:pPr>
            <w:r w:rsidRPr="008A6A56">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0DE91017" w14:textId="77777777" w:rsidR="0090178A" w:rsidRPr="008A6A56" w:rsidRDefault="0090178A" w:rsidP="0090178A">
            <w:pPr>
              <w:suppressLineNumbers/>
            </w:pPr>
            <w:r w:rsidRPr="008A6A56">
              <w:rPr>
                <w:rFonts w:ascii="Arial" w:hAnsi="Arial"/>
                <w:b/>
                <w:bCs/>
                <w:sz w:val="26"/>
                <w:szCs w:val="26"/>
                <w:rtl/>
              </w:rPr>
              <w:t>דניאל פרס</w:t>
            </w:r>
            <w:r w:rsidRPr="008A6A56">
              <w:rPr>
                <w:rFonts w:ascii="Arial" w:hAnsi="Arial" w:hint="cs"/>
                <w:b/>
                <w:bCs/>
                <w:sz w:val="26"/>
                <w:szCs w:val="26"/>
                <w:rtl/>
              </w:rPr>
              <w:t xml:space="preserve"> </w:t>
            </w:r>
            <w:r w:rsidRPr="008A6A56">
              <w:rPr>
                <w:rFonts w:ascii="Arial" w:hAnsi="Arial"/>
                <w:b/>
                <w:bCs/>
                <w:sz w:val="26"/>
                <w:szCs w:val="26"/>
                <w:rtl/>
              </w:rPr>
              <w:t>ע"י ב"כ עוה"ד</w:t>
            </w:r>
          </w:p>
          <w:p w14:paraId="411B098A" w14:textId="77777777" w:rsidR="0090178A" w:rsidRPr="008A6A56" w:rsidRDefault="0090178A" w:rsidP="00573543">
            <w:pPr>
              <w:rPr>
                <w:rFonts w:ascii="David" w:hAnsi="David"/>
                <w:sz w:val="26"/>
                <w:szCs w:val="26"/>
              </w:rPr>
            </w:pPr>
          </w:p>
        </w:tc>
      </w:tr>
    </w:tbl>
    <w:p w14:paraId="38BF9B5B" w14:textId="77777777" w:rsidR="00F92677" w:rsidRDefault="00F92677" w:rsidP="008A6A56">
      <w:pPr>
        <w:rPr>
          <w:sz w:val="26"/>
          <w:szCs w:val="26"/>
          <w:rtl/>
        </w:rPr>
      </w:pPr>
    </w:p>
    <w:p w14:paraId="29B7D617" w14:textId="77777777" w:rsidR="00F92677" w:rsidRPr="00F92677" w:rsidRDefault="00F92677" w:rsidP="00F92677">
      <w:pPr>
        <w:spacing w:after="120" w:line="240" w:lineRule="exact"/>
        <w:ind w:left="283" w:hanging="283"/>
        <w:jc w:val="both"/>
        <w:rPr>
          <w:rFonts w:ascii="FrankRuehl" w:hAnsi="FrankRuehl" w:cs="FrankRuehl"/>
          <w:rtl/>
        </w:rPr>
      </w:pPr>
    </w:p>
    <w:p w14:paraId="0C9CF6A4" w14:textId="77777777" w:rsidR="00E952DF" w:rsidRPr="00E952DF" w:rsidRDefault="00E952DF" w:rsidP="00E952DF">
      <w:pPr>
        <w:spacing w:before="120" w:after="120" w:line="240" w:lineRule="exact"/>
        <w:ind w:left="283" w:hanging="283"/>
        <w:jc w:val="both"/>
        <w:rPr>
          <w:rFonts w:ascii="FrankRuehl" w:hAnsi="FrankRuehl" w:cs="FrankRuehl"/>
          <w:rtl/>
        </w:rPr>
      </w:pPr>
    </w:p>
    <w:p w14:paraId="7CAEB396" w14:textId="77777777" w:rsidR="00CA6103" w:rsidRDefault="00CA6103" w:rsidP="00CA6103">
      <w:pPr>
        <w:rPr>
          <w:sz w:val="26"/>
          <w:szCs w:val="26"/>
          <w:rtl/>
        </w:rPr>
      </w:pPr>
      <w:bookmarkStart w:id="3" w:name="LawTable"/>
      <w:bookmarkEnd w:id="3"/>
    </w:p>
    <w:p w14:paraId="552C82AB" w14:textId="77777777" w:rsidR="00CA6103" w:rsidRPr="00CA6103" w:rsidRDefault="00CA6103" w:rsidP="00CA6103">
      <w:pPr>
        <w:spacing w:before="120" w:after="120" w:line="240" w:lineRule="exact"/>
        <w:ind w:left="283" w:hanging="283"/>
        <w:jc w:val="both"/>
        <w:rPr>
          <w:rFonts w:ascii="FrankRuehl" w:hAnsi="FrankRuehl" w:cs="FrankRuehl"/>
          <w:rtl/>
        </w:rPr>
      </w:pPr>
    </w:p>
    <w:p w14:paraId="279DB9A8" w14:textId="77777777" w:rsidR="00CA6103" w:rsidRPr="00CA6103" w:rsidRDefault="00CA6103" w:rsidP="00CA6103">
      <w:pPr>
        <w:spacing w:before="120" w:after="120" w:line="240" w:lineRule="exact"/>
        <w:ind w:left="283" w:hanging="283"/>
        <w:jc w:val="both"/>
        <w:rPr>
          <w:rFonts w:ascii="FrankRuehl" w:hAnsi="FrankRuehl" w:cs="FrankRuehl"/>
          <w:rtl/>
        </w:rPr>
      </w:pPr>
    </w:p>
    <w:p w14:paraId="68E82C35" w14:textId="77777777" w:rsidR="00CA6103" w:rsidRPr="00CA6103" w:rsidRDefault="00CA6103" w:rsidP="00CA6103">
      <w:pPr>
        <w:spacing w:before="120" w:after="120" w:line="240" w:lineRule="exact"/>
        <w:ind w:left="283" w:hanging="283"/>
        <w:jc w:val="both"/>
        <w:rPr>
          <w:rFonts w:ascii="FrankRuehl" w:hAnsi="FrankRuehl" w:cs="FrankRuehl"/>
          <w:rtl/>
        </w:rPr>
      </w:pPr>
      <w:r w:rsidRPr="00CA6103">
        <w:rPr>
          <w:rFonts w:ascii="FrankRuehl" w:hAnsi="FrankRuehl" w:cs="FrankRuehl"/>
          <w:rtl/>
        </w:rPr>
        <w:t xml:space="preserve">חקיקה שאוזכרה: </w:t>
      </w:r>
    </w:p>
    <w:p w14:paraId="2DF4E6B7" w14:textId="77777777" w:rsidR="00CA6103" w:rsidRPr="00CA6103" w:rsidRDefault="00CA6103" w:rsidP="00CA6103">
      <w:pPr>
        <w:spacing w:before="120" w:after="120" w:line="240" w:lineRule="exact"/>
        <w:ind w:left="283" w:hanging="283"/>
        <w:jc w:val="both"/>
        <w:rPr>
          <w:rFonts w:ascii="FrankRuehl" w:hAnsi="FrankRuehl" w:cs="FrankRuehl"/>
          <w:rtl/>
        </w:rPr>
      </w:pPr>
      <w:hyperlink r:id="rId7" w:history="1">
        <w:r w:rsidRPr="00CA6103">
          <w:rPr>
            <w:rFonts w:ascii="FrankRuehl" w:hAnsi="FrankRuehl" w:cs="FrankRuehl"/>
            <w:color w:val="0000FF"/>
            <w:rtl/>
          </w:rPr>
          <w:t>פקודת הסמים המסוכנים [נוסח חדש], תשל"ג-1973</w:t>
        </w:r>
      </w:hyperlink>
      <w:r w:rsidRPr="00CA6103">
        <w:rPr>
          <w:rFonts w:ascii="FrankRuehl" w:hAnsi="FrankRuehl" w:cs="FrankRuehl"/>
          <w:rtl/>
        </w:rPr>
        <w:t xml:space="preserve">: סע'  </w:t>
      </w:r>
      <w:hyperlink r:id="rId8" w:history="1">
        <w:r w:rsidRPr="00CA6103">
          <w:rPr>
            <w:rFonts w:ascii="FrankRuehl" w:hAnsi="FrankRuehl" w:cs="FrankRuehl"/>
            <w:color w:val="0000FF"/>
            <w:rtl/>
          </w:rPr>
          <w:t>6</w:t>
        </w:r>
      </w:hyperlink>
      <w:r w:rsidRPr="00CA6103">
        <w:rPr>
          <w:rFonts w:ascii="FrankRuehl" w:hAnsi="FrankRuehl" w:cs="FrankRuehl"/>
          <w:rtl/>
        </w:rPr>
        <w:t xml:space="preserve">, </w:t>
      </w:r>
      <w:hyperlink r:id="rId9" w:history="1">
        <w:r w:rsidRPr="00CA6103">
          <w:rPr>
            <w:rFonts w:ascii="FrankRuehl" w:hAnsi="FrankRuehl" w:cs="FrankRuehl"/>
            <w:color w:val="0000FF"/>
            <w:rtl/>
          </w:rPr>
          <w:t>10</w:t>
        </w:r>
      </w:hyperlink>
    </w:p>
    <w:p w14:paraId="2743BED1" w14:textId="77777777" w:rsidR="00CA6103" w:rsidRPr="00CA6103" w:rsidRDefault="00CA6103" w:rsidP="00CA6103">
      <w:pPr>
        <w:spacing w:before="120" w:after="120" w:line="240" w:lineRule="exact"/>
        <w:ind w:left="283" w:hanging="283"/>
        <w:jc w:val="both"/>
        <w:rPr>
          <w:rFonts w:ascii="FrankRuehl" w:hAnsi="FrankRuehl" w:cs="FrankRuehl"/>
          <w:rtl/>
        </w:rPr>
      </w:pPr>
      <w:hyperlink r:id="rId10" w:history="1">
        <w:r w:rsidRPr="00CA6103">
          <w:rPr>
            <w:rFonts w:ascii="FrankRuehl" w:hAnsi="FrankRuehl" w:cs="FrankRuehl"/>
            <w:color w:val="0000FF"/>
            <w:rtl/>
          </w:rPr>
          <w:t>חוק העונשין, תשל"ז-1977</w:t>
        </w:r>
      </w:hyperlink>
    </w:p>
    <w:p w14:paraId="6CFC2493" w14:textId="77777777" w:rsidR="00CA6103" w:rsidRPr="00CA6103" w:rsidRDefault="00CA6103" w:rsidP="00CA6103">
      <w:pPr>
        <w:rPr>
          <w:sz w:val="26"/>
          <w:szCs w:val="26"/>
          <w:rtl/>
        </w:rPr>
      </w:pPr>
      <w:bookmarkStart w:id="4" w:name="LawTable_End"/>
      <w:bookmarkEnd w:id="4"/>
    </w:p>
    <w:p w14:paraId="201414A3" w14:textId="77777777" w:rsidR="0090178A" w:rsidRPr="00E952DF" w:rsidRDefault="0090178A" w:rsidP="00E952D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178A" w14:paraId="5AB78E8D" w14:textId="77777777" w:rsidTr="0090178A">
        <w:trPr>
          <w:trHeight w:val="355"/>
          <w:jc w:val="center"/>
        </w:trPr>
        <w:tc>
          <w:tcPr>
            <w:tcW w:w="8820" w:type="dxa"/>
            <w:tcBorders>
              <w:top w:val="nil"/>
              <w:left w:val="nil"/>
              <w:bottom w:val="nil"/>
              <w:right w:val="nil"/>
            </w:tcBorders>
            <w:shd w:val="clear" w:color="auto" w:fill="auto"/>
          </w:tcPr>
          <w:p w14:paraId="3D688728" w14:textId="77777777" w:rsidR="008A6A56" w:rsidRPr="008A6A56" w:rsidRDefault="008A6A56" w:rsidP="008A6A56">
            <w:pPr>
              <w:jc w:val="center"/>
              <w:rPr>
                <w:rFonts w:ascii="David" w:hAnsi="David"/>
                <w:b/>
                <w:bCs/>
                <w:sz w:val="32"/>
                <w:szCs w:val="32"/>
                <w:u w:val="single"/>
                <w:rtl/>
              </w:rPr>
            </w:pPr>
            <w:bookmarkStart w:id="5" w:name="PsakDin" w:colFirst="0" w:colLast="0"/>
            <w:bookmarkEnd w:id="0"/>
            <w:bookmarkEnd w:id="1"/>
            <w:r w:rsidRPr="008A6A56">
              <w:rPr>
                <w:rFonts w:ascii="David" w:hAnsi="David"/>
                <w:b/>
                <w:bCs/>
                <w:sz w:val="32"/>
                <w:szCs w:val="32"/>
                <w:u w:val="single"/>
                <w:rtl/>
              </w:rPr>
              <w:t>גזר דין</w:t>
            </w:r>
          </w:p>
          <w:p w14:paraId="6E15F07B" w14:textId="77777777" w:rsidR="0090178A" w:rsidRPr="008A6A56" w:rsidRDefault="0090178A" w:rsidP="008A6A56">
            <w:pPr>
              <w:jc w:val="center"/>
              <w:rPr>
                <w:rFonts w:ascii="David" w:hAnsi="David"/>
                <w:bCs/>
                <w:sz w:val="32"/>
                <w:szCs w:val="32"/>
                <w:u w:val="single"/>
                <w:rtl/>
              </w:rPr>
            </w:pPr>
          </w:p>
        </w:tc>
      </w:tr>
      <w:bookmarkEnd w:id="5"/>
    </w:tbl>
    <w:p w14:paraId="4EE49867" w14:textId="77777777" w:rsidR="0090178A" w:rsidRPr="000F2247" w:rsidRDefault="0090178A" w:rsidP="0090178A">
      <w:pPr>
        <w:rPr>
          <w:rFonts w:ascii="Arial" w:hAnsi="Arial"/>
          <w:b/>
          <w:bCs/>
          <w:sz w:val="26"/>
          <w:szCs w:val="26"/>
          <w:rtl/>
        </w:rPr>
      </w:pPr>
    </w:p>
    <w:p w14:paraId="32B797D0" w14:textId="77777777" w:rsidR="0090178A" w:rsidRPr="000F2247" w:rsidRDefault="0090178A" w:rsidP="0090178A">
      <w:pPr>
        <w:rPr>
          <w:rFonts w:ascii="Arial" w:hAnsi="Arial"/>
          <w:b/>
          <w:bCs/>
          <w:sz w:val="26"/>
          <w:szCs w:val="26"/>
          <w:rtl/>
        </w:rPr>
      </w:pPr>
    </w:p>
    <w:p w14:paraId="4847CBB9" w14:textId="77777777" w:rsidR="0090178A" w:rsidRDefault="0090178A" w:rsidP="0090178A">
      <w:pPr>
        <w:rPr>
          <w:rFonts w:ascii="Arial" w:hAnsi="Arial"/>
          <w:b/>
          <w:bCs/>
          <w:sz w:val="26"/>
          <w:szCs w:val="26"/>
          <w:rtl/>
        </w:rPr>
      </w:pPr>
    </w:p>
    <w:p w14:paraId="055F44CA" w14:textId="77777777" w:rsidR="0090178A" w:rsidRDefault="0090178A" w:rsidP="0090178A">
      <w:pPr>
        <w:spacing w:line="360" w:lineRule="auto"/>
        <w:jc w:val="both"/>
        <w:rPr>
          <w:rFonts w:ascii="David" w:hAnsi="David"/>
          <w:b/>
          <w:bCs/>
          <w:u w:val="single"/>
          <w:rtl/>
        </w:rPr>
      </w:pPr>
      <w:r>
        <w:rPr>
          <w:rFonts w:hint="cs"/>
          <w:b/>
          <w:bCs/>
          <w:u w:val="single"/>
          <w:rtl/>
        </w:rPr>
        <w:t>רקע עובדתי</w:t>
      </w:r>
    </w:p>
    <w:p w14:paraId="32DE9EEC" w14:textId="77777777" w:rsidR="0090178A" w:rsidRDefault="0090178A" w:rsidP="0090178A">
      <w:pPr>
        <w:spacing w:line="360" w:lineRule="auto"/>
        <w:jc w:val="both"/>
        <w:rPr>
          <w:rtl/>
        </w:rPr>
      </w:pPr>
    </w:p>
    <w:p w14:paraId="21839DA7" w14:textId="77777777" w:rsidR="0090178A" w:rsidRDefault="0090178A" w:rsidP="0090178A">
      <w:pPr>
        <w:spacing w:line="360" w:lineRule="auto"/>
        <w:jc w:val="both"/>
        <w:rPr>
          <w:rtl/>
        </w:rPr>
      </w:pPr>
      <w:bookmarkStart w:id="6" w:name="ABSTRACT_START"/>
      <w:bookmarkEnd w:id="6"/>
      <w:r>
        <w:rPr>
          <w:rFonts w:hint="cs"/>
          <w:rtl/>
        </w:rPr>
        <w:t xml:space="preserve">הנאשם הורשע על פי הודאתו, בעובדות כתב האישום בעבירה של גידול, ייצור והכנת סמים מסוכנים, לפי </w:t>
      </w:r>
      <w:hyperlink r:id="rId11" w:history="1">
        <w:r w:rsidR="00F92677" w:rsidRPr="00F92677">
          <w:rPr>
            <w:rStyle w:val="Hyperlink"/>
            <w:rFonts w:hint="eastAsia"/>
            <w:rtl/>
          </w:rPr>
          <w:t>סעיף</w:t>
        </w:r>
        <w:r w:rsidR="00F92677" w:rsidRPr="00F92677">
          <w:rPr>
            <w:rStyle w:val="Hyperlink"/>
            <w:rtl/>
          </w:rPr>
          <w:t xml:space="preserve"> 6</w:t>
        </w:r>
      </w:hyperlink>
      <w:r>
        <w:rPr>
          <w:rFonts w:hint="cs"/>
          <w:rtl/>
        </w:rPr>
        <w:t xml:space="preserve"> ל</w:t>
      </w:r>
      <w:hyperlink r:id="rId12" w:history="1">
        <w:r w:rsidR="008A6A56" w:rsidRPr="008A6A56">
          <w:rPr>
            <w:color w:val="0000FF"/>
            <w:u w:val="single"/>
            <w:rtl/>
          </w:rPr>
          <w:t>פקודת הסמים המסוכנים</w:t>
        </w:r>
      </w:hyperlink>
      <w:r>
        <w:rPr>
          <w:rFonts w:hint="cs"/>
          <w:rtl/>
        </w:rPr>
        <w:t xml:space="preserve">, התשל"ג-1973 (להלן – </w:t>
      </w:r>
      <w:r>
        <w:rPr>
          <w:rFonts w:hint="cs"/>
          <w:b/>
          <w:bCs/>
          <w:rtl/>
        </w:rPr>
        <w:t>פקודת הסמים</w:t>
      </w:r>
      <w:r>
        <w:rPr>
          <w:rFonts w:hint="cs"/>
          <w:rtl/>
        </w:rPr>
        <w:t xml:space="preserve">) וכן בעבירה של החזקת כלים של סם שלא לצריכה עצמית, עבירה לפי </w:t>
      </w:r>
      <w:hyperlink r:id="rId13" w:history="1">
        <w:r w:rsidR="00F92677" w:rsidRPr="00F92677">
          <w:rPr>
            <w:rStyle w:val="Hyperlink"/>
            <w:rFonts w:hint="eastAsia"/>
            <w:rtl/>
          </w:rPr>
          <w:t>סעיף</w:t>
        </w:r>
        <w:r w:rsidR="00F92677" w:rsidRPr="00F92677">
          <w:rPr>
            <w:rStyle w:val="Hyperlink"/>
            <w:rtl/>
          </w:rPr>
          <w:t xml:space="preserve"> 10</w:t>
        </w:r>
      </w:hyperlink>
      <w:r>
        <w:rPr>
          <w:rFonts w:hint="cs"/>
          <w:rtl/>
        </w:rPr>
        <w:t xml:space="preserve"> רישא, לפקודת הסמים.</w:t>
      </w:r>
    </w:p>
    <w:p w14:paraId="5143C1F2" w14:textId="77777777" w:rsidR="0090178A" w:rsidRDefault="0090178A" w:rsidP="0090178A">
      <w:pPr>
        <w:spacing w:line="360" w:lineRule="auto"/>
        <w:jc w:val="both"/>
        <w:rPr>
          <w:rtl/>
        </w:rPr>
      </w:pPr>
      <w:bookmarkStart w:id="7" w:name="ABSTRACT_END"/>
      <w:bookmarkEnd w:id="7"/>
    </w:p>
    <w:p w14:paraId="2F74362F" w14:textId="77777777" w:rsidR="0090178A" w:rsidRDefault="0090178A" w:rsidP="0090178A">
      <w:pPr>
        <w:spacing w:line="360" w:lineRule="auto"/>
        <w:jc w:val="both"/>
        <w:rPr>
          <w:rtl/>
        </w:rPr>
      </w:pPr>
      <w:r>
        <w:rPr>
          <w:rFonts w:hint="cs"/>
          <w:rtl/>
        </w:rPr>
        <w:t xml:space="preserve">על-פי המתואר בכתב האישום, החל מיום 3.6.22 שכר הנאשם דירה בזיכרון יעקב וכמספר חודשים עובר ליום 28.9.22 ייעד הנאשם חדר המצוי בדירה לצורך מעבדה לגידול סם מסוג קנבוס. לשם כך צייד הנאשם את המעבדה באמצעים רבים המשמשים לגידול סמים בדמות מפוח, 5 שנאי חשמל, 5 מנורות, מד טמפרטורה, 39 אדניות וחומרי דישון. ביום 28.9.22 החזיק הנאשם במעבדה 39 שתילי </w:t>
      </w:r>
      <w:r>
        <w:rPr>
          <w:rFonts w:hint="cs"/>
          <w:rtl/>
        </w:rPr>
        <w:lastRenderedPageBreak/>
        <w:t>קנבוס בתוך אדניות, במשקל כולל של 7.9 ק"ג נטו, וזאת שלא לצריכה עצמית, ללא היתר כדין וללא רישיון מאת המנהל.</w:t>
      </w:r>
    </w:p>
    <w:p w14:paraId="184F77AD" w14:textId="77777777" w:rsidR="0090178A" w:rsidRDefault="0090178A" w:rsidP="0090178A">
      <w:pPr>
        <w:spacing w:line="360" w:lineRule="auto"/>
        <w:jc w:val="both"/>
        <w:rPr>
          <w:rtl/>
        </w:rPr>
      </w:pPr>
    </w:p>
    <w:p w14:paraId="3BAEF014" w14:textId="77777777" w:rsidR="0090178A" w:rsidRDefault="0090178A" w:rsidP="0090178A">
      <w:pPr>
        <w:spacing w:line="360" w:lineRule="auto"/>
        <w:jc w:val="both"/>
        <w:rPr>
          <w:rtl/>
        </w:rPr>
      </w:pPr>
      <w:r>
        <w:rPr>
          <w:rFonts w:hint="cs"/>
          <w:rtl/>
        </w:rPr>
        <w:t>הודאת הנאשם היתה במסגרת הסדר טיעון אליו הגיעו הצדדים, שבמסגרתו הוסכם כי המאשימה תעתור לעונש של עד שישה חודשי מאסר בפועל לריצוי בעבודת שירות וזאת בכפוף לתסקיר חיובי (או לשישה חודשי מאסר בפועל בכלא במקרה של תסקיר שלילי) וההגנה תטען באופן חופשי לעונש.</w:t>
      </w:r>
    </w:p>
    <w:p w14:paraId="413D0D00" w14:textId="77777777" w:rsidR="0090178A" w:rsidRDefault="0090178A" w:rsidP="0090178A">
      <w:pPr>
        <w:spacing w:line="360" w:lineRule="auto"/>
        <w:jc w:val="both"/>
        <w:rPr>
          <w:rtl/>
        </w:rPr>
      </w:pPr>
    </w:p>
    <w:p w14:paraId="5E289BC1" w14:textId="77777777" w:rsidR="0090178A" w:rsidRDefault="0090178A" w:rsidP="0090178A">
      <w:pPr>
        <w:spacing w:line="360" w:lineRule="auto"/>
        <w:jc w:val="both"/>
        <w:rPr>
          <w:rtl/>
        </w:rPr>
      </w:pPr>
      <w:r>
        <w:rPr>
          <w:rFonts w:hint="cs"/>
          <w:rtl/>
        </w:rPr>
        <w:t>לאור הוראות החוק ובהתאם להסכמת הצדדים, הופנה הנאשם לאחר הרשעתו לשירות המבחן לצורך הגשת תסקיר לעונש. בד בבד נשלח הנאשם לקבלת חוות דעת של הממונה על עבודות השירות. ביום 1.3.23 התקבלה חוות דעתו של הממונה בה נמצא הנאשם מתאים לרצות את עונשו בדרך של ביצוע עבודות שירות (במגבלות) והומלץ להציבו במועצה המקומית זכרון יעקב.</w:t>
      </w:r>
    </w:p>
    <w:p w14:paraId="56EC2463" w14:textId="77777777" w:rsidR="0090178A" w:rsidRDefault="0090178A" w:rsidP="0090178A">
      <w:pPr>
        <w:spacing w:line="360" w:lineRule="auto"/>
        <w:jc w:val="both"/>
        <w:rPr>
          <w:rtl/>
        </w:rPr>
      </w:pPr>
    </w:p>
    <w:p w14:paraId="3C3CCBAC" w14:textId="77777777" w:rsidR="0090178A" w:rsidRDefault="0090178A" w:rsidP="0090178A">
      <w:pPr>
        <w:spacing w:line="360" w:lineRule="auto"/>
        <w:jc w:val="both"/>
        <w:rPr>
          <w:b/>
          <w:bCs/>
          <w:u w:val="single"/>
          <w:rtl/>
        </w:rPr>
      </w:pPr>
      <w:r>
        <w:rPr>
          <w:rFonts w:hint="cs"/>
          <w:b/>
          <w:bCs/>
          <w:u w:val="single"/>
          <w:rtl/>
        </w:rPr>
        <w:t>תסקיר שירות המבחן</w:t>
      </w:r>
    </w:p>
    <w:p w14:paraId="035E59EF" w14:textId="77777777" w:rsidR="0090178A" w:rsidRDefault="0090178A" w:rsidP="0090178A">
      <w:pPr>
        <w:spacing w:line="360" w:lineRule="auto"/>
        <w:jc w:val="both"/>
        <w:rPr>
          <w:rtl/>
        </w:rPr>
      </w:pPr>
    </w:p>
    <w:p w14:paraId="55ACCE22" w14:textId="77777777" w:rsidR="0090178A" w:rsidRDefault="0090178A" w:rsidP="0090178A">
      <w:pPr>
        <w:spacing w:line="360" w:lineRule="auto"/>
        <w:jc w:val="both"/>
        <w:rPr>
          <w:b/>
          <w:bCs/>
          <w:u w:val="single"/>
          <w:rtl/>
        </w:rPr>
      </w:pPr>
      <w:r>
        <w:rPr>
          <w:rFonts w:hint="cs"/>
          <w:rtl/>
        </w:rPr>
        <w:t>מהתסקיר שהתקבל עולה כי הנאשם הוא בן 21, רווק, עד למעורבותו בביצוע העבירות התגורר בזכרון יעקב, סיים 10 שנות לימוד, החל מגיל 12 שהה במסגרת לימודי פנימייה טיפולית, על רקע מורכבות משפחתית, ולאחר</w:t>
      </w:r>
      <w:r>
        <w:rPr>
          <w:rFonts w:hint="cs"/>
        </w:rPr>
        <w:t xml:space="preserve"> </w:t>
      </w:r>
      <w:r>
        <w:rPr>
          <w:rFonts w:hint="cs"/>
          <w:rtl/>
        </w:rPr>
        <w:t>שנשר מלימודיו עבד בעבודות מזדמנות והיום הוא עובד כשליח. שירות המבחן התייחס לעברו הפלילי הכולל הרשעה קודמת אחת משנת 2019 מביהמ"ש לנוער, וצוין כי נגד לחובתו שני תיקים פתוחים בחשד לעבירות סמים, אשר טרם הוגשו בהם כתבי אישום. להתרשמות שירות המבחן, מעורבות הנאשם בביצוע העבירות נבעה גם מתוך עמדה הנותנת לגיטימציה להתנהגות עוברת חוק, קושי בוויסות דחפים, הרגלי צריכת סמים בעייתיים והעדר מערכת משפחתית מכוונת ומציבת גבולות. הנאשם לא הביע בפני שירות המבחן נזקקות טיפולית על רקע דפוס השימוש, אך הביע הבנתו לחומרת מעשיו ורצון לקיים אורח חיים מתפקד. לאור האמור לעיל, סבור שירות המבחן כי הנאשם עשוי להיתרם מטיפול בתחום ההתמכרות, אך לאור התנגדותו וחוסר הבעת נזקקות טיפולית מצדו לא בא בהמלצה טיפולית בעניינו. שירות המבחן הביע עמדתו כי במקרה זה יש להטיל על הנאשם ענישה קונקרטית ומוחשית בדרך של ריצוי מאסר בפועל בדרך של עבודות שירות לצד ענישה מותנית.</w:t>
      </w:r>
    </w:p>
    <w:p w14:paraId="616CE3EA" w14:textId="77777777" w:rsidR="0090178A" w:rsidRDefault="0090178A" w:rsidP="0090178A">
      <w:pPr>
        <w:spacing w:line="360" w:lineRule="auto"/>
        <w:jc w:val="both"/>
        <w:rPr>
          <w:b/>
          <w:bCs/>
          <w:u w:val="single"/>
          <w:rtl/>
        </w:rPr>
      </w:pPr>
    </w:p>
    <w:p w14:paraId="297061A0" w14:textId="77777777" w:rsidR="0090178A" w:rsidRDefault="0090178A" w:rsidP="0090178A">
      <w:pPr>
        <w:spacing w:line="360" w:lineRule="auto"/>
        <w:jc w:val="both"/>
        <w:rPr>
          <w:b/>
          <w:bCs/>
          <w:u w:val="single"/>
          <w:rtl/>
        </w:rPr>
      </w:pPr>
      <w:r>
        <w:rPr>
          <w:rFonts w:hint="cs"/>
          <w:b/>
          <w:bCs/>
          <w:u w:val="single"/>
          <w:rtl/>
        </w:rPr>
        <w:t xml:space="preserve">טיעוני הצדדים לעונש </w:t>
      </w:r>
    </w:p>
    <w:p w14:paraId="575DF3E4" w14:textId="77777777" w:rsidR="0090178A" w:rsidRDefault="0090178A" w:rsidP="0090178A">
      <w:pPr>
        <w:spacing w:line="360" w:lineRule="auto"/>
        <w:jc w:val="both"/>
        <w:rPr>
          <w:b/>
          <w:bCs/>
          <w:u w:val="single"/>
          <w:rtl/>
        </w:rPr>
      </w:pPr>
    </w:p>
    <w:p w14:paraId="4A625795" w14:textId="77777777" w:rsidR="0090178A" w:rsidRDefault="0090178A" w:rsidP="0090178A">
      <w:pPr>
        <w:spacing w:line="360" w:lineRule="auto"/>
        <w:jc w:val="both"/>
        <w:rPr>
          <w:rtl/>
        </w:rPr>
      </w:pPr>
      <w:r>
        <w:rPr>
          <w:rFonts w:hint="cs"/>
          <w:b/>
          <w:bCs/>
          <w:u w:val="single"/>
          <w:rtl/>
        </w:rPr>
        <w:t>ב"כ המאשימה</w:t>
      </w:r>
      <w:r>
        <w:rPr>
          <w:rFonts w:hint="cs"/>
          <w:rtl/>
        </w:rPr>
        <w:t xml:space="preserve">  עמד על הערכים המוגנים שנפגעו כתוצאה מביצוע העבירות, שהם בטחונו ושלומו של הציבור מפני הנזקים הישירים והעקיפים אשר נגרמים עקב שימוש בסמים כשמגדל הסמים הוא בראש שרשרת הפצתם, וכן הפן הכלכלי שעניינו הרווח הבלתי חוקי שמפיק מגדל הסם ועלול לגרום הפסד למדינה. המאשימה טענה כי מתחם הענישה במקרה זה ובהתאם להסדר הטיעון, נע בין מספר חודשים ועד לשישה חודשי עבודות שירות. ב"כ המאשימה תמך טיעונו בדוגמאות מהפסיקה לגבי </w:t>
      </w:r>
      <w:r>
        <w:rPr>
          <w:rFonts w:hint="cs"/>
          <w:rtl/>
        </w:rPr>
        <w:lastRenderedPageBreak/>
        <w:t xml:space="preserve">הענישה הנוהגת, בדגש על מקרים שבהם הושתו מאסרים בפועל לתקופה העולה על 6 חודשים. באשר למיקום בתוך המתחם, צוין כי מדובר בנאשם יליד 2001 אשר הרשעתו האחרונה משנת 2019 [גיליון הרישום הפלילי </w:t>
      </w:r>
      <w:r>
        <w:rPr>
          <w:rFonts w:hint="cs"/>
          <w:b/>
          <w:bCs/>
          <w:rtl/>
        </w:rPr>
        <w:t>ת/1</w:t>
      </w:r>
      <w:r>
        <w:rPr>
          <w:rFonts w:hint="cs"/>
          <w:rtl/>
        </w:rPr>
        <w:t>], תסקיר שירות המבחן בעניינו לא בא בהמלצה טיפולית והמליץ על מאסר בפועל בדרך של עבודת שירות. המאשימה עתרה להשתת 6 חודשי מאסר בפועל לריצוי בעבודות שירות לצד רכיבים נלווים: מאסר על תנאי, התחייבות, פסילת רישיון נהיגה בפועל ועל תנאי וכן קנס.</w:t>
      </w:r>
    </w:p>
    <w:p w14:paraId="39C6BC3B" w14:textId="77777777" w:rsidR="0090178A" w:rsidRDefault="0090178A" w:rsidP="0090178A">
      <w:pPr>
        <w:spacing w:line="360" w:lineRule="auto"/>
        <w:jc w:val="both"/>
        <w:rPr>
          <w:b/>
          <w:bCs/>
          <w:u w:val="single"/>
          <w:rtl/>
        </w:rPr>
      </w:pPr>
    </w:p>
    <w:p w14:paraId="182FF9C1" w14:textId="77777777" w:rsidR="0090178A" w:rsidRDefault="0090178A" w:rsidP="0090178A">
      <w:pPr>
        <w:spacing w:line="360" w:lineRule="auto"/>
        <w:jc w:val="both"/>
        <w:rPr>
          <w:rtl/>
        </w:rPr>
      </w:pPr>
      <w:r>
        <w:rPr>
          <w:rFonts w:hint="cs"/>
          <w:b/>
          <w:bCs/>
          <w:u w:val="single"/>
          <w:rtl/>
        </w:rPr>
        <w:t>ב"כ הנאשם</w:t>
      </w:r>
      <w:r>
        <w:rPr>
          <w:rFonts w:hint="cs"/>
          <w:rtl/>
        </w:rPr>
        <w:t xml:space="preserve"> טען כי יש להתחשב בנסיבות חייו של הנאשם, כנאשם צעיר אשר לקח אחריות מיידית על מעשיו, עבר בדיקות שתן ונמצא נקי מסמים. לגבי עברו הפלילי, ב"כ הנאשם עמד על כך שלחובתו הרשעה אחת בלבד מבימ"ש לנוער, אשר התיישנה. ב"כ הנאשם טען כי מתחם הענישה בנסיבות מקרה זה נע בין מספר חודשי מאסר בעבודת שירות ועד לשישה חודשי מאסר בעבודות שירות והפנה לפסיקה. עוד נטען כי יש להימנע משלילת רישיון בפועל של הנאשם מאחר והנאשם מתפרנס כרגע משליחויות ויהיה זקוק לרישיון נהיגה בין היתר גם לצורך הגעה לריצוי המאסר בעבודות שירות  ולכן שלילת רישיונו תהווה מכשול לשיקומו. לסיכום טען ב"כ הנאשם כי יש למקם את עונשו של הנאשם ברף התחתון של המתחם ובזאת להטיל עליו חודשיים של עבודות שירות.</w:t>
      </w:r>
    </w:p>
    <w:p w14:paraId="038D1E2F" w14:textId="77777777" w:rsidR="0090178A" w:rsidRDefault="0090178A" w:rsidP="0090178A">
      <w:pPr>
        <w:spacing w:line="360" w:lineRule="auto"/>
        <w:jc w:val="both"/>
        <w:rPr>
          <w:rtl/>
        </w:rPr>
      </w:pPr>
    </w:p>
    <w:p w14:paraId="57CBA5F9" w14:textId="77777777" w:rsidR="0090178A" w:rsidRDefault="0090178A" w:rsidP="0090178A">
      <w:pPr>
        <w:spacing w:line="360" w:lineRule="auto"/>
        <w:jc w:val="both"/>
        <w:rPr>
          <w:b/>
          <w:bCs/>
          <w:rtl/>
        </w:rPr>
      </w:pPr>
      <w:r>
        <w:rPr>
          <w:rFonts w:hint="cs"/>
          <w:b/>
          <w:bCs/>
          <w:u w:val="single"/>
          <w:rtl/>
        </w:rPr>
        <w:t>הנאשם</w:t>
      </w:r>
      <w:r>
        <w:rPr>
          <w:rFonts w:hint="cs"/>
          <w:b/>
          <w:bCs/>
          <w:rtl/>
        </w:rPr>
        <w:t xml:space="preserve"> </w:t>
      </w:r>
      <w:r>
        <w:rPr>
          <w:rFonts w:hint="cs"/>
          <w:rtl/>
        </w:rPr>
        <w:t>בדבריו האחרון בבית המשפט אמר כך</w:t>
      </w:r>
      <w:r>
        <w:rPr>
          <w:rFonts w:hint="cs"/>
          <w:b/>
          <w:bCs/>
          <w:rtl/>
        </w:rPr>
        <w:t>:</w:t>
      </w:r>
      <w:r>
        <w:rPr>
          <w:rFonts w:hint="cs"/>
          <w:b/>
          <w:bCs/>
        </w:rPr>
        <w:t xml:space="preserve"> </w:t>
      </w:r>
      <w:r>
        <w:rPr>
          <w:rFonts w:hint="cs"/>
          <w:b/>
          <w:bCs/>
          <w:rtl/>
        </w:rPr>
        <w:t>"אני במקום אחר בחיים אני עובד ומתפרנס. לפני שבוע הוצאתי רישיון לאופנוע. אני חי אצל אבא שלי ונקי מסמים. לבדיקה שניה לא הגעתי כי היה לי משהו בת"א. רציתי לדחות למועד אחר אבל לא היה תאריך. אני רוצה לקבל את העונש ולסיים ומקווה שזה יהיה כמה שפחות".</w:t>
      </w:r>
    </w:p>
    <w:p w14:paraId="3AAB2470" w14:textId="77777777" w:rsidR="0090178A" w:rsidRDefault="0090178A" w:rsidP="0090178A">
      <w:pPr>
        <w:spacing w:line="360" w:lineRule="auto"/>
        <w:jc w:val="both"/>
        <w:rPr>
          <w:b/>
          <w:bCs/>
          <w:u w:val="single"/>
          <w:rtl/>
        </w:rPr>
      </w:pPr>
    </w:p>
    <w:p w14:paraId="52A1B481" w14:textId="77777777" w:rsidR="0090178A" w:rsidRDefault="0090178A" w:rsidP="0090178A">
      <w:pPr>
        <w:spacing w:line="360" w:lineRule="auto"/>
        <w:jc w:val="both"/>
        <w:rPr>
          <w:b/>
          <w:bCs/>
          <w:u w:val="single"/>
          <w:rtl/>
        </w:rPr>
      </w:pPr>
      <w:r>
        <w:rPr>
          <w:rFonts w:hint="cs"/>
          <w:b/>
          <w:bCs/>
          <w:u w:val="single"/>
          <w:rtl/>
        </w:rPr>
        <w:t>דיון והכרעה</w:t>
      </w:r>
    </w:p>
    <w:p w14:paraId="20968E35" w14:textId="77777777" w:rsidR="0090178A" w:rsidRDefault="0090178A" w:rsidP="0090178A">
      <w:pPr>
        <w:spacing w:after="160" w:line="360" w:lineRule="auto"/>
        <w:contextualSpacing/>
        <w:jc w:val="both"/>
        <w:rPr>
          <w:rFonts w:eastAsia="Calibri"/>
          <w:rtl/>
        </w:rPr>
      </w:pPr>
    </w:p>
    <w:p w14:paraId="4ADA5CD2" w14:textId="77777777" w:rsidR="0090178A" w:rsidRDefault="0090178A" w:rsidP="0090178A">
      <w:pPr>
        <w:spacing w:after="160" w:line="360" w:lineRule="auto"/>
        <w:contextualSpacing/>
        <w:jc w:val="both"/>
        <w:rPr>
          <w:rFonts w:eastAsia="Calibri"/>
          <w:rtl/>
        </w:rPr>
      </w:pPr>
      <w:r>
        <w:rPr>
          <w:rFonts w:eastAsia="Calibri" w:hint="cs"/>
          <w:rtl/>
        </w:rPr>
        <w:t>חרף העובדה כי הצדדים הגיעו להסדר דיוני הכולל טווח ענישה כאמור לעיל, אין בית המשפט פטור מקביעת מתחם הענישה ההולם. בעניין זה נקבע ב</w:t>
      </w:r>
      <w:hyperlink r:id="rId14" w:history="1">
        <w:r w:rsidR="008A6A56" w:rsidRPr="008A6A56">
          <w:rPr>
            <w:rFonts w:eastAsia="Calibri"/>
            <w:color w:val="0000FF"/>
            <w:u w:val="single"/>
            <w:rtl/>
          </w:rPr>
          <w:t>ע"פ 6197/20</w:t>
        </w:r>
      </w:hyperlink>
      <w:r>
        <w:rPr>
          <w:rFonts w:eastAsia="Calibri"/>
          <w:rtl/>
        </w:rPr>
        <w:t xml:space="preserve"> </w:t>
      </w:r>
      <w:r>
        <w:rPr>
          <w:rFonts w:eastAsia="Calibri" w:hint="cs"/>
          <w:b/>
          <w:bCs/>
          <w:rtl/>
        </w:rPr>
        <w:t xml:space="preserve">מדינת ישראל נ' גולאני </w:t>
      </w:r>
      <w:r>
        <w:rPr>
          <w:rFonts w:eastAsia="Calibri" w:hint="cs"/>
          <w:rtl/>
        </w:rPr>
        <w:t>(15.11.2021) כדלקמן:</w:t>
      </w:r>
    </w:p>
    <w:p w14:paraId="3627CEC3" w14:textId="77777777" w:rsidR="0090178A" w:rsidRDefault="0090178A" w:rsidP="0090178A">
      <w:pPr>
        <w:spacing w:after="160" w:line="360" w:lineRule="auto"/>
        <w:contextualSpacing/>
        <w:jc w:val="both"/>
        <w:rPr>
          <w:rFonts w:eastAsia="Calibri"/>
          <w:rtl/>
        </w:rPr>
      </w:pPr>
    </w:p>
    <w:p w14:paraId="3033ECF3" w14:textId="77777777" w:rsidR="0090178A" w:rsidRDefault="0090178A" w:rsidP="0090178A">
      <w:pPr>
        <w:spacing w:after="160" w:line="276" w:lineRule="auto"/>
        <w:ind w:left="360"/>
        <w:contextualSpacing/>
        <w:jc w:val="both"/>
        <w:rPr>
          <w:rFonts w:eastAsia="Calibri"/>
        </w:rPr>
      </w:pPr>
      <w:r>
        <w:rPr>
          <w:rFonts w:eastAsia="Calibri" w:hint="cs"/>
          <w:rtl/>
        </w:rPr>
        <w:t xml:space="preserve">"בית משפט זה נדרש זה מכבר לפרשנות "מערכת היחסים" בין הוראות התיקון לבין קיומו של הסדר טיעון, וקבע כי קיומו של האחרון אינו מבטל את תחולת ההוראות שנקבעו במסגרת התיקון. היינו: אף אם יש הסכמה בין הצדדים לטווח ענישה, שהוא תוצאה של כוח מיקוח הצדדים, על בית המשפט לבחון את מתחם הענישה, המהווה קביעה נורמטיבית בדבר האיזון הראוי שנקבע על ידי המחוקק (ראו ע"פ </w:t>
      </w:r>
      <w:hyperlink r:id="rId15" w:history="1">
        <w:r w:rsidR="00E952DF" w:rsidRPr="00E952DF">
          <w:rPr>
            <w:rFonts w:eastAsia="Calibri"/>
            <w:color w:val="0000FF"/>
            <w:u w:val="single"/>
            <w:rtl/>
          </w:rPr>
          <w:t xml:space="preserve">512/13 </w:t>
        </w:r>
      </w:hyperlink>
      <w:r>
        <w:rPr>
          <w:rFonts w:eastAsia="Calibri" w:hint="cs"/>
          <w:rtl/>
        </w:rPr>
        <w:t xml:space="preserve"> </w:t>
      </w:r>
      <w:r>
        <w:rPr>
          <w:rFonts w:eastAsia="Calibri" w:hint="cs"/>
          <w:b/>
          <w:bCs/>
          <w:rtl/>
        </w:rPr>
        <w:t>פלוני נ' מדינת ישראל</w:t>
      </w:r>
      <w:r>
        <w:rPr>
          <w:rFonts w:eastAsia="Calibri" w:hint="cs"/>
          <w:rtl/>
        </w:rPr>
        <w:t xml:space="preserve"> [פורסם בנבו] (4.12.2013); </w:t>
      </w:r>
      <w:hyperlink r:id="rId16" w:history="1">
        <w:r w:rsidR="008A6A56" w:rsidRPr="008A6A56">
          <w:rPr>
            <w:rFonts w:eastAsia="Calibri"/>
            <w:color w:val="0000FF"/>
            <w:u w:val="single"/>
            <w:rtl/>
          </w:rPr>
          <w:t>ע"פ 3856/13</w:t>
        </w:r>
      </w:hyperlink>
      <w:r>
        <w:rPr>
          <w:rFonts w:eastAsia="Calibri" w:hint="cs"/>
          <w:rtl/>
        </w:rPr>
        <w:t xml:space="preserve"> ‏</w:t>
      </w:r>
      <w:r>
        <w:rPr>
          <w:rFonts w:eastAsia="Calibri" w:hint="cs"/>
          <w:b/>
          <w:bCs/>
          <w:rtl/>
        </w:rPr>
        <w:t>גוני נ' מדינת ישראל</w:t>
      </w:r>
      <w:r>
        <w:rPr>
          <w:rFonts w:eastAsia="Calibri" w:hint="cs"/>
          <w:rtl/>
        </w:rPr>
        <w:t xml:space="preserve"> [פורסם בנבו] (3.2.2014)).</w:t>
      </w:r>
    </w:p>
    <w:p w14:paraId="53160583" w14:textId="77777777" w:rsidR="0090178A" w:rsidRDefault="0090178A" w:rsidP="0090178A">
      <w:pPr>
        <w:spacing w:after="160" w:line="276" w:lineRule="auto"/>
        <w:ind w:left="360"/>
        <w:contextualSpacing/>
        <w:jc w:val="both"/>
        <w:rPr>
          <w:rFonts w:eastAsia="Calibri"/>
          <w:rtl/>
        </w:rPr>
      </w:pPr>
      <w:r>
        <w:rPr>
          <w:rFonts w:hint="cs"/>
          <w:rtl/>
        </w:rPr>
        <w:t>כפי שציינתי בעבר</w:t>
      </w:r>
      <w:r>
        <w:rPr>
          <w:rFonts w:eastAsia="Calibri" w:hint="cs"/>
          <w:rtl/>
        </w:rPr>
        <w:t>, לא רק שבית המשפט אינו כבול להסכמות הצדדים בעת קביעת מתחם הענישה, אלא ראוי כי יקבע מתחם זה בנפרד מהסכמות אלו, וזאת כדי לאפשר את בחינת הסדר הטיעון לאור העונש ההולם בנסיבות העניין (</w:t>
      </w:r>
      <w:hyperlink r:id="rId17" w:history="1">
        <w:r w:rsidR="008A6A56" w:rsidRPr="008A6A56">
          <w:rPr>
            <w:rFonts w:eastAsia="Calibri"/>
            <w:color w:val="0000FF"/>
            <w:u w:val="single"/>
            <w:rtl/>
          </w:rPr>
          <w:t>ע"פ 1548/18</w:t>
        </w:r>
      </w:hyperlink>
      <w:r>
        <w:rPr>
          <w:rFonts w:eastAsia="Calibri"/>
          <w:rtl/>
        </w:rPr>
        <w:t xml:space="preserve"> </w:t>
      </w:r>
      <w:r>
        <w:rPr>
          <w:rFonts w:eastAsia="Calibri" w:hint="cs"/>
          <w:b/>
          <w:bCs/>
          <w:rtl/>
        </w:rPr>
        <w:t>גיא נ' מדינת ישראל</w:t>
      </w:r>
      <w:r>
        <w:rPr>
          <w:rFonts w:eastAsia="Calibri" w:hint="cs"/>
          <w:rtl/>
        </w:rPr>
        <w:t xml:space="preserve"> [פורסם בנבו] (28.11.2021))."</w:t>
      </w:r>
    </w:p>
    <w:p w14:paraId="0EDE4743" w14:textId="77777777" w:rsidR="0090178A" w:rsidRDefault="0090178A" w:rsidP="0090178A">
      <w:pPr>
        <w:spacing w:line="360" w:lineRule="auto"/>
        <w:jc w:val="both"/>
        <w:rPr>
          <w:rFonts w:eastAsia="David"/>
          <w:b/>
          <w:bCs/>
          <w:u w:val="single"/>
          <w:rtl/>
        </w:rPr>
      </w:pPr>
    </w:p>
    <w:p w14:paraId="0060928F" w14:textId="77777777" w:rsidR="0090178A" w:rsidRDefault="0090178A" w:rsidP="0090178A">
      <w:pPr>
        <w:spacing w:line="360" w:lineRule="auto"/>
        <w:jc w:val="both"/>
        <w:rPr>
          <w:b/>
          <w:bCs/>
          <w:rtl/>
        </w:rPr>
      </w:pPr>
      <w:r>
        <w:rPr>
          <w:rFonts w:hint="cs"/>
          <w:b/>
          <w:bCs/>
          <w:rtl/>
        </w:rPr>
        <w:t>מתחם העונש ההולם</w:t>
      </w:r>
    </w:p>
    <w:p w14:paraId="13E33ACA" w14:textId="77777777" w:rsidR="0090178A" w:rsidRDefault="0090178A" w:rsidP="0090178A">
      <w:pPr>
        <w:spacing w:line="360" w:lineRule="auto"/>
        <w:jc w:val="both"/>
        <w:rPr>
          <w:rtl/>
        </w:rPr>
      </w:pPr>
      <w:r>
        <w:rPr>
          <w:rFonts w:hint="cs"/>
          <w:rtl/>
        </w:rPr>
        <w:t xml:space="preserve">הערכים המוגנים שנפגעו כתוצאה מביצוע העבירות הם שלומו ובריאותו של הציבור, לאור הנזקים הטמונים בהפצתם של סמים בחברה. כנטען על ידי המאשימה, גידול סמים מהווה חלק עיקרי וראשוני משרשרת הפצת הסמים, מעבדות לגידול קנבוס הפכו בעת האחרונה לתופעה נפוצה שטמון בה נזק רב לציבור. במקרה עסקינן, הנאשם גידל 39 שתילי קנבוס במשקל כולל של 7.9 ק"ג נטו, בתוך חדר בדירה ששכר. בנסיבות אלה, עוצמת הפגיעה בערכים המוגנים היא בינונית להערכתי. </w:t>
      </w:r>
    </w:p>
    <w:p w14:paraId="0F530BC3" w14:textId="77777777" w:rsidR="0090178A" w:rsidRDefault="0090178A" w:rsidP="0090178A">
      <w:pPr>
        <w:spacing w:line="360" w:lineRule="auto"/>
        <w:jc w:val="both"/>
        <w:rPr>
          <w:rtl/>
        </w:rPr>
      </w:pPr>
    </w:p>
    <w:p w14:paraId="7FF6F868" w14:textId="77777777" w:rsidR="0090178A" w:rsidRDefault="0090178A" w:rsidP="0090178A">
      <w:pPr>
        <w:spacing w:line="360" w:lineRule="auto"/>
        <w:jc w:val="both"/>
        <w:rPr>
          <w:rtl/>
        </w:rPr>
      </w:pPr>
      <w:r>
        <w:rPr>
          <w:rFonts w:hint="cs"/>
          <w:rtl/>
        </w:rPr>
        <w:t xml:space="preserve">בבחינת </w:t>
      </w:r>
      <w:r>
        <w:rPr>
          <w:rFonts w:hint="cs"/>
          <w:b/>
          <w:bCs/>
          <w:rtl/>
        </w:rPr>
        <w:t>מדיניות הענישה הנוהגת</w:t>
      </w:r>
      <w:r>
        <w:rPr>
          <w:rFonts w:hint="cs"/>
          <w:rtl/>
        </w:rPr>
        <w:t>, לרבות פסקי הדין אליהם הפנו באי כח הצדדים בטיעוניהם, עולה כי הענישה הנוהגת נעה במנעד שבין עונשי מאסר לריצוי בעבודות שירות ועד למספר משמעותי של חודשי מאסר בפועל לריצוי בין כתלי בית הכלא, כמפורט להלן:</w:t>
      </w:r>
    </w:p>
    <w:p w14:paraId="40A4A580" w14:textId="77777777" w:rsidR="0090178A" w:rsidRDefault="0090178A" w:rsidP="0090178A">
      <w:pPr>
        <w:spacing w:line="360" w:lineRule="auto"/>
        <w:jc w:val="both"/>
        <w:rPr>
          <w:rtl/>
        </w:rPr>
      </w:pPr>
    </w:p>
    <w:p w14:paraId="076DE4F6" w14:textId="77777777" w:rsidR="0090178A" w:rsidRDefault="008A6A56" w:rsidP="0090178A">
      <w:pPr>
        <w:pStyle w:val="a9"/>
        <w:numPr>
          <w:ilvl w:val="0"/>
          <w:numId w:val="1"/>
        </w:numPr>
        <w:spacing w:line="360" w:lineRule="auto"/>
        <w:jc w:val="both"/>
        <w:rPr>
          <w:rFonts w:ascii="David" w:hAnsi="David" w:cs="David"/>
          <w:sz w:val="24"/>
          <w:szCs w:val="24"/>
          <w:rtl/>
        </w:rPr>
      </w:pPr>
      <w:hyperlink r:id="rId18" w:history="1">
        <w:r w:rsidRPr="008A6A56">
          <w:rPr>
            <w:rFonts w:ascii="David" w:hAnsi="David" w:cs="David"/>
            <w:color w:val="0000FF"/>
            <w:sz w:val="24"/>
            <w:szCs w:val="24"/>
            <w:u w:val="single"/>
            <w:rtl/>
          </w:rPr>
          <w:t>רע"פ 513/21</w:t>
        </w:r>
      </w:hyperlink>
      <w:r w:rsidR="0090178A">
        <w:rPr>
          <w:rFonts w:ascii="David" w:hAnsi="David" w:cs="David"/>
          <w:sz w:val="24"/>
          <w:szCs w:val="24"/>
          <w:rtl/>
        </w:rPr>
        <w:t xml:space="preserve"> </w:t>
      </w:r>
      <w:r w:rsidR="0090178A">
        <w:rPr>
          <w:rFonts w:ascii="David" w:hAnsi="David" w:cs="David"/>
          <w:b/>
          <w:bCs/>
          <w:sz w:val="24"/>
          <w:szCs w:val="24"/>
          <w:rtl/>
        </w:rPr>
        <w:t>עידן יהושע נ' מ"י</w:t>
      </w:r>
      <w:r w:rsidR="0090178A">
        <w:rPr>
          <w:rFonts w:ascii="David" w:hAnsi="David" w:cs="David"/>
          <w:sz w:val="24"/>
          <w:szCs w:val="24"/>
          <w:rtl/>
        </w:rPr>
        <w:t xml:space="preserve"> (4.3.2021) אליו הפנתה המאשימה  (כב' השופט ג' קרא) -  באותו מקרה המבקש הקים במחסן המצוי בחצר הדירה שבה התגורר עם בני משפחתו, מקום לגידול סמים, החזיק ציוד וכלים המשמשים להכנתם וגידל במחסן 60 שתילים של סם מסוכן מסוג קנביס במשקל כולל של 10 ק"ג. בבית משפט השלום נדון לשל"צ, צו מבחן, מאסרים מותנים, קנס, התחייבות כספית מהימנעות מביצוע עבירה בניגוד לפקודה ופסילת רישיון נהיגה. בית המשפט המחוזי קיבל את ערעור המשיבה, וגזר על המבקש </w:t>
      </w:r>
      <w:r w:rsidR="0090178A">
        <w:rPr>
          <w:rFonts w:ascii="David" w:hAnsi="David" w:cs="David"/>
          <w:b/>
          <w:bCs/>
          <w:sz w:val="24"/>
          <w:szCs w:val="24"/>
          <w:rtl/>
        </w:rPr>
        <w:t>10 חודשי מאסר בפועל</w:t>
      </w:r>
      <w:r w:rsidR="0090178A">
        <w:rPr>
          <w:rFonts w:ascii="David" w:hAnsi="David" w:cs="David"/>
          <w:sz w:val="24"/>
          <w:szCs w:val="24"/>
          <w:rtl/>
        </w:rPr>
        <w:t xml:space="preserve"> חלף השל"צ, כאשר רכיבי הענישה נותרו ללא שינוי. בקשת רשות ערעור נדחתה ונקבע כי הענישה אינה חורגת ממדיניות הענישה המקובלת בעבירת גידול סמים, אשר ככלל מצדיקה הטלת עונשי מאסר בפועל, לאור תכליות הענישה ועקרון ההלימה.</w:t>
      </w:r>
    </w:p>
    <w:p w14:paraId="1DF57375" w14:textId="77777777" w:rsidR="0090178A" w:rsidRDefault="0090178A" w:rsidP="0090178A">
      <w:pPr>
        <w:pStyle w:val="a9"/>
        <w:numPr>
          <w:ilvl w:val="0"/>
          <w:numId w:val="1"/>
        </w:numPr>
        <w:spacing w:line="360" w:lineRule="auto"/>
        <w:jc w:val="both"/>
        <w:rPr>
          <w:rFonts w:ascii="David" w:hAnsi="David" w:cs="David"/>
          <w:sz w:val="24"/>
          <w:szCs w:val="24"/>
        </w:rPr>
      </w:pPr>
      <w:r>
        <w:rPr>
          <w:rFonts w:ascii="David" w:hAnsi="David" w:cs="David"/>
          <w:sz w:val="24"/>
          <w:szCs w:val="24"/>
          <w:rtl/>
        </w:rPr>
        <w:t>ב</w:t>
      </w:r>
      <w:hyperlink r:id="rId19" w:history="1">
        <w:r w:rsidR="008A6A56" w:rsidRPr="008A6A56">
          <w:rPr>
            <w:rFonts w:ascii="David" w:hAnsi="David" w:cs="David"/>
            <w:color w:val="0000FF"/>
            <w:sz w:val="24"/>
            <w:szCs w:val="24"/>
            <w:u w:val="single"/>
            <w:rtl/>
          </w:rPr>
          <w:t>עפ"ג (מח' חיפה) 49266-02-17</w:t>
        </w:r>
      </w:hyperlink>
      <w:r>
        <w:rPr>
          <w:rFonts w:ascii="David" w:hAnsi="David" w:cs="David"/>
          <w:sz w:val="24"/>
          <w:szCs w:val="24"/>
          <w:rtl/>
        </w:rPr>
        <w:t xml:space="preserve"> </w:t>
      </w:r>
      <w:r>
        <w:rPr>
          <w:rFonts w:ascii="David" w:hAnsi="David" w:cs="David"/>
          <w:b/>
          <w:bCs/>
          <w:sz w:val="24"/>
          <w:szCs w:val="24"/>
          <w:rtl/>
        </w:rPr>
        <w:t>מדינת ישראל נ' אוחיון</w:t>
      </w:r>
      <w:r>
        <w:rPr>
          <w:rFonts w:ascii="David" w:hAnsi="David" w:cs="David"/>
          <w:sz w:val="24"/>
          <w:szCs w:val="24"/>
          <w:rtl/>
        </w:rPr>
        <w:t xml:space="preserve">  (16.3.17) נדחה עיקר ערעורה של המדינה על קולת עונשו של הנאשם שהורשע בעבירות של גידול סם מסוכן והחזקת כלים להכנת סם שלא לצריכה עצמית. הנאשם גידל בדירה שתילי סם מסוג קנבוס במשקל כולל של 12.85 ק"ג והחזיק סם נוסף מסוג קנבוס לצריכה עצמית. נקבע מתחם שבין </w:t>
      </w:r>
      <w:r>
        <w:rPr>
          <w:rFonts w:ascii="David" w:hAnsi="David" w:cs="David"/>
          <w:b/>
          <w:bCs/>
          <w:sz w:val="24"/>
          <w:szCs w:val="24"/>
          <w:rtl/>
        </w:rPr>
        <w:t>עבודות שירות לשנת מאסר בפועל</w:t>
      </w:r>
      <w:r>
        <w:rPr>
          <w:rFonts w:ascii="David" w:hAnsi="David" w:cs="David"/>
          <w:sz w:val="24"/>
          <w:szCs w:val="24"/>
          <w:rtl/>
        </w:rPr>
        <w:t xml:space="preserve">, ממנו חרג בית משפט השלום משיקולי שיקום, תוך הטלת צו מבחן למשך 12 חודשים, של"צ בהיקף של 300 שעות, לצד עונשים נלווים. בית המשפט המחוזי החליט לדחות את ערעור המאשימה בכפוף להארכת משך צו המבחן לתקופה של 24 חודשים. </w:t>
      </w:r>
    </w:p>
    <w:p w14:paraId="6C5B0AEB" w14:textId="77777777" w:rsidR="0090178A" w:rsidRDefault="0090178A" w:rsidP="0090178A">
      <w:pPr>
        <w:pStyle w:val="a9"/>
        <w:numPr>
          <w:ilvl w:val="0"/>
          <w:numId w:val="1"/>
        </w:numPr>
        <w:spacing w:line="360" w:lineRule="auto"/>
        <w:jc w:val="both"/>
        <w:rPr>
          <w:rFonts w:ascii="David" w:hAnsi="David" w:cs="David"/>
          <w:sz w:val="24"/>
          <w:szCs w:val="24"/>
          <w:rtl/>
        </w:rPr>
      </w:pPr>
      <w:r>
        <w:rPr>
          <w:rFonts w:ascii="David" w:hAnsi="David" w:cs="David"/>
          <w:sz w:val="24"/>
          <w:szCs w:val="24"/>
          <w:rtl/>
        </w:rPr>
        <w:t>ב</w:t>
      </w:r>
      <w:hyperlink r:id="rId20" w:history="1">
        <w:r w:rsidR="008A6A56" w:rsidRPr="008A6A56">
          <w:rPr>
            <w:rFonts w:ascii="David" w:hAnsi="David" w:cs="David"/>
            <w:color w:val="0000FF"/>
            <w:sz w:val="24"/>
            <w:szCs w:val="24"/>
            <w:u w:val="single"/>
            <w:rtl/>
          </w:rPr>
          <w:t>ת"פ (רמ') 21679-04-15</w:t>
        </w:r>
      </w:hyperlink>
      <w:r>
        <w:rPr>
          <w:rFonts w:ascii="David" w:hAnsi="David" w:cs="David"/>
          <w:sz w:val="24"/>
          <w:szCs w:val="24"/>
          <w:rtl/>
        </w:rPr>
        <w:t xml:space="preserve"> </w:t>
      </w:r>
      <w:r>
        <w:rPr>
          <w:rFonts w:ascii="David" w:hAnsi="David" w:cs="David"/>
          <w:b/>
          <w:bCs/>
          <w:sz w:val="24"/>
          <w:szCs w:val="24"/>
          <w:rtl/>
        </w:rPr>
        <w:t>מדינת ישראל נ' בראנץ</w:t>
      </w:r>
      <w:r>
        <w:rPr>
          <w:rFonts w:ascii="David" w:hAnsi="David" w:cs="David"/>
          <w:sz w:val="24"/>
          <w:szCs w:val="24"/>
          <w:rtl/>
        </w:rPr>
        <w:t xml:space="preserve">  (24.2.16) הורשע הנאשם בעבירות של גידול סם, החזקת חצרים והחזקת סם לצריכה עצמית. הנאשם גידל כ- 40 שתילי סם במשקל של 1.8 ק"ג, תוך שימוש בגופי תאורה וציוד נלווה. כמו-כן, החזיק בסם לצריכה עצמית. נקבע מתחם שבין שלושה חודשי עבודות שירות לבין 18 חודשי מאסר בפועל. בית-המשפט סטה מן המתחם לקולא, בשל מצב בריאותו של הנאשם וגזר עליו 400 שעות של"צ לצד עונשים נלווים.</w:t>
      </w:r>
    </w:p>
    <w:p w14:paraId="7BBEDB25" w14:textId="77777777" w:rsidR="0090178A" w:rsidRDefault="008A6A56" w:rsidP="0090178A">
      <w:pPr>
        <w:numPr>
          <w:ilvl w:val="0"/>
          <w:numId w:val="1"/>
        </w:numPr>
        <w:spacing w:after="160" w:line="360" w:lineRule="auto"/>
        <w:contextualSpacing/>
        <w:jc w:val="both"/>
        <w:rPr>
          <w:rFonts w:ascii="David" w:hAnsi="David"/>
        </w:rPr>
      </w:pPr>
      <w:hyperlink r:id="rId21" w:history="1">
        <w:r w:rsidRPr="008A6A56">
          <w:rPr>
            <w:color w:val="0000FF"/>
            <w:u w:val="single"/>
            <w:rtl/>
          </w:rPr>
          <w:t>ת"פ (י-ם) 18484-08-19</w:t>
        </w:r>
      </w:hyperlink>
      <w:r w:rsidR="0090178A">
        <w:rPr>
          <w:rtl/>
        </w:rPr>
        <w:t xml:space="preserve"> </w:t>
      </w:r>
      <w:r w:rsidR="0090178A">
        <w:rPr>
          <w:rFonts w:hint="cs"/>
          <w:b/>
          <w:bCs/>
          <w:rtl/>
        </w:rPr>
        <w:t>מדינת ישראל נ' דומב</w:t>
      </w:r>
      <w:r w:rsidR="0090178A">
        <w:rPr>
          <w:rFonts w:hint="cs"/>
          <w:rtl/>
        </w:rPr>
        <w:t xml:space="preserve"> (14.4.21) – אליו הפנתה המאשימה. דובר בנאשם שהורשע בעבירה של גידול סמים, תוך קשירת קשר עם אחרים ורכישת ציוד בשווי של כ-100,000 ₪ ובמקום אותו שכרו במיוחד לשם כך. במקום נתפסו 28 שתילי קנאביס במשקל של 7.33 גרם ו-10 שתילים במשקל של 576.32 גרם. בעניין זה נקבע כי משקל הסם מאפשר, על פי הפסיקה הנוהגת, קביעת תחת מתחם ענישה של מאסר מותנה, ואולם רשימת הציוד שנתפס מעידה כי הנאשם התכוון ליצור מעבדת גידול של ממש. לפיכך, נקבע מתחם ענישה הנע בין מספר חודשי מאסר שיכול וירוצו בעבודות שירות ועד למספר חודשי מאסר לריצוי ממש.</w:t>
      </w:r>
      <w:r w:rsidR="0090178A">
        <w:rPr>
          <w:rFonts w:hint="cs"/>
          <w:b/>
          <w:bCs/>
          <w:rtl/>
        </w:rPr>
        <w:t xml:space="preserve"> נגזרו 8 חודשי מאסר לריצוי בעבודות שירות.</w:t>
      </w:r>
      <w:r w:rsidR="0090178A">
        <w:rPr>
          <w:rFonts w:hint="cs"/>
          <w:rtl/>
        </w:rPr>
        <w:t xml:space="preserve"> </w:t>
      </w:r>
    </w:p>
    <w:p w14:paraId="63EA0B5B" w14:textId="77777777" w:rsidR="0090178A" w:rsidRDefault="008A6A56" w:rsidP="0090178A">
      <w:pPr>
        <w:pStyle w:val="a9"/>
        <w:numPr>
          <w:ilvl w:val="0"/>
          <w:numId w:val="1"/>
        </w:numPr>
        <w:spacing w:line="360" w:lineRule="auto"/>
        <w:jc w:val="both"/>
        <w:rPr>
          <w:rFonts w:ascii="David" w:hAnsi="David" w:cs="David"/>
          <w:sz w:val="24"/>
          <w:szCs w:val="24"/>
        </w:rPr>
      </w:pPr>
      <w:hyperlink r:id="rId22" w:history="1">
        <w:r w:rsidRPr="008A6A56">
          <w:rPr>
            <w:rFonts w:ascii="David" w:hAnsi="David" w:cs="David"/>
            <w:color w:val="0000FF"/>
            <w:sz w:val="24"/>
            <w:szCs w:val="24"/>
            <w:u w:val="single"/>
            <w:rtl/>
          </w:rPr>
          <w:t>עפ"ג (חי') 4416-12-19</w:t>
        </w:r>
      </w:hyperlink>
      <w:r w:rsidR="0090178A">
        <w:rPr>
          <w:rFonts w:ascii="David" w:hAnsi="David" w:cs="David"/>
          <w:sz w:val="24"/>
          <w:szCs w:val="24"/>
          <w:rtl/>
        </w:rPr>
        <w:t xml:space="preserve"> </w:t>
      </w:r>
      <w:r w:rsidR="0090178A">
        <w:rPr>
          <w:rFonts w:ascii="David" w:hAnsi="David" w:cs="David"/>
          <w:b/>
          <w:bCs/>
          <w:sz w:val="24"/>
          <w:szCs w:val="24"/>
          <w:rtl/>
        </w:rPr>
        <w:t>מדינת ישראל נ' בלמס</w:t>
      </w:r>
      <w:r w:rsidR="0090178A">
        <w:rPr>
          <w:rFonts w:ascii="David" w:hAnsi="David" w:cs="David"/>
          <w:sz w:val="24"/>
          <w:szCs w:val="24"/>
          <w:rtl/>
        </w:rPr>
        <w:t xml:space="preserve"> – אליו הפנה ב"כ הנאשם. בית-המשפט המחוזי קיבל את ערעור המדינה, דחה את ערעור המשיב </w:t>
      </w:r>
      <w:r w:rsidR="0090178A">
        <w:rPr>
          <w:rFonts w:ascii="David" w:hAnsi="David" w:cs="David"/>
          <w:b/>
          <w:bCs/>
          <w:sz w:val="24"/>
          <w:szCs w:val="24"/>
          <w:rtl/>
        </w:rPr>
        <w:t>והעמיד את עונשו של על 9 חודשי מאסר בעבודות שירות</w:t>
      </w:r>
      <w:r w:rsidR="0090178A">
        <w:rPr>
          <w:rFonts w:ascii="David" w:hAnsi="David" w:cs="David"/>
          <w:sz w:val="24"/>
          <w:szCs w:val="24"/>
          <w:rtl/>
        </w:rPr>
        <w:t xml:space="preserve"> במקום 7 חודשים שהוטלו בבית המשפט קמא ותקופת צו המבחן הוארך לתקופה של 18 חודשים במקום 12 חודשים. באותו מקרה הורשע המשיב בהקמת מעבדת סמים, ובה נתפסו 595 שתילי קנאביס במשקל של 21.8 ק"ג נטו וכן נעשה שימוש פיראטי בחשמל באופן שמונה חברת החשמל לא יוכל לרשום את כמות החשמל שנצרכה בפועל בדירה.</w:t>
      </w:r>
    </w:p>
    <w:p w14:paraId="24C29813" w14:textId="77777777" w:rsidR="0090178A" w:rsidRDefault="008A6A56" w:rsidP="0090178A">
      <w:pPr>
        <w:pStyle w:val="a9"/>
        <w:numPr>
          <w:ilvl w:val="0"/>
          <w:numId w:val="1"/>
        </w:numPr>
        <w:spacing w:line="360" w:lineRule="auto"/>
        <w:jc w:val="both"/>
        <w:rPr>
          <w:rFonts w:ascii="David" w:hAnsi="David" w:cs="David"/>
          <w:sz w:val="24"/>
          <w:szCs w:val="24"/>
          <w:rtl/>
        </w:rPr>
      </w:pPr>
      <w:hyperlink r:id="rId23" w:history="1">
        <w:r w:rsidRPr="008A6A56">
          <w:rPr>
            <w:rFonts w:ascii="David" w:hAnsi="David" w:cs="David"/>
            <w:color w:val="0000FF"/>
            <w:sz w:val="24"/>
            <w:szCs w:val="24"/>
            <w:u w:val="single"/>
            <w:rtl/>
          </w:rPr>
          <w:t>ת"פ (חדרה) 15038-11-17</w:t>
        </w:r>
      </w:hyperlink>
      <w:r w:rsidR="0090178A">
        <w:rPr>
          <w:rFonts w:ascii="David" w:hAnsi="David" w:cs="David"/>
          <w:sz w:val="24"/>
          <w:szCs w:val="24"/>
          <w:rtl/>
        </w:rPr>
        <w:t xml:space="preserve"> </w:t>
      </w:r>
      <w:r w:rsidR="0090178A">
        <w:rPr>
          <w:rFonts w:ascii="David" w:hAnsi="David" w:cs="David"/>
          <w:b/>
          <w:bCs/>
          <w:sz w:val="24"/>
          <w:szCs w:val="24"/>
          <w:rtl/>
        </w:rPr>
        <w:t>מדינת ישראל נ' פרץ</w:t>
      </w:r>
      <w:r w:rsidR="0090178A">
        <w:rPr>
          <w:rFonts w:ascii="David" w:hAnsi="David" w:cs="David"/>
          <w:sz w:val="24"/>
          <w:szCs w:val="24"/>
          <w:rtl/>
        </w:rPr>
        <w:t xml:space="preserve"> – אליו הפנה ב"כ הנאשם. דובר בשני תיקים מצורפים בגין שני אירועים נפרדים, הראשון - בגין עבירה של החזקת סכין השני ב עבירה של גידול סמים. באותו מקרה, נתפסו במעבדת סמים שהנאשם ניהל 40.57 גרם נטו סמים מסוג קנבוס ו- 3.95 ק"ג ברוטו של קנבוס (שתילים). בית המשפט קבע מתחם ענישה בעבירה של גידול סמים הנע בין 6 חודשי עבודות שירות ל 18 חודשי מאסר</w:t>
      </w:r>
      <w:r w:rsidR="0090178A">
        <w:rPr>
          <w:rFonts w:ascii="David" w:hAnsi="David" w:cs="David"/>
          <w:b/>
          <w:bCs/>
          <w:sz w:val="24"/>
          <w:szCs w:val="24"/>
          <w:rtl/>
        </w:rPr>
        <w:t xml:space="preserve"> והושתו 6 חודשי מאסר בעבודות שירות </w:t>
      </w:r>
      <w:r w:rsidR="0090178A">
        <w:rPr>
          <w:rFonts w:ascii="David" w:hAnsi="David" w:cs="David"/>
          <w:sz w:val="24"/>
          <w:szCs w:val="24"/>
          <w:rtl/>
        </w:rPr>
        <w:t>על נאשם ללא עבר פלילי.</w:t>
      </w:r>
      <w:r w:rsidR="0090178A">
        <w:rPr>
          <w:rFonts w:ascii="David" w:hAnsi="David" w:cs="David"/>
          <w:b/>
          <w:bCs/>
          <w:sz w:val="24"/>
          <w:szCs w:val="24"/>
          <w:rtl/>
        </w:rPr>
        <w:t xml:space="preserve"> </w:t>
      </w:r>
    </w:p>
    <w:p w14:paraId="5850C799" w14:textId="77777777" w:rsidR="0090178A" w:rsidRDefault="008A6A56" w:rsidP="0090178A">
      <w:pPr>
        <w:pStyle w:val="a9"/>
        <w:numPr>
          <w:ilvl w:val="0"/>
          <w:numId w:val="1"/>
        </w:numPr>
        <w:spacing w:line="360" w:lineRule="auto"/>
        <w:jc w:val="both"/>
        <w:rPr>
          <w:rFonts w:ascii="David" w:hAnsi="David" w:cs="David"/>
          <w:sz w:val="24"/>
          <w:szCs w:val="24"/>
        </w:rPr>
      </w:pPr>
      <w:hyperlink r:id="rId24" w:history="1">
        <w:r w:rsidRPr="008A6A56">
          <w:rPr>
            <w:rFonts w:ascii="David" w:hAnsi="David" w:cs="David"/>
            <w:color w:val="0000FF"/>
            <w:sz w:val="24"/>
            <w:szCs w:val="24"/>
            <w:u w:val="single"/>
            <w:rtl/>
          </w:rPr>
          <w:t>ת"פ 14065-01-19</w:t>
        </w:r>
      </w:hyperlink>
      <w:r w:rsidR="0090178A">
        <w:rPr>
          <w:rFonts w:ascii="David" w:hAnsi="David" w:cs="David"/>
          <w:sz w:val="24"/>
          <w:szCs w:val="24"/>
          <w:rtl/>
        </w:rPr>
        <w:t xml:space="preserve"> (חיפה) </w:t>
      </w:r>
      <w:r w:rsidR="0090178A">
        <w:rPr>
          <w:rFonts w:ascii="David" w:hAnsi="David" w:cs="David"/>
          <w:b/>
          <w:bCs/>
          <w:sz w:val="24"/>
          <w:szCs w:val="24"/>
          <w:rtl/>
        </w:rPr>
        <w:t>מדינת ישראל נ' אורנשטיין</w:t>
      </w:r>
      <w:r w:rsidR="0090178A">
        <w:rPr>
          <w:rFonts w:ascii="David" w:hAnsi="David" w:cs="David"/>
          <w:sz w:val="24"/>
          <w:szCs w:val="24"/>
          <w:rtl/>
        </w:rPr>
        <w:t xml:space="preserve"> ואח' – אליו הפנה ב"כ הנאשם. הנאשם 1, נעדר עבר פלילי אשר הודה והורשע במסגרת הסדר דיוני בשני אישומים, אחד מהם עניינו גידול סם מסוכן מסוג קנבוס בכמות של 32.55 ק"ג – 87 שתילים אותם גידל הנאשם בסיוע של נאשם אחר, וזאת לאחר שצייד דירה אותה שכר בציוד רב לצורך כך, ובישום שני הורשע ב-3 עבירות של שיבוש מהלכי משפט. באותו עניין קבע בית המשפט כי מתחם העונש ההולם בגין ביצוע העבירות נע בין 6 חודשים לבין 24 חודשי מאסר בפועל, והשית על הנאשם עונש של </w:t>
      </w:r>
      <w:r w:rsidR="0090178A">
        <w:rPr>
          <w:rFonts w:ascii="David" w:hAnsi="David" w:cs="David"/>
          <w:b/>
          <w:bCs/>
          <w:sz w:val="24"/>
          <w:szCs w:val="24"/>
          <w:rtl/>
        </w:rPr>
        <w:t>6 חודשי מאסר בפועל לריצוי בעבודות שירות</w:t>
      </w:r>
      <w:r w:rsidR="0090178A">
        <w:rPr>
          <w:rFonts w:ascii="David" w:hAnsi="David" w:cs="David"/>
          <w:sz w:val="24"/>
          <w:szCs w:val="24"/>
          <w:rtl/>
        </w:rPr>
        <w:t xml:space="preserve">. </w:t>
      </w:r>
    </w:p>
    <w:p w14:paraId="2E06295A" w14:textId="77777777" w:rsidR="0090178A" w:rsidRDefault="0090178A" w:rsidP="0090178A">
      <w:pPr>
        <w:spacing w:line="360" w:lineRule="auto"/>
        <w:jc w:val="both"/>
        <w:rPr>
          <w:rFonts w:ascii="David" w:hAnsi="David"/>
        </w:rPr>
      </w:pPr>
    </w:p>
    <w:p w14:paraId="3D6D2355" w14:textId="77777777" w:rsidR="0090178A" w:rsidRDefault="0090178A" w:rsidP="0090178A">
      <w:pPr>
        <w:spacing w:line="360" w:lineRule="auto"/>
        <w:jc w:val="both"/>
        <w:rPr>
          <w:rtl/>
        </w:rPr>
      </w:pPr>
      <w:r>
        <w:rPr>
          <w:rFonts w:hint="cs"/>
          <w:rtl/>
        </w:rPr>
        <w:t xml:space="preserve">בהתחשב בנסיבות ביצוע העבירות, בעוצמת הפגיעה בערכים המוגנים, ובענישה הנוהגת – על גווניה השונים כמפורט לעיל, מצאתי לכבד את מתחם הענישה המוסכם על שני הצדדים בנסיבותיו של מקרה זה, של מאסר בעבודות שירות לתקופה שאינה עולה על 6 חודשים, הגם שיש לציין כי מתחם זה נוטה לקולא ביחס לרמת הענישה הנוהגת במקרים של גידול קנבוס במעבדה שלא לצריכה עצמית. </w:t>
      </w:r>
    </w:p>
    <w:p w14:paraId="1EF15237" w14:textId="77777777" w:rsidR="0090178A" w:rsidRDefault="0090178A" w:rsidP="0090178A">
      <w:pPr>
        <w:spacing w:line="360" w:lineRule="auto"/>
        <w:jc w:val="both"/>
        <w:rPr>
          <w:rtl/>
        </w:rPr>
      </w:pPr>
    </w:p>
    <w:p w14:paraId="2AEBD5C2" w14:textId="77777777" w:rsidR="0090178A" w:rsidRDefault="0090178A" w:rsidP="0090178A">
      <w:pPr>
        <w:spacing w:line="360" w:lineRule="auto"/>
        <w:jc w:val="both"/>
        <w:rPr>
          <w:rtl/>
        </w:rPr>
      </w:pPr>
      <w:r>
        <w:rPr>
          <w:rFonts w:hint="cs"/>
          <w:rtl/>
        </w:rPr>
        <w:t xml:space="preserve">לאור גילו הצעיר של הנאשם, העובדה שלחובתו הרשעה אחת בלבד - שהתיישנה (משנת 2019 מבימ"ש לנוער בעבירות משנת 2017), בהתחשב בהודאה המיידית ולקיחת האחריות מצדו, בנסיבותיו האישיות כמפורט בתסקיר ובהעדר המלצה טיפולית, מצאתי למקם את עונשו של הנאשם ברף הבינוני של המתחם ולהסתפק בתקופה של 4 חודשי מאסר לריצוי בעבודות שירות, בתוספת עונשים נלווים. </w:t>
      </w:r>
      <w:r>
        <w:rPr>
          <w:rFonts w:hint="cs"/>
          <w:rtl/>
        </w:rPr>
        <w:br/>
        <w:t>אני סבורה כי תקופה זו תאפשר לנאשם לחזור במהרה למסלול של אורח חיים נורמטיבי כפי שהצהיר בפניי שבכוונתו לעשות, ויחד עם זאת לא תחטא לעיקרון ההלימה והאינטרס הציבורי, בהתחשב בכמות הסם שגידל הנאשם שהיא אמנם כמות משמעותית, אך יש לבוחנה גם בהשוואה לכמויות שנתפסו במקרים דומים אחרים (בין היתר כמפורט לעיל). לעניין העונשים הנלווים, לא מצאתי להשית על הנאשם פסילת רישיון נהיגה בפועל ולהסתפק בפסילה מותנית, היות ושוכנעתי כי רישיון הנהיגה נחוץ לו לצורך פרנסתו ושיקומו, לרבות הגעה למקום ביצוע עבודות השירות.</w:t>
      </w:r>
    </w:p>
    <w:p w14:paraId="34743BC9" w14:textId="77777777" w:rsidR="0090178A" w:rsidRDefault="0090178A" w:rsidP="0090178A">
      <w:pPr>
        <w:spacing w:line="360" w:lineRule="auto"/>
        <w:jc w:val="both"/>
        <w:rPr>
          <w:b/>
          <w:bCs/>
          <w:u w:val="single"/>
          <w:rtl/>
        </w:rPr>
      </w:pPr>
    </w:p>
    <w:p w14:paraId="6A264C5C" w14:textId="77777777" w:rsidR="0090178A" w:rsidRDefault="0090178A" w:rsidP="0090178A">
      <w:pPr>
        <w:spacing w:line="360" w:lineRule="auto"/>
        <w:jc w:val="both"/>
        <w:rPr>
          <w:b/>
          <w:bCs/>
          <w:u w:val="single"/>
          <w:rtl/>
        </w:rPr>
      </w:pPr>
      <w:r>
        <w:rPr>
          <w:rFonts w:hint="cs"/>
          <w:b/>
          <w:bCs/>
          <w:u w:val="single"/>
          <w:rtl/>
        </w:rPr>
        <w:t xml:space="preserve">סוף דבר, אני גוזרת את עונשו של הנאשם כדלקמן: </w:t>
      </w:r>
    </w:p>
    <w:p w14:paraId="5A4C440E" w14:textId="77777777" w:rsidR="0090178A" w:rsidRDefault="0090178A" w:rsidP="0090178A">
      <w:pPr>
        <w:spacing w:line="360" w:lineRule="auto"/>
        <w:jc w:val="both"/>
        <w:rPr>
          <w:b/>
          <w:bCs/>
          <w:u w:val="single"/>
          <w:rtl/>
        </w:rPr>
      </w:pPr>
    </w:p>
    <w:p w14:paraId="3ADBB6BC" w14:textId="77777777" w:rsidR="0090178A" w:rsidRDefault="0090178A" w:rsidP="0090178A">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4 חודשי מאסר בפועל לריצוי בעבודות שירות</w:t>
      </w:r>
      <w:r>
        <w:rPr>
          <w:rFonts w:ascii="David" w:hAnsi="David" w:cs="David"/>
          <w:sz w:val="24"/>
          <w:szCs w:val="24"/>
          <w:rtl/>
        </w:rPr>
        <w:t>. בהתאם לחוות דעת הממונה, המאסר בעבודות שירות ירוצה במועצה המקומית זכרון יעקב בכתובת: המייסדים 11 א, זכרון יעקב, חמישה ימים בשבוע על פי טווח השעות המתאפשר ב</w:t>
      </w:r>
      <w:hyperlink r:id="rId25" w:history="1">
        <w:r w:rsidR="008A6A56" w:rsidRPr="008A6A56">
          <w:rPr>
            <w:rFonts w:ascii="David" w:hAnsi="David" w:cs="David"/>
            <w:color w:val="0000FF"/>
            <w:sz w:val="24"/>
            <w:szCs w:val="24"/>
            <w:u w:val="single"/>
            <w:rtl/>
          </w:rPr>
          <w:t>חוק העונשין</w:t>
        </w:r>
      </w:hyperlink>
      <w:r>
        <w:rPr>
          <w:rFonts w:ascii="David" w:hAnsi="David" w:cs="David"/>
          <w:sz w:val="24"/>
          <w:szCs w:val="24"/>
          <w:rtl/>
        </w:rPr>
        <w:t>.</w:t>
      </w:r>
    </w:p>
    <w:p w14:paraId="19FE287C" w14:textId="77777777" w:rsidR="0090178A" w:rsidRDefault="0090178A" w:rsidP="0090178A">
      <w:pPr>
        <w:pStyle w:val="a9"/>
        <w:spacing w:after="0" w:line="360" w:lineRule="auto"/>
        <w:jc w:val="both"/>
        <w:rPr>
          <w:rFonts w:ascii="David" w:hAnsi="David" w:cs="David"/>
          <w:sz w:val="24"/>
          <w:szCs w:val="24"/>
        </w:rPr>
      </w:pPr>
      <w:r>
        <w:rPr>
          <w:rFonts w:ascii="David" w:hAnsi="David" w:cs="David"/>
          <w:sz w:val="24"/>
          <w:szCs w:val="24"/>
          <w:rtl/>
        </w:rPr>
        <w:t xml:space="preserve">הנאשם יתייצב לתחילת ריצוי עבודות השירות ביום 4.6.23 או במועד אחר שיקבע הממונה. הנאשם יתייצב לצורך קליטה והצבה במשרדי הממונה על עבודות השירות ביחידת ברקאי  שלוחת צפון – סמוך לבית סוהר מגידו בשעה 8:00 בבוקר, עם תעודת זהות לצורך קליטה והצבה. </w:t>
      </w:r>
    </w:p>
    <w:p w14:paraId="4663DCE3" w14:textId="77777777" w:rsidR="0090178A" w:rsidRPr="0090178A" w:rsidRDefault="0090178A" w:rsidP="0090178A">
      <w:pPr>
        <w:spacing w:line="360" w:lineRule="auto"/>
        <w:ind w:left="720"/>
        <w:jc w:val="both"/>
        <w:rPr>
          <w:rFonts w:ascii="David" w:eastAsia="Calibri" w:hAnsi="David"/>
          <w:lang w:eastAsia="he-IL"/>
        </w:rPr>
      </w:pPr>
      <w:r>
        <w:rPr>
          <w:rFonts w:hint="cs"/>
          <w:rtl/>
          <w:lang w:eastAsia="he-IL"/>
        </w:rPr>
        <w:t>הנאשם מוזהר כי במהלך עבודות השירות יהיה הנאשם נתון במעקב של בדיקות שתן. סירוב לעריכת בדיקת שתן או בדיקה עם ממצאים חיוביים, שתיית אלכוהול או הגעה בגילופין</w:t>
      </w:r>
      <w:r w:rsidR="008A6A56">
        <w:rPr>
          <w:rFonts w:hint="cs"/>
          <w:rtl/>
          <w:lang w:eastAsia="he-IL"/>
        </w:rPr>
        <w:t xml:space="preserve"> </w:t>
      </w:r>
      <w:r>
        <w:rPr>
          <w:rFonts w:hint="cs"/>
          <w:rtl/>
          <w:lang w:eastAsia="he-IL"/>
        </w:rPr>
        <w:t xml:space="preserve"> או אי התייצבות - יהוו עילה להפסקה מנהלית וריצוי יתרת המאסר בפועל מאחורי סורג ובריח.</w:t>
      </w:r>
    </w:p>
    <w:p w14:paraId="001DC104" w14:textId="77777777" w:rsidR="0090178A" w:rsidRDefault="0090178A" w:rsidP="0090178A">
      <w:pPr>
        <w:pStyle w:val="a9"/>
        <w:spacing w:after="0" w:line="360" w:lineRule="auto"/>
        <w:jc w:val="both"/>
        <w:rPr>
          <w:rFonts w:ascii="David" w:hAnsi="David" w:cs="David"/>
          <w:sz w:val="24"/>
          <w:szCs w:val="24"/>
        </w:rPr>
      </w:pPr>
      <w:r>
        <w:rPr>
          <w:rFonts w:ascii="David" w:hAnsi="David" w:cs="David"/>
          <w:sz w:val="24"/>
          <w:szCs w:val="24"/>
          <w:rtl/>
        </w:rPr>
        <w:t>כמו כן מובהר לנאשם כי מדובר בתנאי העסקה קפדניים וכל חריגה מכללים אלו ו/או אי הישמעות להוראות הממונה על עבודות השירות, עלולה להוות עילה להפסקה מנהלית של עבודת השירות ולריצוי יתרת עונש המאסר בכליאה ממשית.</w:t>
      </w:r>
    </w:p>
    <w:p w14:paraId="1082740C" w14:textId="77777777" w:rsidR="0090178A" w:rsidRDefault="0090178A" w:rsidP="0090178A">
      <w:pPr>
        <w:pStyle w:val="a9"/>
        <w:spacing w:line="360" w:lineRule="auto"/>
        <w:jc w:val="both"/>
        <w:rPr>
          <w:rFonts w:ascii="David" w:hAnsi="David" w:cs="David"/>
          <w:sz w:val="24"/>
          <w:szCs w:val="24"/>
          <w:rtl/>
        </w:rPr>
      </w:pPr>
    </w:p>
    <w:p w14:paraId="77AAAFAC" w14:textId="77777777" w:rsidR="0090178A" w:rsidRDefault="0090178A" w:rsidP="0090178A">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9 חודשי מאסר על תנאי</w:t>
      </w:r>
      <w:r>
        <w:rPr>
          <w:rFonts w:ascii="David" w:hAnsi="David" w:cs="David"/>
          <w:sz w:val="24"/>
          <w:szCs w:val="24"/>
          <w:rtl/>
        </w:rPr>
        <w:t xml:space="preserve"> שלא יעבור עבירה מסוג פשע לפי </w:t>
      </w:r>
      <w:hyperlink r:id="rId26" w:history="1">
        <w:r w:rsidR="008A6A56" w:rsidRPr="008A6A56">
          <w:rPr>
            <w:rFonts w:ascii="David" w:hAnsi="David" w:cs="David"/>
            <w:color w:val="0000FF"/>
            <w:sz w:val="24"/>
            <w:szCs w:val="24"/>
            <w:u w:val="single"/>
            <w:rtl/>
          </w:rPr>
          <w:t>פקודת הסמים המסוכנים</w:t>
        </w:r>
      </w:hyperlink>
      <w:r>
        <w:rPr>
          <w:rFonts w:ascii="David" w:hAnsi="David" w:cs="David"/>
          <w:sz w:val="24"/>
          <w:szCs w:val="24"/>
          <w:rtl/>
        </w:rPr>
        <w:t xml:space="preserve"> וזאת בתוך 3 שנים מהיום. </w:t>
      </w:r>
    </w:p>
    <w:p w14:paraId="6A225459" w14:textId="77777777" w:rsidR="0090178A" w:rsidRDefault="0090178A" w:rsidP="0090178A">
      <w:pPr>
        <w:pStyle w:val="a9"/>
        <w:spacing w:line="360" w:lineRule="auto"/>
        <w:jc w:val="both"/>
        <w:rPr>
          <w:rFonts w:ascii="David" w:hAnsi="David" w:cs="David"/>
          <w:sz w:val="24"/>
          <w:szCs w:val="24"/>
        </w:rPr>
      </w:pPr>
    </w:p>
    <w:p w14:paraId="420AB7EB" w14:textId="77777777" w:rsidR="0090178A" w:rsidRDefault="0090178A" w:rsidP="0090178A">
      <w:pPr>
        <w:pStyle w:val="a9"/>
        <w:numPr>
          <w:ilvl w:val="0"/>
          <w:numId w:val="2"/>
        </w:numPr>
        <w:spacing w:line="360" w:lineRule="auto"/>
        <w:jc w:val="both"/>
        <w:rPr>
          <w:rFonts w:ascii="David" w:hAnsi="David" w:cs="David"/>
          <w:sz w:val="24"/>
          <w:szCs w:val="24"/>
        </w:rPr>
      </w:pPr>
      <w:r>
        <w:rPr>
          <w:rFonts w:ascii="David" w:hAnsi="David" w:cs="David"/>
          <w:b/>
          <w:bCs/>
          <w:sz w:val="24"/>
          <w:szCs w:val="24"/>
          <w:rtl/>
        </w:rPr>
        <w:t>קנס כספי בסך 5,000 ₪ או 30 ימי מאסר תחתיו</w:t>
      </w:r>
      <w:r>
        <w:rPr>
          <w:rFonts w:ascii="David" w:hAnsi="David" w:cs="David"/>
          <w:sz w:val="24"/>
          <w:szCs w:val="24"/>
          <w:rtl/>
        </w:rPr>
        <w:t>. הקנס ישולם ב-10 תשלומים שווים ורצופים, החל מיום 30.6.23 ובכל 30 לחודש שלאחר מכן. פיגור יעמיד את מלוא הקנס לפירעון מידי, ויפעיל את צו המאסר שלצדו.</w:t>
      </w:r>
    </w:p>
    <w:p w14:paraId="303E8731" w14:textId="77777777" w:rsidR="0090178A" w:rsidRPr="0090178A" w:rsidRDefault="0090178A" w:rsidP="0090178A">
      <w:pPr>
        <w:spacing w:line="360" w:lineRule="auto"/>
        <w:ind w:left="720"/>
        <w:jc w:val="both"/>
        <w:rPr>
          <w:rFonts w:ascii="Calibri" w:eastAsia="Calibri" w:hAnsi="Calibri" w:cs="Calibri"/>
          <w:sz w:val="22"/>
          <w:szCs w:val="22"/>
        </w:rPr>
      </w:pPr>
      <w:r>
        <w:rPr>
          <w:rFonts w:hint="cs"/>
          <w:rtl/>
        </w:rPr>
        <w:t>יש לשלם את הקנס לחשבון המרכז לגביית קנסות, אגרות והוצאות ברשות האכיפה והגבייה, וזאת בחלוף 3 ימי עבודה מהיום - באחת מהדרכים הבאות:</w:t>
      </w:r>
    </w:p>
    <w:p w14:paraId="69D52DF4" w14:textId="77777777" w:rsidR="0090178A" w:rsidRDefault="0090178A" w:rsidP="0090178A">
      <w:pPr>
        <w:numPr>
          <w:ilvl w:val="0"/>
          <w:numId w:val="3"/>
        </w:numPr>
        <w:spacing w:after="160" w:line="360" w:lineRule="auto"/>
        <w:ind w:left="720"/>
        <w:jc w:val="both"/>
        <w:rPr>
          <w:rFonts w:ascii="David" w:eastAsia="David" w:hAnsi="David"/>
        </w:rPr>
      </w:pPr>
      <w:r>
        <w:rPr>
          <w:rFonts w:hint="cs"/>
          <w:b/>
          <w:bCs/>
          <w:rtl/>
        </w:rPr>
        <w:t>בכרטיס אשראי</w:t>
      </w:r>
      <w:r>
        <w:rPr>
          <w:rFonts w:hint="cs"/>
          <w:rtl/>
        </w:rPr>
        <w:t xml:space="preserve"> – באתר המקוון של רשות האכיפה והגבייה, </w:t>
      </w:r>
      <w:hyperlink r:id="rId27" w:history="1">
        <w:r>
          <w:rPr>
            <w:rStyle w:val="Hyperlink"/>
            <w:rFonts w:ascii="Arial" w:hAnsi="Arial" w:cs="Arial"/>
          </w:rPr>
          <w:t>www.eca.gov.il</w:t>
        </w:r>
      </w:hyperlink>
      <w:r>
        <w:rPr>
          <w:rFonts w:ascii="Arial" w:hAnsi="Arial" w:cs="Arial"/>
        </w:rPr>
        <w:t xml:space="preserve"> </w:t>
      </w:r>
      <w:r w:rsidR="008A6A56">
        <w:rPr>
          <w:rFonts w:hint="cs"/>
          <w:rtl/>
        </w:rPr>
        <w:t xml:space="preserve"> </w:t>
      </w:r>
      <w:r>
        <w:rPr>
          <w:rFonts w:hint="cs"/>
          <w:rtl/>
        </w:rPr>
        <w:t>(ניתן לשלם בפריסה של עד 18 תשלומים בהסדר קרדיט) או חפש בגוגל " תשלום גביית קנסות".</w:t>
      </w:r>
    </w:p>
    <w:p w14:paraId="3250CA99" w14:textId="77777777" w:rsidR="0090178A" w:rsidRDefault="0090178A" w:rsidP="0090178A">
      <w:pPr>
        <w:numPr>
          <w:ilvl w:val="0"/>
          <w:numId w:val="3"/>
        </w:numPr>
        <w:spacing w:after="160" w:line="360" w:lineRule="auto"/>
        <w:ind w:left="720"/>
        <w:jc w:val="both"/>
        <w:rPr>
          <w:rFonts w:ascii="Arial" w:hAnsi="Arial" w:cs="Arial"/>
          <w:b/>
          <w:bCs/>
        </w:rPr>
      </w:pPr>
      <w:r>
        <w:rPr>
          <w:rFonts w:hint="cs"/>
          <w:b/>
          <w:bCs/>
          <w:rtl/>
        </w:rPr>
        <w:t>מוקד שירות טלפוני בשרות עצמי (מרכז גבייה)</w:t>
      </w:r>
      <w:r w:rsidR="008A6A56">
        <w:rPr>
          <w:rFonts w:hint="cs"/>
          <w:b/>
          <w:bCs/>
          <w:rtl/>
        </w:rPr>
        <w:t xml:space="preserve"> </w:t>
      </w:r>
      <w:r>
        <w:rPr>
          <w:rFonts w:hint="cs"/>
          <w:b/>
          <w:bCs/>
          <w:rtl/>
        </w:rPr>
        <w:t xml:space="preserve"> – בטלפון 35592* או בטלפון 073-2055000 (ניתן לפנות לנציגים לקבלת מידע במספרים הללו).</w:t>
      </w:r>
    </w:p>
    <w:p w14:paraId="60792B11" w14:textId="77777777" w:rsidR="0090178A" w:rsidRDefault="0090178A" w:rsidP="0090178A">
      <w:pPr>
        <w:numPr>
          <w:ilvl w:val="0"/>
          <w:numId w:val="3"/>
        </w:numPr>
        <w:spacing w:after="160" w:line="360" w:lineRule="auto"/>
        <w:ind w:left="720"/>
        <w:jc w:val="both"/>
        <w:rPr>
          <w:rFonts w:ascii="David" w:hAnsi="David"/>
          <w:b/>
          <w:bCs/>
          <w:sz w:val="22"/>
          <w:szCs w:val="22"/>
        </w:rPr>
      </w:pPr>
      <w:r>
        <w:rPr>
          <w:rFonts w:hint="cs"/>
          <w:b/>
          <w:bCs/>
          <w:rtl/>
        </w:rPr>
        <w:t>במזומן בכל סניף של בנק הדואר</w:t>
      </w:r>
      <w:r>
        <w:rPr>
          <w:rFonts w:hint="cs"/>
          <w:rtl/>
        </w:rPr>
        <w:t xml:space="preserve"> – בהצגת תעודת זהות בלבד (אין צורך בשוברי תשלום).</w:t>
      </w:r>
    </w:p>
    <w:p w14:paraId="23762310" w14:textId="77777777" w:rsidR="0090178A" w:rsidRDefault="0090178A" w:rsidP="0090178A">
      <w:pPr>
        <w:pStyle w:val="a9"/>
        <w:spacing w:line="360" w:lineRule="auto"/>
        <w:jc w:val="both"/>
        <w:rPr>
          <w:rFonts w:ascii="David" w:hAnsi="David" w:cs="David"/>
          <w:sz w:val="24"/>
          <w:szCs w:val="24"/>
        </w:rPr>
      </w:pPr>
    </w:p>
    <w:p w14:paraId="062BE845" w14:textId="77777777" w:rsidR="0090178A" w:rsidRDefault="0090178A" w:rsidP="0090178A">
      <w:pPr>
        <w:pStyle w:val="a9"/>
        <w:rPr>
          <w:rFonts w:ascii="David" w:hAnsi="David" w:cs="David"/>
          <w:sz w:val="24"/>
          <w:szCs w:val="24"/>
        </w:rPr>
      </w:pPr>
    </w:p>
    <w:p w14:paraId="5D7A4F2B" w14:textId="77777777" w:rsidR="0090178A" w:rsidRDefault="0090178A" w:rsidP="0090178A">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 xml:space="preserve">התחייבות כספית בסך של 5,000 ₪ </w:t>
      </w:r>
      <w:r w:rsidRPr="00940845">
        <w:rPr>
          <w:rFonts w:ascii="David" w:hAnsi="David" w:cs="David"/>
          <w:sz w:val="24"/>
          <w:szCs w:val="24"/>
          <w:rtl/>
        </w:rPr>
        <w:t>לבל יעבור עבירה מסוג פשע</w:t>
      </w:r>
      <w:r>
        <w:rPr>
          <w:rFonts w:ascii="David" w:hAnsi="David" w:cs="David"/>
          <w:b/>
          <w:bCs/>
          <w:sz w:val="24"/>
          <w:szCs w:val="24"/>
          <w:rtl/>
        </w:rPr>
        <w:t xml:space="preserve"> </w:t>
      </w:r>
      <w:r w:rsidRPr="00940845">
        <w:rPr>
          <w:rFonts w:ascii="David" w:hAnsi="David" w:cs="David"/>
          <w:sz w:val="24"/>
          <w:szCs w:val="24"/>
          <w:rtl/>
        </w:rPr>
        <w:t xml:space="preserve">לפי </w:t>
      </w:r>
      <w:hyperlink r:id="rId28" w:history="1">
        <w:r w:rsidR="008A6A56" w:rsidRPr="008A6A56">
          <w:rPr>
            <w:rFonts w:ascii="David" w:hAnsi="David" w:cs="David"/>
            <w:color w:val="0000FF"/>
            <w:sz w:val="24"/>
            <w:szCs w:val="24"/>
            <w:u w:val="single"/>
            <w:rtl/>
          </w:rPr>
          <w:t>פקודת הסמים המסוכנים</w:t>
        </w:r>
      </w:hyperlink>
      <w:r>
        <w:rPr>
          <w:rFonts w:ascii="David" w:hAnsi="David" w:cs="David"/>
          <w:sz w:val="24"/>
          <w:szCs w:val="24"/>
          <w:rtl/>
        </w:rPr>
        <w:t xml:space="preserve"> בתוך 3 שנים מהיום. </w:t>
      </w:r>
    </w:p>
    <w:p w14:paraId="383C15FD" w14:textId="77777777" w:rsidR="0090178A" w:rsidRDefault="0090178A" w:rsidP="0090178A">
      <w:pPr>
        <w:pStyle w:val="a9"/>
        <w:rPr>
          <w:rFonts w:ascii="David" w:hAnsi="David" w:cs="David"/>
          <w:sz w:val="24"/>
          <w:szCs w:val="24"/>
        </w:rPr>
      </w:pPr>
    </w:p>
    <w:p w14:paraId="74245DEE" w14:textId="77777777" w:rsidR="0090178A" w:rsidRDefault="0090178A" w:rsidP="0090178A">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 xml:space="preserve">ההתחייבות הוסברה לנאשם והוא </w:t>
      </w:r>
      <w:r>
        <w:rPr>
          <w:rFonts w:ascii="David" w:hAnsi="David" w:cs="David" w:hint="cs"/>
          <w:b/>
          <w:bCs/>
          <w:sz w:val="24"/>
          <w:szCs w:val="24"/>
          <w:u w:val="single"/>
          <w:rtl/>
        </w:rPr>
        <w:t>ה</w:t>
      </w:r>
      <w:r>
        <w:rPr>
          <w:rFonts w:ascii="David" w:hAnsi="David" w:cs="David"/>
          <w:b/>
          <w:bCs/>
          <w:sz w:val="24"/>
          <w:szCs w:val="24"/>
          <w:u w:val="single"/>
          <w:rtl/>
        </w:rPr>
        <w:t xml:space="preserve">תחייב כנדרש. </w:t>
      </w:r>
    </w:p>
    <w:p w14:paraId="32345731" w14:textId="77777777" w:rsidR="0090178A" w:rsidRDefault="0090178A" w:rsidP="0090178A">
      <w:pPr>
        <w:pStyle w:val="a9"/>
        <w:rPr>
          <w:rFonts w:ascii="David" w:hAnsi="David" w:cs="David"/>
          <w:sz w:val="24"/>
          <w:szCs w:val="24"/>
          <w:rtl/>
        </w:rPr>
      </w:pPr>
    </w:p>
    <w:p w14:paraId="1D01C3A7" w14:textId="77777777" w:rsidR="0090178A" w:rsidRDefault="0090178A" w:rsidP="0090178A">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פסילת רישיון נהיגה על תנאי למשך 6 חודשים,</w:t>
      </w:r>
      <w:r>
        <w:rPr>
          <w:rFonts w:ascii="David" w:hAnsi="David" w:cs="David"/>
          <w:sz w:val="24"/>
          <w:szCs w:val="24"/>
          <w:rtl/>
        </w:rPr>
        <w:t xml:space="preserve"> והתנאי הוא שלא יעבור עביר</w:t>
      </w:r>
      <w:r>
        <w:rPr>
          <w:rFonts w:ascii="David" w:hAnsi="David" w:cs="David" w:hint="cs"/>
          <w:sz w:val="24"/>
          <w:szCs w:val="24"/>
          <w:rtl/>
        </w:rPr>
        <w:t xml:space="preserve">ת פשע </w:t>
      </w:r>
      <w:r>
        <w:rPr>
          <w:rFonts w:ascii="David" w:hAnsi="David" w:cs="David"/>
          <w:sz w:val="24"/>
          <w:szCs w:val="24"/>
          <w:rtl/>
        </w:rPr>
        <w:t xml:space="preserve">לפי </w:t>
      </w:r>
      <w:hyperlink r:id="rId29" w:history="1">
        <w:r w:rsidR="008A6A56" w:rsidRPr="008A6A56">
          <w:rPr>
            <w:rFonts w:ascii="David" w:hAnsi="David" w:cs="David"/>
            <w:color w:val="0000FF"/>
            <w:sz w:val="24"/>
            <w:szCs w:val="24"/>
            <w:u w:val="single"/>
            <w:rtl/>
          </w:rPr>
          <w:t>פקודת הסמים המסוכנים</w:t>
        </w:r>
      </w:hyperlink>
      <w:r>
        <w:rPr>
          <w:rFonts w:ascii="David" w:hAnsi="David" w:cs="David"/>
          <w:sz w:val="24"/>
          <w:szCs w:val="24"/>
          <w:rtl/>
        </w:rPr>
        <w:t xml:space="preserve"> בתוך 3 שנים מהיום.</w:t>
      </w:r>
    </w:p>
    <w:p w14:paraId="67BB90C4" w14:textId="77777777" w:rsidR="0090178A" w:rsidRDefault="0090178A" w:rsidP="0090178A">
      <w:pPr>
        <w:spacing w:line="360" w:lineRule="auto"/>
        <w:jc w:val="both"/>
        <w:rPr>
          <w:rFonts w:ascii="David" w:hAnsi="David"/>
          <w:b/>
          <w:bCs/>
          <w:u w:val="single"/>
        </w:rPr>
      </w:pPr>
    </w:p>
    <w:p w14:paraId="21ADAAC3" w14:textId="77777777" w:rsidR="0090178A" w:rsidRDefault="0090178A" w:rsidP="0090178A">
      <w:pPr>
        <w:spacing w:line="360" w:lineRule="auto"/>
        <w:jc w:val="both"/>
        <w:rPr>
          <w:b/>
          <w:bCs/>
          <w:u w:val="single"/>
        </w:rPr>
      </w:pPr>
      <w:r>
        <w:rPr>
          <w:rFonts w:hint="cs"/>
          <w:b/>
          <w:bCs/>
          <w:u w:val="single"/>
          <w:rtl/>
        </w:rPr>
        <w:t>ניתן צו להשמדת כל המוצגים, לרבות הסמים והכלים שנתפסו.</w:t>
      </w:r>
    </w:p>
    <w:p w14:paraId="1E7CC279" w14:textId="77777777" w:rsidR="0090178A" w:rsidRDefault="0090178A" w:rsidP="0090178A">
      <w:pPr>
        <w:spacing w:line="360" w:lineRule="auto"/>
        <w:jc w:val="both"/>
        <w:rPr>
          <w:rtl/>
        </w:rPr>
      </w:pPr>
    </w:p>
    <w:p w14:paraId="333D684F" w14:textId="77777777" w:rsidR="0090178A" w:rsidRDefault="0090178A" w:rsidP="0090178A">
      <w:pPr>
        <w:spacing w:line="360" w:lineRule="auto"/>
        <w:jc w:val="both"/>
        <w:rPr>
          <w:b/>
          <w:bCs/>
          <w:u w:val="single"/>
          <w:rtl/>
        </w:rPr>
      </w:pPr>
      <w:r>
        <w:rPr>
          <w:rFonts w:hint="cs"/>
          <w:b/>
          <w:bCs/>
          <w:u w:val="single"/>
          <w:rtl/>
        </w:rPr>
        <w:t xml:space="preserve">זכות ערעור בתוך 45 ימים מהיום לביהמ"ש המחוזי בחיפה. </w:t>
      </w:r>
    </w:p>
    <w:p w14:paraId="55D77C0F" w14:textId="77777777" w:rsidR="0090178A" w:rsidRDefault="0090178A" w:rsidP="0090178A">
      <w:pPr>
        <w:spacing w:line="360" w:lineRule="auto"/>
        <w:jc w:val="both"/>
        <w:rPr>
          <w:rtl/>
        </w:rPr>
      </w:pPr>
      <w:r>
        <w:rPr>
          <w:rFonts w:hint="cs"/>
          <w:rtl/>
        </w:rPr>
        <w:t xml:space="preserve"> </w:t>
      </w:r>
    </w:p>
    <w:p w14:paraId="46BF31BA" w14:textId="77777777" w:rsidR="0090178A" w:rsidRPr="008A6A56" w:rsidRDefault="008A6A56" w:rsidP="0090178A">
      <w:pPr>
        <w:spacing w:line="360" w:lineRule="auto"/>
        <w:jc w:val="both"/>
        <w:rPr>
          <w:color w:val="FFFFFF"/>
          <w:sz w:val="2"/>
          <w:szCs w:val="2"/>
        </w:rPr>
      </w:pPr>
      <w:r w:rsidRPr="008A6A56">
        <w:rPr>
          <w:color w:val="FFFFFF"/>
          <w:sz w:val="2"/>
          <w:szCs w:val="2"/>
          <w:rtl/>
        </w:rPr>
        <w:t>5129371</w:t>
      </w:r>
    </w:p>
    <w:p w14:paraId="2FE38416" w14:textId="77777777" w:rsidR="0090178A" w:rsidRPr="008A6A56" w:rsidRDefault="008A6A56" w:rsidP="0090178A">
      <w:pPr>
        <w:rPr>
          <w:rFonts w:ascii="Arial" w:hAnsi="Arial"/>
          <w:b/>
          <w:bCs/>
          <w:color w:val="FFFFFF"/>
          <w:sz w:val="2"/>
          <w:szCs w:val="2"/>
          <w:rtl/>
        </w:rPr>
      </w:pPr>
      <w:r w:rsidRPr="008A6A56">
        <w:rPr>
          <w:rFonts w:ascii="Arial" w:hAnsi="Arial"/>
          <w:b/>
          <w:bCs/>
          <w:color w:val="FFFFFF"/>
          <w:sz w:val="2"/>
          <w:szCs w:val="2"/>
          <w:rtl/>
        </w:rPr>
        <w:t>54678313</w:t>
      </w:r>
    </w:p>
    <w:p w14:paraId="464F1FD3" w14:textId="77777777" w:rsidR="0090178A" w:rsidRPr="000F2247" w:rsidRDefault="0090178A" w:rsidP="0090178A">
      <w:pPr>
        <w:rPr>
          <w:rFonts w:ascii="Arial" w:hAnsi="Arial"/>
          <w:b/>
          <w:bCs/>
          <w:sz w:val="26"/>
          <w:szCs w:val="26"/>
          <w:rtl/>
        </w:rPr>
      </w:pPr>
    </w:p>
    <w:p w14:paraId="6484C7B4" w14:textId="77777777" w:rsidR="0090178A" w:rsidRPr="000F2247" w:rsidRDefault="008A6A56" w:rsidP="0090178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אייר תשפ"ג, 09 מאי 2023, בהעדר הצדדים. </w:t>
      </w:r>
      <w:bookmarkEnd w:id="8"/>
      <w:r w:rsidR="0090178A">
        <w:rPr>
          <w:rFonts w:ascii="Arial" w:hAnsi="Arial"/>
          <w:b/>
          <w:bCs/>
          <w:sz w:val="26"/>
          <w:szCs w:val="26"/>
          <w:rtl/>
        </w:rPr>
        <w:tab/>
      </w:r>
      <w:r w:rsidR="0090178A">
        <w:rPr>
          <w:rFonts w:ascii="Arial" w:hAnsi="Arial"/>
          <w:b/>
          <w:bCs/>
          <w:sz w:val="26"/>
          <w:szCs w:val="26"/>
          <w:rtl/>
        </w:rPr>
        <w:tab/>
      </w:r>
      <w:r w:rsidR="0090178A">
        <w:rPr>
          <w:rFonts w:ascii="Arial" w:hAnsi="Arial"/>
          <w:b/>
          <w:bCs/>
          <w:sz w:val="26"/>
          <w:szCs w:val="26"/>
          <w:rtl/>
        </w:rPr>
        <w:tab/>
      </w:r>
      <w:r w:rsidR="0090178A">
        <w:rPr>
          <w:rFonts w:ascii="Arial" w:hAnsi="Arial"/>
          <w:b/>
          <w:bCs/>
          <w:sz w:val="26"/>
          <w:szCs w:val="26"/>
          <w:rtl/>
        </w:rPr>
        <w:tab/>
      </w:r>
      <w:r w:rsidR="0090178A">
        <w:rPr>
          <w:rFonts w:ascii="Arial" w:hAnsi="Arial"/>
          <w:b/>
          <w:bCs/>
          <w:sz w:val="26"/>
          <w:szCs w:val="26"/>
          <w:rtl/>
        </w:rPr>
        <w:tab/>
      </w:r>
      <w:r w:rsidR="0090178A">
        <w:rPr>
          <w:rFonts w:ascii="Arial" w:hAnsi="Arial"/>
          <w:b/>
          <w:bCs/>
          <w:sz w:val="26"/>
          <w:szCs w:val="26"/>
          <w:rtl/>
        </w:rPr>
        <w:tab/>
      </w:r>
      <w:r w:rsidR="0090178A">
        <w:rPr>
          <w:rFonts w:ascii="Arial" w:hAnsi="Arial"/>
          <w:b/>
          <w:bCs/>
          <w:sz w:val="26"/>
          <w:szCs w:val="26"/>
          <w:rtl/>
        </w:rPr>
        <w:tab/>
      </w:r>
      <w:r w:rsidR="0090178A">
        <w:rPr>
          <w:rFonts w:ascii="Arial" w:hAnsi="Arial" w:hint="cs"/>
          <w:b/>
          <w:bCs/>
          <w:sz w:val="26"/>
          <w:szCs w:val="26"/>
          <w:rtl/>
        </w:rPr>
        <w:t xml:space="preserve">         </w:t>
      </w:r>
    </w:p>
    <w:p w14:paraId="54EE2D5D" w14:textId="77777777" w:rsidR="008A6A56" w:rsidRDefault="008A6A56" w:rsidP="008A6A56">
      <w:pPr>
        <w:rPr>
          <w:rtl/>
        </w:rPr>
      </w:pPr>
    </w:p>
    <w:p w14:paraId="504F34FB" w14:textId="77777777" w:rsidR="008A6A56" w:rsidRDefault="008A6A56" w:rsidP="008A6A5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9B0661E" w14:textId="77777777" w:rsidR="00F92677" w:rsidRPr="00F92677" w:rsidRDefault="00F92677" w:rsidP="00F92677">
      <w:pPr>
        <w:keepNext/>
        <w:rPr>
          <w:rFonts w:ascii="David" w:hAnsi="David"/>
          <w:color w:val="000000"/>
          <w:sz w:val="22"/>
          <w:szCs w:val="22"/>
          <w:rtl/>
        </w:rPr>
      </w:pPr>
    </w:p>
    <w:p w14:paraId="4F4A33B6" w14:textId="77777777" w:rsidR="00F92677" w:rsidRPr="00F92677" w:rsidRDefault="00F92677" w:rsidP="00F92677">
      <w:pPr>
        <w:keepNext/>
        <w:rPr>
          <w:rFonts w:ascii="David" w:hAnsi="David"/>
          <w:color w:val="000000"/>
          <w:sz w:val="22"/>
          <w:szCs w:val="22"/>
          <w:rtl/>
        </w:rPr>
      </w:pPr>
      <w:r w:rsidRPr="00F92677">
        <w:rPr>
          <w:rFonts w:ascii="David" w:hAnsi="David"/>
          <w:color w:val="000000"/>
          <w:sz w:val="22"/>
          <w:szCs w:val="22"/>
          <w:rtl/>
        </w:rPr>
        <w:t>נורית הרצמן אבי יצחק 54678313-/</w:t>
      </w:r>
    </w:p>
    <w:p w14:paraId="6CAEAA67" w14:textId="77777777" w:rsidR="008A6A56" w:rsidRPr="008A6A56" w:rsidRDefault="00F92677" w:rsidP="00F92677">
      <w:pPr>
        <w:rPr>
          <w:color w:val="0000FF"/>
          <w:u w:val="single"/>
        </w:rPr>
      </w:pPr>
      <w:r w:rsidRPr="00F92677">
        <w:rPr>
          <w:color w:val="000000"/>
          <w:u w:val="single"/>
          <w:rtl/>
        </w:rPr>
        <w:t>נוסח מסמך זה כפוף לשינויי ניסוח ועריכה</w:t>
      </w:r>
    </w:p>
    <w:sectPr w:rsidR="008A6A56" w:rsidRPr="008A6A56" w:rsidSect="00F92677">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BED47" w14:textId="77777777" w:rsidR="00E0326B" w:rsidRDefault="00E0326B" w:rsidP="00AA6246">
      <w:r>
        <w:separator/>
      </w:r>
    </w:p>
  </w:endnote>
  <w:endnote w:type="continuationSeparator" w:id="0">
    <w:p w14:paraId="3BA1A714" w14:textId="77777777" w:rsidR="00E0326B" w:rsidRDefault="00E0326B" w:rsidP="00AA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4108B" w14:textId="77777777" w:rsidR="00F92677" w:rsidRDefault="00F92677" w:rsidP="00F9267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BB4A2F" w14:textId="77777777" w:rsidR="00573543" w:rsidRPr="00F92677" w:rsidRDefault="00F92677" w:rsidP="00F92677">
    <w:pPr>
      <w:pStyle w:val="a5"/>
      <w:pBdr>
        <w:top w:val="single" w:sz="4" w:space="1" w:color="auto"/>
        <w:between w:val="single" w:sz="4" w:space="0" w:color="auto"/>
      </w:pBdr>
      <w:spacing w:after="60"/>
      <w:jc w:val="center"/>
      <w:rPr>
        <w:rFonts w:ascii="FrankRuehl" w:hAnsi="FrankRuehl" w:cs="FrankRuehl"/>
        <w:color w:val="000000"/>
      </w:rPr>
    </w:pPr>
    <w:r w:rsidRPr="00F926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6F7F" w14:textId="77777777" w:rsidR="00F92677" w:rsidRDefault="00F92677" w:rsidP="00F9267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55DC">
      <w:rPr>
        <w:rFonts w:ascii="FrankRuehl" w:hAnsi="FrankRuehl" w:cs="FrankRuehl"/>
        <w:noProof/>
        <w:rtl/>
      </w:rPr>
      <w:t>1</w:t>
    </w:r>
    <w:r>
      <w:rPr>
        <w:rFonts w:ascii="FrankRuehl" w:hAnsi="FrankRuehl" w:cs="FrankRuehl"/>
        <w:rtl/>
      </w:rPr>
      <w:fldChar w:fldCharType="end"/>
    </w:r>
  </w:p>
  <w:p w14:paraId="46644E74" w14:textId="77777777" w:rsidR="00573543" w:rsidRPr="00F92677" w:rsidRDefault="00F92677" w:rsidP="00F92677">
    <w:pPr>
      <w:pStyle w:val="a5"/>
      <w:pBdr>
        <w:top w:val="single" w:sz="4" w:space="1" w:color="auto"/>
        <w:between w:val="single" w:sz="4" w:space="0" w:color="auto"/>
      </w:pBdr>
      <w:spacing w:after="60"/>
      <w:jc w:val="center"/>
      <w:rPr>
        <w:rFonts w:ascii="FrankRuehl" w:hAnsi="FrankRuehl" w:cs="FrankRuehl"/>
        <w:color w:val="000000"/>
      </w:rPr>
    </w:pPr>
    <w:r w:rsidRPr="00F92677">
      <w:rPr>
        <w:rFonts w:ascii="FrankRuehl" w:hAnsi="FrankRuehl" w:cs="FrankRuehl"/>
        <w:color w:val="000000"/>
      </w:rPr>
      <w:pict w14:anchorId="2B036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A8B35" w14:textId="77777777" w:rsidR="00E0326B" w:rsidRDefault="00E0326B" w:rsidP="00AA6246">
      <w:r>
        <w:separator/>
      </w:r>
    </w:p>
  </w:footnote>
  <w:footnote w:type="continuationSeparator" w:id="0">
    <w:p w14:paraId="221DE2B1" w14:textId="77777777" w:rsidR="00E0326B" w:rsidRDefault="00E0326B" w:rsidP="00AA6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EA2D0" w14:textId="77777777" w:rsidR="008A6A56" w:rsidRPr="00F92677" w:rsidRDefault="00F92677" w:rsidP="00F926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13249-10-22</w:t>
    </w:r>
    <w:r>
      <w:rPr>
        <w:rFonts w:ascii="David" w:hAnsi="David"/>
        <w:color w:val="000000"/>
        <w:sz w:val="22"/>
        <w:szCs w:val="22"/>
        <w:rtl/>
      </w:rPr>
      <w:tab/>
      <w:t xml:space="preserve"> מדינת ישראל נ' דניאל פרס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ECF5" w14:textId="77777777" w:rsidR="008A6A56" w:rsidRPr="00F92677" w:rsidRDefault="00F92677" w:rsidP="00F926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13249-10-22</w:t>
    </w:r>
    <w:r>
      <w:rPr>
        <w:rFonts w:ascii="David" w:hAnsi="David"/>
        <w:color w:val="000000"/>
        <w:sz w:val="22"/>
        <w:szCs w:val="22"/>
        <w:rtl/>
      </w:rPr>
      <w:tab/>
      <w:t xml:space="preserve"> מדינת ישראל נ' דניאל פרס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AF15382"/>
    <w:multiLevelType w:val="hybridMultilevel"/>
    <w:tmpl w:val="1A105726"/>
    <w:lvl w:ilvl="0" w:tplc="E97498B0">
      <w:start w:val="55"/>
      <w:numFmt w:val="bullet"/>
      <w:lvlText w:val=""/>
      <w:lvlJc w:val="left"/>
      <w:pPr>
        <w:ind w:left="720" w:hanging="360"/>
      </w:pPr>
      <w:rPr>
        <w:rFonts w:ascii="Symbol" w:eastAsia="Calibri" w:hAnsi="Symbol" w:cs="David" w:hint="default"/>
      </w:rPr>
    </w:lvl>
    <w:lvl w:ilvl="1" w:tplc="2A5EC8A0">
      <w:start w:val="1"/>
      <w:numFmt w:val="bullet"/>
      <w:lvlText w:val="o"/>
      <w:lvlJc w:val="left"/>
      <w:pPr>
        <w:ind w:left="1440" w:hanging="360"/>
      </w:pPr>
      <w:rPr>
        <w:rFonts w:ascii="Courier New" w:hAnsi="Courier New" w:cs="Courier New" w:hint="default"/>
      </w:rPr>
    </w:lvl>
    <w:lvl w:ilvl="2" w:tplc="23F24F82">
      <w:start w:val="1"/>
      <w:numFmt w:val="bullet"/>
      <w:lvlText w:val=""/>
      <w:lvlJc w:val="left"/>
      <w:pPr>
        <w:ind w:left="2160" w:hanging="360"/>
      </w:pPr>
      <w:rPr>
        <w:rFonts w:ascii="Wingdings" w:hAnsi="Wingdings" w:hint="default"/>
      </w:rPr>
    </w:lvl>
    <w:lvl w:ilvl="3" w:tplc="A404D644">
      <w:start w:val="1"/>
      <w:numFmt w:val="bullet"/>
      <w:lvlText w:val=""/>
      <w:lvlJc w:val="left"/>
      <w:pPr>
        <w:ind w:left="2880" w:hanging="360"/>
      </w:pPr>
      <w:rPr>
        <w:rFonts w:ascii="Symbol" w:hAnsi="Symbol" w:hint="default"/>
      </w:rPr>
    </w:lvl>
    <w:lvl w:ilvl="4" w:tplc="A8A2F6B8">
      <w:start w:val="1"/>
      <w:numFmt w:val="bullet"/>
      <w:lvlText w:val="o"/>
      <w:lvlJc w:val="left"/>
      <w:pPr>
        <w:ind w:left="3600" w:hanging="360"/>
      </w:pPr>
      <w:rPr>
        <w:rFonts w:ascii="Courier New" w:hAnsi="Courier New" w:cs="Courier New" w:hint="default"/>
      </w:rPr>
    </w:lvl>
    <w:lvl w:ilvl="5" w:tplc="8F32D348">
      <w:start w:val="1"/>
      <w:numFmt w:val="bullet"/>
      <w:lvlText w:val=""/>
      <w:lvlJc w:val="left"/>
      <w:pPr>
        <w:ind w:left="4320" w:hanging="360"/>
      </w:pPr>
      <w:rPr>
        <w:rFonts w:ascii="Wingdings" w:hAnsi="Wingdings" w:hint="default"/>
      </w:rPr>
    </w:lvl>
    <w:lvl w:ilvl="6" w:tplc="3296EB8A">
      <w:start w:val="1"/>
      <w:numFmt w:val="bullet"/>
      <w:lvlText w:val=""/>
      <w:lvlJc w:val="left"/>
      <w:pPr>
        <w:ind w:left="5040" w:hanging="360"/>
      </w:pPr>
      <w:rPr>
        <w:rFonts w:ascii="Symbol" w:hAnsi="Symbol" w:hint="default"/>
      </w:rPr>
    </w:lvl>
    <w:lvl w:ilvl="7" w:tplc="B2F030C0">
      <w:start w:val="1"/>
      <w:numFmt w:val="bullet"/>
      <w:lvlText w:val="o"/>
      <w:lvlJc w:val="left"/>
      <w:pPr>
        <w:ind w:left="5760" w:hanging="360"/>
      </w:pPr>
      <w:rPr>
        <w:rFonts w:ascii="Courier New" w:hAnsi="Courier New" w:cs="Courier New" w:hint="default"/>
      </w:rPr>
    </w:lvl>
    <w:lvl w:ilvl="8" w:tplc="A11C5B98">
      <w:start w:val="1"/>
      <w:numFmt w:val="bullet"/>
      <w:lvlText w:val=""/>
      <w:lvlJc w:val="left"/>
      <w:pPr>
        <w:ind w:left="6480" w:hanging="360"/>
      </w:pPr>
      <w:rPr>
        <w:rFonts w:ascii="Wingdings" w:hAnsi="Wingdings" w:hint="default"/>
      </w:rPr>
    </w:lvl>
  </w:abstractNum>
  <w:abstractNum w:abstractNumId="2" w15:restartNumberingAfterBreak="0">
    <w:nsid w:val="3F333666"/>
    <w:multiLevelType w:val="hybridMultilevel"/>
    <w:tmpl w:val="9DFE8508"/>
    <w:lvl w:ilvl="0" w:tplc="EC8AEA48">
      <w:start w:val="1"/>
      <w:numFmt w:val="hebrew1"/>
      <w:lvlText w:val="%1."/>
      <w:lvlJc w:val="left"/>
      <w:pPr>
        <w:ind w:left="720" w:hanging="360"/>
      </w:pPr>
      <w:rPr>
        <w:b/>
        <w:bCs/>
      </w:rPr>
    </w:lvl>
    <w:lvl w:ilvl="1" w:tplc="DC7284EA">
      <w:start w:val="1"/>
      <w:numFmt w:val="lowerLetter"/>
      <w:lvlText w:val="%2."/>
      <w:lvlJc w:val="left"/>
      <w:pPr>
        <w:ind w:left="1440" w:hanging="360"/>
      </w:pPr>
    </w:lvl>
    <w:lvl w:ilvl="2" w:tplc="A0F2DE08">
      <w:start w:val="1"/>
      <w:numFmt w:val="lowerRoman"/>
      <w:lvlText w:val="%3."/>
      <w:lvlJc w:val="right"/>
      <w:pPr>
        <w:ind w:left="2160" w:hanging="180"/>
      </w:pPr>
    </w:lvl>
    <w:lvl w:ilvl="3" w:tplc="6DA85004">
      <w:start w:val="1"/>
      <w:numFmt w:val="decimal"/>
      <w:lvlText w:val="%4."/>
      <w:lvlJc w:val="left"/>
      <w:pPr>
        <w:ind w:left="2880" w:hanging="360"/>
      </w:pPr>
    </w:lvl>
    <w:lvl w:ilvl="4" w:tplc="093465C4">
      <w:start w:val="1"/>
      <w:numFmt w:val="lowerLetter"/>
      <w:lvlText w:val="%5."/>
      <w:lvlJc w:val="left"/>
      <w:pPr>
        <w:ind w:left="3600" w:hanging="360"/>
      </w:pPr>
    </w:lvl>
    <w:lvl w:ilvl="5" w:tplc="92681190">
      <w:start w:val="1"/>
      <w:numFmt w:val="lowerRoman"/>
      <w:lvlText w:val="%6."/>
      <w:lvlJc w:val="right"/>
      <w:pPr>
        <w:ind w:left="4320" w:hanging="180"/>
      </w:pPr>
    </w:lvl>
    <w:lvl w:ilvl="6" w:tplc="1BDABCF2">
      <w:start w:val="1"/>
      <w:numFmt w:val="decimal"/>
      <w:lvlText w:val="%7."/>
      <w:lvlJc w:val="left"/>
      <w:pPr>
        <w:ind w:left="5040" w:hanging="360"/>
      </w:pPr>
    </w:lvl>
    <w:lvl w:ilvl="7" w:tplc="1F1822E4">
      <w:start w:val="1"/>
      <w:numFmt w:val="lowerLetter"/>
      <w:lvlText w:val="%8."/>
      <w:lvlJc w:val="left"/>
      <w:pPr>
        <w:ind w:left="5760" w:hanging="360"/>
      </w:pPr>
    </w:lvl>
    <w:lvl w:ilvl="8" w:tplc="0BE225C4">
      <w:start w:val="1"/>
      <w:numFmt w:val="lowerRoman"/>
      <w:lvlText w:val="%9."/>
      <w:lvlJc w:val="right"/>
      <w:pPr>
        <w:ind w:left="6480" w:hanging="180"/>
      </w:pPr>
    </w:lvl>
  </w:abstractNum>
  <w:num w:numId="1" w16cid:durableId="998728528">
    <w:abstractNumId w:val="1"/>
  </w:num>
  <w:num w:numId="2" w16cid:durableId="1196843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2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178A"/>
    <w:rsid w:val="001655DC"/>
    <w:rsid w:val="001B5A3B"/>
    <w:rsid w:val="0024437C"/>
    <w:rsid w:val="00323B9E"/>
    <w:rsid w:val="00573543"/>
    <w:rsid w:val="0059656E"/>
    <w:rsid w:val="006E5FFD"/>
    <w:rsid w:val="008A6A56"/>
    <w:rsid w:val="0090178A"/>
    <w:rsid w:val="00AA6246"/>
    <w:rsid w:val="00B91B2F"/>
    <w:rsid w:val="00CA6103"/>
    <w:rsid w:val="00D02FA2"/>
    <w:rsid w:val="00E0326B"/>
    <w:rsid w:val="00E952DF"/>
    <w:rsid w:val="00F926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E90BF8"/>
  <w15:chartTrackingRefBased/>
  <w15:docId w15:val="{5CBFD968-EB6C-4CF7-9C69-947A3B46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17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178A"/>
    <w:pPr>
      <w:tabs>
        <w:tab w:val="center" w:pos="4153"/>
        <w:tab w:val="right" w:pos="8306"/>
      </w:tabs>
    </w:pPr>
  </w:style>
  <w:style w:type="character" w:customStyle="1" w:styleId="a4">
    <w:name w:val="כותרת עליונה תו"/>
    <w:link w:val="a3"/>
    <w:rsid w:val="0090178A"/>
    <w:rPr>
      <w:rFonts w:ascii="Times New Roman" w:eastAsia="Times New Roman" w:hAnsi="Times New Roman" w:cs="David"/>
      <w:sz w:val="24"/>
      <w:szCs w:val="24"/>
    </w:rPr>
  </w:style>
  <w:style w:type="paragraph" w:styleId="a5">
    <w:name w:val="footer"/>
    <w:basedOn w:val="a"/>
    <w:link w:val="a6"/>
    <w:rsid w:val="0090178A"/>
    <w:pPr>
      <w:tabs>
        <w:tab w:val="center" w:pos="4153"/>
        <w:tab w:val="right" w:pos="8306"/>
      </w:tabs>
    </w:pPr>
  </w:style>
  <w:style w:type="character" w:customStyle="1" w:styleId="a6">
    <w:name w:val="כותרת תחתונה תו"/>
    <w:link w:val="a5"/>
    <w:rsid w:val="0090178A"/>
    <w:rPr>
      <w:rFonts w:ascii="Times New Roman" w:eastAsia="Times New Roman" w:hAnsi="Times New Roman" w:cs="David"/>
      <w:sz w:val="24"/>
      <w:szCs w:val="24"/>
    </w:rPr>
  </w:style>
  <w:style w:type="table" w:styleId="a7">
    <w:name w:val="Table Grid"/>
    <w:basedOn w:val="a1"/>
    <w:rsid w:val="009017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0178A"/>
  </w:style>
  <w:style w:type="character" w:styleId="Hyperlink">
    <w:name w:val="Hyperlink"/>
    <w:rsid w:val="0090178A"/>
    <w:rPr>
      <w:color w:val="0000FF"/>
      <w:u w:val="single"/>
    </w:rPr>
  </w:style>
  <w:style w:type="paragraph" w:styleId="a9">
    <w:name w:val="List Paragraph"/>
    <w:basedOn w:val="a"/>
    <w:qFormat/>
    <w:rsid w:val="0090178A"/>
    <w:pPr>
      <w:spacing w:after="160" w:line="252"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case/27347635"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593748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3751050"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7029339" TargetMode="External"/><Relationship Id="rId20" Type="http://schemas.openxmlformats.org/officeDocument/2006/relationships/hyperlink" Target="http://www.nevo.co.il/case/20199517"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529551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569233" TargetMode="External"/><Relationship Id="rId23" Type="http://schemas.openxmlformats.org/officeDocument/2006/relationships/hyperlink" Target="http://www.nevo.co.il/case/23234956"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2267098"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case/26978020" TargetMode="External"/><Relationship Id="rId22" Type="http://schemas.openxmlformats.org/officeDocument/2006/relationships/hyperlink" Target="http://www.nevo.co.il/case/26236272" TargetMode="External"/><Relationship Id="rId27" Type="http://schemas.openxmlformats.org/officeDocument/2006/relationships/hyperlink" Target="http://www.eca.gov.il"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2389</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14308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7864368</vt:i4>
      </vt:variant>
      <vt:variant>
        <vt:i4>60</vt:i4>
      </vt:variant>
      <vt:variant>
        <vt:i4>0</vt:i4>
      </vt:variant>
      <vt:variant>
        <vt:i4>5</vt:i4>
      </vt:variant>
      <vt:variant>
        <vt:lpwstr>http://www.eca.gov.il/</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3407997</vt:i4>
      </vt:variant>
      <vt:variant>
        <vt:i4>51</vt:i4>
      </vt:variant>
      <vt:variant>
        <vt:i4>0</vt:i4>
      </vt:variant>
      <vt:variant>
        <vt:i4>5</vt:i4>
      </vt:variant>
      <vt:variant>
        <vt:lpwstr>http://www.nevo.co.il/case/25295513</vt:lpwstr>
      </vt:variant>
      <vt:variant>
        <vt:lpwstr/>
      </vt:variant>
      <vt:variant>
        <vt:i4>3211389</vt:i4>
      </vt:variant>
      <vt:variant>
        <vt:i4>48</vt:i4>
      </vt:variant>
      <vt:variant>
        <vt:i4>0</vt:i4>
      </vt:variant>
      <vt:variant>
        <vt:i4>5</vt:i4>
      </vt:variant>
      <vt:variant>
        <vt:lpwstr>http://www.nevo.co.il/case/23234956</vt:lpwstr>
      </vt:variant>
      <vt:variant>
        <vt:lpwstr/>
      </vt:variant>
      <vt:variant>
        <vt:i4>3211379</vt:i4>
      </vt:variant>
      <vt:variant>
        <vt:i4>45</vt:i4>
      </vt:variant>
      <vt:variant>
        <vt:i4>0</vt:i4>
      </vt:variant>
      <vt:variant>
        <vt:i4>5</vt:i4>
      </vt:variant>
      <vt:variant>
        <vt:lpwstr>http://www.nevo.co.il/case/26236272</vt:lpwstr>
      </vt:variant>
      <vt:variant>
        <vt:lpwstr/>
      </vt:variant>
      <vt:variant>
        <vt:i4>3407990</vt:i4>
      </vt:variant>
      <vt:variant>
        <vt:i4>42</vt:i4>
      </vt:variant>
      <vt:variant>
        <vt:i4>0</vt:i4>
      </vt:variant>
      <vt:variant>
        <vt:i4>5</vt:i4>
      </vt:variant>
      <vt:variant>
        <vt:lpwstr>http://www.nevo.co.il/case/25937481</vt:lpwstr>
      </vt:variant>
      <vt:variant>
        <vt:lpwstr/>
      </vt:variant>
      <vt:variant>
        <vt:i4>3866744</vt:i4>
      </vt:variant>
      <vt:variant>
        <vt:i4>39</vt:i4>
      </vt:variant>
      <vt:variant>
        <vt:i4>0</vt:i4>
      </vt:variant>
      <vt:variant>
        <vt:i4>5</vt:i4>
      </vt:variant>
      <vt:variant>
        <vt:lpwstr>http://www.nevo.co.il/case/20199517</vt:lpwstr>
      </vt:variant>
      <vt:variant>
        <vt:lpwstr/>
      </vt:variant>
      <vt:variant>
        <vt:i4>4063344</vt:i4>
      </vt:variant>
      <vt:variant>
        <vt:i4>36</vt:i4>
      </vt:variant>
      <vt:variant>
        <vt:i4>0</vt:i4>
      </vt:variant>
      <vt:variant>
        <vt:i4>5</vt:i4>
      </vt:variant>
      <vt:variant>
        <vt:lpwstr>http://www.nevo.co.il/case/22267098</vt:lpwstr>
      </vt:variant>
      <vt:variant>
        <vt:lpwstr/>
      </vt:variant>
      <vt:variant>
        <vt:i4>3473521</vt:i4>
      </vt:variant>
      <vt:variant>
        <vt:i4>33</vt:i4>
      </vt:variant>
      <vt:variant>
        <vt:i4>0</vt:i4>
      </vt:variant>
      <vt:variant>
        <vt:i4>5</vt:i4>
      </vt:variant>
      <vt:variant>
        <vt:lpwstr>http://www.nevo.co.il/case/27347635</vt:lpwstr>
      </vt:variant>
      <vt:variant>
        <vt:lpwstr/>
      </vt:variant>
      <vt:variant>
        <vt:i4>3211378</vt:i4>
      </vt:variant>
      <vt:variant>
        <vt:i4>30</vt:i4>
      </vt:variant>
      <vt:variant>
        <vt:i4>0</vt:i4>
      </vt:variant>
      <vt:variant>
        <vt:i4>5</vt:i4>
      </vt:variant>
      <vt:variant>
        <vt:lpwstr>http://www.nevo.co.il/case/23751050</vt:lpwstr>
      </vt:variant>
      <vt:variant>
        <vt:lpwstr/>
      </vt:variant>
      <vt:variant>
        <vt:i4>4128894</vt:i4>
      </vt:variant>
      <vt:variant>
        <vt:i4>27</vt:i4>
      </vt:variant>
      <vt:variant>
        <vt:i4>0</vt:i4>
      </vt:variant>
      <vt:variant>
        <vt:i4>5</vt:i4>
      </vt:variant>
      <vt:variant>
        <vt:lpwstr>http://www.nevo.co.il/case/7029339</vt:lpwstr>
      </vt:variant>
      <vt:variant>
        <vt:lpwstr/>
      </vt:variant>
      <vt:variant>
        <vt:i4>3276923</vt:i4>
      </vt:variant>
      <vt:variant>
        <vt:i4>24</vt:i4>
      </vt:variant>
      <vt:variant>
        <vt:i4>0</vt:i4>
      </vt:variant>
      <vt:variant>
        <vt:i4>5</vt:i4>
      </vt:variant>
      <vt:variant>
        <vt:lpwstr>http://www.nevo.co.il/case/5569233</vt:lpwstr>
      </vt:variant>
      <vt:variant>
        <vt:lpwstr/>
      </vt:variant>
      <vt:variant>
        <vt:i4>3211381</vt:i4>
      </vt:variant>
      <vt:variant>
        <vt:i4>21</vt:i4>
      </vt:variant>
      <vt:variant>
        <vt:i4>0</vt:i4>
      </vt:variant>
      <vt:variant>
        <vt:i4>5</vt:i4>
      </vt:variant>
      <vt:variant>
        <vt:lpwstr>http://www.nevo.co.il/case/26978020</vt:lpwstr>
      </vt:variant>
      <vt:variant>
        <vt:lpwstr/>
      </vt:variant>
      <vt:variant>
        <vt:i4>5177418</vt:i4>
      </vt:variant>
      <vt:variant>
        <vt:i4>18</vt:i4>
      </vt:variant>
      <vt:variant>
        <vt:i4>0</vt:i4>
      </vt:variant>
      <vt:variant>
        <vt:i4>5</vt:i4>
      </vt:variant>
      <vt:variant>
        <vt:lpwstr>http://www.nevo.co.il/law/4216/10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2025-04-23T01:36:00Z</dcterms:created>
  <dcterms:modified xsi:type="dcterms:W3CDTF">2025-04-23T01:36:00Z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13249</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דניאל פרס</vt:lpwstr>
  </property>
  <property fmtid="{D5CDD505-2E9C-101B-9397-08002B2CF9AE}" pid="10" name="LAWYER">
    <vt:lpwstr/>
  </property>
  <property fmtid="{D5CDD505-2E9C-101B-9397-08002B2CF9AE}" pid="11" name="JUDGE">
    <vt:lpwstr>נורית הרצמן אבי יצחק</vt:lpwstr>
  </property>
  <property fmtid="{D5CDD505-2E9C-101B-9397-08002B2CF9AE}" pid="12" name="CITY">
    <vt:lpwstr>חד'</vt:lpwstr>
  </property>
  <property fmtid="{D5CDD505-2E9C-101B-9397-08002B2CF9AE}" pid="13" name="DATE">
    <vt:lpwstr>20230509</vt:lpwstr>
  </property>
  <property fmtid="{D5CDD505-2E9C-101B-9397-08002B2CF9AE}" pid="14" name="TYPE_N_DATE">
    <vt:lpwstr>38020230509</vt:lpwstr>
  </property>
  <property fmtid="{D5CDD505-2E9C-101B-9397-08002B2CF9AE}" pid="15" name="WORDNUMPAGES">
    <vt:lpwstr>7</vt:lpwstr>
  </property>
  <property fmtid="{D5CDD505-2E9C-101B-9397-08002B2CF9AE}" pid="16" name="TYPE_ABS_DATE">
    <vt:lpwstr>380020230509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26978020;5569233;7029339;23751050;27347635;22267098;20199517;25937481;26236272;23234956;25295513</vt:lpwstr>
  </property>
  <property fmtid="{D5CDD505-2E9C-101B-9397-08002B2CF9AE}" pid="36" name="LAWLISTTMP1">
    <vt:lpwstr>4216/006;010</vt:lpwstr>
  </property>
  <property fmtid="{D5CDD505-2E9C-101B-9397-08002B2CF9AE}" pid="37" name="LAWLISTTMP2">
    <vt:lpwstr>70301</vt:lpwstr>
  </property>
</Properties>
</file>