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F76FA6" w:rsidRPr="000557A9" w14:paraId="45A0841D" w14:textId="77777777" w:rsidTr="00F806D2">
        <w:trPr>
          <w:gridAfter w:val="1"/>
          <w:wAfter w:w="99" w:type="dxa"/>
          <w:trHeight w:hRule="exact" w:val="418"/>
          <w:jc w:val="center"/>
        </w:trPr>
        <w:tc>
          <w:tcPr>
            <w:tcW w:w="8721" w:type="dxa"/>
            <w:gridSpan w:val="4"/>
          </w:tcPr>
          <w:p w14:paraId="389EF818" w14:textId="77777777" w:rsidR="00F76FA6" w:rsidRPr="000557A9" w:rsidRDefault="00F76FA6" w:rsidP="00E74528">
            <w:pPr>
              <w:pStyle w:val="a3"/>
              <w:jc w:val="center"/>
              <w:rPr>
                <w:rFonts w:ascii="Tahoma" w:hAnsi="Tahoma" w:cs="Tahoma"/>
                <w:color w:val="000080"/>
                <w:rtl/>
              </w:rPr>
            </w:pPr>
            <w:bookmarkStart w:id="0" w:name="LastJudge"/>
            <w:r w:rsidRPr="000557A9">
              <w:rPr>
                <w:rFonts w:ascii="Tahoma" w:hAnsi="Tahoma" w:cs="Tahoma"/>
                <w:b/>
                <w:bCs/>
                <w:color w:val="000080"/>
                <w:rtl/>
              </w:rPr>
              <w:t>בית משפט השלום בתל אביב -יפו</w:t>
            </w:r>
          </w:p>
        </w:tc>
      </w:tr>
      <w:tr w:rsidR="00F76FA6" w:rsidRPr="000557A9" w14:paraId="577C9CB6" w14:textId="77777777" w:rsidTr="00F806D2">
        <w:trPr>
          <w:gridAfter w:val="1"/>
          <w:wAfter w:w="99" w:type="dxa"/>
          <w:trHeight w:val="337"/>
          <w:jc w:val="center"/>
        </w:trPr>
        <w:tc>
          <w:tcPr>
            <w:tcW w:w="5054" w:type="dxa"/>
            <w:gridSpan w:val="3"/>
          </w:tcPr>
          <w:p w14:paraId="39F92CBE" w14:textId="77777777" w:rsidR="00F76FA6" w:rsidRPr="000557A9" w:rsidRDefault="00F76FA6" w:rsidP="00E74528">
            <w:pPr>
              <w:rPr>
                <w:rFonts w:cs="FrankRuehl"/>
                <w:sz w:val="28"/>
                <w:szCs w:val="28"/>
                <w:rtl/>
              </w:rPr>
            </w:pPr>
            <w:r w:rsidRPr="000557A9">
              <w:rPr>
                <w:rFonts w:cs="FrankRuehl"/>
                <w:sz w:val="28"/>
                <w:szCs w:val="28"/>
                <w:rtl/>
              </w:rPr>
              <w:t>ת"פ</w:t>
            </w:r>
            <w:r w:rsidRPr="000557A9">
              <w:rPr>
                <w:rFonts w:cs="FrankRuehl" w:hint="cs"/>
                <w:sz w:val="28"/>
                <w:szCs w:val="28"/>
                <w:rtl/>
              </w:rPr>
              <w:t xml:space="preserve"> </w:t>
            </w:r>
            <w:r w:rsidRPr="000557A9">
              <w:rPr>
                <w:rFonts w:cs="FrankRuehl"/>
                <w:sz w:val="28"/>
                <w:szCs w:val="28"/>
                <w:rtl/>
              </w:rPr>
              <w:t>37997-10-22</w:t>
            </w:r>
            <w:r w:rsidRPr="000557A9">
              <w:rPr>
                <w:rFonts w:cs="FrankRuehl" w:hint="cs"/>
                <w:sz w:val="28"/>
                <w:szCs w:val="28"/>
                <w:rtl/>
              </w:rPr>
              <w:t xml:space="preserve"> </w:t>
            </w:r>
            <w:r w:rsidRPr="000557A9">
              <w:rPr>
                <w:rFonts w:cs="FrankRuehl"/>
                <w:sz w:val="28"/>
                <w:szCs w:val="28"/>
                <w:rtl/>
              </w:rPr>
              <w:t>מדינת ישראל נ' רבאב</w:t>
            </w:r>
          </w:p>
          <w:p w14:paraId="2736578E" w14:textId="77777777" w:rsidR="00F76FA6" w:rsidRPr="000557A9" w:rsidRDefault="00F76FA6" w:rsidP="00E74528">
            <w:pPr>
              <w:pStyle w:val="a3"/>
              <w:rPr>
                <w:rFonts w:cs="FrankRuehl"/>
                <w:sz w:val="28"/>
                <w:szCs w:val="28"/>
                <w:rtl/>
              </w:rPr>
            </w:pPr>
          </w:p>
        </w:tc>
        <w:tc>
          <w:tcPr>
            <w:tcW w:w="3667" w:type="dxa"/>
          </w:tcPr>
          <w:p w14:paraId="6AC9B6F4" w14:textId="77777777" w:rsidR="00F76FA6" w:rsidRPr="000557A9" w:rsidRDefault="00F76FA6" w:rsidP="00E74528">
            <w:pPr>
              <w:pStyle w:val="a3"/>
              <w:jc w:val="right"/>
              <w:rPr>
                <w:rFonts w:cs="FrankRuehl"/>
                <w:sz w:val="28"/>
                <w:szCs w:val="28"/>
                <w:rtl/>
              </w:rPr>
            </w:pPr>
          </w:p>
        </w:tc>
      </w:tr>
      <w:tr w:rsidR="00F76FA6" w:rsidRPr="000557A9" w14:paraId="30F6167C" w14:textId="77777777" w:rsidTr="00F806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294C583" w14:textId="77777777" w:rsidR="00F76FA6" w:rsidRPr="000557A9" w:rsidRDefault="00F76FA6" w:rsidP="00F76FA6">
            <w:pPr>
              <w:jc w:val="both"/>
              <w:rPr>
                <w:rFonts w:ascii="David" w:hAnsi="David"/>
                <w:sz w:val="26"/>
                <w:szCs w:val="26"/>
              </w:rPr>
            </w:pPr>
            <w:r w:rsidRPr="000557A9">
              <w:rPr>
                <w:rFonts w:hint="cs"/>
                <w:rtl/>
              </w:rPr>
              <w:t xml:space="preserve"> </w:t>
            </w:r>
            <w:r w:rsidRPr="000557A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06A12CD" w14:textId="77777777" w:rsidR="00F76FA6" w:rsidRPr="000557A9" w:rsidRDefault="00F76FA6" w:rsidP="00E74528">
            <w:pPr>
              <w:rPr>
                <w:rFonts w:ascii="David" w:hAnsi="David"/>
                <w:b/>
                <w:bCs/>
                <w:sz w:val="26"/>
                <w:szCs w:val="26"/>
                <w:rtl/>
              </w:rPr>
            </w:pPr>
            <w:r w:rsidRPr="000557A9">
              <w:rPr>
                <w:rFonts w:ascii="David" w:hAnsi="David"/>
                <w:b/>
                <w:bCs/>
                <w:sz w:val="26"/>
                <w:szCs w:val="26"/>
                <w:rtl/>
              </w:rPr>
              <w:t>כבוד השופט  איתן קורנהאוזר</w:t>
            </w:r>
          </w:p>
          <w:p w14:paraId="005FFEA5" w14:textId="77777777" w:rsidR="00F76FA6" w:rsidRPr="000557A9" w:rsidRDefault="00F76FA6" w:rsidP="00E74528">
            <w:pPr>
              <w:rPr>
                <w:rFonts w:ascii="David" w:hAnsi="David"/>
                <w:sz w:val="26"/>
                <w:szCs w:val="26"/>
                <w:rtl/>
              </w:rPr>
            </w:pPr>
          </w:p>
          <w:p w14:paraId="7DB8ADF2" w14:textId="77777777" w:rsidR="00F76FA6" w:rsidRPr="000557A9" w:rsidRDefault="00F76FA6" w:rsidP="00F76FA6">
            <w:pPr>
              <w:jc w:val="both"/>
              <w:rPr>
                <w:rFonts w:ascii="David" w:hAnsi="David"/>
                <w:sz w:val="26"/>
                <w:szCs w:val="26"/>
              </w:rPr>
            </w:pPr>
          </w:p>
        </w:tc>
      </w:tr>
      <w:tr w:rsidR="00F76FA6" w:rsidRPr="000557A9" w14:paraId="4DBC8438" w14:textId="77777777" w:rsidTr="00F806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C960E5" w14:textId="77777777" w:rsidR="00F76FA6" w:rsidRPr="000557A9" w:rsidRDefault="00F76FA6" w:rsidP="00F76FA6">
            <w:pPr>
              <w:jc w:val="both"/>
              <w:rPr>
                <w:rFonts w:ascii="David" w:hAnsi="David"/>
                <w:sz w:val="26"/>
                <w:szCs w:val="26"/>
              </w:rPr>
            </w:pPr>
            <w:bookmarkStart w:id="1" w:name="FirstAppellant"/>
            <w:bookmarkStart w:id="2" w:name="FirstLawyer"/>
            <w:r w:rsidRPr="000557A9">
              <w:rPr>
                <w:rFonts w:ascii="David" w:hAnsi="David"/>
                <w:sz w:val="26"/>
                <w:szCs w:val="26"/>
                <w:rtl/>
              </w:rPr>
              <w:t>בעניין:</w:t>
            </w:r>
          </w:p>
        </w:tc>
        <w:tc>
          <w:tcPr>
            <w:tcW w:w="3219" w:type="dxa"/>
            <w:tcBorders>
              <w:top w:val="nil"/>
              <w:left w:val="nil"/>
              <w:bottom w:val="nil"/>
              <w:right w:val="nil"/>
            </w:tcBorders>
            <w:shd w:val="clear" w:color="auto" w:fill="auto"/>
          </w:tcPr>
          <w:p w14:paraId="279726D5" w14:textId="77777777" w:rsidR="00F76FA6" w:rsidRPr="000557A9" w:rsidRDefault="00F76FA6" w:rsidP="00F76FA6">
            <w:pPr>
              <w:suppressLineNumbers/>
            </w:pPr>
            <w:r w:rsidRPr="000557A9">
              <w:rPr>
                <w:rFonts w:ascii="Arial" w:hAnsi="Arial" w:hint="cs"/>
                <w:b/>
                <w:bCs/>
                <w:sz w:val="26"/>
                <w:szCs w:val="26"/>
                <w:rtl/>
              </w:rPr>
              <w:t>המאשימה:</w:t>
            </w:r>
          </w:p>
          <w:p w14:paraId="6CB973BF" w14:textId="77777777" w:rsidR="00F76FA6" w:rsidRPr="000557A9" w:rsidRDefault="00F76FA6" w:rsidP="00E7452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19A5356" w14:textId="77777777" w:rsidR="00F76FA6" w:rsidRPr="000557A9" w:rsidRDefault="00F76FA6" w:rsidP="00F76FA6">
            <w:pPr>
              <w:suppressLineNumbers/>
              <w:rPr>
                <w:rFonts w:ascii="Arial" w:hAnsi="Arial"/>
                <w:b/>
                <w:bCs/>
                <w:sz w:val="26"/>
                <w:szCs w:val="26"/>
                <w:rtl/>
              </w:rPr>
            </w:pPr>
            <w:r w:rsidRPr="000557A9">
              <w:rPr>
                <w:rFonts w:ascii="Arial" w:hAnsi="Arial"/>
                <w:b/>
                <w:bCs/>
                <w:sz w:val="26"/>
                <w:szCs w:val="26"/>
                <w:rtl/>
              </w:rPr>
              <w:t>מדינת ישראל</w:t>
            </w:r>
            <w:r w:rsidRPr="000557A9">
              <w:rPr>
                <w:rFonts w:ascii="Arial" w:hAnsi="Arial" w:hint="cs"/>
                <w:b/>
                <w:bCs/>
                <w:sz w:val="26"/>
                <w:szCs w:val="26"/>
                <w:rtl/>
              </w:rPr>
              <w:t xml:space="preserve"> </w:t>
            </w:r>
          </w:p>
          <w:p w14:paraId="387BC1EA" w14:textId="77777777" w:rsidR="00F76FA6" w:rsidRPr="000557A9" w:rsidRDefault="00F76FA6" w:rsidP="00F76FA6">
            <w:pPr>
              <w:suppressLineNumbers/>
            </w:pPr>
            <w:r w:rsidRPr="000557A9">
              <w:rPr>
                <w:rFonts w:ascii="Arial" w:hAnsi="Arial"/>
                <w:rtl/>
              </w:rPr>
              <w:t xml:space="preserve">ע"י ב"כ </w:t>
            </w:r>
            <w:r w:rsidRPr="000557A9">
              <w:rPr>
                <w:rFonts w:ascii="Arial" w:hAnsi="Arial" w:hint="cs"/>
                <w:rtl/>
              </w:rPr>
              <w:t>מתמחה לאה נגר</w:t>
            </w:r>
          </w:p>
          <w:p w14:paraId="7ECB0645" w14:textId="77777777" w:rsidR="00F76FA6" w:rsidRPr="000557A9" w:rsidRDefault="00F76FA6" w:rsidP="00E74528">
            <w:pPr>
              <w:rPr>
                <w:rFonts w:ascii="David" w:hAnsi="David"/>
                <w:sz w:val="26"/>
                <w:szCs w:val="26"/>
              </w:rPr>
            </w:pPr>
          </w:p>
        </w:tc>
      </w:tr>
      <w:bookmarkEnd w:id="1"/>
      <w:bookmarkEnd w:id="2"/>
      <w:tr w:rsidR="00F76FA6" w:rsidRPr="000557A9" w14:paraId="71B130B6" w14:textId="77777777" w:rsidTr="00F806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293B9F" w14:textId="77777777" w:rsidR="00F76FA6" w:rsidRPr="000557A9" w:rsidRDefault="00F76FA6" w:rsidP="00F76FA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CE13673" w14:textId="77777777" w:rsidR="00F76FA6" w:rsidRPr="000557A9" w:rsidRDefault="00F76FA6" w:rsidP="00F76FA6">
            <w:pPr>
              <w:jc w:val="center"/>
              <w:rPr>
                <w:rFonts w:ascii="David" w:hAnsi="David"/>
                <w:b/>
                <w:bCs/>
                <w:sz w:val="26"/>
                <w:szCs w:val="26"/>
                <w:rtl/>
              </w:rPr>
            </w:pPr>
          </w:p>
          <w:p w14:paraId="76F2C4FF" w14:textId="77777777" w:rsidR="00F76FA6" w:rsidRPr="000557A9" w:rsidRDefault="00F76FA6" w:rsidP="00F76FA6">
            <w:pPr>
              <w:jc w:val="center"/>
              <w:rPr>
                <w:rFonts w:ascii="David" w:hAnsi="David"/>
                <w:b/>
                <w:bCs/>
                <w:sz w:val="26"/>
                <w:szCs w:val="26"/>
                <w:rtl/>
              </w:rPr>
            </w:pPr>
            <w:r w:rsidRPr="000557A9">
              <w:rPr>
                <w:rFonts w:ascii="David" w:hAnsi="David"/>
                <w:b/>
                <w:bCs/>
                <w:sz w:val="26"/>
                <w:szCs w:val="26"/>
                <w:rtl/>
              </w:rPr>
              <w:t>נגד</w:t>
            </w:r>
          </w:p>
          <w:p w14:paraId="5A7C6811" w14:textId="77777777" w:rsidR="00F76FA6" w:rsidRPr="000557A9" w:rsidRDefault="00F76FA6" w:rsidP="00F76FA6">
            <w:pPr>
              <w:jc w:val="both"/>
              <w:rPr>
                <w:rFonts w:ascii="David" w:hAnsi="David"/>
                <w:sz w:val="26"/>
                <w:szCs w:val="26"/>
              </w:rPr>
            </w:pPr>
          </w:p>
        </w:tc>
      </w:tr>
      <w:tr w:rsidR="00F76FA6" w:rsidRPr="000557A9" w14:paraId="2FC47AF0" w14:textId="77777777" w:rsidTr="00F806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5A69C78" w14:textId="77777777" w:rsidR="00F76FA6" w:rsidRPr="000557A9" w:rsidRDefault="00F76FA6" w:rsidP="00E74528">
            <w:pPr>
              <w:rPr>
                <w:rFonts w:ascii="David" w:hAnsi="David"/>
                <w:sz w:val="26"/>
                <w:szCs w:val="26"/>
                <w:rtl/>
              </w:rPr>
            </w:pPr>
          </w:p>
        </w:tc>
        <w:tc>
          <w:tcPr>
            <w:tcW w:w="3219" w:type="dxa"/>
            <w:tcBorders>
              <w:top w:val="nil"/>
              <w:left w:val="nil"/>
              <w:bottom w:val="nil"/>
              <w:right w:val="nil"/>
            </w:tcBorders>
            <w:shd w:val="clear" w:color="auto" w:fill="auto"/>
          </w:tcPr>
          <w:p w14:paraId="53CD863A" w14:textId="77777777" w:rsidR="00F76FA6" w:rsidRPr="000557A9" w:rsidRDefault="00F76FA6" w:rsidP="00E74528">
            <w:pPr>
              <w:rPr>
                <w:rFonts w:ascii="Arial" w:hAnsi="Arial"/>
                <w:b/>
                <w:bCs/>
                <w:sz w:val="26"/>
                <w:szCs w:val="26"/>
                <w:rtl/>
              </w:rPr>
            </w:pPr>
            <w:r w:rsidRPr="000557A9">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0EA348B9" w14:textId="77777777" w:rsidR="00F76FA6" w:rsidRPr="000557A9" w:rsidRDefault="00F76FA6" w:rsidP="00F76FA6">
            <w:pPr>
              <w:suppressLineNumbers/>
              <w:rPr>
                <w:rFonts w:ascii="Arial" w:hAnsi="Arial"/>
                <w:b/>
                <w:bCs/>
                <w:sz w:val="26"/>
                <w:szCs w:val="26"/>
                <w:rtl/>
              </w:rPr>
            </w:pPr>
            <w:r w:rsidRPr="000557A9">
              <w:rPr>
                <w:rFonts w:ascii="Arial" w:hAnsi="Arial"/>
                <w:b/>
                <w:bCs/>
                <w:sz w:val="26"/>
                <w:szCs w:val="26"/>
                <w:rtl/>
              </w:rPr>
              <w:t>מובארק רבאב</w:t>
            </w:r>
            <w:r w:rsidRPr="000557A9">
              <w:rPr>
                <w:rFonts w:ascii="Arial" w:hAnsi="Arial" w:hint="cs"/>
                <w:b/>
                <w:bCs/>
                <w:sz w:val="26"/>
                <w:szCs w:val="26"/>
                <w:rtl/>
              </w:rPr>
              <w:t xml:space="preserve"> </w:t>
            </w:r>
          </w:p>
          <w:p w14:paraId="29299908" w14:textId="77777777" w:rsidR="00F76FA6" w:rsidRPr="000557A9" w:rsidRDefault="00F76FA6" w:rsidP="00F76FA6">
            <w:pPr>
              <w:suppressLineNumbers/>
            </w:pPr>
            <w:r w:rsidRPr="000557A9">
              <w:rPr>
                <w:rFonts w:ascii="Arial" w:hAnsi="Arial"/>
                <w:rtl/>
              </w:rPr>
              <w:t>ע"י ב"כ עוה"ד</w:t>
            </w:r>
            <w:r w:rsidRPr="000557A9">
              <w:rPr>
                <w:rFonts w:hint="cs"/>
                <w:rtl/>
              </w:rPr>
              <w:t xml:space="preserve"> יוסי סקה</w:t>
            </w:r>
          </w:p>
          <w:p w14:paraId="3BE087BF" w14:textId="77777777" w:rsidR="00F76FA6" w:rsidRPr="000557A9" w:rsidRDefault="00F76FA6" w:rsidP="00E74528">
            <w:pPr>
              <w:rPr>
                <w:rFonts w:ascii="David" w:hAnsi="David"/>
                <w:sz w:val="26"/>
                <w:szCs w:val="26"/>
              </w:rPr>
            </w:pPr>
          </w:p>
        </w:tc>
      </w:tr>
    </w:tbl>
    <w:p w14:paraId="1FAD06C8" w14:textId="77777777" w:rsidR="000557A9" w:rsidRPr="000557A9" w:rsidRDefault="000557A9" w:rsidP="000557A9">
      <w:pPr>
        <w:spacing w:before="120" w:after="120" w:line="240" w:lineRule="exact"/>
        <w:ind w:left="283" w:hanging="283"/>
        <w:jc w:val="both"/>
        <w:rPr>
          <w:rFonts w:ascii="FrankRuehl" w:hAnsi="FrankRuehl" w:cs="FrankRuehl"/>
          <w:rtl/>
        </w:rPr>
      </w:pPr>
    </w:p>
    <w:p w14:paraId="4BE9E5F8" w14:textId="77777777" w:rsidR="000557A9" w:rsidRPr="000557A9" w:rsidRDefault="000557A9" w:rsidP="000557A9">
      <w:pPr>
        <w:rPr>
          <w:rtl/>
        </w:rPr>
      </w:pPr>
    </w:p>
    <w:p w14:paraId="67284796" w14:textId="77777777" w:rsidR="00F806D2" w:rsidRPr="00F806D2" w:rsidRDefault="00F806D2" w:rsidP="00F806D2">
      <w:pPr>
        <w:spacing w:before="120" w:after="120" w:line="240" w:lineRule="exact"/>
        <w:ind w:left="283" w:hanging="283"/>
        <w:jc w:val="both"/>
        <w:rPr>
          <w:rFonts w:ascii="FrankRuehl" w:hAnsi="FrankRuehl" w:cs="FrankRuehl"/>
          <w:rtl/>
        </w:rPr>
      </w:pPr>
      <w:bookmarkStart w:id="3" w:name="LawTable"/>
      <w:bookmarkEnd w:id="3"/>
    </w:p>
    <w:p w14:paraId="0F4F464C" w14:textId="77777777" w:rsidR="00F806D2" w:rsidRPr="00F806D2" w:rsidRDefault="00F806D2" w:rsidP="00F806D2">
      <w:pPr>
        <w:spacing w:before="120" w:after="120" w:line="240" w:lineRule="exact"/>
        <w:ind w:left="283" w:hanging="283"/>
        <w:jc w:val="both"/>
        <w:rPr>
          <w:rFonts w:ascii="FrankRuehl" w:hAnsi="FrankRuehl" w:cs="FrankRuehl"/>
          <w:rtl/>
        </w:rPr>
      </w:pPr>
      <w:r w:rsidRPr="00F806D2">
        <w:rPr>
          <w:rFonts w:ascii="FrankRuehl" w:hAnsi="FrankRuehl" w:cs="FrankRuehl"/>
          <w:rtl/>
        </w:rPr>
        <w:t xml:space="preserve">חקיקה שאוזכרה: </w:t>
      </w:r>
    </w:p>
    <w:p w14:paraId="6F488E4C" w14:textId="77777777" w:rsidR="00F806D2" w:rsidRPr="00F806D2" w:rsidRDefault="00F806D2" w:rsidP="00F806D2">
      <w:pPr>
        <w:spacing w:before="120" w:after="120" w:line="240" w:lineRule="exact"/>
        <w:ind w:left="283" w:hanging="283"/>
        <w:jc w:val="both"/>
        <w:rPr>
          <w:rFonts w:ascii="FrankRuehl" w:hAnsi="FrankRuehl" w:cs="FrankRuehl"/>
          <w:color w:val="0000FF"/>
          <w:rtl/>
        </w:rPr>
      </w:pPr>
      <w:hyperlink r:id="rId7" w:history="1">
        <w:r w:rsidRPr="00F806D2">
          <w:rPr>
            <w:rStyle w:val="Hyperlink"/>
            <w:rFonts w:ascii="FrankRuehl" w:hAnsi="FrankRuehl" w:cs="FrankRuehl"/>
            <w:u w:val="none"/>
            <w:rtl/>
          </w:rPr>
          <w:t>פקודת הסמים המסוכנים [נוסח חדש], תשל"ג-1973</w:t>
        </w:r>
      </w:hyperlink>
      <w:r w:rsidRPr="00F806D2">
        <w:rPr>
          <w:rFonts w:ascii="FrankRuehl" w:hAnsi="FrankRuehl" w:cs="FrankRuehl"/>
          <w:color w:val="0000FF"/>
          <w:rtl/>
        </w:rPr>
        <w:t xml:space="preserve">: סע'  </w:t>
      </w:r>
      <w:hyperlink r:id="rId8" w:history="1">
        <w:r w:rsidRPr="00F806D2">
          <w:rPr>
            <w:rStyle w:val="Hyperlink"/>
            <w:rFonts w:ascii="FrankRuehl" w:hAnsi="FrankRuehl" w:cs="FrankRuehl"/>
            <w:u w:val="none"/>
          </w:rPr>
          <w:t>13</w:t>
        </w:r>
      </w:hyperlink>
    </w:p>
    <w:p w14:paraId="4D87FEC2" w14:textId="77777777" w:rsidR="00F806D2" w:rsidRPr="00F806D2" w:rsidRDefault="00F806D2" w:rsidP="00F806D2">
      <w:pPr>
        <w:spacing w:before="120" w:after="120" w:line="240" w:lineRule="exact"/>
        <w:ind w:left="283" w:hanging="283"/>
        <w:jc w:val="both"/>
        <w:rPr>
          <w:rFonts w:ascii="FrankRuehl" w:hAnsi="FrankRuehl" w:cs="FrankRuehl"/>
          <w:color w:val="0000FF"/>
          <w:rtl/>
        </w:rPr>
      </w:pPr>
      <w:hyperlink r:id="rId9" w:history="1">
        <w:r w:rsidRPr="00F806D2">
          <w:rPr>
            <w:rStyle w:val="Hyperlink"/>
            <w:rFonts w:ascii="FrankRuehl" w:hAnsi="FrankRuehl" w:cs="FrankRuehl"/>
            <w:u w:val="none"/>
            <w:rtl/>
          </w:rPr>
          <w:t>חוק העונשין, תשל"ז-1977</w:t>
        </w:r>
      </w:hyperlink>
    </w:p>
    <w:p w14:paraId="754529C5" w14:textId="77777777" w:rsidR="000557A9" w:rsidRPr="00F806D2" w:rsidRDefault="000557A9" w:rsidP="00F806D2">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6FA6" w14:paraId="7C9DC823" w14:textId="77777777" w:rsidTr="00F76FA6">
        <w:trPr>
          <w:trHeight w:val="355"/>
          <w:jc w:val="center"/>
        </w:trPr>
        <w:tc>
          <w:tcPr>
            <w:tcW w:w="8820" w:type="dxa"/>
            <w:tcBorders>
              <w:top w:val="nil"/>
              <w:left w:val="nil"/>
              <w:bottom w:val="nil"/>
              <w:right w:val="nil"/>
            </w:tcBorders>
            <w:shd w:val="clear" w:color="auto" w:fill="auto"/>
          </w:tcPr>
          <w:p w14:paraId="79606DD6" w14:textId="77777777" w:rsidR="000557A9" w:rsidRPr="000557A9" w:rsidRDefault="000557A9" w:rsidP="000557A9">
            <w:pPr>
              <w:jc w:val="center"/>
              <w:rPr>
                <w:rFonts w:ascii="David" w:hAnsi="David"/>
                <w:b/>
                <w:bCs/>
                <w:sz w:val="28"/>
                <w:szCs w:val="28"/>
                <w:u w:val="single"/>
                <w:rtl/>
              </w:rPr>
            </w:pPr>
            <w:bookmarkStart w:id="5" w:name="PsakDin" w:colFirst="0" w:colLast="0"/>
            <w:bookmarkEnd w:id="0"/>
            <w:r w:rsidRPr="000557A9">
              <w:rPr>
                <w:rFonts w:ascii="David" w:hAnsi="David"/>
                <w:b/>
                <w:bCs/>
                <w:sz w:val="28"/>
                <w:szCs w:val="28"/>
                <w:u w:val="single"/>
                <w:rtl/>
              </w:rPr>
              <w:t>גזר דין</w:t>
            </w:r>
          </w:p>
          <w:p w14:paraId="0362B3F1" w14:textId="77777777" w:rsidR="00F76FA6" w:rsidRPr="000557A9" w:rsidRDefault="00F76FA6" w:rsidP="000557A9">
            <w:pPr>
              <w:jc w:val="center"/>
              <w:rPr>
                <w:rFonts w:ascii="David" w:hAnsi="David"/>
                <w:bCs/>
                <w:sz w:val="28"/>
                <w:szCs w:val="28"/>
                <w:u w:val="single"/>
                <w:rtl/>
              </w:rPr>
            </w:pPr>
          </w:p>
        </w:tc>
      </w:tr>
      <w:bookmarkEnd w:id="5"/>
    </w:tbl>
    <w:p w14:paraId="4C13F1A2" w14:textId="77777777" w:rsidR="00F76FA6" w:rsidRPr="000F2247" w:rsidRDefault="00F76FA6" w:rsidP="00F76FA6">
      <w:pPr>
        <w:rPr>
          <w:rFonts w:ascii="Arial" w:hAnsi="Arial"/>
          <w:b/>
          <w:bCs/>
          <w:sz w:val="26"/>
          <w:szCs w:val="26"/>
          <w:rtl/>
        </w:rPr>
      </w:pPr>
    </w:p>
    <w:p w14:paraId="3429A4B3" w14:textId="77777777" w:rsidR="00F76FA6" w:rsidRDefault="00F76FA6" w:rsidP="00F76FA6">
      <w:pPr>
        <w:spacing w:line="360" w:lineRule="auto"/>
        <w:jc w:val="both"/>
        <w:rPr>
          <w:rFonts w:ascii="David" w:hAnsi="David"/>
          <w:b/>
          <w:bCs/>
          <w:u w:val="single"/>
          <w:rtl/>
        </w:rPr>
      </w:pPr>
    </w:p>
    <w:p w14:paraId="3CA0407E" w14:textId="77777777" w:rsidR="00F76FA6" w:rsidRDefault="00F76FA6" w:rsidP="00F76FA6">
      <w:pPr>
        <w:spacing w:line="360" w:lineRule="auto"/>
        <w:jc w:val="both"/>
        <w:rPr>
          <w:rFonts w:ascii="David" w:hAnsi="David"/>
          <w:b/>
          <w:bCs/>
          <w:u w:val="single"/>
        </w:rPr>
      </w:pPr>
      <w:r>
        <w:rPr>
          <w:rFonts w:ascii="David" w:hAnsi="David"/>
          <w:b/>
          <w:bCs/>
          <w:u w:val="single"/>
          <w:rtl/>
        </w:rPr>
        <w:t>רקע</w:t>
      </w:r>
      <w:r>
        <w:rPr>
          <w:rFonts w:ascii="David" w:hAnsi="David" w:hint="cs"/>
          <w:b/>
          <w:bCs/>
          <w:u w:val="single"/>
          <w:rtl/>
        </w:rPr>
        <w:t xml:space="preserve"> ועובדות כתב האישום</w:t>
      </w:r>
    </w:p>
    <w:p w14:paraId="6AD6F6F7" w14:textId="77777777" w:rsidR="00F76FA6" w:rsidRDefault="00F76FA6" w:rsidP="00F76FA6">
      <w:pPr>
        <w:pStyle w:val="ab"/>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הנאשם הורשע על יסוד הודאתו בעובדות כתב אישום מתוקן</w:t>
      </w:r>
      <w:r>
        <w:rPr>
          <w:rFonts w:ascii="David" w:hAnsi="David" w:cs="David" w:hint="cs"/>
          <w:sz w:val="24"/>
          <w:szCs w:val="24"/>
          <w:rtl/>
        </w:rPr>
        <w:t>,</w:t>
      </w:r>
      <w:r>
        <w:rPr>
          <w:rFonts w:ascii="David" w:hAnsi="David" w:cs="David"/>
          <w:sz w:val="24"/>
          <w:szCs w:val="24"/>
          <w:rtl/>
        </w:rPr>
        <w:t xml:space="preserve"> בעבירת סחר בסם מסוכן לפי </w:t>
      </w:r>
      <w:hyperlink r:id="rId10" w:history="1">
        <w:r w:rsidR="00F806D2" w:rsidRPr="00F806D2">
          <w:rPr>
            <w:rStyle w:val="Hyperlink"/>
            <w:rFonts w:ascii="David" w:hAnsi="David" w:cs="David"/>
            <w:color w:val="0000FF"/>
            <w:sz w:val="24"/>
            <w:szCs w:val="24"/>
            <w:rtl/>
          </w:rPr>
          <w:t>סעיף 13</w:t>
        </w:r>
      </w:hyperlink>
      <w:r>
        <w:rPr>
          <w:rFonts w:ascii="David" w:hAnsi="David" w:cs="David"/>
          <w:sz w:val="24"/>
          <w:szCs w:val="24"/>
          <w:rtl/>
        </w:rPr>
        <w:t xml:space="preserve"> ל</w:t>
      </w:r>
      <w:hyperlink r:id="rId11" w:history="1">
        <w:r w:rsidR="000557A9" w:rsidRPr="000557A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w:t>
      </w:r>
    </w:p>
    <w:p w14:paraId="53CD4FB9" w14:textId="77777777" w:rsidR="00F76FA6" w:rsidRDefault="00F76FA6" w:rsidP="00F76FA6">
      <w:pPr>
        <w:pStyle w:val="ab"/>
        <w:spacing w:line="360" w:lineRule="auto"/>
        <w:jc w:val="both"/>
        <w:rPr>
          <w:rFonts w:ascii="David" w:hAnsi="David" w:cs="David"/>
          <w:sz w:val="24"/>
          <w:szCs w:val="24"/>
        </w:rPr>
      </w:pPr>
    </w:p>
    <w:p w14:paraId="06785EED" w14:textId="77777777" w:rsidR="00F76FA6" w:rsidRDefault="00F76FA6" w:rsidP="00F76FA6">
      <w:pPr>
        <w:pStyle w:val="ab"/>
        <w:spacing w:line="360" w:lineRule="auto"/>
        <w:jc w:val="both"/>
        <w:rPr>
          <w:rFonts w:ascii="David" w:hAnsi="David" w:cs="David"/>
          <w:sz w:val="24"/>
          <w:szCs w:val="24"/>
          <w:rtl/>
        </w:rPr>
      </w:pPr>
      <w:r>
        <w:rPr>
          <w:rFonts w:ascii="David" w:hAnsi="David" w:cs="David"/>
          <w:sz w:val="24"/>
          <w:szCs w:val="24"/>
          <w:rtl/>
        </w:rPr>
        <w:t>בהתאם לעובדות בהן הורשע,</w:t>
      </w:r>
      <w:r w:rsidRPr="00AB170D">
        <w:rPr>
          <w:rFonts w:ascii="David" w:hAnsi="David" w:cs="David"/>
          <w:sz w:val="24"/>
          <w:szCs w:val="24"/>
          <w:rtl/>
        </w:rPr>
        <w:t xml:space="preserve"> </w:t>
      </w:r>
      <w:r>
        <w:rPr>
          <w:rFonts w:ascii="David" w:hAnsi="David" w:cs="David"/>
          <w:sz w:val="24"/>
          <w:szCs w:val="24"/>
          <w:rtl/>
        </w:rPr>
        <w:t xml:space="preserve">בתאריך 4.8.22 בתל </w:t>
      </w:r>
      <w:r>
        <w:rPr>
          <w:rFonts w:ascii="David" w:hAnsi="David" w:cs="David" w:hint="cs"/>
          <w:sz w:val="24"/>
          <w:szCs w:val="24"/>
          <w:rtl/>
        </w:rPr>
        <w:t>אביב</w:t>
      </w:r>
      <w:r>
        <w:rPr>
          <w:rFonts w:ascii="David" w:hAnsi="David" w:cs="David"/>
          <w:sz w:val="24"/>
          <w:szCs w:val="24"/>
          <w:rtl/>
        </w:rPr>
        <w:t xml:space="preserve">, סחר הנאשם בסם מסוכן בכך שמכר </w:t>
      </w:r>
      <w:r>
        <w:rPr>
          <w:rFonts w:ascii="David" w:hAnsi="David" w:cs="David" w:hint="cs"/>
          <w:sz w:val="24"/>
          <w:szCs w:val="24"/>
          <w:rtl/>
        </w:rPr>
        <w:t xml:space="preserve">לאחר </w:t>
      </w:r>
      <w:r>
        <w:rPr>
          <w:rFonts w:ascii="David" w:hAnsi="David" w:cs="David"/>
          <w:sz w:val="24"/>
          <w:szCs w:val="24"/>
          <w:rtl/>
        </w:rPr>
        <w:t xml:space="preserve">שקית המכילה </w:t>
      </w:r>
      <w:r>
        <w:rPr>
          <w:rFonts w:ascii="David" w:hAnsi="David" w:cs="David" w:hint="cs"/>
          <w:sz w:val="24"/>
          <w:szCs w:val="24"/>
          <w:rtl/>
        </w:rPr>
        <w:t xml:space="preserve">נגזרת של </w:t>
      </w:r>
      <w:r>
        <w:rPr>
          <w:rFonts w:ascii="David" w:hAnsi="David" w:cs="David"/>
          <w:sz w:val="24"/>
          <w:szCs w:val="24"/>
        </w:rPr>
        <w:t>INDAZOL CARBOXAMID</w:t>
      </w:r>
      <w:r>
        <w:rPr>
          <w:rFonts w:ascii="David" w:hAnsi="David" w:cs="David"/>
          <w:sz w:val="24"/>
          <w:szCs w:val="24"/>
          <w:rtl/>
        </w:rPr>
        <w:t xml:space="preserve"> הרשום בפקודת הסמים</w:t>
      </w:r>
      <w:r>
        <w:rPr>
          <w:rFonts w:ascii="David" w:hAnsi="David" w:cs="David" w:hint="cs"/>
          <w:sz w:val="24"/>
          <w:szCs w:val="24"/>
          <w:rtl/>
        </w:rPr>
        <w:t xml:space="preserve">, </w:t>
      </w:r>
      <w:r>
        <w:rPr>
          <w:rFonts w:ascii="David" w:hAnsi="David" w:cs="David"/>
          <w:sz w:val="24"/>
          <w:szCs w:val="24"/>
          <w:rtl/>
        </w:rPr>
        <w:t xml:space="preserve">במשקל של </w:t>
      </w:r>
      <w:r>
        <w:rPr>
          <w:rFonts w:ascii="David" w:hAnsi="David" w:cs="David" w:hint="cs"/>
          <w:sz w:val="24"/>
          <w:szCs w:val="24"/>
          <w:rtl/>
        </w:rPr>
        <w:t>כ-4 גרם</w:t>
      </w:r>
      <w:r>
        <w:rPr>
          <w:rFonts w:ascii="David" w:hAnsi="David" w:cs="David"/>
          <w:sz w:val="24"/>
          <w:szCs w:val="24"/>
          <w:rtl/>
        </w:rPr>
        <w:t xml:space="preserve">, בתמורה </w:t>
      </w:r>
      <w:r>
        <w:rPr>
          <w:rFonts w:ascii="David" w:hAnsi="David" w:cs="David" w:hint="cs"/>
          <w:sz w:val="24"/>
          <w:szCs w:val="24"/>
          <w:rtl/>
        </w:rPr>
        <w:t xml:space="preserve">לסך </w:t>
      </w:r>
      <w:r>
        <w:rPr>
          <w:rFonts w:ascii="David" w:hAnsi="David" w:cs="David"/>
          <w:sz w:val="24"/>
          <w:szCs w:val="24"/>
          <w:rtl/>
        </w:rPr>
        <w:t>של 50 ₪.</w:t>
      </w:r>
    </w:p>
    <w:p w14:paraId="52DE6118" w14:textId="77777777" w:rsidR="00F76FA6" w:rsidRDefault="00F76FA6" w:rsidP="00F76FA6">
      <w:pPr>
        <w:pStyle w:val="ab"/>
        <w:spacing w:line="360" w:lineRule="auto"/>
        <w:jc w:val="both"/>
        <w:rPr>
          <w:rFonts w:ascii="David" w:hAnsi="David" w:cs="David"/>
          <w:sz w:val="24"/>
          <w:szCs w:val="24"/>
          <w:rtl/>
        </w:rPr>
      </w:pPr>
      <w:bookmarkStart w:id="7" w:name="ABSTRACT_END"/>
      <w:bookmarkEnd w:id="7"/>
    </w:p>
    <w:p w14:paraId="383FBBFF" w14:textId="77777777" w:rsidR="00F76FA6" w:rsidRDefault="00F76FA6" w:rsidP="00F76FA6">
      <w:pPr>
        <w:pStyle w:val="ab"/>
        <w:numPr>
          <w:ilvl w:val="0"/>
          <w:numId w:val="1"/>
        </w:numPr>
        <w:spacing w:line="360" w:lineRule="auto"/>
        <w:jc w:val="both"/>
        <w:rPr>
          <w:rFonts w:ascii="David" w:hAnsi="David" w:cs="David"/>
          <w:sz w:val="24"/>
          <w:szCs w:val="24"/>
        </w:rPr>
      </w:pPr>
      <w:r>
        <w:rPr>
          <w:rFonts w:ascii="David" w:hAnsi="David" w:cs="David"/>
          <w:sz w:val="24"/>
          <w:szCs w:val="24"/>
          <w:rtl/>
        </w:rPr>
        <w:t xml:space="preserve">בהתאם להסדר </w:t>
      </w:r>
      <w:r>
        <w:rPr>
          <w:rFonts w:ascii="David" w:hAnsi="David" w:cs="David" w:hint="cs"/>
          <w:sz w:val="24"/>
          <w:szCs w:val="24"/>
          <w:rtl/>
        </w:rPr>
        <w:t>ה</w:t>
      </w:r>
      <w:r>
        <w:rPr>
          <w:rFonts w:ascii="David" w:hAnsi="David" w:cs="David"/>
          <w:sz w:val="24"/>
          <w:szCs w:val="24"/>
          <w:rtl/>
        </w:rPr>
        <w:t xml:space="preserve">טיעון, עתרו הצדדים במשותף לענישה </w:t>
      </w:r>
      <w:r>
        <w:rPr>
          <w:rFonts w:ascii="David" w:hAnsi="David" w:cs="David" w:hint="cs"/>
          <w:sz w:val="24"/>
          <w:szCs w:val="24"/>
          <w:rtl/>
        </w:rPr>
        <w:t xml:space="preserve">של </w:t>
      </w:r>
      <w:r>
        <w:rPr>
          <w:rFonts w:ascii="David" w:hAnsi="David" w:cs="David"/>
          <w:sz w:val="24"/>
          <w:szCs w:val="24"/>
          <w:rtl/>
        </w:rPr>
        <w:t xml:space="preserve">6 חודשי מאסר, הפעלת מאסר על תנאי מתוכו </w:t>
      </w:r>
      <w:r>
        <w:rPr>
          <w:rFonts w:ascii="David" w:hAnsi="David" w:cs="David" w:hint="cs"/>
          <w:sz w:val="24"/>
          <w:szCs w:val="24"/>
          <w:rtl/>
        </w:rPr>
        <w:t xml:space="preserve">ירוצו </w:t>
      </w:r>
      <w:r>
        <w:rPr>
          <w:rFonts w:ascii="David" w:hAnsi="David" w:cs="David"/>
          <w:sz w:val="24"/>
          <w:szCs w:val="24"/>
          <w:rtl/>
        </w:rPr>
        <w:t>3 חודשים במצטבר כך שבסך הכל ירצה הנאשם 9 חודשי מאסר</w:t>
      </w:r>
      <w:r>
        <w:rPr>
          <w:rFonts w:ascii="David" w:hAnsi="David" w:cs="David" w:hint="cs"/>
          <w:sz w:val="24"/>
          <w:szCs w:val="24"/>
          <w:rtl/>
        </w:rPr>
        <w:t>,</w:t>
      </w:r>
      <w:r>
        <w:rPr>
          <w:rFonts w:ascii="David" w:hAnsi="David" w:cs="David"/>
          <w:sz w:val="24"/>
          <w:szCs w:val="24"/>
          <w:rtl/>
        </w:rPr>
        <w:t xml:space="preserve"> לצד מאסר על תנאי והתחייבות בסך 1,000 ₪. ב"כ המאשימה ביקשה כי המאסר ירוצה מאחורי סורג ובריח ואילו ב"כ הנאשם ביקש שירוצו בעבודות שירות.</w:t>
      </w:r>
    </w:p>
    <w:p w14:paraId="001BFD28" w14:textId="77777777" w:rsidR="00F76FA6" w:rsidRDefault="00F76FA6" w:rsidP="00F76FA6">
      <w:pPr>
        <w:pStyle w:val="ab"/>
        <w:spacing w:line="360" w:lineRule="auto"/>
        <w:jc w:val="both"/>
        <w:rPr>
          <w:rFonts w:ascii="David" w:hAnsi="David" w:cs="David"/>
          <w:sz w:val="24"/>
          <w:szCs w:val="24"/>
          <w:rtl/>
        </w:rPr>
      </w:pPr>
    </w:p>
    <w:p w14:paraId="4CCBA100" w14:textId="77777777" w:rsidR="00F76FA6" w:rsidRDefault="00F76FA6" w:rsidP="00F76FA6">
      <w:pPr>
        <w:pStyle w:val="ab"/>
        <w:spacing w:line="360" w:lineRule="auto"/>
        <w:jc w:val="both"/>
        <w:rPr>
          <w:rFonts w:ascii="David" w:hAnsi="David" w:cs="David"/>
          <w:sz w:val="24"/>
          <w:szCs w:val="24"/>
          <w:rtl/>
        </w:rPr>
      </w:pPr>
      <w:r>
        <w:rPr>
          <w:rFonts w:ascii="David" w:hAnsi="David" w:cs="David"/>
          <w:sz w:val="24"/>
          <w:szCs w:val="24"/>
          <w:rtl/>
        </w:rPr>
        <w:lastRenderedPageBreak/>
        <w:t>בטרם נשמעו טיעוני הצדדים לעונש, הופנה עניינו של הנאשם לקבלת חוות דעת ממונה על עבודות השירות אשר מצא את הנאשם מתאים לביצוע עבודות שירות.</w:t>
      </w:r>
    </w:p>
    <w:p w14:paraId="3AEC630E" w14:textId="77777777" w:rsidR="00F76FA6" w:rsidRDefault="00F76FA6" w:rsidP="00F76FA6">
      <w:pPr>
        <w:pStyle w:val="ab"/>
        <w:spacing w:line="360" w:lineRule="auto"/>
        <w:jc w:val="both"/>
        <w:rPr>
          <w:rFonts w:ascii="David" w:hAnsi="David" w:cs="David"/>
          <w:sz w:val="24"/>
          <w:szCs w:val="24"/>
          <w:rtl/>
        </w:rPr>
      </w:pPr>
    </w:p>
    <w:p w14:paraId="19A0E116" w14:textId="77777777" w:rsidR="00F76FA6" w:rsidRDefault="00F76FA6" w:rsidP="00F76FA6">
      <w:pPr>
        <w:spacing w:line="360" w:lineRule="auto"/>
        <w:jc w:val="both"/>
        <w:rPr>
          <w:rFonts w:ascii="David" w:hAnsi="David"/>
          <w:b/>
          <w:bCs/>
          <w:u w:val="single"/>
          <w:rtl/>
        </w:rPr>
      </w:pPr>
      <w:r>
        <w:rPr>
          <w:rFonts w:ascii="David" w:hAnsi="David"/>
          <w:b/>
          <w:bCs/>
          <w:u w:val="single"/>
          <w:rtl/>
        </w:rPr>
        <w:t>ראיות לעונש</w:t>
      </w:r>
    </w:p>
    <w:p w14:paraId="4BE7CA08" w14:textId="77777777" w:rsidR="00F76FA6" w:rsidRDefault="00F76FA6" w:rsidP="00F76FA6">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המאשימה הגישה </w:t>
      </w:r>
      <w:r>
        <w:rPr>
          <w:rFonts w:ascii="David" w:hAnsi="David" w:cs="David" w:hint="cs"/>
          <w:sz w:val="24"/>
          <w:szCs w:val="24"/>
          <w:rtl/>
        </w:rPr>
        <w:t xml:space="preserve">רישום פלילי של הנאשם; </w:t>
      </w:r>
      <w:r>
        <w:rPr>
          <w:rFonts w:ascii="David" w:hAnsi="David" w:cs="David"/>
          <w:sz w:val="24"/>
          <w:szCs w:val="24"/>
          <w:rtl/>
        </w:rPr>
        <w:t xml:space="preserve">מאסר על תנאי </w:t>
      </w:r>
      <w:r>
        <w:rPr>
          <w:rFonts w:ascii="David" w:hAnsi="David" w:cs="David" w:hint="cs"/>
          <w:sz w:val="24"/>
          <w:szCs w:val="24"/>
          <w:rtl/>
        </w:rPr>
        <w:t>התלוי כנגדו</w:t>
      </w:r>
      <w:r>
        <w:rPr>
          <w:rFonts w:ascii="David" w:hAnsi="David" w:cs="David"/>
          <w:sz w:val="24"/>
          <w:szCs w:val="24"/>
          <w:rtl/>
        </w:rPr>
        <w:t>; פסיקה לעונש; הנחיית פרקליט המדינה מס' 9.11 – ריצוי מאסר בעבודת שירות על ידי נתין זר</w:t>
      </w:r>
      <w:r>
        <w:rPr>
          <w:rFonts w:ascii="David" w:hAnsi="David" w:cs="David" w:hint="cs"/>
          <w:sz w:val="24"/>
          <w:szCs w:val="24"/>
          <w:rtl/>
        </w:rPr>
        <w:t xml:space="preserve"> (להלן:</w:t>
      </w:r>
      <w:r>
        <w:rPr>
          <w:rFonts w:ascii="David" w:hAnsi="David" w:cs="David" w:hint="cs"/>
          <w:sz w:val="24"/>
          <w:szCs w:val="24"/>
        </w:rPr>
        <w:t xml:space="preserve"> </w:t>
      </w:r>
      <w:r>
        <w:rPr>
          <w:rFonts w:ascii="David" w:hAnsi="David" w:cs="David" w:hint="cs"/>
          <w:sz w:val="24"/>
          <w:szCs w:val="24"/>
          <w:rtl/>
        </w:rPr>
        <w:t>"</w:t>
      </w:r>
      <w:r w:rsidRPr="000D397C">
        <w:rPr>
          <w:rFonts w:ascii="David" w:hAnsi="David" w:cs="David" w:hint="cs"/>
          <w:b/>
          <w:bCs/>
          <w:sz w:val="24"/>
          <w:szCs w:val="24"/>
          <w:rtl/>
        </w:rPr>
        <w:t>הנחיית פרקליט המדינה</w:t>
      </w:r>
      <w:r>
        <w:rPr>
          <w:rFonts w:ascii="David" w:hAnsi="David" w:cs="David" w:hint="cs"/>
          <w:sz w:val="24"/>
          <w:szCs w:val="24"/>
          <w:rtl/>
        </w:rPr>
        <w:t xml:space="preserve">"). </w:t>
      </w:r>
    </w:p>
    <w:p w14:paraId="163E61DC" w14:textId="77777777" w:rsidR="00F76FA6" w:rsidRDefault="00F76FA6" w:rsidP="00F76FA6">
      <w:pPr>
        <w:spacing w:line="360" w:lineRule="auto"/>
        <w:jc w:val="both"/>
        <w:rPr>
          <w:rFonts w:ascii="David" w:hAnsi="David"/>
          <w:b/>
          <w:bCs/>
          <w:u w:val="single"/>
          <w:rtl/>
        </w:rPr>
      </w:pPr>
      <w:r>
        <w:rPr>
          <w:rFonts w:ascii="David" w:hAnsi="David"/>
          <w:b/>
          <w:bCs/>
          <w:u w:val="single"/>
          <w:rtl/>
        </w:rPr>
        <w:t>תמצית טיעוני הצדדים</w:t>
      </w:r>
    </w:p>
    <w:p w14:paraId="723CFD4D" w14:textId="77777777" w:rsidR="00F76FA6" w:rsidRDefault="00F76FA6" w:rsidP="00F76FA6">
      <w:pPr>
        <w:pStyle w:val="ab"/>
        <w:numPr>
          <w:ilvl w:val="0"/>
          <w:numId w:val="1"/>
        </w:numPr>
        <w:spacing w:line="360" w:lineRule="auto"/>
        <w:jc w:val="both"/>
        <w:rPr>
          <w:rFonts w:ascii="David" w:hAnsi="David" w:cs="David"/>
          <w:sz w:val="24"/>
          <w:szCs w:val="24"/>
        </w:rPr>
      </w:pPr>
      <w:r w:rsidRPr="007D19C6">
        <w:rPr>
          <w:rFonts w:ascii="David" w:hAnsi="David" w:cs="David"/>
          <w:b/>
          <w:bCs/>
          <w:sz w:val="24"/>
          <w:szCs w:val="24"/>
          <w:rtl/>
        </w:rPr>
        <w:t>ב"כ המאשימה</w:t>
      </w:r>
      <w:r w:rsidRPr="007B1992">
        <w:rPr>
          <w:rFonts w:ascii="David" w:hAnsi="David" w:cs="David"/>
          <w:sz w:val="24"/>
          <w:szCs w:val="24"/>
          <w:rtl/>
        </w:rPr>
        <w:t xml:space="preserve"> </w:t>
      </w:r>
      <w:r>
        <w:rPr>
          <w:rFonts w:ascii="David" w:hAnsi="David" w:cs="David" w:hint="cs"/>
          <w:sz w:val="24"/>
          <w:szCs w:val="24"/>
          <w:rtl/>
        </w:rPr>
        <w:t>פירטה</w:t>
      </w:r>
      <w:r w:rsidRPr="007B1992">
        <w:rPr>
          <w:rFonts w:ascii="David" w:hAnsi="David" w:cs="David"/>
          <w:sz w:val="24"/>
          <w:szCs w:val="24"/>
          <w:rtl/>
        </w:rPr>
        <w:t xml:space="preserve"> בטיעוניה את הערכים המוגנים שנפגעו כתוצאה מביצוע העבירה והפנתה לנסיבות ביצועה. בהמשך, התייחסה ב"כ המאשימה לגילו של הנאשם, </w:t>
      </w:r>
      <w:r>
        <w:rPr>
          <w:rFonts w:ascii="David" w:hAnsi="David" w:cs="David" w:hint="cs"/>
          <w:sz w:val="24"/>
          <w:szCs w:val="24"/>
          <w:rtl/>
        </w:rPr>
        <w:t>ל</w:t>
      </w:r>
      <w:r w:rsidRPr="007B1992">
        <w:rPr>
          <w:rFonts w:ascii="David" w:hAnsi="David" w:cs="David"/>
          <w:sz w:val="24"/>
          <w:szCs w:val="24"/>
          <w:rtl/>
        </w:rPr>
        <w:t>עברו הפלילי הכולל 3 הרשעות קודמות וריצוי מאסרים ממושכים</w:t>
      </w:r>
      <w:r w:rsidRPr="007B1992">
        <w:rPr>
          <w:rFonts w:ascii="David" w:hAnsi="David" w:cs="David" w:hint="cs"/>
          <w:sz w:val="24"/>
          <w:szCs w:val="24"/>
          <w:rtl/>
        </w:rPr>
        <w:t xml:space="preserve">. בנסיבות אלה, </w:t>
      </w:r>
      <w:r w:rsidRPr="007B1992">
        <w:rPr>
          <w:rFonts w:ascii="David" w:hAnsi="David" w:cs="David"/>
          <w:sz w:val="24"/>
          <w:szCs w:val="24"/>
          <w:rtl/>
        </w:rPr>
        <w:t xml:space="preserve">ביקשה </w:t>
      </w:r>
      <w:r>
        <w:rPr>
          <w:rFonts w:ascii="David" w:hAnsi="David" w:cs="David" w:hint="cs"/>
          <w:sz w:val="24"/>
          <w:szCs w:val="24"/>
          <w:rtl/>
        </w:rPr>
        <w:t xml:space="preserve">כי יוטלו </w:t>
      </w:r>
      <w:r w:rsidRPr="007B1992">
        <w:rPr>
          <w:rFonts w:ascii="David" w:hAnsi="David" w:cs="David"/>
          <w:sz w:val="24"/>
          <w:szCs w:val="24"/>
          <w:rtl/>
        </w:rPr>
        <w:t>על</w:t>
      </w:r>
      <w:r w:rsidRPr="007B1992">
        <w:rPr>
          <w:rFonts w:ascii="David" w:hAnsi="David" w:cs="David" w:hint="cs"/>
          <w:sz w:val="24"/>
          <w:szCs w:val="24"/>
          <w:rtl/>
        </w:rPr>
        <w:t xml:space="preserve"> הנאשם</w:t>
      </w:r>
      <w:r w:rsidRPr="007B1992">
        <w:rPr>
          <w:rFonts w:ascii="David" w:hAnsi="David" w:cs="David"/>
          <w:sz w:val="24"/>
          <w:szCs w:val="24"/>
          <w:rtl/>
        </w:rPr>
        <w:t xml:space="preserve"> 6 חודשי מאסר, </w:t>
      </w:r>
      <w:r>
        <w:rPr>
          <w:rFonts w:ascii="David" w:hAnsi="David" w:cs="David" w:hint="cs"/>
          <w:sz w:val="24"/>
          <w:szCs w:val="24"/>
          <w:rtl/>
        </w:rPr>
        <w:t xml:space="preserve">יופעל </w:t>
      </w:r>
      <w:r w:rsidRPr="007B1992">
        <w:rPr>
          <w:rFonts w:ascii="David" w:hAnsi="David" w:cs="David"/>
          <w:sz w:val="24"/>
          <w:szCs w:val="24"/>
          <w:rtl/>
        </w:rPr>
        <w:t>מאסר מותנה</w:t>
      </w:r>
      <w:r>
        <w:rPr>
          <w:rFonts w:ascii="David" w:hAnsi="David" w:cs="David" w:hint="cs"/>
          <w:sz w:val="24"/>
          <w:szCs w:val="24"/>
          <w:rtl/>
        </w:rPr>
        <w:t xml:space="preserve"> </w:t>
      </w:r>
      <w:r w:rsidRPr="007B1992">
        <w:rPr>
          <w:rFonts w:ascii="David" w:hAnsi="David" w:cs="David"/>
          <w:sz w:val="24"/>
          <w:szCs w:val="24"/>
          <w:rtl/>
        </w:rPr>
        <w:t xml:space="preserve"> </w:t>
      </w:r>
      <w:r>
        <w:rPr>
          <w:rFonts w:ascii="David" w:hAnsi="David" w:cs="David" w:hint="cs"/>
          <w:sz w:val="24"/>
          <w:szCs w:val="24"/>
          <w:rtl/>
        </w:rPr>
        <w:t>שחלקו ירוצה במצטבר כך שהנאשם ירצה בסך הכל 9 חודשי מאסר</w:t>
      </w:r>
      <w:r w:rsidRPr="007B1992">
        <w:rPr>
          <w:rFonts w:ascii="David" w:hAnsi="David" w:cs="David" w:hint="cs"/>
          <w:sz w:val="24"/>
          <w:szCs w:val="24"/>
          <w:rtl/>
        </w:rPr>
        <w:t>,</w:t>
      </w:r>
      <w:r w:rsidRPr="007B1992">
        <w:rPr>
          <w:rFonts w:ascii="David" w:hAnsi="David" w:cs="David"/>
          <w:sz w:val="24"/>
          <w:szCs w:val="24"/>
          <w:rtl/>
        </w:rPr>
        <w:t xml:space="preserve"> לצד מאסר על תנאי והתחייבות בסך 1,000 ₪</w:t>
      </w:r>
      <w:r w:rsidRPr="007B1992">
        <w:rPr>
          <w:rFonts w:ascii="David" w:hAnsi="David" w:cs="David" w:hint="cs"/>
          <w:sz w:val="24"/>
          <w:szCs w:val="24"/>
          <w:rtl/>
        </w:rPr>
        <w:t>,</w:t>
      </w:r>
      <w:r w:rsidRPr="007B1992">
        <w:rPr>
          <w:rFonts w:ascii="David" w:hAnsi="David" w:cs="David"/>
          <w:sz w:val="24"/>
          <w:szCs w:val="24"/>
          <w:rtl/>
        </w:rPr>
        <w:t xml:space="preserve"> וכן </w:t>
      </w:r>
      <w:r>
        <w:rPr>
          <w:rFonts w:ascii="David" w:hAnsi="David" w:cs="David" w:hint="cs"/>
          <w:sz w:val="24"/>
          <w:szCs w:val="24"/>
          <w:rtl/>
        </w:rPr>
        <w:t xml:space="preserve">ביקשה </w:t>
      </w:r>
      <w:r w:rsidRPr="007B1992">
        <w:rPr>
          <w:rFonts w:ascii="David" w:hAnsi="David" w:cs="David"/>
          <w:sz w:val="24"/>
          <w:szCs w:val="24"/>
          <w:rtl/>
        </w:rPr>
        <w:t xml:space="preserve">להכריז על הנאשם </w:t>
      </w:r>
      <w:r>
        <w:rPr>
          <w:rFonts w:ascii="David" w:hAnsi="David" w:cs="David" w:hint="cs"/>
          <w:sz w:val="24"/>
          <w:szCs w:val="24"/>
          <w:rtl/>
        </w:rPr>
        <w:t>כ</w:t>
      </w:r>
      <w:r w:rsidRPr="007B1992">
        <w:rPr>
          <w:rFonts w:ascii="David" w:hAnsi="David" w:cs="David"/>
          <w:sz w:val="24"/>
          <w:szCs w:val="24"/>
          <w:rtl/>
        </w:rPr>
        <w:t>סוחר סמים</w:t>
      </w:r>
      <w:r w:rsidRPr="007B1992">
        <w:rPr>
          <w:rFonts w:ascii="David" w:hAnsi="David" w:cs="David" w:hint="cs"/>
          <w:sz w:val="24"/>
          <w:szCs w:val="24"/>
          <w:rtl/>
        </w:rPr>
        <w:t xml:space="preserve"> ולחל</w:t>
      </w:r>
      <w:r>
        <w:rPr>
          <w:rFonts w:ascii="David" w:hAnsi="David" w:cs="David" w:hint="cs"/>
          <w:sz w:val="24"/>
          <w:szCs w:val="24"/>
          <w:rtl/>
        </w:rPr>
        <w:t>ט</w:t>
      </w:r>
      <w:r w:rsidRPr="007B1992">
        <w:rPr>
          <w:rFonts w:ascii="David" w:hAnsi="David" w:cs="David" w:hint="cs"/>
          <w:sz w:val="24"/>
          <w:szCs w:val="24"/>
          <w:rtl/>
        </w:rPr>
        <w:t xml:space="preserve"> סך</w:t>
      </w:r>
      <w:r>
        <w:rPr>
          <w:rFonts w:ascii="David" w:hAnsi="David" w:cs="David" w:hint="cs"/>
          <w:sz w:val="24"/>
          <w:szCs w:val="24"/>
          <w:rtl/>
        </w:rPr>
        <w:t xml:space="preserve"> של</w:t>
      </w:r>
      <w:r w:rsidRPr="007B1992">
        <w:rPr>
          <w:rFonts w:ascii="David" w:hAnsi="David" w:cs="David" w:hint="cs"/>
          <w:sz w:val="24"/>
          <w:szCs w:val="24"/>
          <w:rtl/>
        </w:rPr>
        <w:t xml:space="preserve"> 434 ₪ לטובת המדינה</w:t>
      </w:r>
      <w:r w:rsidRPr="007B1992">
        <w:rPr>
          <w:rFonts w:ascii="David" w:hAnsi="David" w:cs="David"/>
          <w:sz w:val="24"/>
          <w:szCs w:val="24"/>
          <w:rtl/>
        </w:rPr>
        <w:t xml:space="preserve">. ב"כ המאשימה </w:t>
      </w:r>
      <w:r w:rsidRPr="007B1992">
        <w:rPr>
          <w:rFonts w:ascii="David" w:hAnsi="David" w:cs="David" w:hint="cs"/>
          <w:sz w:val="24"/>
          <w:szCs w:val="24"/>
          <w:rtl/>
        </w:rPr>
        <w:t xml:space="preserve">טענה </w:t>
      </w:r>
      <w:r>
        <w:rPr>
          <w:rFonts w:ascii="David" w:hAnsi="David" w:cs="David" w:hint="cs"/>
          <w:sz w:val="24"/>
          <w:szCs w:val="24"/>
          <w:rtl/>
        </w:rPr>
        <w:t xml:space="preserve">כי </w:t>
      </w:r>
      <w:r w:rsidRPr="007B1992">
        <w:rPr>
          <w:rFonts w:ascii="David" w:hAnsi="David" w:cs="David" w:hint="cs"/>
          <w:sz w:val="24"/>
          <w:szCs w:val="24"/>
          <w:rtl/>
        </w:rPr>
        <w:t>על הנאשם לרצות את תקופת ה</w:t>
      </w:r>
      <w:r w:rsidRPr="007B1992">
        <w:rPr>
          <w:rFonts w:ascii="David" w:hAnsi="David" w:cs="David"/>
          <w:sz w:val="24"/>
          <w:szCs w:val="24"/>
          <w:rtl/>
        </w:rPr>
        <w:t>מאסר מאחורי סורג ובריח ולא בעבודות שירות</w:t>
      </w:r>
      <w:r w:rsidRPr="007B1992">
        <w:rPr>
          <w:rFonts w:ascii="David" w:hAnsi="David" w:cs="David" w:hint="cs"/>
          <w:sz w:val="24"/>
          <w:szCs w:val="24"/>
          <w:rtl/>
        </w:rPr>
        <w:t>,</w:t>
      </w:r>
      <w:r w:rsidRPr="007B1992">
        <w:rPr>
          <w:rFonts w:ascii="David" w:hAnsi="David" w:cs="David"/>
          <w:sz w:val="24"/>
          <w:szCs w:val="24"/>
          <w:rtl/>
        </w:rPr>
        <w:t xml:space="preserve"> </w:t>
      </w:r>
      <w:r w:rsidRPr="007B1992">
        <w:rPr>
          <w:rFonts w:ascii="David" w:hAnsi="David" w:cs="David" w:hint="cs"/>
          <w:sz w:val="24"/>
          <w:szCs w:val="24"/>
          <w:rtl/>
        </w:rPr>
        <w:t xml:space="preserve">בשל </w:t>
      </w:r>
      <w:r w:rsidRPr="007B1992">
        <w:rPr>
          <w:rFonts w:ascii="David" w:hAnsi="David" w:cs="David"/>
          <w:sz w:val="24"/>
          <w:szCs w:val="24"/>
          <w:rtl/>
        </w:rPr>
        <w:t>היותו נתין זר בארץ</w:t>
      </w:r>
      <w:r>
        <w:rPr>
          <w:rFonts w:ascii="David" w:hAnsi="David" w:cs="David" w:hint="cs"/>
          <w:sz w:val="24"/>
          <w:szCs w:val="24"/>
          <w:rtl/>
        </w:rPr>
        <w:t>,</w:t>
      </w:r>
      <w:r w:rsidRPr="007B1992">
        <w:rPr>
          <w:rFonts w:ascii="David" w:hAnsi="David" w:cs="David"/>
          <w:sz w:val="24"/>
          <w:szCs w:val="24"/>
          <w:rtl/>
        </w:rPr>
        <w:t xml:space="preserve"> כאשר </w:t>
      </w:r>
      <w:r>
        <w:rPr>
          <w:rFonts w:ascii="David" w:hAnsi="David" w:cs="David" w:hint="cs"/>
          <w:sz w:val="24"/>
          <w:szCs w:val="24"/>
          <w:rtl/>
        </w:rPr>
        <w:t xml:space="preserve">לטענתה </w:t>
      </w:r>
      <w:r w:rsidRPr="007B1992">
        <w:rPr>
          <w:rFonts w:ascii="David" w:hAnsi="David" w:cs="David"/>
          <w:sz w:val="24"/>
          <w:szCs w:val="24"/>
          <w:rtl/>
        </w:rPr>
        <w:t>המדינה לא תהנה מפירות שיקומו שכן סביר להניח כי יגורש לארץ מוצאו בעקבות ההליך.</w:t>
      </w:r>
    </w:p>
    <w:p w14:paraId="28CE5EA5" w14:textId="77777777" w:rsidR="00F76FA6" w:rsidRPr="007B1992" w:rsidRDefault="00F76FA6" w:rsidP="00F76FA6">
      <w:pPr>
        <w:pStyle w:val="ab"/>
        <w:spacing w:line="360" w:lineRule="auto"/>
        <w:jc w:val="both"/>
        <w:rPr>
          <w:rFonts w:ascii="David" w:hAnsi="David" w:cs="David"/>
          <w:sz w:val="24"/>
          <w:szCs w:val="24"/>
        </w:rPr>
      </w:pPr>
      <w:r w:rsidRPr="007B1992">
        <w:rPr>
          <w:rFonts w:ascii="David" w:hAnsi="David" w:cs="David"/>
          <w:sz w:val="24"/>
          <w:szCs w:val="24"/>
          <w:rtl/>
        </w:rPr>
        <w:t xml:space="preserve"> </w:t>
      </w:r>
    </w:p>
    <w:p w14:paraId="1011BA88" w14:textId="77777777" w:rsidR="00F76FA6" w:rsidRDefault="00F76FA6" w:rsidP="00F76FA6">
      <w:pPr>
        <w:pStyle w:val="ab"/>
        <w:numPr>
          <w:ilvl w:val="0"/>
          <w:numId w:val="1"/>
        </w:numPr>
        <w:spacing w:line="360" w:lineRule="auto"/>
        <w:jc w:val="both"/>
        <w:rPr>
          <w:rFonts w:ascii="David" w:hAnsi="David" w:cs="David"/>
          <w:sz w:val="24"/>
          <w:szCs w:val="24"/>
        </w:rPr>
      </w:pPr>
      <w:r w:rsidRPr="007D19C6">
        <w:rPr>
          <w:rFonts w:ascii="David" w:hAnsi="David" w:cs="David"/>
          <w:b/>
          <w:bCs/>
          <w:sz w:val="24"/>
          <w:szCs w:val="24"/>
          <w:rtl/>
        </w:rPr>
        <w:t>ב"כ הנאשם</w:t>
      </w:r>
      <w:r>
        <w:rPr>
          <w:rFonts w:ascii="David" w:hAnsi="David" w:cs="David"/>
          <w:sz w:val="24"/>
          <w:szCs w:val="24"/>
          <w:rtl/>
        </w:rPr>
        <w:t xml:space="preserve"> התמקד בטיעוניו בנסיבותיו האישיות של הנאשם שהיה מכור לסמים ולאלכוהול בתקופת ביצוע העבירה</w:t>
      </w:r>
      <w:r>
        <w:rPr>
          <w:rFonts w:ascii="David" w:hAnsi="David" w:cs="David" w:hint="cs"/>
          <w:sz w:val="24"/>
          <w:szCs w:val="24"/>
          <w:rtl/>
        </w:rPr>
        <w:t xml:space="preserve"> ואף </w:t>
      </w:r>
      <w:r>
        <w:rPr>
          <w:rFonts w:ascii="David" w:hAnsi="David" w:cs="David"/>
          <w:sz w:val="24"/>
          <w:szCs w:val="24"/>
          <w:rtl/>
        </w:rPr>
        <w:t xml:space="preserve">דר </w:t>
      </w:r>
      <w:r>
        <w:rPr>
          <w:rFonts w:ascii="David" w:hAnsi="David" w:cs="David" w:hint="cs"/>
          <w:sz w:val="24"/>
          <w:szCs w:val="24"/>
          <w:rtl/>
        </w:rPr>
        <w:t>ב</w:t>
      </w:r>
      <w:r>
        <w:rPr>
          <w:rFonts w:ascii="David" w:hAnsi="David" w:cs="David"/>
          <w:sz w:val="24"/>
          <w:szCs w:val="24"/>
          <w:rtl/>
        </w:rPr>
        <w:t>רחוב ב</w:t>
      </w:r>
      <w:r>
        <w:rPr>
          <w:rFonts w:ascii="David" w:hAnsi="David" w:cs="David" w:hint="cs"/>
          <w:sz w:val="24"/>
          <w:szCs w:val="24"/>
          <w:rtl/>
        </w:rPr>
        <w:t>אזור ה</w:t>
      </w:r>
      <w:r>
        <w:rPr>
          <w:rFonts w:ascii="David" w:hAnsi="David" w:cs="David"/>
          <w:sz w:val="24"/>
          <w:szCs w:val="24"/>
          <w:rtl/>
        </w:rPr>
        <w:t>תחנה המרכזית</w:t>
      </w:r>
      <w:r>
        <w:rPr>
          <w:rFonts w:ascii="David" w:hAnsi="David" w:cs="David" w:hint="cs"/>
          <w:sz w:val="24"/>
          <w:szCs w:val="24"/>
          <w:rtl/>
        </w:rPr>
        <w:t>. כמו כן,</w:t>
      </w:r>
      <w:r>
        <w:rPr>
          <w:rFonts w:ascii="David" w:hAnsi="David" w:cs="David"/>
          <w:sz w:val="24"/>
          <w:szCs w:val="24"/>
          <w:rtl/>
        </w:rPr>
        <w:t xml:space="preserve"> </w:t>
      </w:r>
      <w:r>
        <w:rPr>
          <w:rFonts w:ascii="David" w:hAnsi="David" w:cs="David" w:hint="cs"/>
          <w:sz w:val="24"/>
          <w:szCs w:val="24"/>
          <w:rtl/>
        </w:rPr>
        <w:t xml:space="preserve">טען </w:t>
      </w:r>
      <w:r>
        <w:rPr>
          <w:rFonts w:ascii="David" w:hAnsi="David" w:cs="David"/>
          <w:sz w:val="24"/>
          <w:szCs w:val="24"/>
          <w:rtl/>
        </w:rPr>
        <w:t xml:space="preserve">כי </w:t>
      </w:r>
      <w:r>
        <w:rPr>
          <w:rFonts w:ascii="David" w:hAnsi="David" w:cs="David" w:hint="cs"/>
          <w:sz w:val="24"/>
          <w:szCs w:val="24"/>
          <w:rtl/>
        </w:rPr>
        <w:t xml:space="preserve">הנאשם אינו </w:t>
      </w:r>
      <w:r>
        <w:rPr>
          <w:rFonts w:ascii="David" w:hAnsi="David" w:cs="David"/>
          <w:sz w:val="24"/>
          <w:szCs w:val="24"/>
          <w:rtl/>
        </w:rPr>
        <w:t xml:space="preserve">חולייה משמעותית בשרשרת הפצת סם שכן </w:t>
      </w:r>
      <w:r>
        <w:rPr>
          <w:rFonts w:ascii="David" w:hAnsi="David" w:cs="David" w:hint="cs"/>
          <w:sz w:val="24"/>
          <w:szCs w:val="24"/>
          <w:rtl/>
        </w:rPr>
        <w:t xml:space="preserve">הסחר בסם </w:t>
      </w:r>
      <w:r>
        <w:rPr>
          <w:rFonts w:ascii="David" w:hAnsi="David" w:cs="David"/>
          <w:sz w:val="24"/>
          <w:szCs w:val="24"/>
          <w:rtl/>
        </w:rPr>
        <w:t xml:space="preserve">בוצע "בין נרקומנים בתחנה מרכזית". עוד </w:t>
      </w:r>
      <w:r>
        <w:rPr>
          <w:rFonts w:ascii="David" w:hAnsi="David" w:cs="David" w:hint="cs"/>
          <w:sz w:val="24"/>
          <w:szCs w:val="24"/>
          <w:rtl/>
        </w:rPr>
        <w:t xml:space="preserve">הדגיש </w:t>
      </w:r>
      <w:r>
        <w:rPr>
          <w:rFonts w:ascii="David" w:hAnsi="David" w:cs="David"/>
          <w:sz w:val="24"/>
          <w:szCs w:val="24"/>
          <w:rtl/>
        </w:rPr>
        <w:t xml:space="preserve">כי מאז ביצוע העבירה הנאשם נגמל מסמים, </w:t>
      </w:r>
      <w:r>
        <w:rPr>
          <w:rFonts w:ascii="David" w:hAnsi="David" w:cs="David" w:hint="cs"/>
          <w:sz w:val="24"/>
          <w:szCs w:val="24"/>
          <w:rtl/>
        </w:rPr>
        <w:t>נגמל מאלכוהול, השתלב במעגל התעסוקה, שוכר דירה ו</w:t>
      </w:r>
      <w:r>
        <w:rPr>
          <w:rFonts w:ascii="David" w:hAnsi="David" w:cs="David"/>
          <w:sz w:val="24"/>
          <w:szCs w:val="24"/>
          <w:rtl/>
        </w:rPr>
        <w:t xml:space="preserve">לא נפתחו כנגדו תיקים נוספים. בנסיבות אלה, ביקש ב"כ הנאשם </w:t>
      </w:r>
      <w:r>
        <w:rPr>
          <w:rFonts w:ascii="David" w:hAnsi="David" w:cs="David" w:hint="cs"/>
          <w:sz w:val="24"/>
          <w:szCs w:val="24"/>
          <w:rtl/>
        </w:rPr>
        <w:t>כי יוטל על הנאשם מאסר למשך 9 חודשים אשר ירוצה בעבודות שירות.</w:t>
      </w:r>
    </w:p>
    <w:p w14:paraId="132DBE0A" w14:textId="77777777" w:rsidR="00F76FA6" w:rsidRPr="00D363F6" w:rsidRDefault="00F76FA6" w:rsidP="00F76FA6">
      <w:pPr>
        <w:pStyle w:val="ab"/>
        <w:rPr>
          <w:rFonts w:ascii="David" w:hAnsi="David" w:cs="David"/>
          <w:sz w:val="24"/>
          <w:szCs w:val="24"/>
        </w:rPr>
      </w:pPr>
    </w:p>
    <w:p w14:paraId="5CE035CF" w14:textId="77777777" w:rsidR="00F76FA6" w:rsidRDefault="00F76FA6" w:rsidP="00F76FA6">
      <w:pPr>
        <w:pStyle w:val="ab"/>
        <w:numPr>
          <w:ilvl w:val="0"/>
          <w:numId w:val="1"/>
        </w:numPr>
        <w:spacing w:line="360" w:lineRule="auto"/>
        <w:jc w:val="both"/>
        <w:rPr>
          <w:rFonts w:ascii="David" w:hAnsi="David" w:cs="David"/>
          <w:sz w:val="24"/>
          <w:szCs w:val="24"/>
          <w:rtl/>
        </w:rPr>
      </w:pPr>
      <w:r w:rsidRPr="007D19C6">
        <w:rPr>
          <w:rFonts w:ascii="David" w:hAnsi="David" w:cs="David"/>
          <w:b/>
          <w:bCs/>
          <w:sz w:val="24"/>
          <w:szCs w:val="24"/>
          <w:rtl/>
        </w:rPr>
        <w:t xml:space="preserve">הנאשם </w:t>
      </w:r>
      <w:r w:rsidRPr="00617083">
        <w:rPr>
          <w:rFonts w:ascii="David" w:hAnsi="David" w:cs="David"/>
          <w:sz w:val="24"/>
          <w:szCs w:val="24"/>
          <w:rtl/>
        </w:rPr>
        <w:t>בדברו,</w:t>
      </w:r>
      <w:r>
        <w:rPr>
          <w:rFonts w:ascii="David" w:hAnsi="David" w:cs="David"/>
          <w:sz w:val="24"/>
          <w:szCs w:val="24"/>
          <w:rtl/>
        </w:rPr>
        <w:t xml:space="preserve"> ציין כי מדובר באירוע </w:t>
      </w:r>
      <w:r>
        <w:rPr>
          <w:rFonts w:ascii="David" w:hAnsi="David" w:cs="David" w:hint="cs"/>
          <w:sz w:val="24"/>
          <w:szCs w:val="24"/>
          <w:rtl/>
        </w:rPr>
        <w:t xml:space="preserve">שהתרחש </w:t>
      </w:r>
      <w:r>
        <w:rPr>
          <w:rFonts w:ascii="David" w:hAnsi="David" w:cs="David"/>
          <w:sz w:val="24"/>
          <w:szCs w:val="24"/>
          <w:rtl/>
        </w:rPr>
        <w:t xml:space="preserve">לפני </w:t>
      </w:r>
      <w:r>
        <w:rPr>
          <w:rFonts w:ascii="David" w:hAnsi="David" w:cs="David" w:hint="cs"/>
          <w:sz w:val="24"/>
          <w:szCs w:val="24"/>
          <w:rtl/>
        </w:rPr>
        <w:t>כ</w:t>
      </w:r>
      <w:r>
        <w:rPr>
          <w:rFonts w:ascii="David" w:hAnsi="David" w:cs="David"/>
          <w:sz w:val="24"/>
          <w:szCs w:val="24"/>
          <w:rtl/>
        </w:rPr>
        <w:t>שלוש שנים ו</w:t>
      </w:r>
      <w:r>
        <w:rPr>
          <w:rFonts w:ascii="David" w:hAnsi="David" w:cs="David" w:hint="cs"/>
          <w:sz w:val="24"/>
          <w:szCs w:val="24"/>
          <w:rtl/>
        </w:rPr>
        <w:t xml:space="preserve">כי מאז </w:t>
      </w:r>
      <w:r>
        <w:rPr>
          <w:rFonts w:ascii="David" w:hAnsi="David" w:cs="David"/>
          <w:sz w:val="24"/>
          <w:szCs w:val="24"/>
          <w:rtl/>
        </w:rPr>
        <w:t xml:space="preserve">יום מעצרו במסגרת תיק זה הפסיק </w:t>
      </w:r>
      <w:r>
        <w:rPr>
          <w:rFonts w:ascii="David" w:hAnsi="David" w:cs="David" w:hint="cs"/>
          <w:sz w:val="24"/>
          <w:szCs w:val="24"/>
          <w:rtl/>
        </w:rPr>
        <w:t>כל עיסוק ב</w:t>
      </w:r>
      <w:r>
        <w:rPr>
          <w:rFonts w:ascii="David" w:hAnsi="David" w:cs="David"/>
          <w:sz w:val="24"/>
          <w:szCs w:val="24"/>
          <w:rtl/>
        </w:rPr>
        <w:t>סמים</w:t>
      </w:r>
      <w:r>
        <w:rPr>
          <w:rFonts w:ascii="David" w:hAnsi="David" w:cs="David" w:hint="cs"/>
          <w:sz w:val="24"/>
          <w:szCs w:val="24"/>
          <w:rtl/>
        </w:rPr>
        <w:t>, כ</w:t>
      </w:r>
      <w:r>
        <w:rPr>
          <w:rFonts w:ascii="David" w:hAnsi="David" w:cs="David"/>
          <w:sz w:val="24"/>
          <w:szCs w:val="24"/>
          <w:rtl/>
        </w:rPr>
        <w:t xml:space="preserve">יום </w:t>
      </w:r>
      <w:r>
        <w:rPr>
          <w:rFonts w:ascii="David" w:hAnsi="David" w:cs="David" w:hint="cs"/>
          <w:sz w:val="24"/>
          <w:szCs w:val="24"/>
          <w:rtl/>
        </w:rPr>
        <w:t xml:space="preserve">הוא </w:t>
      </w:r>
      <w:r>
        <w:rPr>
          <w:rFonts w:ascii="David" w:hAnsi="David" w:cs="David"/>
          <w:sz w:val="24"/>
          <w:szCs w:val="24"/>
          <w:rtl/>
        </w:rPr>
        <w:t>עובד בשיפוצים, מסודר</w:t>
      </w:r>
      <w:r>
        <w:rPr>
          <w:rFonts w:ascii="David" w:hAnsi="David" w:cs="David" w:hint="cs"/>
          <w:sz w:val="24"/>
          <w:szCs w:val="24"/>
          <w:rtl/>
        </w:rPr>
        <w:t>,</w:t>
      </w:r>
      <w:r>
        <w:rPr>
          <w:rFonts w:ascii="David" w:hAnsi="David" w:cs="David"/>
          <w:sz w:val="24"/>
          <w:szCs w:val="24"/>
          <w:rtl/>
        </w:rPr>
        <w:t xml:space="preserve"> ו</w:t>
      </w:r>
      <w:r>
        <w:rPr>
          <w:rFonts w:ascii="David" w:hAnsi="David" w:cs="David" w:hint="cs"/>
          <w:sz w:val="24"/>
          <w:szCs w:val="24"/>
          <w:rtl/>
        </w:rPr>
        <w:t xml:space="preserve">צועד רק </w:t>
      </w:r>
      <w:r>
        <w:rPr>
          <w:rFonts w:ascii="David" w:hAnsi="David" w:cs="David"/>
          <w:sz w:val="24"/>
          <w:szCs w:val="24"/>
          <w:rtl/>
        </w:rPr>
        <w:t>קדימה.</w:t>
      </w:r>
    </w:p>
    <w:p w14:paraId="207D3E89" w14:textId="77777777" w:rsidR="00F76FA6" w:rsidRDefault="00F76FA6" w:rsidP="00F76FA6">
      <w:pPr>
        <w:pStyle w:val="ab"/>
        <w:rPr>
          <w:rFonts w:ascii="David" w:hAnsi="David" w:cs="David"/>
          <w:sz w:val="24"/>
          <w:szCs w:val="24"/>
        </w:rPr>
      </w:pPr>
    </w:p>
    <w:p w14:paraId="7FD4DCAA" w14:textId="77777777" w:rsidR="00F76FA6" w:rsidRDefault="00F76FA6" w:rsidP="00F76FA6">
      <w:pPr>
        <w:spacing w:line="360" w:lineRule="auto"/>
        <w:jc w:val="both"/>
        <w:rPr>
          <w:rFonts w:ascii="David" w:hAnsi="David"/>
          <w:b/>
          <w:bCs/>
          <w:u w:val="single"/>
          <w:rtl/>
        </w:rPr>
      </w:pPr>
      <w:r>
        <w:rPr>
          <w:rFonts w:ascii="David" w:hAnsi="David"/>
          <w:b/>
          <w:bCs/>
          <w:u w:val="single"/>
          <w:rtl/>
        </w:rPr>
        <w:t>דיון והכרעה</w:t>
      </w:r>
    </w:p>
    <w:p w14:paraId="2422703A" w14:textId="77777777" w:rsidR="00F76FA6" w:rsidRDefault="00F76FA6" w:rsidP="00F76FA6">
      <w:pPr>
        <w:pStyle w:val="ab"/>
        <w:numPr>
          <w:ilvl w:val="0"/>
          <w:numId w:val="1"/>
        </w:numPr>
        <w:spacing w:line="360" w:lineRule="auto"/>
        <w:jc w:val="both"/>
        <w:rPr>
          <w:rFonts w:ascii="David" w:hAnsi="David" w:cs="David"/>
          <w:sz w:val="24"/>
          <w:szCs w:val="24"/>
          <w:rtl/>
        </w:rPr>
      </w:pPr>
      <w:r>
        <w:rPr>
          <w:rFonts w:ascii="David" w:hAnsi="David" w:cs="David"/>
          <w:sz w:val="24"/>
          <w:szCs w:val="24"/>
          <w:rtl/>
        </w:rPr>
        <w:t>הצדדים הציגו הסדר טיעון הכולל הסכמות לעניין העונש</w:t>
      </w:r>
      <w:r>
        <w:rPr>
          <w:rFonts w:ascii="David" w:hAnsi="David" w:cs="David" w:hint="cs"/>
          <w:sz w:val="24"/>
          <w:szCs w:val="24"/>
          <w:rtl/>
        </w:rPr>
        <w:t xml:space="preserve"> תוך מחלוקת לגבי אופן ריצויו, כאשר </w:t>
      </w:r>
      <w:r>
        <w:rPr>
          <w:rFonts w:ascii="David" w:hAnsi="David" w:cs="David"/>
          <w:sz w:val="24"/>
          <w:szCs w:val="24"/>
          <w:rtl/>
        </w:rPr>
        <w:t xml:space="preserve">ב"כ המאשימה ביקשה כי המאסר ירוצה מאחורי סורג ובריח </w:t>
      </w:r>
      <w:r>
        <w:rPr>
          <w:rFonts w:ascii="David" w:hAnsi="David" w:cs="David" w:hint="cs"/>
          <w:sz w:val="24"/>
          <w:szCs w:val="24"/>
          <w:rtl/>
        </w:rPr>
        <w:t xml:space="preserve">ואילו ב"כ הנאשם ביקש שירוצה </w:t>
      </w:r>
      <w:r>
        <w:rPr>
          <w:rFonts w:ascii="David" w:hAnsi="David" w:cs="David"/>
          <w:sz w:val="24"/>
          <w:szCs w:val="24"/>
          <w:rtl/>
        </w:rPr>
        <w:t xml:space="preserve">בעבודות שירות. </w:t>
      </w:r>
    </w:p>
    <w:p w14:paraId="58382E52" w14:textId="77777777" w:rsidR="00F76FA6" w:rsidRDefault="00F76FA6" w:rsidP="00F76FA6">
      <w:pPr>
        <w:pStyle w:val="ab"/>
        <w:spacing w:line="360" w:lineRule="auto"/>
        <w:jc w:val="both"/>
        <w:rPr>
          <w:rFonts w:ascii="David" w:hAnsi="David" w:cs="David"/>
          <w:sz w:val="24"/>
          <w:szCs w:val="24"/>
        </w:rPr>
      </w:pPr>
    </w:p>
    <w:p w14:paraId="7E55E40A" w14:textId="77777777" w:rsidR="00F76FA6" w:rsidRDefault="00F76FA6" w:rsidP="00F76FA6">
      <w:pPr>
        <w:pStyle w:val="ab"/>
        <w:numPr>
          <w:ilvl w:val="0"/>
          <w:numId w:val="1"/>
        </w:numPr>
        <w:spacing w:line="360" w:lineRule="auto"/>
        <w:jc w:val="both"/>
        <w:rPr>
          <w:rFonts w:ascii="David" w:hAnsi="David" w:cs="David"/>
          <w:sz w:val="24"/>
          <w:szCs w:val="24"/>
          <w:rtl/>
        </w:rPr>
      </w:pPr>
      <w:r>
        <w:rPr>
          <w:rFonts w:ascii="David" w:hAnsi="David" w:cs="David"/>
          <w:sz w:val="24"/>
          <w:szCs w:val="24"/>
          <w:rtl/>
        </w:rPr>
        <w:lastRenderedPageBreak/>
        <w:t>תחילה, על בית המשפט לבחון את הסדר הטיעון בהתאם ל</w:t>
      </w:r>
      <w:r>
        <w:rPr>
          <w:rFonts w:ascii="David" w:hAnsi="David" w:cs="David" w:hint="cs"/>
          <w:sz w:val="24"/>
          <w:szCs w:val="24"/>
          <w:rtl/>
        </w:rPr>
        <w:t xml:space="preserve">מבחן </w:t>
      </w:r>
      <w:r>
        <w:rPr>
          <w:rFonts w:ascii="David" w:hAnsi="David" w:cs="David"/>
          <w:sz w:val="24"/>
          <w:szCs w:val="24"/>
          <w:rtl/>
        </w:rPr>
        <w:t>האיזון הראוי, הקובע כי יש לבחון אם בהסדר התקיים איזון "</w:t>
      </w:r>
      <w:r>
        <w:rPr>
          <w:rFonts w:ascii="David" w:hAnsi="David" w:cs="David"/>
          <w:b/>
          <w:bCs/>
          <w:sz w:val="24"/>
          <w:szCs w:val="24"/>
          <w:rtl/>
        </w:rPr>
        <w:t>בין טובת ההנאה הצומחת לנאשם מהסדר טיעון לעניין העונש, לבין אינטרס הציבור כפי שהוא בא לידי ביטוי בעונש שבית המשפט גוזר</w:t>
      </w:r>
      <w:r>
        <w:rPr>
          <w:rFonts w:ascii="David" w:hAnsi="David" w:cs="David"/>
          <w:sz w:val="24"/>
          <w:szCs w:val="24"/>
          <w:rtl/>
        </w:rPr>
        <w:t>" (</w:t>
      </w:r>
      <w:hyperlink r:id="rId12" w:history="1">
        <w:r w:rsidR="000557A9" w:rsidRPr="000557A9">
          <w:rPr>
            <w:rFonts w:ascii="David" w:hAnsi="David" w:cs="David"/>
            <w:color w:val="0000FF"/>
            <w:sz w:val="24"/>
            <w:szCs w:val="24"/>
            <w:u w:val="single"/>
            <w:rtl/>
          </w:rPr>
          <w:t>ע"פ 1958/98</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פ"ד נז(1) 577, 606 (2002)). אף לאחר תיקון 113 ל</w:t>
      </w:r>
      <w:hyperlink r:id="rId13" w:history="1">
        <w:r w:rsidR="000557A9" w:rsidRPr="000557A9">
          <w:rPr>
            <w:rFonts w:ascii="David" w:hAnsi="David" w:cs="David"/>
            <w:color w:val="0000FF"/>
            <w:sz w:val="24"/>
            <w:szCs w:val="24"/>
            <w:u w:val="single"/>
            <w:rtl/>
          </w:rPr>
          <w:t>חוק העונשין</w:t>
        </w:r>
      </w:hyperlink>
      <w:r>
        <w:rPr>
          <w:rFonts w:ascii="David" w:hAnsi="David" w:cs="David"/>
          <w:sz w:val="24"/>
          <w:szCs w:val="24"/>
          <w:rtl/>
        </w:rPr>
        <w:t>, תשל"ז – 1977 (להלן: "</w:t>
      </w:r>
      <w:r>
        <w:rPr>
          <w:rFonts w:ascii="David" w:hAnsi="David" w:cs="David"/>
          <w:b/>
          <w:bCs/>
          <w:sz w:val="24"/>
          <w:szCs w:val="24"/>
          <w:rtl/>
        </w:rPr>
        <w:t>חוק העונשין</w:t>
      </w:r>
      <w:r>
        <w:rPr>
          <w:rFonts w:ascii="David" w:hAnsi="David" w:cs="David"/>
          <w:sz w:val="24"/>
          <w:szCs w:val="24"/>
          <w:rtl/>
        </w:rPr>
        <w:t>"), נקבע כי על בית המשפט להמשיך ולבחון הסדרי טיעון בהתאם לאותן אמות מידה (</w:t>
      </w:r>
      <w:hyperlink r:id="rId14" w:history="1">
        <w:r w:rsidR="000557A9" w:rsidRPr="000557A9">
          <w:rPr>
            <w:rFonts w:ascii="David" w:hAnsi="David" w:cs="David"/>
            <w:color w:val="0000FF"/>
            <w:sz w:val="24"/>
            <w:szCs w:val="24"/>
            <w:u w:val="single"/>
            <w:rtl/>
          </w:rPr>
          <w:t>ע"פ 3856/13</w:t>
        </w:r>
      </w:hyperlink>
      <w:r>
        <w:rPr>
          <w:rFonts w:ascii="David" w:hAnsi="David" w:cs="David"/>
          <w:sz w:val="24"/>
          <w:szCs w:val="24"/>
          <w:rtl/>
        </w:rPr>
        <w:t xml:space="preserve"> </w:t>
      </w:r>
      <w:r>
        <w:rPr>
          <w:rFonts w:ascii="David" w:hAnsi="David" w:cs="David"/>
          <w:b/>
          <w:bCs/>
          <w:sz w:val="24"/>
          <w:szCs w:val="24"/>
          <w:rtl/>
        </w:rPr>
        <w:t>שי גוני נ' מדינת ישראל</w:t>
      </w:r>
      <w:r>
        <w:rPr>
          <w:rFonts w:ascii="David" w:hAnsi="David" w:cs="David"/>
          <w:sz w:val="24"/>
          <w:szCs w:val="24"/>
          <w:rtl/>
        </w:rPr>
        <w:t xml:space="preserve"> (3.2.2014)). כך, בית המשפט שב על אותם שיקולים כבדי משקל התומכים במוסד הסדר</w:t>
      </w:r>
      <w:r>
        <w:rPr>
          <w:rFonts w:ascii="David" w:hAnsi="David" w:cs="David" w:hint="cs"/>
          <w:sz w:val="24"/>
          <w:szCs w:val="24"/>
          <w:rtl/>
        </w:rPr>
        <w:t>י</w:t>
      </w:r>
      <w:r>
        <w:rPr>
          <w:rFonts w:ascii="David" w:hAnsi="David" w:cs="David"/>
          <w:sz w:val="24"/>
          <w:szCs w:val="24"/>
          <w:rtl/>
        </w:rPr>
        <w:t xml:space="preserve"> הטיעון, האינטרס הציבורי אותו הם משרתים, והכלל לפיו בית המשפט יטה לכבד הסדר טיעון שנקשר בין הצדדים לאחר בחינתו במבחן האיזון (ראו </w:t>
      </w:r>
      <w:r>
        <w:rPr>
          <w:rFonts w:ascii="David" w:hAnsi="David" w:cs="David" w:hint="cs"/>
          <w:sz w:val="24"/>
          <w:szCs w:val="24"/>
          <w:rtl/>
        </w:rPr>
        <w:t>ל</w:t>
      </w:r>
      <w:r>
        <w:rPr>
          <w:rFonts w:ascii="David" w:hAnsi="David" w:cs="David"/>
          <w:sz w:val="24"/>
          <w:szCs w:val="24"/>
          <w:rtl/>
        </w:rPr>
        <w:t xml:space="preserve">דוגמה: </w:t>
      </w:r>
      <w:hyperlink r:id="rId15" w:history="1">
        <w:r w:rsidR="000557A9" w:rsidRPr="000557A9">
          <w:rPr>
            <w:rFonts w:ascii="David" w:hAnsi="David" w:cs="David"/>
            <w:color w:val="0000FF"/>
            <w:sz w:val="24"/>
            <w:szCs w:val="24"/>
            <w:u w:val="single"/>
            <w:rtl/>
          </w:rPr>
          <w:t>ע"פ 2021/17</w:t>
        </w:r>
      </w:hyperlink>
      <w:r>
        <w:rPr>
          <w:rFonts w:ascii="David" w:hAnsi="David" w:cs="David"/>
          <w:sz w:val="24"/>
          <w:szCs w:val="24"/>
          <w:rtl/>
        </w:rPr>
        <w:t xml:space="preserve"> </w:t>
      </w:r>
      <w:r>
        <w:rPr>
          <w:rFonts w:ascii="David" w:hAnsi="David" w:cs="David"/>
          <w:b/>
          <w:bCs/>
          <w:sz w:val="24"/>
          <w:szCs w:val="24"/>
          <w:rtl/>
        </w:rPr>
        <w:t>יונה מצגר נ' מדינת ישראל</w:t>
      </w:r>
      <w:r>
        <w:rPr>
          <w:rFonts w:ascii="David" w:hAnsi="David" w:cs="David"/>
          <w:sz w:val="24"/>
          <w:szCs w:val="24"/>
          <w:rtl/>
        </w:rPr>
        <w:t xml:space="preserve">, פסקאות 11-12 (30.4.2017)). כחלק מבחינה זו, על בית המשפט לבחון מהו העונש </w:t>
      </w:r>
      <w:r>
        <w:rPr>
          <w:rFonts w:ascii="David" w:hAnsi="David" w:cs="David" w:hint="cs"/>
          <w:sz w:val="24"/>
          <w:szCs w:val="24"/>
          <w:rtl/>
        </w:rPr>
        <w:t>הראוי</w:t>
      </w:r>
      <w:r>
        <w:rPr>
          <w:rFonts w:ascii="David" w:hAnsi="David" w:cs="David"/>
          <w:sz w:val="24"/>
          <w:szCs w:val="24"/>
          <w:rtl/>
        </w:rPr>
        <w:t xml:space="preserve"> בהתאם לשיקולי הענישה שנקבעו בתיקון 113 ל</w:t>
      </w:r>
      <w:hyperlink r:id="rId16" w:history="1">
        <w:r w:rsidR="000557A9" w:rsidRPr="000557A9">
          <w:rPr>
            <w:rFonts w:ascii="David" w:hAnsi="David" w:cs="David"/>
            <w:color w:val="0000FF"/>
            <w:sz w:val="24"/>
            <w:szCs w:val="24"/>
            <w:u w:val="single"/>
            <w:rtl/>
          </w:rPr>
          <w:t>חוק העונשין</w:t>
        </w:r>
      </w:hyperlink>
      <w:r>
        <w:rPr>
          <w:rFonts w:ascii="David" w:hAnsi="David" w:cs="David"/>
          <w:sz w:val="24"/>
          <w:szCs w:val="24"/>
          <w:rtl/>
        </w:rPr>
        <w:t>.</w:t>
      </w:r>
    </w:p>
    <w:p w14:paraId="401A552F" w14:textId="77777777" w:rsidR="00F76FA6" w:rsidRDefault="00F76FA6" w:rsidP="00F76FA6">
      <w:pPr>
        <w:pStyle w:val="ab"/>
        <w:rPr>
          <w:rFonts w:ascii="David" w:hAnsi="David" w:cs="David"/>
          <w:sz w:val="24"/>
          <w:szCs w:val="24"/>
        </w:rPr>
      </w:pPr>
    </w:p>
    <w:p w14:paraId="4D42C829" w14:textId="77777777" w:rsidR="00F76FA6" w:rsidRDefault="00F76FA6" w:rsidP="00F76FA6">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קיימות גישות שונות בפסיקת בית המשפט העליון, ביחס לשאלה האם במצב </w:t>
      </w:r>
      <w:r>
        <w:rPr>
          <w:rFonts w:ascii="David" w:hAnsi="David" w:cs="David" w:hint="cs"/>
          <w:sz w:val="24"/>
          <w:szCs w:val="24"/>
          <w:rtl/>
        </w:rPr>
        <w:t xml:space="preserve">דברים </w:t>
      </w:r>
      <w:r>
        <w:rPr>
          <w:rFonts w:ascii="David" w:hAnsi="David" w:cs="David"/>
          <w:sz w:val="24"/>
          <w:szCs w:val="24"/>
          <w:rtl/>
        </w:rPr>
        <w:t xml:space="preserve">בו הצדדים הסכימו </w:t>
      </w:r>
      <w:r>
        <w:rPr>
          <w:rFonts w:ascii="David" w:hAnsi="David" w:cs="David" w:hint="cs"/>
          <w:sz w:val="24"/>
          <w:szCs w:val="24"/>
          <w:rtl/>
        </w:rPr>
        <w:t>לגבי</w:t>
      </w:r>
      <w:r>
        <w:rPr>
          <w:rFonts w:ascii="David" w:hAnsi="David" w:cs="David"/>
          <w:sz w:val="24"/>
          <w:szCs w:val="24"/>
          <w:rtl/>
        </w:rPr>
        <w:t xml:space="preserve"> העונש שיוטל, פטור בית המשפט מלקבוע מתחם עונש הולם (ראו</w:t>
      </w:r>
      <w:r>
        <w:rPr>
          <w:rFonts w:ascii="David" w:hAnsi="David" w:cs="David" w:hint="cs"/>
          <w:sz w:val="24"/>
          <w:szCs w:val="24"/>
          <w:rtl/>
        </w:rPr>
        <w:t>:</w:t>
      </w:r>
      <w:r>
        <w:rPr>
          <w:rFonts w:ascii="David" w:hAnsi="David" w:cs="David"/>
          <w:sz w:val="24"/>
          <w:szCs w:val="24"/>
          <w:rtl/>
        </w:rPr>
        <w:t xml:space="preserve"> </w:t>
      </w:r>
      <w:hyperlink r:id="rId17" w:history="1">
        <w:r w:rsidR="000557A9" w:rsidRPr="000557A9">
          <w:rPr>
            <w:rFonts w:ascii="David" w:hAnsi="David" w:cs="David"/>
            <w:color w:val="0000FF"/>
            <w:sz w:val="24"/>
            <w:szCs w:val="24"/>
            <w:u w:val="single"/>
            <w:rtl/>
          </w:rPr>
          <w:t>ע"פ 8109/15</w:t>
        </w:r>
      </w:hyperlink>
      <w:r>
        <w:rPr>
          <w:rFonts w:ascii="David" w:hAnsi="David" w:cs="David"/>
          <w:sz w:val="24"/>
          <w:szCs w:val="24"/>
          <w:rtl/>
        </w:rPr>
        <w:t xml:space="preserve"> </w:t>
      </w:r>
      <w:r>
        <w:rPr>
          <w:rFonts w:ascii="David" w:hAnsi="David" w:cs="David"/>
          <w:b/>
          <w:bCs/>
          <w:sz w:val="24"/>
          <w:szCs w:val="24"/>
          <w:rtl/>
        </w:rPr>
        <w:t>אהרון אביטן נ' מדינת ישראל</w:t>
      </w:r>
      <w:r>
        <w:rPr>
          <w:rFonts w:ascii="David" w:hAnsi="David" w:cs="David"/>
          <w:sz w:val="24"/>
          <w:szCs w:val="24"/>
          <w:rtl/>
        </w:rPr>
        <w:t>, פסקה 8 (9.6.2016)). בנסיבות מקרה זה, בהתחשב בכך באין מדובר בהסדר "טווח", בשים לב לאופי ההסדר והעונש הראוי, איני מוצא מקום לקביעת מתחם ענישה. לצד זאת, א</w:t>
      </w:r>
      <w:r>
        <w:rPr>
          <w:rFonts w:ascii="David" w:hAnsi="David" w:cs="David" w:hint="cs"/>
          <w:sz w:val="24"/>
          <w:szCs w:val="24"/>
          <w:rtl/>
        </w:rPr>
        <w:t>תייחס בתמצית לשיקולי הענישה השונים כפי שנקבעו בתיקון 113 ל</w:t>
      </w:r>
      <w:hyperlink r:id="rId18" w:history="1">
        <w:r w:rsidR="000557A9" w:rsidRPr="000557A9">
          <w:rPr>
            <w:rFonts w:ascii="David" w:hAnsi="David" w:cs="David"/>
            <w:color w:val="0000FF"/>
            <w:sz w:val="24"/>
            <w:szCs w:val="24"/>
            <w:u w:val="single"/>
            <w:rtl/>
          </w:rPr>
          <w:t>חוק העונשין</w:t>
        </w:r>
      </w:hyperlink>
      <w:r>
        <w:rPr>
          <w:rFonts w:ascii="David" w:hAnsi="David" w:cs="David" w:hint="cs"/>
          <w:sz w:val="24"/>
          <w:szCs w:val="24"/>
          <w:rtl/>
        </w:rPr>
        <w:t xml:space="preserve">, והשפעתם על </w:t>
      </w:r>
      <w:r>
        <w:rPr>
          <w:rFonts w:ascii="David" w:hAnsi="David" w:cs="David"/>
          <w:sz w:val="24"/>
          <w:szCs w:val="24"/>
          <w:rtl/>
        </w:rPr>
        <w:t>מבחן האיזון</w:t>
      </w:r>
      <w:r>
        <w:rPr>
          <w:rFonts w:ascii="David" w:hAnsi="David" w:cs="David" w:hint="cs"/>
          <w:sz w:val="24"/>
          <w:szCs w:val="24"/>
          <w:rtl/>
        </w:rPr>
        <w:t xml:space="preserve"> במקרה זה</w:t>
      </w:r>
      <w:r>
        <w:rPr>
          <w:rFonts w:ascii="David" w:hAnsi="David" w:cs="David"/>
          <w:sz w:val="24"/>
          <w:szCs w:val="24"/>
          <w:rtl/>
        </w:rPr>
        <w:t>.</w:t>
      </w:r>
    </w:p>
    <w:p w14:paraId="1605AFCE" w14:textId="77777777" w:rsidR="00F76FA6" w:rsidRPr="0026610C" w:rsidRDefault="00F76FA6" w:rsidP="00F76FA6">
      <w:pPr>
        <w:pStyle w:val="ab"/>
        <w:spacing w:line="360" w:lineRule="auto"/>
        <w:jc w:val="both"/>
        <w:rPr>
          <w:rFonts w:ascii="David" w:hAnsi="David" w:cs="David"/>
          <w:sz w:val="24"/>
          <w:szCs w:val="24"/>
          <w:rtl/>
        </w:rPr>
      </w:pPr>
      <w:r>
        <w:rPr>
          <w:rFonts w:ascii="David" w:hAnsi="David" w:cs="David"/>
          <w:sz w:val="24"/>
          <w:szCs w:val="24"/>
          <w:rtl/>
        </w:rPr>
        <w:t>פגיעתם של סמים מסוכנים היא בעלת רבדים רבים, החל מהפגיעה בצרכן הסם, דרך הפגיעה במרקם משפחתו</w:t>
      </w:r>
      <w:r>
        <w:rPr>
          <w:rFonts w:ascii="David" w:hAnsi="David" w:cs="David" w:hint="cs"/>
          <w:sz w:val="24"/>
          <w:szCs w:val="24"/>
          <w:rtl/>
        </w:rPr>
        <w:t>,</w:t>
      </w:r>
      <w:r>
        <w:rPr>
          <w:rFonts w:ascii="David" w:hAnsi="David" w:cs="David"/>
          <w:sz w:val="24"/>
          <w:szCs w:val="24"/>
          <w:rtl/>
        </w:rPr>
        <w:t xml:space="preserve"> ועד לסביבה הרחוקה יותר הנפגעת לא פעם מביצוע עבירות שנועדו לסייע במימון צריכת הסם. בעת בחינת מידת הפגיעה בערכים המוגנים יש לתת משקל משמעותי לנסיבות המקרה, לאור מנעד הנסיבות </w:t>
      </w:r>
      <w:r>
        <w:rPr>
          <w:rFonts w:ascii="David" w:hAnsi="David" w:cs="David" w:hint="cs"/>
          <w:sz w:val="24"/>
          <w:szCs w:val="24"/>
          <w:rtl/>
        </w:rPr>
        <w:t xml:space="preserve">הרחב </w:t>
      </w:r>
      <w:r>
        <w:rPr>
          <w:rFonts w:ascii="David" w:hAnsi="David" w:cs="David"/>
          <w:sz w:val="24"/>
          <w:szCs w:val="24"/>
          <w:rtl/>
        </w:rPr>
        <w:t>של עבירת הסחר בסם מסוכן</w:t>
      </w:r>
      <w:r>
        <w:rPr>
          <w:rFonts w:ascii="David" w:hAnsi="David" w:cs="David" w:hint="cs"/>
          <w:sz w:val="24"/>
          <w:szCs w:val="24"/>
          <w:rtl/>
        </w:rPr>
        <w:t xml:space="preserve">. </w:t>
      </w:r>
      <w:r>
        <w:rPr>
          <w:rFonts w:ascii="David" w:hAnsi="David" w:cs="David"/>
          <w:sz w:val="24"/>
          <w:szCs w:val="24"/>
          <w:rtl/>
        </w:rPr>
        <w:t>בנסיבות המקרה הנדון, מדובר בעסקה אחת, בכמות קטנה של סם</w:t>
      </w:r>
      <w:r>
        <w:rPr>
          <w:rFonts w:ascii="David" w:hAnsi="David" w:cs="David" w:hint="cs"/>
          <w:sz w:val="24"/>
          <w:szCs w:val="24"/>
          <w:rtl/>
        </w:rPr>
        <w:t>,</w:t>
      </w:r>
      <w:r>
        <w:rPr>
          <w:rFonts w:ascii="David" w:hAnsi="David" w:cs="David"/>
          <w:sz w:val="24"/>
          <w:szCs w:val="24"/>
          <w:rtl/>
        </w:rPr>
        <w:t xml:space="preserve"> וכן בתמורה </w:t>
      </w:r>
      <w:r>
        <w:rPr>
          <w:rFonts w:ascii="David" w:hAnsi="David" w:cs="David" w:hint="cs"/>
          <w:sz w:val="24"/>
          <w:szCs w:val="24"/>
          <w:rtl/>
        </w:rPr>
        <w:t xml:space="preserve">נמוכה ביותר </w:t>
      </w:r>
      <w:r>
        <w:rPr>
          <w:rFonts w:ascii="David" w:hAnsi="David" w:cs="David"/>
          <w:sz w:val="24"/>
          <w:szCs w:val="24"/>
          <w:rtl/>
        </w:rPr>
        <w:t>של 50 ₪.</w:t>
      </w:r>
      <w:r>
        <w:rPr>
          <w:rFonts w:ascii="David" w:hAnsi="David" w:cs="David"/>
          <w:sz w:val="24"/>
          <w:szCs w:val="24"/>
        </w:rPr>
        <w:t xml:space="preserve"> </w:t>
      </w:r>
      <w:r>
        <w:rPr>
          <w:rFonts w:ascii="David" w:hAnsi="David" w:cs="David" w:hint="cs"/>
          <w:sz w:val="24"/>
          <w:szCs w:val="24"/>
          <w:rtl/>
        </w:rPr>
        <w:t xml:space="preserve">בנוסף, </w:t>
      </w:r>
      <w:r w:rsidRPr="0026610C">
        <w:rPr>
          <w:rFonts w:ascii="David" w:hAnsi="David" w:cs="David"/>
          <w:sz w:val="24"/>
          <w:szCs w:val="24"/>
          <w:rtl/>
        </w:rPr>
        <w:t>שקלתי את הודאת הנאשם בביצוע העבירה, חלוף הזמן המשמעותי ממועד ביצועה</w:t>
      </w:r>
      <w:r>
        <w:rPr>
          <w:rFonts w:ascii="David" w:hAnsi="David" w:cs="David" w:hint="cs"/>
          <w:sz w:val="24"/>
          <w:szCs w:val="24"/>
          <w:rtl/>
        </w:rPr>
        <w:t>,</w:t>
      </w:r>
      <w:r w:rsidRPr="0026610C">
        <w:rPr>
          <w:rFonts w:ascii="David" w:hAnsi="David" w:cs="David"/>
          <w:sz w:val="24"/>
          <w:szCs w:val="24"/>
          <w:rtl/>
        </w:rPr>
        <w:t xml:space="preserve"> וכן </w:t>
      </w:r>
      <w:r>
        <w:rPr>
          <w:rFonts w:ascii="David" w:hAnsi="David" w:cs="David" w:hint="cs"/>
          <w:sz w:val="24"/>
          <w:szCs w:val="24"/>
          <w:rtl/>
        </w:rPr>
        <w:t xml:space="preserve">את </w:t>
      </w:r>
      <w:r w:rsidRPr="0026610C">
        <w:rPr>
          <w:rFonts w:ascii="David" w:hAnsi="David" w:cs="David"/>
          <w:sz w:val="24"/>
          <w:szCs w:val="24"/>
          <w:rtl/>
        </w:rPr>
        <w:t xml:space="preserve">העובדה </w:t>
      </w:r>
      <w:r>
        <w:rPr>
          <w:rFonts w:ascii="David" w:hAnsi="David" w:cs="David" w:hint="cs"/>
          <w:sz w:val="24"/>
          <w:szCs w:val="24"/>
          <w:rtl/>
        </w:rPr>
        <w:t>ש</w:t>
      </w:r>
      <w:r w:rsidRPr="0026610C">
        <w:rPr>
          <w:rFonts w:ascii="David" w:hAnsi="David" w:cs="David"/>
          <w:sz w:val="24"/>
          <w:szCs w:val="24"/>
          <w:rtl/>
        </w:rPr>
        <w:t xml:space="preserve">לא נפתחו </w:t>
      </w:r>
      <w:r>
        <w:rPr>
          <w:rFonts w:ascii="David" w:hAnsi="David" w:cs="David" w:hint="cs"/>
          <w:sz w:val="24"/>
          <w:szCs w:val="24"/>
          <w:rtl/>
        </w:rPr>
        <w:t xml:space="preserve">כנגדו </w:t>
      </w:r>
      <w:r w:rsidRPr="0026610C">
        <w:rPr>
          <w:rFonts w:ascii="David" w:hAnsi="David" w:cs="David"/>
          <w:sz w:val="24"/>
          <w:szCs w:val="24"/>
          <w:rtl/>
        </w:rPr>
        <w:t>תיקים חדשים. בהתחשב בכל המפורט לעיל, אני מוצא את ההסדר מאוזן ולכן אכבדו.</w:t>
      </w:r>
    </w:p>
    <w:p w14:paraId="73361C51" w14:textId="77777777" w:rsidR="00F76FA6" w:rsidRDefault="00F76FA6" w:rsidP="00F76FA6">
      <w:pPr>
        <w:pStyle w:val="ab"/>
        <w:rPr>
          <w:rFonts w:ascii="David" w:hAnsi="David" w:cs="David"/>
          <w:sz w:val="24"/>
          <w:szCs w:val="24"/>
        </w:rPr>
      </w:pPr>
    </w:p>
    <w:p w14:paraId="7DE94F40" w14:textId="77777777" w:rsidR="00F76FA6" w:rsidRDefault="00F76FA6" w:rsidP="00F76FA6">
      <w:pPr>
        <w:pStyle w:val="ab"/>
        <w:numPr>
          <w:ilvl w:val="0"/>
          <w:numId w:val="1"/>
        </w:numPr>
        <w:spacing w:line="360" w:lineRule="auto"/>
        <w:jc w:val="both"/>
        <w:rPr>
          <w:rFonts w:ascii="David" w:hAnsi="David" w:cs="David"/>
          <w:sz w:val="24"/>
          <w:szCs w:val="24"/>
        </w:rPr>
      </w:pPr>
      <w:r w:rsidRPr="000D397C">
        <w:rPr>
          <w:rFonts w:ascii="David" w:hAnsi="David" w:cs="David" w:hint="cs"/>
          <w:sz w:val="24"/>
          <w:szCs w:val="24"/>
          <w:rtl/>
        </w:rPr>
        <w:t xml:space="preserve">כעת אבחן את המחלוקת בין הצדדים. </w:t>
      </w:r>
      <w:r w:rsidRPr="000D397C">
        <w:rPr>
          <w:rFonts w:ascii="David" w:hAnsi="David" w:cs="David"/>
          <w:sz w:val="24"/>
          <w:szCs w:val="24"/>
          <w:rtl/>
        </w:rPr>
        <w:t xml:space="preserve">ב"כ המאשימה </w:t>
      </w:r>
      <w:r w:rsidRPr="000D397C">
        <w:rPr>
          <w:rFonts w:ascii="David" w:hAnsi="David" w:cs="David" w:hint="cs"/>
          <w:sz w:val="24"/>
          <w:szCs w:val="24"/>
          <w:rtl/>
        </w:rPr>
        <w:t xml:space="preserve">טענה </w:t>
      </w:r>
      <w:r w:rsidRPr="000D397C">
        <w:rPr>
          <w:rFonts w:ascii="David" w:hAnsi="David" w:cs="David"/>
          <w:sz w:val="24"/>
          <w:szCs w:val="24"/>
          <w:rtl/>
        </w:rPr>
        <w:t xml:space="preserve">כי </w:t>
      </w:r>
      <w:r w:rsidRPr="000D397C">
        <w:rPr>
          <w:rFonts w:ascii="David" w:hAnsi="David" w:cs="David" w:hint="cs"/>
          <w:sz w:val="24"/>
          <w:szCs w:val="24"/>
          <w:rtl/>
        </w:rPr>
        <w:t>לנוכח העובדה ש</w:t>
      </w:r>
      <w:r w:rsidRPr="000D397C">
        <w:rPr>
          <w:rFonts w:ascii="David" w:hAnsi="David" w:cs="David"/>
          <w:sz w:val="24"/>
          <w:szCs w:val="24"/>
          <w:rtl/>
        </w:rPr>
        <w:t>הנאשם נתין זר בארץ, האינטרס הציבורי בשיקומו קטן</w:t>
      </w:r>
      <w:r w:rsidRPr="000D397C">
        <w:rPr>
          <w:rFonts w:ascii="David" w:hAnsi="David" w:cs="David" w:hint="cs"/>
          <w:sz w:val="24"/>
          <w:szCs w:val="24"/>
          <w:rtl/>
        </w:rPr>
        <w:t xml:space="preserve"> ואף</w:t>
      </w:r>
      <w:r w:rsidRPr="000D397C">
        <w:rPr>
          <w:rFonts w:ascii="David" w:hAnsi="David" w:cs="David"/>
          <w:sz w:val="24"/>
          <w:szCs w:val="24"/>
          <w:rtl/>
        </w:rPr>
        <w:t xml:space="preserve"> סביר </w:t>
      </w:r>
      <w:r w:rsidRPr="000D397C">
        <w:rPr>
          <w:rFonts w:ascii="David" w:hAnsi="David" w:cs="David" w:hint="cs"/>
          <w:sz w:val="24"/>
          <w:szCs w:val="24"/>
          <w:rtl/>
        </w:rPr>
        <w:t>ש</w:t>
      </w:r>
      <w:r w:rsidRPr="000D397C">
        <w:rPr>
          <w:rFonts w:ascii="David" w:hAnsi="David" w:cs="David"/>
          <w:sz w:val="24"/>
          <w:szCs w:val="24"/>
          <w:rtl/>
        </w:rPr>
        <w:t xml:space="preserve">יגורש לארץ מוצאו לאחר תום ריצוי עונשו. </w:t>
      </w:r>
      <w:r w:rsidRPr="000D397C">
        <w:rPr>
          <w:rFonts w:ascii="David" w:hAnsi="David" w:cs="David" w:hint="cs"/>
          <w:sz w:val="24"/>
          <w:szCs w:val="24"/>
          <w:rtl/>
        </w:rPr>
        <w:t>את טיעוניה ביקשה לבסס על הנחיית פרקליט המדינה בסוגיה זו וכן פסיקה אליה הפנתה. איני מקבל את טיעון המאשימה</w:t>
      </w:r>
      <w:r>
        <w:rPr>
          <w:rFonts w:ascii="David" w:hAnsi="David" w:cs="David" w:hint="cs"/>
          <w:sz w:val="24"/>
          <w:szCs w:val="24"/>
          <w:rtl/>
        </w:rPr>
        <w:t>,</w:t>
      </w:r>
      <w:r w:rsidRPr="000D397C">
        <w:rPr>
          <w:rFonts w:ascii="David" w:hAnsi="David" w:cs="David" w:hint="cs"/>
          <w:sz w:val="24"/>
          <w:szCs w:val="24"/>
          <w:rtl/>
        </w:rPr>
        <w:t xml:space="preserve"> ואף מוצא כי עליה לבחון בכל מקרה ומקרה את עמדתה בהתאם לנסיבותיו </w:t>
      </w:r>
      <w:r>
        <w:rPr>
          <w:rFonts w:ascii="David" w:hAnsi="David" w:cs="David" w:hint="cs"/>
          <w:sz w:val="24"/>
          <w:szCs w:val="24"/>
          <w:rtl/>
        </w:rPr>
        <w:t xml:space="preserve">הפרטניות </w:t>
      </w:r>
      <w:r w:rsidRPr="000D397C">
        <w:rPr>
          <w:rFonts w:ascii="David" w:hAnsi="David" w:cs="David" w:hint="cs"/>
          <w:sz w:val="24"/>
          <w:szCs w:val="24"/>
          <w:rtl/>
        </w:rPr>
        <w:t>של הנאשם ועל בסיס הנח</w:t>
      </w:r>
      <w:r>
        <w:rPr>
          <w:rFonts w:ascii="David" w:hAnsi="David" w:cs="David" w:hint="cs"/>
          <w:sz w:val="24"/>
          <w:szCs w:val="24"/>
          <w:rtl/>
        </w:rPr>
        <w:t>י</w:t>
      </w:r>
      <w:r w:rsidRPr="000D397C">
        <w:rPr>
          <w:rFonts w:ascii="David" w:hAnsi="David" w:cs="David" w:hint="cs"/>
          <w:sz w:val="24"/>
          <w:szCs w:val="24"/>
          <w:rtl/>
        </w:rPr>
        <w:t xml:space="preserve">ית פרקליט המדינה.                 </w:t>
      </w:r>
      <w:r>
        <w:rPr>
          <w:rFonts w:ascii="David" w:hAnsi="David" w:cs="David" w:hint="cs"/>
          <w:sz w:val="24"/>
          <w:szCs w:val="24"/>
          <w:rtl/>
        </w:rPr>
        <w:t xml:space="preserve">       </w:t>
      </w:r>
      <w:r w:rsidRPr="000D397C">
        <w:rPr>
          <w:rFonts w:ascii="David" w:hAnsi="David" w:cs="David"/>
          <w:b/>
          <w:bCs/>
          <w:sz w:val="24"/>
          <w:szCs w:val="24"/>
          <w:rtl/>
        </w:rPr>
        <w:t>ראשית</w:t>
      </w:r>
      <w:r w:rsidRPr="000D397C">
        <w:rPr>
          <w:rFonts w:ascii="David" w:hAnsi="David" w:cs="David"/>
          <w:sz w:val="24"/>
          <w:szCs w:val="24"/>
          <w:rtl/>
        </w:rPr>
        <w:t xml:space="preserve">, </w:t>
      </w:r>
      <w:r>
        <w:rPr>
          <w:rFonts w:ascii="David" w:hAnsi="David" w:cs="David" w:hint="cs"/>
          <w:sz w:val="24"/>
          <w:szCs w:val="24"/>
          <w:rtl/>
        </w:rPr>
        <w:t>אתייחס להנמקות אליהן הפנתה ב"כ המאשימה, המופיעות למעשה ב</w:t>
      </w:r>
      <w:r>
        <w:rPr>
          <w:rFonts w:ascii="David" w:hAnsi="David" w:cs="David"/>
          <w:sz w:val="24"/>
          <w:szCs w:val="24"/>
          <w:rtl/>
        </w:rPr>
        <w:t xml:space="preserve">הנחיית פרקליט המדינה </w:t>
      </w:r>
      <w:r>
        <w:rPr>
          <w:rFonts w:ascii="David" w:hAnsi="David" w:cs="David" w:hint="cs"/>
          <w:sz w:val="24"/>
          <w:szCs w:val="24"/>
          <w:rtl/>
        </w:rPr>
        <w:t>ביחס לכלל לפיו המדינה לא תסכים לריצוי עבודות שירות בעניינו של נתין זר:</w:t>
      </w:r>
      <w:r>
        <w:rPr>
          <w:rFonts w:ascii="David" w:hAnsi="David" w:cs="David" w:hint="cs"/>
          <w:sz w:val="24"/>
          <w:szCs w:val="24"/>
        </w:rPr>
        <w:t xml:space="preserve"> </w:t>
      </w:r>
    </w:p>
    <w:p w14:paraId="7A9245F4" w14:textId="77777777" w:rsidR="00F76FA6" w:rsidRPr="00B058CE" w:rsidRDefault="00F76FA6" w:rsidP="00F76FA6">
      <w:pPr>
        <w:pStyle w:val="ab"/>
        <w:numPr>
          <w:ilvl w:val="0"/>
          <w:numId w:val="3"/>
        </w:numPr>
        <w:spacing w:line="360" w:lineRule="auto"/>
        <w:jc w:val="both"/>
        <w:rPr>
          <w:rFonts w:ascii="David" w:hAnsi="David" w:cs="David"/>
          <w:sz w:val="24"/>
          <w:szCs w:val="24"/>
        </w:rPr>
      </w:pPr>
      <w:r w:rsidRPr="009654EF">
        <w:rPr>
          <w:rFonts w:ascii="David" w:hAnsi="David" w:cs="David" w:hint="cs"/>
          <w:sz w:val="24"/>
          <w:szCs w:val="24"/>
          <w:u w:val="single"/>
          <w:rtl/>
        </w:rPr>
        <w:t>הרמוניה של דיני ההגירה והדין הפלילי</w:t>
      </w:r>
      <w:r w:rsidRPr="00B058CE">
        <w:rPr>
          <w:rFonts w:ascii="David" w:hAnsi="David" w:cs="David" w:hint="cs"/>
          <w:sz w:val="24"/>
          <w:szCs w:val="24"/>
          <w:rtl/>
        </w:rPr>
        <w:t xml:space="preserve">. המאשימה לא טענה </w:t>
      </w:r>
      <w:r>
        <w:rPr>
          <w:rFonts w:ascii="David" w:hAnsi="David" w:cs="David" w:hint="cs"/>
          <w:sz w:val="24"/>
          <w:szCs w:val="24"/>
          <w:rtl/>
        </w:rPr>
        <w:t xml:space="preserve">דבר לגבי מצבו המשפטי של הנאשם בישראל, </w:t>
      </w:r>
      <w:r w:rsidRPr="00B058CE">
        <w:rPr>
          <w:rFonts w:ascii="David" w:hAnsi="David" w:cs="David" w:hint="cs"/>
          <w:sz w:val="24"/>
          <w:szCs w:val="24"/>
          <w:rtl/>
        </w:rPr>
        <w:t>וודאי שלא הציגה כל ראיות בהיבט דיני ההגירה</w:t>
      </w:r>
      <w:r>
        <w:rPr>
          <w:rFonts w:ascii="David" w:hAnsi="David" w:cs="David" w:hint="cs"/>
          <w:sz w:val="24"/>
          <w:szCs w:val="24"/>
          <w:rtl/>
        </w:rPr>
        <w:t xml:space="preserve"> בעניינו</w:t>
      </w:r>
      <w:r w:rsidRPr="00B058CE">
        <w:rPr>
          <w:rFonts w:ascii="David" w:hAnsi="David" w:cs="David" w:hint="cs"/>
          <w:sz w:val="24"/>
          <w:szCs w:val="24"/>
          <w:rtl/>
        </w:rPr>
        <w:t xml:space="preserve">. כך, לא ברור האם לנאשם </w:t>
      </w:r>
      <w:r>
        <w:rPr>
          <w:rFonts w:ascii="David" w:hAnsi="David" w:cs="David" w:hint="cs"/>
          <w:sz w:val="24"/>
          <w:szCs w:val="24"/>
          <w:rtl/>
        </w:rPr>
        <w:t xml:space="preserve">קיים </w:t>
      </w:r>
      <w:r w:rsidRPr="00B058CE">
        <w:rPr>
          <w:rFonts w:ascii="David" w:hAnsi="David" w:cs="David" w:hint="cs"/>
          <w:sz w:val="24"/>
          <w:szCs w:val="24"/>
          <w:rtl/>
        </w:rPr>
        <w:t>היתר שהיה</w:t>
      </w:r>
      <w:r>
        <w:rPr>
          <w:rFonts w:ascii="David" w:hAnsi="David" w:cs="David" w:hint="cs"/>
          <w:sz w:val="24"/>
          <w:szCs w:val="24"/>
          <w:rtl/>
        </w:rPr>
        <w:t>,</w:t>
      </w:r>
      <w:r w:rsidRPr="00B058CE">
        <w:rPr>
          <w:rFonts w:ascii="David" w:hAnsi="David" w:cs="David" w:hint="cs"/>
          <w:sz w:val="24"/>
          <w:szCs w:val="24"/>
          <w:rtl/>
        </w:rPr>
        <w:t xml:space="preserve"> היתר עבודה</w:t>
      </w:r>
      <w:r>
        <w:rPr>
          <w:rFonts w:ascii="David" w:hAnsi="David" w:cs="David" w:hint="cs"/>
          <w:sz w:val="24"/>
          <w:szCs w:val="24"/>
          <w:rtl/>
        </w:rPr>
        <w:t xml:space="preserve">, האם הוכר </w:t>
      </w:r>
      <w:r w:rsidRPr="00B058CE">
        <w:rPr>
          <w:rFonts w:ascii="David" w:hAnsi="David" w:cs="David" w:hint="cs"/>
          <w:sz w:val="24"/>
          <w:szCs w:val="24"/>
          <w:rtl/>
        </w:rPr>
        <w:t xml:space="preserve">כפליט, </w:t>
      </w:r>
      <w:r>
        <w:rPr>
          <w:rFonts w:ascii="David" w:hAnsi="David" w:cs="David" w:hint="cs"/>
          <w:sz w:val="24"/>
          <w:szCs w:val="24"/>
          <w:rtl/>
        </w:rPr>
        <w:t xml:space="preserve">האם קיימת החלטה שיפוטית המונעת את גירושו, האם הוא מועמד לגירוש, </w:t>
      </w:r>
      <w:r w:rsidRPr="00B058CE">
        <w:rPr>
          <w:rFonts w:ascii="David" w:hAnsi="David" w:cs="David" w:hint="cs"/>
          <w:sz w:val="24"/>
          <w:szCs w:val="24"/>
          <w:rtl/>
        </w:rPr>
        <w:t xml:space="preserve">ועוד. </w:t>
      </w:r>
      <w:r>
        <w:rPr>
          <w:rFonts w:ascii="David" w:hAnsi="David" w:cs="David" w:hint="cs"/>
          <w:sz w:val="24"/>
          <w:szCs w:val="24"/>
          <w:rtl/>
        </w:rPr>
        <w:t xml:space="preserve">בנסיבות אלה, לא מצאתי עוגן לטענה בדבר חוסר הרמוניה של דיני ההגירה והדין הפלילי במקרה זה. </w:t>
      </w:r>
    </w:p>
    <w:p w14:paraId="58929DA5" w14:textId="77777777" w:rsidR="00F76FA6" w:rsidRDefault="00F76FA6" w:rsidP="00F76FA6">
      <w:pPr>
        <w:pStyle w:val="ab"/>
        <w:numPr>
          <w:ilvl w:val="0"/>
          <w:numId w:val="3"/>
        </w:numPr>
        <w:spacing w:line="360" w:lineRule="auto"/>
        <w:jc w:val="both"/>
        <w:rPr>
          <w:rFonts w:ascii="David" w:hAnsi="David" w:cs="David"/>
          <w:sz w:val="24"/>
          <w:szCs w:val="24"/>
        </w:rPr>
      </w:pPr>
      <w:r w:rsidRPr="009654EF">
        <w:rPr>
          <w:rFonts w:ascii="David" w:hAnsi="David" w:cs="David" w:hint="cs"/>
          <w:sz w:val="24"/>
          <w:szCs w:val="24"/>
          <w:u w:val="single"/>
          <w:rtl/>
        </w:rPr>
        <w:t>אינטרס ציבורי נמוך בשיקום הנאשם כשמדובר בנתין זר, מאחר וסביר שיגורש לארץ מוצאו לאחר סיום עבודות השירות</w:t>
      </w:r>
      <w:r>
        <w:rPr>
          <w:rFonts w:ascii="David" w:hAnsi="David" w:cs="David" w:hint="cs"/>
          <w:sz w:val="24"/>
          <w:szCs w:val="24"/>
          <w:rtl/>
        </w:rPr>
        <w:t>. טיעון זה נטען כטיעון כללי, בלתי מנומק ובלתי מבוסס, אשר אינו עומד בקנה אחד עם עברו הפלילי של הנאשם. ב"כ המאשימה לא הבהירה</w:t>
      </w:r>
      <w:r w:rsidRPr="00B058CE">
        <w:rPr>
          <w:rFonts w:ascii="David" w:hAnsi="David" w:cs="David" w:hint="cs"/>
          <w:sz w:val="24"/>
          <w:szCs w:val="24"/>
          <w:rtl/>
        </w:rPr>
        <w:t xml:space="preserve"> כיצד </w:t>
      </w:r>
      <w:r>
        <w:rPr>
          <w:rFonts w:ascii="David" w:hAnsi="David" w:cs="David" w:hint="cs"/>
          <w:sz w:val="24"/>
          <w:szCs w:val="24"/>
          <w:rtl/>
        </w:rPr>
        <w:t>נאשם זה, אשר לחובתו שלוש הרשעות קודמות, הראשונה שבהן משנת 2017, אשר ריצה עד כה שלושה מאסרים בפועל, לא גורש עד כה מהארץ לאחר ריצוי כל אחד ואחד ממאסרים אלה. לא ברור מדוע סבורה המאשימה כי המקרה הנדון שונה, ובעקבות ריצוי עונשו בתיק זה סביר שהנאשם יגורש מהארץ (אציין כי מאסרו האחרון של הנאשם היה למשך 15.5 חודשים ולא הביא לגירושו מהארץ).</w:t>
      </w:r>
    </w:p>
    <w:p w14:paraId="0BB6B476" w14:textId="77777777" w:rsidR="00F76FA6" w:rsidRDefault="00F76FA6" w:rsidP="00F76FA6">
      <w:pPr>
        <w:pStyle w:val="ab"/>
        <w:numPr>
          <w:ilvl w:val="0"/>
          <w:numId w:val="3"/>
        </w:numPr>
        <w:spacing w:line="360" w:lineRule="auto"/>
        <w:jc w:val="both"/>
        <w:rPr>
          <w:rFonts w:ascii="David" w:hAnsi="David" w:cs="David"/>
          <w:sz w:val="24"/>
          <w:szCs w:val="24"/>
        </w:rPr>
      </w:pPr>
      <w:r>
        <w:rPr>
          <w:rFonts w:ascii="David" w:hAnsi="David" w:cs="David" w:hint="cs"/>
          <w:sz w:val="24"/>
          <w:szCs w:val="24"/>
          <w:rtl/>
        </w:rPr>
        <w:t xml:space="preserve"> ההנמקה השלישית, המתייחסת ל</w:t>
      </w:r>
      <w:r w:rsidRPr="009654EF">
        <w:rPr>
          <w:rFonts w:ascii="David" w:hAnsi="David" w:cs="David" w:hint="cs"/>
          <w:sz w:val="24"/>
          <w:szCs w:val="24"/>
          <w:u w:val="single"/>
          <w:rtl/>
        </w:rPr>
        <w:t>שיקולים ביטחוניים לגבי תושבי האזור</w:t>
      </w:r>
      <w:r>
        <w:rPr>
          <w:rFonts w:ascii="David" w:hAnsi="David" w:cs="David" w:hint="cs"/>
          <w:sz w:val="24"/>
          <w:szCs w:val="24"/>
          <w:rtl/>
        </w:rPr>
        <w:t xml:space="preserve">, אינה רלוונטית למקרה זה. </w:t>
      </w:r>
    </w:p>
    <w:p w14:paraId="7B35CD75" w14:textId="77777777" w:rsidR="00F76FA6" w:rsidRPr="002D1713" w:rsidRDefault="00F76FA6" w:rsidP="00F76FA6">
      <w:pPr>
        <w:pStyle w:val="ab"/>
        <w:spacing w:line="360" w:lineRule="auto"/>
        <w:jc w:val="both"/>
        <w:rPr>
          <w:rFonts w:ascii="David" w:hAnsi="David" w:cs="David"/>
          <w:sz w:val="24"/>
          <w:szCs w:val="24"/>
          <w:rtl/>
        </w:rPr>
      </w:pPr>
      <w:r w:rsidRPr="002F05E3">
        <w:rPr>
          <w:rFonts w:ascii="David" w:hAnsi="David" w:cs="David" w:hint="cs"/>
          <w:b/>
          <w:bCs/>
          <w:sz w:val="24"/>
          <w:szCs w:val="24"/>
          <w:rtl/>
        </w:rPr>
        <w:t>שנית</w:t>
      </w:r>
      <w:r w:rsidRPr="002F05E3">
        <w:rPr>
          <w:rFonts w:ascii="David" w:hAnsi="David" w:cs="David" w:hint="cs"/>
          <w:sz w:val="24"/>
          <w:szCs w:val="24"/>
          <w:rtl/>
        </w:rPr>
        <w:t>, ב"כ המאשימה</w:t>
      </w:r>
      <w:r>
        <w:rPr>
          <w:rFonts w:ascii="David" w:hAnsi="David" w:cs="David" w:hint="cs"/>
          <w:b/>
          <w:bCs/>
          <w:sz w:val="24"/>
          <w:szCs w:val="24"/>
          <w:rtl/>
        </w:rPr>
        <w:t xml:space="preserve"> </w:t>
      </w:r>
      <w:r w:rsidRPr="002F05E3">
        <w:rPr>
          <w:rFonts w:ascii="David" w:hAnsi="David" w:cs="David" w:hint="cs"/>
          <w:sz w:val="24"/>
          <w:szCs w:val="24"/>
          <w:rtl/>
        </w:rPr>
        <w:t>אשר</w:t>
      </w:r>
      <w:r>
        <w:rPr>
          <w:rFonts w:ascii="David" w:hAnsi="David" w:cs="David" w:hint="cs"/>
          <w:b/>
          <w:bCs/>
          <w:sz w:val="24"/>
          <w:szCs w:val="24"/>
          <w:rtl/>
        </w:rPr>
        <w:t xml:space="preserve"> </w:t>
      </w:r>
      <w:r>
        <w:rPr>
          <w:rFonts w:ascii="David" w:hAnsi="David" w:cs="David" w:hint="cs"/>
          <w:sz w:val="24"/>
          <w:szCs w:val="24"/>
          <w:rtl/>
        </w:rPr>
        <w:t>ביססה את טיעוניה על הנחיית פרקליט המדינה, אותה אף הגישה לבית המשפט, התעלמה מהחריגים המופיעים בהנחיה זו ולא נימקה מדוע המקרה הנדון אינו נכלל בגדר אותם חריגים. כאמור, לא הוצגו בפני כל נתונים ביחס לשאלה מדוע הנאשם נמצא בישראל לכל הפחות עשר שנים וטרם גורש עד כה (העבירה הראשונה בה הורשע בוצעה בשנת 2015). כך, אין לדעת האם עניינו נכנס בגדר אחד החריגים בשל הימצאותו בהליכי קבלת רישיון שהייה או בשל חוסר יכולת לגרשו מסיבה כלשהי (ראו סעיף 7 להנחיית פרקליט המדינה)</w:t>
      </w:r>
      <w:r w:rsidRPr="002D1713">
        <w:rPr>
          <w:rFonts w:ascii="David" w:hAnsi="David" w:cs="David" w:hint="cs"/>
          <w:sz w:val="24"/>
          <w:szCs w:val="24"/>
          <w:rtl/>
        </w:rPr>
        <w:t>. עם זאת, ניתן בהחלט לקבוע שלכל הפחות מדובר בנאשם המתגורר בארץ באופן קבוע תקופה ארוכה ואין מתקיימים לגביו טעמים ביטחוניים.</w:t>
      </w:r>
    </w:p>
    <w:p w14:paraId="5A18035A" w14:textId="77777777" w:rsidR="00F76FA6" w:rsidRPr="005E6A9F" w:rsidRDefault="00F76FA6" w:rsidP="00F76FA6">
      <w:pPr>
        <w:pStyle w:val="ab"/>
        <w:spacing w:line="360" w:lineRule="auto"/>
        <w:jc w:val="both"/>
        <w:rPr>
          <w:rFonts w:ascii="David" w:hAnsi="David" w:cs="David"/>
          <w:sz w:val="24"/>
          <w:szCs w:val="24"/>
          <w:rtl/>
        </w:rPr>
      </w:pPr>
      <w:r>
        <w:rPr>
          <w:rFonts w:ascii="David" w:hAnsi="David" w:cs="David" w:hint="cs"/>
          <w:b/>
          <w:bCs/>
          <w:sz w:val="24"/>
          <w:szCs w:val="24"/>
          <w:rtl/>
        </w:rPr>
        <w:t>שלישית</w:t>
      </w:r>
      <w:r>
        <w:rPr>
          <w:rFonts w:ascii="David" w:hAnsi="David" w:cs="David" w:hint="cs"/>
          <w:sz w:val="24"/>
          <w:szCs w:val="24"/>
          <w:rtl/>
        </w:rPr>
        <w:t xml:space="preserve">, הפסיקה אליה </w:t>
      </w:r>
      <w:r>
        <w:rPr>
          <w:rFonts w:ascii="David" w:hAnsi="David" w:cs="David"/>
          <w:sz w:val="24"/>
          <w:szCs w:val="24"/>
          <w:rtl/>
        </w:rPr>
        <w:t>הפנתה ב"כ המאשימה</w:t>
      </w:r>
      <w:r>
        <w:rPr>
          <w:rFonts w:ascii="David" w:hAnsi="David" w:cs="David" w:hint="cs"/>
          <w:sz w:val="24"/>
          <w:szCs w:val="24"/>
          <w:rtl/>
        </w:rPr>
        <w:t xml:space="preserve"> אינה מתייחסת לקושי בריצוי מאסר בדרך של עבודות שירות על ידי נתין זר. במקרה אליו הפנתה, ציין בית המשפט העליון כי הערכאות הקודמות קבעו את ריצוי המאסר בפועל בשל מדיניות הענישה </w:t>
      </w:r>
      <w:r w:rsidRPr="003B0B15">
        <w:rPr>
          <w:rFonts w:ascii="David" w:hAnsi="David" w:cs="David" w:hint="cs"/>
          <w:sz w:val="24"/>
          <w:szCs w:val="24"/>
          <w:u w:val="single"/>
          <w:rtl/>
        </w:rPr>
        <w:t>ולא</w:t>
      </w:r>
      <w:r w:rsidRPr="003B0B15">
        <w:rPr>
          <w:rFonts w:ascii="David" w:hAnsi="David" w:cs="David" w:hint="cs"/>
          <w:sz w:val="24"/>
          <w:szCs w:val="24"/>
          <w:rtl/>
        </w:rPr>
        <w:t xml:space="preserve"> בשל</w:t>
      </w:r>
      <w:r>
        <w:rPr>
          <w:rFonts w:ascii="David" w:hAnsi="David" w:cs="David" w:hint="cs"/>
          <w:sz w:val="24"/>
          <w:szCs w:val="24"/>
          <w:rtl/>
        </w:rPr>
        <w:t xml:space="preserve"> היות אותו נאשם תושב אזור יהודה ושומרון. באופן דומה, אף אותה אמירה אליה התייחסה ב"כ המאשימה בטיעוניה כי לא עומדת לנאשם "זכות קנויה" לריצוי המאסר בעבודות שירות, לא התייחסה למעמדו בישראל אלא למעמדו כנאשם בהליך פלילי (ראו את הפסיקה אליה הפנה בית המשפט העליון בהקשר זה - </w:t>
      </w:r>
      <w:hyperlink r:id="rId19" w:history="1">
        <w:r w:rsidR="000557A9" w:rsidRPr="000557A9">
          <w:rPr>
            <w:rFonts w:ascii="David" w:hAnsi="David" w:cs="David"/>
            <w:color w:val="0000FF"/>
            <w:sz w:val="24"/>
            <w:szCs w:val="24"/>
            <w:u w:val="single"/>
            <w:rtl/>
          </w:rPr>
          <w:t>רע"פ 811/22</w:t>
        </w:r>
      </w:hyperlink>
      <w:r w:rsidRPr="005E6A9F">
        <w:rPr>
          <w:rFonts w:ascii="David" w:hAnsi="David" w:cs="David"/>
          <w:sz w:val="24"/>
          <w:szCs w:val="24"/>
          <w:rtl/>
        </w:rPr>
        <w:t xml:space="preserve"> </w:t>
      </w:r>
      <w:r w:rsidRPr="005E6A9F">
        <w:rPr>
          <w:rFonts w:ascii="David" w:hAnsi="David" w:cs="David"/>
          <w:b/>
          <w:bCs/>
          <w:sz w:val="24"/>
          <w:szCs w:val="24"/>
          <w:rtl/>
        </w:rPr>
        <w:t>אבראהים עבד אלחק נ' מדינת ישראל</w:t>
      </w:r>
      <w:r>
        <w:rPr>
          <w:rFonts w:ascii="David" w:hAnsi="David" w:cs="David" w:hint="cs"/>
          <w:b/>
          <w:bCs/>
          <w:sz w:val="24"/>
          <w:szCs w:val="24"/>
          <w:rtl/>
        </w:rPr>
        <w:t xml:space="preserve">, </w:t>
      </w:r>
      <w:r w:rsidRPr="002B7980">
        <w:rPr>
          <w:rFonts w:ascii="David" w:hAnsi="David" w:cs="David" w:hint="cs"/>
          <w:sz w:val="24"/>
          <w:szCs w:val="24"/>
          <w:rtl/>
        </w:rPr>
        <w:t>פסקה 8</w:t>
      </w:r>
      <w:r w:rsidRPr="005E6A9F">
        <w:rPr>
          <w:rFonts w:ascii="David" w:hAnsi="David" w:cs="David"/>
          <w:sz w:val="24"/>
          <w:szCs w:val="24"/>
          <w:rtl/>
        </w:rPr>
        <w:t xml:space="preserve"> (8.2.2022)</w:t>
      </w:r>
      <w:r>
        <w:rPr>
          <w:rFonts w:ascii="David" w:hAnsi="David" w:cs="David" w:hint="cs"/>
          <w:sz w:val="24"/>
          <w:szCs w:val="24"/>
          <w:rtl/>
        </w:rPr>
        <w:t xml:space="preserve">). </w:t>
      </w:r>
    </w:p>
    <w:p w14:paraId="66458BA7" w14:textId="77777777" w:rsidR="00F76FA6" w:rsidRDefault="00F76FA6" w:rsidP="00F76FA6">
      <w:pPr>
        <w:pStyle w:val="ab"/>
        <w:spacing w:line="360" w:lineRule="auto"/>
        <w:jc w:val="both"/>
        <w:rPr>
          <w:rFonts w:ascii="David" w:hAnsi="David" w:cs="David"/>
          <w:sz w:val="24"/>
          <w:szCs w:val="24"/>
          <w:rtl/>
        </w:rPr>
      </w:pPr>
      <w:r w:rsidRPr="002B7980">
        <w:rPr>
          <w:rFonts w:ascii="David" w:hAnsi="David" w:cs="David" w:hint="cs"/>
          <w:b/>
          <w:bCs/>
          <w:sz w:val="24"/>
          <w:szCs w:val="24"/>
          <w:rtl/>
        </w:rPr>
        <w:t>רביעית</w:t>
      </w:r>
      <w:r>
        <w:rPr>
          <w:rFonts w:ascii="David" w:hAnsi="David" w:cs="David" w:hint="cs"/>
          <w:sz w:val="24"/>
          <w:szCs w:val="24"/>
          <w:rtl/>
        </w:rPr>
        <w:t xml:space="preserve">, את התאמתו של נאשם לריצוי מאסר בעבודות שירות, יש לבחון בכל מקרה לגופו. </w:t>
      </w:r>
      <w:r>
        <w:rPr>
          <w:rFonts w:ascii="David" w:hAnsi="David" w:cs="David"/>
          <w:sz w:val="24"/>
          <w:szCs w:val="24"/>
          <w:rtl/>
        </w:rPr>
        <w:t xml:space="preserve">בית משפט העליון </w:t>
      </w:r>
      <w:r>
        <w:rPr>
          <w:rFonts w:ascii="David" w:hAnsi="David" w:cs="David" w:hint="cs"/>
          <w:sz w:val="24"/>
          <w:szCs w:val="24"/>
          <w:rtl/>
        </w:rPr>
        <w:t>קבע כי על הממונה על עבודות השירות לבחון את התאמתו האינדיווידואלית של הנאשם לביצוע עבודות שירות גם כשמדובר בנתין זר, גישה המקובלת "</w:t>
      </w:r>
      <w:r w:rsidRPr="00E44A3E">
        <w:rPr>
          <w:rFonts w:ascii="David" w:hAnsi="David" w:cs="David" w:hint="cs"/>
          <w:b/>
          <w:bCs/>
          <w:sz w:val="24"/>
          <w:szCs w:val="24"/>
          <w:rtl/>
        </w:rPr>
        <w:t>הן על הסנגוריה הציבורית... והן על פרקליטות המדינה</w:t>
      </w:r>
      <w:r>
        <w:rPr>
          <w:rFonts w:ascii="David" w:hAnsi="David" w:cs="David" w:hint="cs"/>
          <w:sz w:val="24"/>
          <w:szCs w:val="24"/>
          <w:rtl/>
        </w:rPr>
        <w:t>"</w:t>
      </w:r>
      <w:r>
        <w:rPr>
          <w:rFonts w:ascii="David" w:hAnsi="David" w:cs="David"/>
          <w:sz w:val="24"/>
          <w:szCs w:val="24"/>
          <w:rtl/>
        </w:rPr>
        <w:t xml:space="preserve"> (</w:t>
      </w:r>
      <w:hyperlink r:id="rId20" w:history="1">
        <w:r w:rsidR="000557A9" w:rsidRPr="000557A9">
          <w:rPr>
            <w:rFonts w:ascii="David" w:hAnsi="David" w:cs="David"/>
            <w:color w:val="0000FF"/>
            <w:sz w:val="24"/>
            <w:szCs w:val="24"/>
            <w:u w:val="single"/>
            <w:rtl/>
          </w:rPr>
          <w:t>רע"פ 8881/17</w:t>
        </w:r>
      </w:hyperlink>
      <w:r>
        <w:rPr>
          <w:rFonts w:ascii="David" w:hAnsi="David" w:cs="David"/>
          <w:sz w:val="24"/>
          <w:szCs w:val="24"/>
          <w:rtl/>
        </w:rPr>
        <w:t xml:space="preserve"> </w:t>
      </w:r>
      <w:r>
        <w:rPr>
          <w:rFonts w:ascii="David" w:hAnsi="David" w:cs="David"/>
          <w:b/>
          <w:bCs/>
          <w:sz w:val="24"/>
          <w:szCs w:val="24"/>
          <w:rtl/>
        </w:rPr>
        <w:t>פלונית נ' מדינת ישראל</w:t>
      </w:r>
      <w:r>
        <w:rPr>
          <w:rFonts w:ascii="David" w:hAnsi="David" w:cs="David"/>
          <w:sz w:val="24"/>
          <w:szCs w:val="24"/>
          <w:rtl/>
        </w:rPr>
        <w:t xml:space="preserve"> (11.6.2018)).</w:t>
      </w:r>
      <w:r>
        <w:rPr>
          <w:rFonts w:ascii="David" w:hAnsi="David" w:cs="David" w:hint="cs"/>
          <w:sz w:val="24"/>
          <w:szCs w:val="24"/>
          <w:rtl/>
        </w:rPr>
        <w:t xml:space="preserve"> עניינו של הנאשם אכן נבחן, והוא נמצא כשיר לביצוע עבודות שירות.</w:t>
      </w:r>
    </w:p>
    <w:p w14:paraId="150B7E75" w14:textId="77777777" w:rsidR="00F76FA6" w:rsidRDefault="00F76FA6" w:rsidP="00F76FA6">
      <w:pPr>
        <w:pStyle w:val="ab"/>
        <w:spacing w:line="360" w:lineRule="auto"/>
        <w:jc w:val="both"/>
        <w:rPr>
          <w:rFonts w:ascii="David" w:hAnsi="David" w:cs="David"/>
          <w:sz w:val="24"/>
          <w:szCs w:val="24"/>
          <w:rtl/>
        </w:rPr>
      </w:pPr>
      <w:r>
        <w:rPr>
          <w:rFonts w:ascii="David" w:hAnsi="David" w:cs="David" w:hint="cs"/>
          <w:b/>
          <w:bCs/>
          <w:sz w:val="24"/>
          <w:szCs w:val="24"/>
          <w:rtl/>
        </w:rPr>
        <w:t>חמישית</w:t>
      </w:r>
      <w:r>
        <w:rPr>
          <w:rFonts w:ascii="David" w:hAnsi="David" w:cs="David" w:hint="cs"/>
          <w:sz w:val="24"/>
          <w:szCs w:val="24"/>
          <w:rtl/>
        </w:rPr>
        <w:t xml:space="preserve">, בשים לב לכל המפורט לעיל, היה על המאשימה להפעיל את שיקול דעתה בהתבסס על נסיבותיו הפרטניות של המקרה הנדון, ולבסס בראיות את התנגדותה לריצוי עבודות שירות, התנגדות המתבססת על מעמד הנאשם בישראל בלבד (ראו לדוגמא את הסכמת הפרקליטות לריצוי מאסר בעבודות שירות של נאשמת ילידת אריתראה </w:t>
      </w:r>
      <w:r>
        <w:rPr>
          <w:rFonts w:ascii="David" w:hAnsi="David" w:cs="David"/>
          <w:sz w:val="24"/>
          <w:szCs w:val="24"/>
          <w:rtl/>
        </w:rPr>
        <w:t>–</w:t>
      </w:r>
      <w:r>
        <w:rPr>
          <w:rFonts w:ascii="David" w:hAnsi="David" w:cs="David" w:hint="cs"/>
          <w:sz w:val="24"/>
          <w:szCs w:val="24"/>
          <w:rtl/>
        </w:rPr>
        <w:t xml:space="preserve"> </w:t>
      </w:r>
      <w:hyperlink r:id="rId21" w:history="1">
        <w:r w:rsidR="000557A9" w:rsidRPr="000557A9">
          <w:rPr>
            <w:rFonts w:ascii="David" w:hAnsi="David" w:cs="David"/>
            <w:color w:val="0000FF"/>
            <w:sz w:val="24"/>
            <w:szCs w:val="24"/>
            <w:u w:val="single"/>
            <w:rtl/>
          </w:rPr>
          <w:t>ת"פ 35433-05-19</w:t>
        </w:r>
      </w:hyperlink>
      <w:r>
        <w:rPr>
          <w:rFonts w:ascii="David" w:hAnsi="David" w:cs="David" w:hint="cs"/>
          <w:sz w:val="24"/>
          <w:szCs w:val="24"/>
          <w:rtl/>
        </w:rPr>
        <w:t xml:space="preserve"> </w:t>
      </w:r>
      <w:r w:rsidRPr="00242530">
        <w:rPr>
          <w:rFonts w:ascii="David" w:hAnsi="David" w:cs="David" w:hint="cs"/>
          <w:b/>
          <w:bCs/>
          <w:sz w:val="24"/>
          <w:szCs w:val="24"/>
          <w:rtl/>
        </w:rPr>
        <w:t>מדינת ישראל נ'</w:t>
      </w:r>
      <w:r w:rsidRPr="00242530">
        <w:rPr>
          <w:rFonts w:ascii="David" w:hAnsi="David" w:cs="David" w:hint="cs"/>
          <w:sz w:val="24"/>
          <w:szCs w:val="24"/>
          <w:rtl/>
        </w:rPr>
        <w:t xml:space="preserve"> </w:t>
      </w:r>
      <w:r w:rsidRPr="00F76FA6">
        <w:rPr>
          <w:rFonts w:ascii="Times New Roman" w:hAnsi="Times New Roman" w:cs="Times New Roman"/>
          <w:b/>
          <w:bCs/>
          <w:sz w:val="24"/>
          <w:szCs w:val="24"/>
        </w:rPr>
        <w:t>Lemlem Asfaha Engu</w:t>
      </w:r>
      <w:r w:rsidRPr="00242530">
        <w:rPr>
          <w:rFonts w:ascii="David" w:hAnsi="David" w:cs="David" w:hint="cs"/>
          <w:sz w:val="24"/>
          <w:szCs w:val="24"/>
          <w:rtl/>
        </w:rPr>
        <w:t xml:space="preserve"> (3.3.2022)). </w:t>
      </w:r>
      <w:r>
        <w:rPr>
          <w:rFonts w:ascii="David" w:hAnsi="David" w:cs="David" w:hint="cs"/>
          <w:sz w:val="24"/>
          <w:szCs w:val="24"/>
          <w:rtl/>
        </w:rPr>
        <w:t xml:space="preserve">די אם אפנה לכך שכיום הנאשם אוחז בתעודת זהות (ראו את פרטיו בכתב האישום וכן את המפורט בענין זה בחוות דעת הממונה), לעומת הרשעתו האחרונה בה זוהה באמצעות מספר דרכון ומספר תעודת זהות פיקטיבי (ראו את </w:t>
      </w:r>
      <w:hyperlink r:id="rId22" w:history="1">
        <w:r w:rsidR="000557A9" w:rsidRPr="000557A9">
          <w:rPr>
            <w:rFonts w:ascii="David" w:hAnsi="David" w:cs="David"/>
            <w:color w:val="0000FF"/>
            <w:sz w:val="24"/>
            <w:szCs w:val="24"/>
            <w:u w:val="single"/>
            <w:rtl/>
          </w:rPr>
          <w:t>ת"פ 12748-08-20</w:t>
        </w:r>
      </w:hyperlink>
      <w:r>
        <w:rPr>
          <w:rFonts w:ascii="David" w:hAnsi="David" w:cs="David" w:hint="cs"/>
          <w:sz w:val="24"/>
          <w:szCs w:val="24"/>
          <w:rtl/>
        </w:rPr>
        <w:t>). גם נתון זה דורש בחינה והתייחסות של המאשימה, בטרם נקיטת עמדה השוללת ריצוי מאסר בעבודות שירות.</w:t>
      </w:r>
    </w:p>
    <w:p w14:paraId="74FEFA7C" w14:textId="77777777" w:rsidR="00F76FA6" w:rsidRPr="00242530" w:rsidRDefault="00F76FA6" w:rsidP="00F76FA6">
      <w:pPr>
        <w:pStyle w:val="ab"/>
        <w:spacing w:line="360" w:lineRule="auto"/>
        <w:jc w:val="both"/>
        <w:rPr>
          <w:rFonts w:ascii="David" w:hAnsi="David" w:cs="David"/>
          <w:sz w:val="24"/>
          <w:szCs w:val="24"/>
          <w:rtl/>
        </w:rPr>
      </w:pPr>
      <w:r>
        <w:rPr>
          <w:rFonts w:ascii="David" w:hAnsi="David" w:cs="David" w:hint="cs"/>
          <w:sz w:val="24"/>
          <w:szCs w:val="24"/>
          <w:rtl/>
        </w:rPr>
        <w:t xml:space="preserve"> </w:t>
      </w:r>
    </w:p>
    <w:p w14:paraId="74DC58C9" w14:textId="77777777" w:rsidR="00F76FA6" w:rsidRDefault="00F76FA6" w:rsidP="00F76FA6">
      <w:pPr>
        <w:pStyle w:val="ab"/>
        <w:numPr>
          <w:ilvl w:val="0"/>
          <w:numId w:val="1"/>
        </w:numPr>
        <w:spacing w:line="360" w:lineRule="auto"/>
        <w:jc w:val="both"/>
        <w:rPr>
          <w:rFonts w:ascii="David" w:hAnsi="David" w:cs="David"/>
          <w:sz w:val="24"/>
          <w:szCs w:val="24"/>
        </w:rPr>
      </w:pPr>
      <w:r>
        <w:rPr>
          <w:rFonts w:ascii="David" w:hAnsi="David" w:cs="David" w:hint="cs"/>
          <w:sz w:val="24"/>
          <w:szCs w:val="24"/>
          <w:rtl/>
        </w:rPr>
        <w:t xml:space="preserve">הנמקת ב"כ המאשימה לגבי אופן ריצוי העונש המבוקש על ידה, התמקדה בקושי הנובע מכך שמדובר בנתין זר. טיעוניה </w:t>
      </w:r>
      <w:r w:rsidRPr="0073338A">
        <w:rPr>
          <w:rFonts w:ascii="David" w:hAnsi="David" w:cs="David" w:hint="cs"/>
          <w:sz w:val="24"/>
          <w:szCs w:val="24"/>
          <w:rtl/>
        </w:rPr>
        <w:t xml:space="preserve">לגבי מתחם הענישה </w:t>
      </w:r>
      <w:r>
        <w:rPr>
          <w:rFonts w:ascii="David" w:hAnsi="David" w:cs="David" w:hint="cs"/>
          <w:sz w:val="24"/>
          <w:szCs w:val="24"/>
          <w:rtl/>
        </w:rPr>
        <w:t xml:space="preserve">לא התייחסו לאופן ריצוי העונש, ואף </w:t>
      </w:r>
      <w:r w:rsidRPr="0073338A">
        <w:rPr>
          <w:rFonts w:ascii="David" w:hAnsi="David" w:cs="David" w:hint="cs"/>
          <w:sz w:val="24"/>
          <w:szCs w:val="24"/>
          <w:rtl/>
        </w:rPr>
        <w:t>אינ</w:t>
      </w:r>
      <w:r>
        <w:rPr>
          <w:rFonts w:ascii="David" w:hAnsi="David" w:cs="David" w:hint="cs"/>
          <w:sz w:val="24"/>
          <w:szCs w:val="24"/>
          <w:rtl/>
        </w:rPr>
        <w:t>ם</w:t>
      </w:r>
      <w:r w:rsidRPr="0073338A">
        <w:rPr>
          <w:rFonts w:ascii="David" w:hAnsi="David" w:cs="David" w:hint="cs"/>
          <w:sz w:val="24"/>
          <w:szCs w:val="24"/>
          <w:rtl/>
        </w:rPr>
        <w:t xml:space="preserve"> עול</w:t>
      </w:r>
      <w:r>
        <w:rPr>
          <w:rFonts w:ascii="David" w:hAnsi="David" w:cs="David" w:hint="cs"/>
          <w:sz w:val="24"/>
          <w:szCs w:val="24"/>
          <w:rtl/>
        </w:rPr>
        <w:t>ים</w:t>
      </w:r>
      <w:r w:rsidRPr="0073338A">
        <w:rPr>
          <w:rFonts w:ascii="David" w:hAnsi="David" w:cs="David" w:hint="cs"/>
          <w:sz w:val="24"/>
          <w:szCs w:val="24"/>
          <w:rtl/>
        </w:rPr>
        <w:t xml:space="preserve"> בקנה אחד עם מידת הפגיעה בערכים המוגנים, הפסיקה הנוהגת, </w:t>
      </w:r>
      <w:r>
        <w:rPr>
          <w:rFonts w:ascii="David" w:hAnsi="David" w:cs="David" w:hint="cs"/>
          <w:sz w:val="24"/>
          <w:szCs w:val="24"/>
          <w:rtl/>
        </w:rPr>
        <w:t xml:space="preserve">או </w:t>
      </w:r>
      <w:r w:rsidRPr="0073338A">
        <w:rPr>
          <w:rFonts w:ascii="David" w:hAnsi="David" w:cs="David" w:hint="cs"/>
          <w:sz w:val="24"/>
          <w:szCs w:val="24"/>
          <w:rtl/>
        </w:rPr>
        <w:t xml:space="preserve">אופן עתירתה לקביעת העונש בגין </w:t>
      </w:r>
      <w:r>
        <w:rPr>
          <w:rFonts w:ascii="David" w:hAnsi="David" w:cs="David" w:hint="cs"/>
          <w:sz w:val="24"/>
          <w:szCs w:val="24"/>
          <w:rtl/>
        </w:rPr>
        <w:t xml:space="preserve">מקרה </w:t>
      </w:r>
      <w:r w:rsidRPr="0073338A">
        <w:rPr>
          <w:rFonts w:ascii="David" w:hAnsi="David" w:cs="David" w:hint="cs"/>
          <w:sz w:val="24"/>
          <w:szCs w:val="24"/>
          <w:rtl/>
        </w:rPr>
        <w:t>זה.</w:t>
      </w:r>
      <w:r>
        <w:rPr>
          <w:rFonts w:ascii="David" w:hAnsi="David" w:cs="David" w:hint="cs"/>
          <w:sz w:val="24"/>
          <w:szCs w:val="24"/>
          <w:rtl/>
        </w:rPr>
        <w:t xml:space="preserve"> לפיכך, לאחר </w:t>
      </w:r>
      <w:r w:rsidRPr="0073338A">
        <w:rPr>
          <w:rFonts w:ascii="David" w:hAnsi="David" w:cs="David" w:hint="cs"/>
          <w:sz w:val="24"/>
          <w:szCs w:val="24"/>
          <w:rtl/>
        </w:rPr>
        <w:t>דחיית טיעו</w:t>
      </w:r>
      <w:r>
        <w:rPr>
          <w:rFonts w:ascii="David" w:hAnsi="David" w:cs="David" w:hint="cs"/>
          <w:sz w:val="24"/>
          <w:szCs w:val="24"/>
          <w:rtl/>
        </w:rPr>
        <w:t>ניה</w:t>
      </w:r>
      <w:r w:rsidRPr="0073338A">
        <w:rPr>
          <w:rFonts w:ascii="David" w:hAnsi="David" w:cs="David" w:hint="cs"/>
          <w:sz w:val="24"/>
          <w:szCs w:val="24"/>
          <w:rtl/>
        </w:rPr>
        <w:t xml:space="preserve"> </w:t>
      </w:r>
      <w:r>
        <w:rPr>
          <w:rFonts w:ascii="David" w:hAnsi="David" w:cs="David" w:hint="cs"/>
          <w:sz w:val="24"/>
          <w:szCs w:val="24"/>
          <w:rtl/>
        </w:rPr>
        <w:t xml:space="preserve">בסוגיה זו, </w:t>
      </w:r>
      <w:r w:rsidRPr="0073338A">
        <w:rPr>
          <w:rFonts w:ascii="David" w:hAnsi="David" w:cs="David" w:hint="cs"/>
          <w:sz w:val="24"/>
          <w:szCs w:val="24"/>
          <w:rtl/>
        </w:rPr>
        <w:t>יש לבחון האם נסיבות המקרה ונסיבותיו האישיות של הנאשם מחייבות את ריצוי המאסר מאחורי סורג ובריח.</w:t>
      </w:r>
    </w:p>
    <w:p w14:paraId="44470D08" w14:textId="77777777" w:rsidR="00F76FA6" w:rsidRDefault="00F76FA6" w:rsidP="00F76FA6">
      <w:pPr>
        <w:pStyle w:val="ab"/>
        <w:spacing w:line="360" w:lineRule="auto"/>
        <w:jc w:val="both"/>
        <w:rPr>
          <w:rFonts w:ascii="David" w:hAnsi="David" w:cs="David"/>
          <w:sz w:val="24"/>
          <w:szCs w:val="24"/>
          <w:rtl/>
        </w:rPr>
      </w:pPr>
      <w:r>
        <w:rPr>
          <w:rFonts w:ascii="David" w:hAnsi="David" w:cs="David" w:hint="cs"/>
          <w:sz w:val="24"/>
          <w:szCs w:val="24"/>
          <w:rtl/>
        </w:rPr>
        <w:t>הנאשם יליד 1987, הורשע בעבר בעבירות שונות מתחום הסמים, ריצה מאסרים בפועל, וביצע את העבירה בה הורשע כעת על אף קיומו של מאסר מותנה כנגדו. עם זאת, מאז ביצוע העבירה בחודש אוגוסט 2022 לא נפתחו כנגדו כל תיקים חדשים, והנאשם טוען כי הפסיק להשתמש בסמים ובאלכוהול, וכי הוא עובד למחייתו ושוכר דירה. בהתחשב בכך, תוך שנתתי דעתי גם לנסיבות ביצוע העבירה המצויות ברף הנמוך ביותר של עבירת סחר בסם מסוכן, אני מוצא כי ריצוי מאסר ממושך בדרך של עבודות שירות עשוי לעודד את הנאשם להמשיך בדרכו החיובית ולשמש כלי בהמשך שיקומו. בהינתן התקופה הארוכה בה שוהה הנאשם בישראל, ובהיעדר כל אינדיקציה להיתכנות לגירושו מהארץ, שיקום  הנאשם הוא אינטרס של הציבור הרחב. לפיכך, המאסר המוסכם על הצדדים ירוצה בעבודות שירות.</w:t>
      </w:r>
    </w:p>
    <w:p w14:paraId="74CBC90A" w14:textId="77777777" w:rsidR="00F76FA6" w:rsidRDefault="00F76FA6" w:rsidP="00F76FA6">
      <w:pPr>
        <w:pStyle w:val="ab"/>
        <w:spacing w:line="360" w:lineRule="auto"/>
        <w:jc w:val="both"/>
        <w:rPr>
          <w:rFonts w:ascii="David" w:hAnsi="David" w:cs="David"/>
          <w:sz w:val="24"/>
          <w:szCs w:val="24"/>
          <w:rtl/>
        </w:rPr>
      </w:pPr>
    </w:p>
    <w:p w14:paraId="48EC7C5E" w14:textId="77777777" w:rsidR="00F76FA6" w:rsidRDefault="00F76FA6" w:rsidP="00F76FA6">
      <w:pPr>
        <w:pStyle w:val="a9"/>
        <w:numPr>
          <w:ilvl w:val="0"/>
          <w:numId w:val="1"/>
        </w:numPr>
        <w:spacing w:line="360" w:lineRule="auto"/>
        <w:jc w:val="both"/>
        <w:rPr>
          <w:rFonts w:ascii="David" w:hAnsi="David" w:cs="David"/>
          <w:sz w:val="24"/>
          <w:szCs w:val="24"/>
        </w:rPr>
      </w:pPr>
      <w:r>
        <w:rPr>
          <w:rFonts w:ascii="David" w:hAnsi="David" w:cs="David" w:hint="cs"/>
          <w:sz w:val="24"/>
          <w:szCs w:val="24"/>
          <w:rtl/>
        </w:rPr>
        <w:t>בנסיבות כוללות אלה</w:t>
      </w:r>
      <w:r>
        <w:rPr>
          <w:rFonts w:ascii="David" w:hAnsi="David" w:cs="David"/>
          <w:sz w:val="24"/>
          <w:szCs w:val="24"/>
          <w:rtl/>
        </w:rPr>
        <w:t xml:space="preserve">, </w:t>
      </w:r>
      <w:r w:rsidRPr="00CB1087">
        <w:rPr>
          <w:rFonts w:ascii="David" w:hAnsi="David" w:cs="David"/>
          <w:sz w:val="24"/>
          <w:szCs w:val="24"/>
          <w:rtl/>
        </w:rPr>
        <w:t>החלטתי להטיל על הנאשם את העונשים הבאים:</w:t>
      </w:r>
    </w:p>
    <w:p w14:paraId="336C062E" w14:textId="77777777" w:rsidR="00F76FA6" w:rsidRDefault="00F76FA6" w:rsidP="00F76FA6">
      <w:pPr>
        <w:pStyle w:val="a9"/>
        <w:spacing w:line="360" w:lineRule="auto"/>
        <w:ind w:left="720"/>
        <w:jc w:val="both"/>
        <w:rPr>
          <w:rFonts w:ascii="David" w:hAnsi="David" w:cs="David"/>
          <w:sz w:val="24"/>
          <w:szCs w:val="24"/>
        </w:rPr>
      </w:pPr>
    </w:p>
    <w:p w14:paraId="5235D8FE" w14:textId="77777777" w:rsidR="00F76FA6" w:rsidRDefault="00F76FA6" w:rsidP="00F76FA6">
      <w:pPr>
        <w:pStyle w:val="a9"/>
        <w:numPr>
          <w:ilvl w:val="0"/>
          <w:numId w:val="2"/>
        </w:numPr>
        <w:spacing w:line="360" w:lineRule="auto"/>
        <w:jc w:val="both"/>
        <w:rPr>
          <w:rFonts w:ascii="David" w:hAnsi="David" w:cs="David"/>
          <w:sz w:val="24"/>
          <w:szCs w:val="24"/>
        </w:rPr>
      </w:pPr>
      <w:r w:rsidRPr="002833DA">
        <w:rPr>
          <w:rFonts w:ascii="David" w:hAnsi="David" w:cs="David"/>
          <w:sz w:val="24"/>
          <w:szCs w:val="24"/>
          <w:rtl/>
        </w:rPr>
        <w:t>מאסר למשך 6 חודשים.</w:t>
      </w:r>
    </w:p>
    <w:p w14:paraId="76D270A5" w14:textId="77777777" w:rsidR="00F76FA6" w:rsidRPr="002833DA" w:rsidRDefault="00F76FA6" w:rsidP="00F76FA6">
      <w:pPr>
        <w:pStyle w:val="a9"/>
        <w:spacing w:line="360" w:lineRule="auto"/>
        <w:ind w:left="1080"/>
        <w:jc w:val="both"/>
        <w:rPr>
          <w:rFonts w:ascii="David" w:hAnsi="David" w:cs="David"/>
          <w:sz w:val="24"/>
          <w:szCs w:val="24"/>
          <w:rtl/>
        </w:rPr>
      </w:pPr>
    </w:p>
    <w:p w14:paraId="02386B1F" w14:textId="77777777" w:rsidR="00F76FA6" w:rsidRDefault="00F76FA6" w:rsidP="00F76FA6">
      <w:pPr>
        <w:pStyle w:val="a9"/>
        <w:numPr>
          <w:ilvl w:val="0"/>
          <w:numId w:val="2"/>
        </w:numPr>
        <w:spacing w:line="360" w:lineRule="auto"/>
        <w:jc w:val="both"/>
        <w:rPr>
          <w:rFonts w:ascii="David" w:hAnsi="David" w:cs="David"/>
          <w:sz w:val="24"/>
          <w:szCs w:val="24"/>
        </w:rPr>
      </w:pPr>
      <w:r>
        <w:rPr>
          <w:rFonts w:ascii="David" w:hAnsi="David" w:cs="David" w:hint="cs"/>
          <w:sz w:val="24"/>
          <w:szCs w:val="24"/>
          <w:rtl/>
        </w:rPr>
        <w:t xml:space="preserve">אני מורה על </w:t>
      </w:r>
      <w:r>
        <w:rPr>
          <w:rFonts w:ascii="David" w:hAnsi="David" w:cs="David"/>
          <w:sz w:val="24"/>
          <w:szCs w:val="24"/>
          <w:rtl/>
        </w:rPr>
        <w:t xml:space="preserve">הפעלת מאסר </w:t>
      </w:r>
      <w:r>
        <w:rPr>
          <w:rFonts w:ascii="David" w:hAnsi="David" w:cs="David" w:hint="cs"/>
          <w:sz w:val="24"/>
          <w:szCs w:val="24"/>
          <w:rtl/>
        </w:rPr>
        <w:t xml:space="preserve">מותנה שמשכו 7 חודשים אשר הוטל במסגרת </w:t>
      </w:r>
      <w:r>
        <w:rPr>
          <w:rFonts w:ascii="David" w:hAnsi="David" w:cs="David"/>
          <w:sz w:val="24"/>
          <w:szCs w:val="24"/>
          <w:rtl/>
        </w:rPr>
        <w:t>ת"פ</w:t>
      </w:r>
      <w:r>
        <w:rPr>
          <w:rFonts w:ascii="David" w:hAnsi="David" w:cs="David" w:hint="cs"/>
          <w:sz w:val="24"/>
          <w:szCs w:val="24"/>
          <w:rtl/>
        </w:rPr>
        <w:t xml:space="preserve">         </w:t>
      </w:r>
      <w:r>
        <w:rPr>
          <w:rFonts w:ascii="David" w:hAnsi="David" w:cs="David"/>
          <w:sz w:val="24"/>
          <w:szCs w:val="24"/>
          <w:rtl/>
        </w:rPr>
        <w:t xml:space="preserve"> 12748-08-20</w:t>
      </w:r>
      <w:r>
        <w:rPr>
          <w:rFonts w:ascii="David" w:hAnsi="David" w:cs="David" w:hint="cs"/>
          <w:sz w:val="24"/>
          <w:szCs w:val="24"/>
          <w:rtl/>
        </w:rPr>
        <w:t xml:space="preserve">, חלקו בחופף וחלקו במצטבר למאסר שהוטל על הנאשם, כך שירצה בסך הכל 9 חודשי מאסר וזאת </w:t>
      </w:r>
      <w:r>
        <w:rPr>
          <w:rFonts w:ascii="David" w:hAnsi="David" w:cs="David"/>
          <w:sz w:val="24"/>
          <w:szCs w:val="24"/>
          <w:rtl/>
        </w:rPr>
        <w:t>בעבודות שירות.</w:t>
      </w:r>
      <w:r>
        <w:rPr>
          <w:rFonts w:ascii="David" w:hAnsi="David" w:cs="David" w:hint="cs"/>
          <w:sz w:val="24"/>
          <w:szCs w:val="24"/>
          <w:rtl/>
        </w:rPr>
        <w:t xml:space="preserve"> תחילת ריצוי העונש ביום 1.4.25, בהתאם למקום שנקבע בחוות דעת הממונה. על הנאשם להתייצב במשרדי הממונה במועד זה בשעה 08:00. בית המשפט הבהיר לנאשם את משמעות אי עמידה בתנאים הקפדניים של ריצוי עבודות השירות.</w:t>
      </w:r>
    </w:p>
    <w:p w14:paraId="49723D6F" w14:textId="77777777" w:rsidR="00F76FA6" w:rsidRDefault="00F76FA6" w:rsidP="00F76FA6">
      <w:pPr>
        <w:pStyle w:val="a9"/>
        <w:spacing w:line="360" w:lineRule="auto"/>
        <w:ind w:left="1080"/>
        <w:jc w:val="both"/>
        <w:rPr>
          <w:rFonts w:ascii="David" w:hAnsi="David" w:cs="David"/>
          <w:sz w:val="24"/>
          <w:szCs w:val="24"/>
        </w:rPr>
      </w:pPr>
      <w:r>
        <w:rPr>
          <w:rFonts w:ascii="David" w:hAnsi="David" w:cs="David" w:hint="cs"/>
          <w:sz w:val="24"/>
          <w:szCs w:val="24"/>
          <w:rtl/>
        </w:rPr>
        <w:t xml:space="preserve"> </w:t>
      </w:r>
      <w:r>
        <w:rPr>
          <w:rFonts w:ascii="David" w:hAnsi="David" w:cs="David"/>
          <w:sz w:val="24"/>
          <w:szCs w:val="24"/>
          <w:rtl/>
        </w:rPr>
        <w:t xml:space="preserve"> </w:t>
      </w:r>
    </w:p>
    <w:p w14:paraId="3EAB9582" w14:textId="77777777" w:rsidR="00F76FA6" w:rsidRDefault="00F76FA6" w:rsidP="00F76FA6">
      <w:pPr>
        <w:pStyle w:val="a9"/>
        <w:numPr>
          <w:ilvl w:val="0"/>
          <w:numId w:val="2"/>
        </w:numPr>
        <w:spacing w:line="360" w:lineRule="auto"/>
        <w:jc w:val="both"/>
        <w:rPr>
          <w:rFonts w:ascii="David" w:hAnsi="David" w:cs="David"/>
          <w:sz w:val="24"/>
          <w:szCs w:val="24"/>
        </w:rPr>
      </w:pPr>
      <w:r>
        <w:rPr>
          <w:rFonts w:ascii="David" w:hAnsi="David" w:cs="David"/>
          <w:sz w:val="24"/>
          <w:szCs w:val="24"/>
          <w:rtl/>
        </w:rPr>
        <w:t>מאסר למשך 6 חודשים, אותו לא ירצה אלא אם יעבור עביר</w:t>
      </w:r>
      <w:r>
        <w:rPr>
          <w:rFonts w:ascii="David" w:hAnsi="David" w:cs="David" w:hint="cs"/>
          <w:sz w:val="24"/>
          <w:szCs w:val="24"/>
          <w:rtl/>
        </w:rPr>
        <w:t xml:space="preserve">ת סמים </w:t>
      </w:r>
      <w:r>
        <w:rPr>
          <w:rFonts w:ascii="David" w:hAnsi="David" w:cs="David"/>
          <w:sz w:val="24"/>
          <w:szCs w:val="24"/>
          <w:rtl/>
        </w:rPr>
        <w:t>מסוג פשע תוך 3 שנים</w:t>
      </w:r>
      <w:r>
        <w:rPr>
          <w:rFonts w:ascii="David" w:hAnsi="David" w:cs="David" w:hint="cs"/>
          <w:sz w:val="24"/>
          <w:szCs w:val="24"/>
          <w:rtl/>
        </w:rPr>
        <w:t xml:space="preserve"> מהיום</w:t>
      </w:r>
      <w:r>
        <w:rPr>
          <w:rFonts w:ascii="David" w:hAnsi="David" w:cs="David"/>
          <w:sz w:val="24"/>
          <w:szCs w:val="24"/>
          <w:rtl/>
        </w:rPr>
        <w:t>.</w:t>
      </w:r>
    </w:p>
    <w:p w14:paraId="57935FF6" w14:textId="77777777" w:rsidR="00F76FA6" w:rsidRDefault="00F76FA6" w:rsidP="00F76FA6">
      <w:pPr>
        <w:pStyle w:val="ab"/>
        <w:rPr>
          <w:rFonts w:ascii="David" w:hAnsi="David" w:cs="David"/>
          <w:sz w:val="24"/>
          <w:szCs w:val="24"/>
          <w:rtl/>
        </w:rPr>
      </w:pPr>
    </w:p>
    <w:p w14:paraId="4BD54200" w14:textId="77777777" w:rsidR="00F76FA6" w:rsidRDefault="00F76FA6" w:rsidP="00F76FA6">
      <w:pPr>
        <w:pStyle w:val="a9"/>
        <w:numPr>
          <w:ilvl w:val="0"/>
          <w:numId w:val="2"/>
        </w:numPr>
        <w:spacing w:line="360" w:lineRule="auto"/>
        <w:jc w:val="both"/>
        <w:rPr>
          <w:rFonts w:ascii="David" w:hAnsi="David" w:cs="David"/>
          <w:sz w:val="24"/>
          <w:szCs w:val="24"/>
        </w:rPr>
      </w:pPr>
      <w:r>
        <w:rPr>
          <w:rFonts w:ascii="David" w:hAnsi="David" w:cs="David"/>
          <w:sz w:val="24"/>
          <w:szCs w:val="24"/>
          <w:rtl/>
        </w:rPr>
        <w:t>מאסר למשך 3 חודשים, אותו לא ירצה אלא אם יעבור עביר</w:t>
      </w:r>
      <w:r>
        <w:rPr>
          <w:rFonts w:ascii="David" w:hAnsi="David" w:cs="David" w:hint="cs"/>
          <w:sz w:val="24"/>
          <w:szCs w:val="24"/>
          <w:rtl/>
        </w:rPr>
        <w:t xml:space="preserve">ת סמים </w:t>
      </w:r>
      <w:r>
        <w:rPr>
          <w:rFonts w:ascii="David" w:hAnsi="David" w:cs="David"/>
          <w:sz w:val="24"/>
          <w:szCs w:val="24"/>
          <w:rtl/>
        </w:rPr>
        <w:t>מסוג עוון תוך 3 שנים</w:t>
      </w:r>
      <w:r>
        <w:rPr>
          <w:rFonts w:ascii="David" w:hAnsi="David" w:cs="David" w:hint="cs"/>
          <w:sz w:val="24"/>
          <w:szCs w:val="24"/>
          <w:rtl/>
        </w:rPr>
        <w:t xml:space="preserve"> מהיום.</w:t>
      </w:r>
    </w:p>
    <w:p w14:paraId="4F51C77A" w14:textId="77777777" w:rsidR="00F76FA6" w:rsidRDefault="00F76FA6" w:rsidP="00F76FA6">
      <w:pPr>
        <w:pStyle w:val="a9"/>
        <w:spacing w:line="360" w:lineRule="auto"/>
        <w:ind w:left="1080"/>
        <w:jc w:val="both"/>
        <w:rPr>
          <w:rFonts w:ascii="David" w:hAnsi="David" w:cs="David"/>
          <w:sz w:val="24"/>
          <w:szCs w:val="24"/>
        </w:rPr>
      </w:pPr>
    </w:p>
    <w:p w14:paraId="0F5E661F" w14:textId="77777777" w:rsidR="00F76FA6" w:rsidRDefault="00F76FA6" w:rsidP="00F76FA6">
      <w:pPr>
        <w:pStyle w:val="a9"/>
        <w:numPr>
          <w:ilvl w:val="0"/>
          <w:numId w:val="2"/>
        </w:numPr>
        <w:spacing w:line="360" w:lineRule="auto"/>
        <w:jc w:val="both"/>
        <w:rPr>
          <w:rFonts w:ascii="David" w:hAnsi="David" w:cs="David"/>
          <w:sz w:val="24"/>
          <w:szCs w:val="24"/>
          <w:rtl/>
        </w:rPr>
      </w:pPr>
      <w:r>
        <w:rPr>
          <w:rFonts w:ascii="David" w:hAnsi="David" w:cs="David"/>
          <w:sz w:val="24"/>
          <w:szCs w:val="24"/>
          <w:rtl/>
        </w:rPr>
        <w:t>התחייבות כספית בסך 1,000</w:t>
      </w:r>
      <w:r>
        <w:rPr>
          <w:rFonts w:ascii="David" w:hAnsi="David" w:cs="David" w:hint="cs"/>
          <w:sz w:val="24"/>
          <w:szCs w:val="24"/>
          <w:rtl/>
        </w:rPr>
        <w:t xml:space="preserve"> </w:t>
      </w:r>
      <w:r>
        <w:rPr>
          <w:rFonts w:ascii="David" w:hAnsi="David" w:cs="David"/>
          <w:sz w:val="24"/>
          <w:szCs w:val="24"/>
          <w:rtl/>
        </w:rPr>
        <w:t xml:space="preserve">₪ להימנע מביצוע עבירה על פקודת הסמים במשך </w:t>
      </w:r>
      <w:r>
        <w:rPr>
          <w:rFonts w:ascii="David" w:hAnsi="David" w:cs="David" w:hint="cs"/>
          <w:sz w:val="24"/>
          <w:szCs w:val="24"/>
          <w:rtl/>
        </w:rPr>
        <w:t xml:space="preserve">3 שנים </w:t>
      </w:r>
      <w:r>
        <w:rPr>
          <w:rFonts w:ascii="David" w:hAnsi="David" w:cs="David"/>
          <w:sz w:val="24"/>
          <w:szCs w:val="24"/>
          <w:rtl/>
        </w:rPr>
        <w:t>מהיום.</w:t>
      </w:r>
    </w:p>
    <w:p w14:paraId="33805BB9" w14:textId="77777777" w:rsidR="00F76FA6" w:rsidRDefault="00F76FA6" w:rsidP="00F76FA6">
      <w:pPr>
        <w:pStyle w:val="a9"/>
        <w:spacing w:line="360" w:lineRule="auto"/>
        <w:ind w:left="720" w:firstLine="360"/>
        <w:jc w:val="both"/>
        <w:rPr>
          <w:rFonts w:ascii="David" w:hAnsi="David" w:cs="David"/>
          <w:sz w:val="24"/>
          <w:szCs w:val="24"/>
          <w:rtl/>
        </w:rPr>
      </w:pPr>
      <w:r>
        <w:rPr>
          <w:rFonts w:ascii="David" w:hAnsi="David" w:cs="David"/>
          <w:sz w:val="24"/>
          <w:szCs w:val="24"/>
          <w:u w:val="single"/>
          <w:rtl/>
        </w:rPr>
        <w:t>הנאשם הצהיר בפני את התחייבותו</w:t>
      </w:r>
      <w:r>
        <w:rPr>
          <w:rFonts w:ascii="David" w:hAnsi="David" w:cs="David"/>
          <w:sz w:val="24"/>
          <w:szCs w:val="24"/>
          <w:rtl/>
        </w:rPr>
        <w:t>.</w:t>
      </w:r>
    </w:p>
    <w:p w14:paraId="5E4BA557" w14:textId="77777777" w:rsidR="00F76FA6" w:rsidRDefault="00F76FA6" w:rsidP="00F76FA6">
      <w:pPr>
        <w:pStyle w:val="a9"/>
        <w:spacing w:line="360" w:lineRule="auto"/>
        <w:ind w:left="720" w:firstLine="360"/>
        <w:jc w:val="both"/>
        <w:rPr>
          <w:rFonts w:ascii="David" w:hAnsi="David" w:cs="David"/>
          <w:sz w:val="24"/>
          <w:szCs w:val="24"/>
        </w:rPr>
      </w:pPr>
    </w:p>
    <w:p w14:paraId="1712F258" w14:textId="77777777" w:rsidR="00F76FA6" w:rsidRDefault="00F76FA6" w:rsidP="00F76FA6">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בהתאם לעבירה בה הורשע הנאשם ובהסכמת הצדדים, אני מכריז על הנאשם </w:t>
      </w:r>
      <w:r>
        <w:rPr>
          <w:rFonts w:ascii="David" w:hAnsi="David" w:cs="David" w:hint="cs"/>
          <w:sz w:val="24"/>
          <w:szCs w:val="24"/>
          <w:rtl/>
        </w:rPr>
        <w:t>כ</w:t>
      </w:r>
      <w:r>
        <w:rPr>
          <w:rFonts w:ascii="David" w:hAnsi="David" w:cs="David"/>
          <w:sz w:val="24"/>
          <w:szCs w:val="24"/>
          <w:rtl/>
        </w:rPr>
        <w:t>סוחר סמים ומורה על חילוט סכום הכסף שנתפס בסך 434 ₪.</w:t>
      </w:r>
    </w:p>
    <w:p w14:paraId="4CE7D77C" w14:textId="77777777" w:rsidR="00F76FA6" w:rsidRDefault="00F76FA6" w:rsidP="00F76FA6">
      <w:pPr>
        <w:pStyle w:val="a9"/>
        <w:spacing w:line="360" w:lineRule="auto"/>
        <w:jc w:val="both"/>
        <w:rPr>
          <w:rFonts w:ascii="David" w:hAnsi="David" w:cs="David"/>
          <w:sz w:val="24"/>
          <w:szCs w:val="24"/>
        </w:rPr>
      </w:pPr>
    </w:p>
    <w:p w14:paraId="75428EC1" w14:textId="77777777" w:rsidR="00F76FA6" w:rsidRDefault="00F76FA6" w:rsidP="00F76FA6">
      <w:pPr>
        <w:pStyle w:val="a9"/>
        <w:spacing w:line="360" w:lineRule="auto"/>
        <w:ind w:firstLine="720"/>
        <w:jc w:val="both"/>
        <w:rPr>
          <w:rFonts w:ascii="David" w:hAnsi="David" w:cs="David"/>
          <w:sz w:val="24"/>
          <w:szCs w:val="24"/>
          <w:rtl/>
        </w:rPr>
      </w:pPr>
      <w:r>
        <w:rPr>
          <w:rFonts w:ascii="David" w:hAnsi="David" w:cs="David"/>
          <w:sz w:val="24"/>
          <w:szCs w:val="24"/>
          <w:rtl/>
        </w:rPr>
        <w:t>ניתן צו להשמדת הסמים.</w:t>
      </w:r>
      <w:r>
        <w:rPr>
          <w:rFonts w:ascii="David" w:hAnsi="David" w:cs="David" w:hint="cs"/>
          <w:sz w:val="24"/>
          <w:szCs w:val="24"/>
          <w:rtl/>
        </w:rPr>
        <w:t xml:space="preserve"> </w:t>
      </w:r>
    </w:p>
    <w:p w14:paraId="156B72BC" w14:textId="77777777" w:rsidR="00F76FA6" w:rsidRDefault="00F76FA6" w:rsidP="00F76FA6">
      <w:pPr>
        <w:pStyle w:val="a9"/>
        <w:spacing w:line="360" w:lineRule="auto"/>
        <w:jc w:val="both"/>
        <w:rPr>
          <w:rFonts w:ascii="David" w:hAnsi="David" w:cs="David"/>
          <w:sz w:val="24"/>
          <w:szCs w:val="24"/>
        </w:rPr>
      </w:pPr>
    </w:p>
    <w:p w14:paraId="561D4A12" w14:textId="77777777" w:rsidR="00F76FA6" w:rsidRDefault="00F76FA6" w:rsidP="00F76FA6">
      <w:pPr>
        <w:pStyle w:val="a9"/>
        <w:spacing w:line="360" w:lineRule="auto"/>
        <w:ind w:left="720"/>
        <w:jc w:val="both"/>
        <w:rPr>
          <w:rFonts w:ascii="David" w:hAnsi="David" w:cs="David"/>
          <w:sz w:val="24"/>
          <w:szCs w:val="24"/>
          <w:rtl/>
        </w:rPr>
      </w:pPr>
      <w:r>
        <w:rPr>
          <w:rFonts w:ascii="David" w:hAnsi="David" w:cs="David"/>
          <w:sz w:val="24"/>
          <w:szCs w:val="24"/>
          <w:rtl/>
        </w:rPr>
        <w:t>ככל שהופקד פיקדון בתיק זה או בתיק מעצר הקשור אליו ובהיעדר מניעה על פי דין, יוחזר הפיקדון לידי הנאשם.</w:t>
      </w:r>
    </w:p>
    <w:p w14:paraId="3CAF8216" w14:textId="77777777" w:rsidR="00F76FA6" w:rsidRDefault="00F76FA6" w:rsidP="00F76FA6">
      <w:pPr>
        <w:pStyle w:val="a9"/>
        <w:spacing w:line="360" w:lineRule="auto"/>
        <w:jc w:val="both"/>
        <w:rPr>
          <w:rFonts w:ascii="David" w:hAnsi="David" w:cs="David"/>
          <w:sz w:val="24"/>
          <w:szCs w:val="24"/>
          <w:rtl/>
        </w:rPr>
      </w:pPr>
    </w:p>
    <w:p w14:paraId="341E4EE6" w14:textId="77777777" w:rsidR="00F76FA6" w:rsidRPr="001235D6" w:rsidRDefault="00F76FA6" w:rsidP="00F76FA6">
      <w:pPr>
        <w:spacing w:line="360" w:lineRule="auto"/>
        <w:jc w:val="both"/>
        <w:rPr>
          <w:rFonts w:ascii="David" w:hAnsi="David"/>
          <w:rtl/>
        </w:rPr>
      </w:pPr>
      <w:r w:rsidRPr="001235D6">
        <w:rPr>
          <w:rFonts w:ascii="David" w:hAnsi="David"/>
          <w:b/>
          <w:bCs/>
          <w:rtl/>
        </w:rPr>
        <w:t>זכות ערעור לבית המשפט המחוזי בתוך ארבעים וחמישה ימים מהיום</w:t>
      </w:r>
      <w:r w:rsidRPr="001235D6">
        <w:rPr>
          <w:rFonts w:ascii="David" w:hAnsi="David"/>
          <w:rtl/>
        </w:rPr>
        <w:t>.</w:t>
      </w:r>
    </w:p>
    <w:p w14:paraId="09C59D48" w14:textId="77777777" w:rsidR="00F76FA6" w:rsidRPr="001235D6" w:rsidRDefault="00F76FA6" w:rsidP="00F76FA6">
      <w:pPr>
        <w:spacing w:line="360" w:lineRule="auto"/>
        <w:jc w:val="both"/>
        <w:rPr>
          <w:rFonts w:ascii="David" w:hAnsi="David"/>
          <w:rtl/>
        </w:rPr>
      </w:pPr>
    </w:p>
    <w:p w14:paraId="7D2F90D2" w14:textId="77777777" w:rsidR="00F76FA6" w:rsidRPr="001235D6" w:rsidRDefault="000557A9" w:rsidP="00F76FA6">
      <w:pPr>
        <w:rPr>
          <w:rFonts w:ascii="Arial" w:hAnsi="Arial"/>
          <w:b/>
          <w:bCs/>
          <w:rtl/>
        </w:rPr>
      </w:pPr>
      <w:r w:rsidRPr="000557A9">
        <w:rPr>
          <w:rFonts w:ascii="Arial" w:hAnsi="Arial"/>
          <w:b/>
          <w:bCs/>
          <w:color w:val="FFFFFF"/>
          <w:sz w:val="2"/>
          <w:szCs w:val="2"/>
          <w:rtl/>
        </w:rPr>
        <w:t>5129371</w:t>
      </w:r>
      <w:r w:rsidR="00F76FA6" w:rsidRPr="001235D6">
        <w:rPr>
          <w:rFonts w:ascii="Arial" w:hAnsi="Arial" w:hint="cs"/>
          <w:b/>
          <w:bCs/>
          <w:rtl/>
        </w:rPr>
        <w:t xml:space="preserve">המזכירות תעביר העתק מגזר הדין לממונה על עבודות השירות. </w:t>
      </w:r>
    </w:p>
    <w:p w14:paraId="24D3B4F0" w14:textId="77777777" w:rsidR="00F76FA6" w:rsidRPr="000557A9" w:rsidRDefault="000557A9" w:rsidP="00F76FA6">
      <w:pPr>
        <w:rPr>
          <w:rFonts w:ascii="Arial" w:hAnsi="Arial"/>
          <w:b/>
          <w:bCs/>
          <w:color w:val="FFFFFF"/>
          <w:sz w:val="2"/>
          <w:szCs w:val="2"/>
          <w:rtl/>
        </w:rPr>
      </w:pPr>
      <w:r w:rsidRPr="000557A9">
        <w:rPr>
          <w:rFonts w:ascii="Arial" w:hAnsi="Arial"/>
          <w:b/>
          <w:bCs/>
          <w:color w:val="FFFFFF"/>
          <w:sz w:val="2"/>
          <w:szCs w:val="2"/>
          <w:rtl/>
        </w:rPr>
        <w:t>54678313</w:t>
      </w:r>
    </w:p>
    <w:p w14:paraId="68D11D59" w14:textId="77777777" w:rsidR="00F76FA6" w:rsidRPr="000F2247" w:rsidRDefault="00F76FA6" w:rsidP="00F76FA6">
      <w:pPr>
        <w:rPr>
          <w:rFonts w:ascii="Arial" w:hAnsi="Arial"/>
          <w:b/>
          <w:bCs/>
          <w:sz w:val="26"/>
          <w:szCs w:val="26"/>
          <w:rtl/>
        </w:rPr>
      </w:pPr>
    </w:p>
    <w:p w14:paraId="395FC815" w14:textId="77777777" w:rsidR="00F76FA6" w:rsidRPr="000F2247" w:rsidRDefault="000557A9" w:rsidP="00F76FA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שבט תשפ"ה, 10 פברואר 2025, במעמד הצדדים. </w:t>
      </w:r>
      <w:bookmarkEnd w:id="8"/>
      <w:r w:rsidR="00F76FA6">
        <w:rPr>
          <w:rFonts w:ascii="Arial" w:hAnsi="Arial"/>
          <w:b/>
          <w:bCs/>
          <w:sz w:val="26"/>
          <w:szCs w:val="26"/>
          <w:rtl/>
        </w:rPr>
        <w:tab/>
      </w:r>
      <w:r w:rsidR="00F76FA6">
        <w:rPr>
          <w:rFonts w:ascii="Arial" w:hAnsi="Arial"/>
          <w:b/>
          <w:bCs/>
          <w:sz w:val="26"/>
          <w:szCs w:val="26"/>
          <w:rtl/>
        </w:rPr>
        <w:tab/>
      </w:r>
      <w:r w:rsidR="00F76FA6">
        <w:rPr>
          <w:rFonts w:ascii="Arial" w:hAnsi="Arial"/>
          <w:b/>
          <w:bCs/>
          <w:sz w:val="26"/>
          <w:szCs w:val="26"/>
          <w:rtl/>
        </w:rPr>
        <w:tab/>
      </w:r>
      <w:r w:rsidR="00F76FA6">
        <w:rPr>
          <w:rFonts w:ascii="Arial" w:hAnsi="Arial"/>
          <w:b/>
          <w:bCs/>
          <w:sz w:val="26"/>
          <w:szCs w:val="26"/>
          <w:rtl/>
        </w:rPr>
        <w:tab/>
      </w:r>
      <w:r w:rsidR="00F76FA6">
        <w:rPr>
          <w:rFonts w:ascii="Arial" w:hAnsi="Arial"/>
          <w:b/>
          <w:bCs/>
          <w:sz w:val="26"/>
          <w:szCs w:val="26"/>
          <w:rtl/>
        </w:rPr>
        <w:tab/>
      </w:r>
      <w:r w:rsidR="00F76FA6">
        <w:rPr>
          <w:rFonts w:ascii="Arial" w:hAnsi="Arial"/>
          <w:b/>
          <w:bCs/>
          <w:sz w:val="26"/>
          <w:szCs w:val="26"/>
          <w:rtl/>
        </w:rPr>
        <w:tab/>
      </w:r>
      <w:r w:rsidR="00F76FA6">
        <w:rPr>
          <w:rFonts w:ascii="Arial" w:hAnsi="Arial"/>
          <w:b/>
          <w:bCs/>
          <w:sz w:val="26"/>
          <w:szCs w:val="26"/>
          <w:rtl/>
        </w:rPr>
        <w:tab/>
      </w:r>
      <w:r w:rsidR="00F76FA6">
        <w:rPr>
          <w:rFonts w:ascii="Arial" w:hAnsi="Arial" w:hint="cs"/>
          <w:b/>
          <w:bCs/>
          <w:sz w:val="26"/>
          <w:szCs w:val="26"/>
          <w:rtl/>
        </w:rPr>
        <w:t xml:space="preserve">         </w:t>
      </w:r>
    </w:p>
    <w:p w14:paraId="2A8BA4EC" w14:textId="77777777" w:rsidR="00F76FA6" w:rsidRPr="000F2247" w:rsidRDefault="00F76FA6" w:rsidP="000557A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A42BCAA" w14:textId="77777777" w:rsidR="00F76FA6" w:rsidRPr="00F806D2" w:rsidRDefault="00F806D2" w:rsidP="00F76FA6">
      <w:pPr>
        <w:jc w:val="center"/>
        <w:rPr>
          <w:rFonts w:ascii="Arial" w:hAnsi="Arial"/>
          <w:b/>
          <w:bCs/>
          <w:color w:val="FFFFFF"/>
          <w:sz w:val="2"/>
          <w:szCs w:val="2"/>
          <w:rtl/>
        </w:rPr>
      </w:pPr>
      <w:r w:rsidRPr="00F806D2">
        <w:rPr>
          <w:rFonts w:ascii="Arial" w:hAnsi="Arial"/>
          <w:b/>
          <w:bCs/>
          <w:color w:val="FFFFFF"/>
          <w:sz w:val="2"/>
          <w:szCs w:val="2"/>
          <w:rtl/>
        </w:rPr>
        <w:t>5129371</w:t>
      </w:r>
    </w:p>
    <w:p w14:paraId="7D4C91CE" w14:textId="77777777" w:rsidR="00E74528" w:rsidRPr="00F806D2" w:rsidRDefault="00F806D2" w:rsidP="000557A9">
      <w:pPr>
        <w:keepNext/>
        <w:rPr>
          <w:rFonts w:ascii="David" w:hAnsi="David"/>
          <w:color w:val="FFFFFF"/>
          <w:sz w:val="2"/>
          <w:szCs w:val="2"/>
          <w:rtl/>
        </w:rPr>
      </w:pPr>
      <w:r w:rsidRPr="00F806D2">
        <w:rPr>
          <w:rFonts w:ascii="David" w:hAnsi="David"/>
          <w:color w:val="FFFFFF"/>
          <w:sz w:val="2"/>
          <w:szCs w:val="2"/>
          <w:rtl/>
        </w:rPr>
        <w:t>54678313</w:t>
      </w:r>
    </w:p>
    <w:p w14:paraId="7D829A0C" w14:textId="77777777" w:rsidR="000557A9" w:rsidRDefault="000557A9" w:rsidP="000557A9">
      <w:pPr>
        <w:rPr>
          <w:rtl/>
        </w:rPr>
      </w:pPr>
    </w:p>
    <w:p w14:paraId="165CB546" w14:textId="77777777" w:rsidR="000557A9" w:rsidRDefault="000557A9" w:rsidP="000557A9">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DA2FC18" w14:textId="77777777" w:rsidR="00F806D2" w:rsidRPr="00F806D2" w:rsidRDefault="00F806D2" w:rsidP="00F806D2">
      <w:pPr>
        <w:keepNext/>
        <w:rPr>
          <w:rFonts w:ascii="David" w:hAnsi="David"/>
          <w:color w:val="000000"/>
          <w:sz w:val="22"/>
          <w:szCs w:val="22"/>
          <w:rtl/>
        </w:rPr>
      </w:pPr>
    </w:p>
    <w:p w14:paraId="70AE115D" w14:textId="77777777" w:rsidR="00F806D2" w:rsidRPr="00F806D2" w:rsidRDefault="00F806D2" w:rsidP="00F806D2">
      <w:pPr>
        <w:keepNext/>
        <w:rPr>
          <w:rFonts w:ascii="David" w:hAnsi="David"/>
          <w:color w:val="000000"/>
          <w:sz w:val="22"/>
          <w:szCs w:val="22"/>
          <w:rtl/>
        </w:rPr>
      </w:pPr>
      <w:r w:rsidRPr="00F806D2">
        <w:rPr>
          <w:rFonts w:ascii="David" w:hAnsi="David"/>
          <w:color w:val="000000"/>
          <w:sz w:val="22"/>
          <w:szCs w:val="22"/>
          <w:rtl/>
        </w:rPr>
        <w:t>איתן קורנהאוזר 54678313-/</w:t>
      </w:r>
    </w:p>
    <w:p w14:paraId="60DD054F" w14:textId="77777777" w:rsidR="000557A9" w:rsidRPr="000557A9" w:rsidRDefault="00F806D2" w:rsidP="00F806D2">
      <w:pPr>
        <w:rPr>
          <w:color w:val="0000FF"/>
          <w:u w:val="single"/>
        </w:rPr>
      </w:pPr>
      <w:r w:rsidRPr="00F806D2">
        <w:rPr>
          <w:color w:val="000000"/>
          <w:u w:val="single"/>
          <w:rtl/>
        </w:rPr>
        <w:t>נוסח מסמך זה כפוף לשינויי ניסוח ועריכה</w:t>
      </w:r>
    </w:p>
    <w:sectPr w:rsidR="000557A9" w:rsidRPr="000557A9" w:rsidSect="00F806D2">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27F0D" w14:textId="77777777" w:rsidR="004F174C" w:rsidRDefault="004F174C" w:rsidP="002B40F4">
      <w:r>
        <w:separator/>
      </w:r>
    </w:p>
  </w:endnote>
  <w:endnote w:type="continuationSeparator" w:id="0">
    <w:p w14:paraId="58E87C58" w14:textId="77777777" w:rsidR="004F174C" w:rsidRDefault="004F174C" w:rsidP="002B4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9B437" w14:textId="77777777" w:rsidR="00F806D2" w:rsidRDefault="00F806D2" w:rsidP="00F806D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FA39764" w14:textId="77777777" w:rsidR="00E74528" w:rsidRPr="00F806D2" w:rsidRDefault="00F806D2" w:rsidP="00F806D2">
    <w:pPr>
      <w:pStyle w:val="a5"/>
      <w:pBdr>
        <w:top w:val="single" w:sz="4" w:space="1" w:color="auto"/>
        <w:between w:val="single" w:sz="4" w:space="0" w:color="auto"/>
      </w:pBdr>
      <w:spacing w:after="60"/>
      <w:jc w:val="center"/>
      <w:rPr>
        <w:rFonts w:ascii="FrankRuehl" w:hAnsi="FrankRuehl" w:cs="FrankRuehl"/>
        <w:color w:val="000000"/>
      </w:rPr>
    </w:pPr>
    <w:r w:rsidRPr="00F806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3E665" w14:textId="77777777" w:rsidR="00F806D2" w:rsidRDefault="00F806D2" w:rsidP="00F806D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56D53">
      <w:rPr>
        <w:rFonts w:ascii="FrankRuehl" w:hAnsi="FrankRuehl" w:cs="FrankRuehl"/>
        <w:noProof/>
        <w:rtl/>
      </w:rPr>
      <w:t>1</w:t>
    </w:r>
    <w:r>
      <w:rPr>
        <w:rFonts w:ascii="FrankRuehl" w:hAnsi="FrankRuehl" w:cs="FrankRuehl"/>
        <w:rtl/>
      </w:rPr>
      <w:fldChar w:fldCharType="end"/>
    </w:r>
  </w:p>
  <w:p w14:paraId="7F2A6B35" w14:textId="77777777" w:rsidR="00E74528" w:rsidRPr="00F806D2" w:rsidRDefault="00F806D2" w:rsidP="00F806D2">
    <w:pPr>
      <w:pStyle w:val="a5"/>
      <w:pBdr>
        <w:top w:val="single" w:sz="4" w:space="1" w:color="auto"/>
        <w:between w:val="single" w:sz="4" w:space="0" w:color="auto"/>
      </w:pBdr>
      <w:spacing w:after="60"/>
      <w:jc w:val="center"/>
      <w:rPr>
        <w:rFonts w:ascii="FrankRuehl" w:hAnsi="FrankRuehl" w:cs="FrankRuehl"/>
        <w:color w:val="000000"/>
      </w:rPr>
    </w:pPr>
    <w:r w:rsidRPr="00F806D2">
      <w:rPr>
        <w:rFonts w:ascii="FrankRuehl" w:hAnsi="FrankRuehl" w:cs="FrankRuehl"/>
        <w:color w:val="000000"/>
      </w:rPr>
      <w:pict w14:anchorId="39B93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242F1" w14:textId="77777777" w:rsidR="004F174C" w:rsidRDefault="004F174C" w:rsidP="002B40F4">
      <w:r>
        <w:separator/>
      </w:r>
    </w:p>
  </w:footnote>
  <w:footnote w:type="continuationSeparator" w:id="0">
    <w:p w14:paraId="56653BD9" w14:textId="77777777" w:rsidR="004F174C" w:rsidRDefault="004F174C" w:rsidP="002B4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A4424" w14:textId="77777777" w:rsidR="000557A9" w:rsidRPr="00F806D2" w:rsidRDefault="00F806D2" w:rsidP="00F806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37997-10-22</w:t>
    </w:r>
    <w:r>
      <w:rPr>
        <w:rFonts w:ascii="David" w:hAnsi="David"/>
        <w:color w:val="000000"/>
        <w:sz w:val="22"/>
        <w:szCs w:val="22"/>
        <w:rtl/>
      </w:rPr>
      <w:tab/>
      <w:t xml:space="preserve"> מדינת ישראל נ' מובארק רבאב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4B1C0" w14:textId="77777777" w:rsidR="000557A9" w:rsidRPr="00F806D2" w:rsidRDefault="00F806D2" w:rsidP="00F806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37997-10-22</w:t>
    </w:r>
    <w:r>
      <w:rPr>
        <w:rFonts w:ascii="David" w:hAnsi="David"/>
        <w:color w:val="000000"/>
        <w:sz w:val="22"/>
        <w:szCs w:val="22"/>
        <w:rtl/>
      </w:rPr>
      <w:tab/>
      <w:t xml:space="preserve"> מדינת ישראל נ' מובארק רבאב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C52D7"/>
    <w:multiLevelType w:val="hybridMultilevel"/>
    <w:tmpl w:val="B8F4046E"/>
    <w:lvl w:ilvl="0" w:tplc="31A290B8">
      <w:start w:val="1"/>
      <w:numFmt w:val="hebrew1"/>
      <w:lvlText w:val="%1."/>
      <w:lvlJc w:val="left"/>
      <w:pPr>
        <w:ind w:left="1080" w:hanging="360"/>
      </w:pPr>
      <w:rPr>
        <w:rFonts w:ascii="David" w:eastAsia="Calibri" w:hAnsi="David" w:cs="David"/>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0E72A0B"/>
    <w:multiLevelType w:val="hybridMultilevel"/>
    <w:tmpl w:val="4630F810"/>
    <w:lvl w:ilvl="0" w:tplc="4C04B9F4">
      <w:start w:val="2"/>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0F2658"/>
    <w:multiLevelType w:val="hybridMultilevel"/>
    <w:tmpl w:val="8DEE5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55790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69880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4564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6FA6"/>
    <w:rsid w:val="000557A9"/>
    <w:rsid w:val="0018641C"/>
    <w:rsid w:val="002B40F4"/>
    <w:rsid w:val="004F174C"/>
    <w:rsid w:val="00676B76"/>
    <w:rsid w:val="00AA005F"/>
    <w:rsid w:val="00C56D53"/>
    <w:rsid w:val="00E74528"/>
    <w:rsid w:val="00F76FA6"/>
    <w:rsid w:val="00F80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F0D605"/>
  <w15:chartTrackingRefBased/>
  <w15:docId w15:val="{98B7448A-E4EF-4967-BF80-4B51DB81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6FA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6FA6"/>
    <w:pPr>
      <w:tabs>
        <w:tab w:val="center" w:pos="4153"/>
        <w:tab w:val="right" w:pos="8306"/>
      </w:tabs>
    </w:pPr>
  </w:style>
  <w:style w:type="character" w:customStyle="1" w:styleId="a4">
    <w:name w:val="כותרת עליונה תו"/>
    <w:link w:val="a3"/>
    <w:rsid w:val="00F76FA6"/>
    <w:rPr>
      <w:rFonts w:ascii="Times New Roman" w:eastAsia="Times New Roman" w:hAnsi="Times New Roman" w:cs="David"/>
      <w:sz w:val="24"/>
      <w:szCs w:val="24"/>
    </w:rPr>
  </w:style>
  <w:style w:type="paragraph" w:styleId="a5">
    <w:name w:val="footer"/>
    <w:basedOn w:val="a"/>
    <w:link w:val="a6"/>
    <w:rsid w:val="00F76FA6"/>
    <w:pPr>
      <w:tabs>
        <w:tab w:val="center" w:pos="4153"/>
        <w:tab w:val="right" w:pos="8306"/>
      </w:tabs>
    </w:pPr>
  </w:style>
  <w:style w:type="character" w:customStyle="1" w:styleId="a6">
    <w:name w:val="כותרת תחתונה תו"/>
    <w:link w:val="a5"/>
    <w:rsid w:val="00F76FA6"/>
    <w:rPr>
      <w:rFonts w:ascii="Times New Roman" w:eastAsia="Times New Roman" w:hAnsi="Times New Roman" w:cs="David"/>
      <w:sz w:val="24"/>
      <w:szCs w:val="24"/>
    </w:rPr>
  </w:style>
  <w:style w:type="table" w:styleId="a7">
    <w:name w:val="Table Grid"/>
    <w:basedOn w:val="a1"/>
    <w:rsid w:val="00F76FA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6FA6"/>
  </w:style>
  <w:style w:type="paragraph" w:styleId="a9">
    <w:name w:val="No Spacing"/>
    <w:qFormat/>
    <w:rsid w:val="00F76FA6"/>
    <w:pPr>
      <w:bidi/>
    </w:pPr>
    <w:rPr>
      <w:sz w:val="22"/>
      <w:szCs w:val="22"/>
    </w:rPr>
  </w:style>
  <w:style w:type="character" w:customStyle="1" w:styleId="aa">
    <w:name w:val="פיסקת רשימה תו"/>
    <w:link w:val="ab"/>
    <w:locked/>
    <w:rsid w:val="00F76FA6"/>
  </w:style>
  <w:style w:type="paragraph" w:styleId="ab">
    <w:name w:val="List Paragraph"/>
    <w:basedOn w:val="a"/>
    <w:link w:val="aa"/>
    <w:qFormat/>
    <w:rsid w:val="00F76FA6"/>
    <w:pPr>
      <w:spacing w:after="160" w:line="256" w:lineRule="auto"/>
      <w:ind w:left="720"/>
      <w:contextualSpacing/>
    </w:pPr>
    <w:rPr>
      <w:rFonts w:ascii="Calibri" w:eastAsia="Calibri" w:hAnsi="Calibri" w:cs="Arial"/>
      <w:sz w:val="22"/>
      <w:szCs w:val="22"/>
    </w:rPr>
  </w:style>
  <w:style w:type="character" w:styleId="Hyperlink">
    <w:name w:val="Hyperlink"/>
    <w:rsid w:val="000557A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5698757" TargetMode="External"/><Relationship Id="rId7" Type="http://schemas.openxmlformats.org/officeDocument/2006/relationships/hyperlink" Target="http://www.nevo.co.il/law/4216" TargetMode="External"/><Relationship Id="rId12" Type="http://schemas.openxmlformats.org/officeDocument/2006/relationships/hyperlink" Target="http://www.nevo.co.il/case/161892" TargetMode="External"/><Relationship Id="rId17" Type="http://schemas.openxmlformats.org/officeDocument/2006/relationships/hyperlink" Target="http://www.nevo.co.il/case/20683368"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350637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2294063"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28290009"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7029339" TargetMode="External"/><Relationship Id="rId22" Type="http://schemas.openxmlformats.org/officeDocument/2006/relationships/hyperlink" Target="http://www.nevo.co.il/case/26903409"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1948</Words>
  <Characters>9744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11669</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3670134</vt:i4>
      </vt:variant>
      <vt:variant>
        <vt:i4>45</vt:i4>
      </vt:variant>
      <vt:variant>
        <vt:i4>0</vt:i4>
      </vt:variant>
      <vt:variant>
        <vt:i4>5</vt:i4>
      </vt:variant>
      <vt:variant>
        <vt:lpwstr>http://www.nevo.co.il/case/26903409</vt:lpwstr>
      </vt:variant>
      <vt:variant>
        <vt:lpwstr/>
      </vt:variant>
      <vt:variant>
        <vt:i4>3735679</vt:i4>
      </vt:variant>
      <vt:variant>
        <vt:i4>42</vt:i4>
      </vt:variant>
      <vt:variant>
        <vt:i4>0</vt:i4>
      </vt:variant>
      <vt:variant>
        <vt:i4>5</vt:i4>
      </vt:variant>
      <vt:variant>
        <vt:lpwstr>http://www.nevo.co.il/case/25698757</vt:lpwstr>
      </vt:variant>
      <vt:variant>
        <vt:lpwstr/>
      </vt:variant>
      <vt:variant>
        <vt:i4>3539060</vt:i4>
      </vt:variant>
      <vt:variant>
        <vt:i4>39</vt:i4>
      </vt:variant>
      <vt:variant>
        <vt:i4>0</vt:i4>
      </vt:variant>
      <vt:variant>
        <vt:i4>5</vt:i4>
      </vt:variant>
      <vt:variant>
        <vt:lpwstr>http://www.nevo.co.il/case/23506377</vt:lpwstr>
      </vt:variant>
      <vt:variant>
        <vt:lpwstr/>
      </vt:variant>
      <vt:variant>
        <vt:i4>3145845</vt:i4>
      </vt:variant>
      <vt:variant>
        <vt:i4>36</vt:i4>
      </vt:variant>
      <vt:variant>
        <vt:i4>0</vt:i4>
      </vt:variant>
      <vt:variant>
        <vt:i4>5</vt:i4>
      </vt:variant>
      <vt:variant>
        <vt:lpwstr>http://www.nevo.co.il/case/28290009</vt:lpwstr>
      </vt:variant>
      <vt:variant>
        <vt:lpwstr/>
      </vt:variant>
      <vt:variant>
        <vt:i4>7995492</vt:i4>
      </vt:variant>
      <vt:variant>
        <vt:i4>33</vt:i4>
      </vt:variant>
      <vt:variant>
        <vt:i4>0</vt:i4>
      </vt:variant>
      <vt:variant>
        <vt:i4>5</vt:i4>
      </vt:variant>
      <vt:variant>
        <vt:lpwstr>http://www.nevo.co.il/law/70301</vt:lpwstr>
      </vt:variant>
      <vt:variant>
        <vt:lpwstr/>
      </vt:variant>
      <vt:variant>
        <vt:i4>3211391</vt:i4>
      </vt:variant>
      <vt:variant>
        <vt:i4>30</vt:i4>
      </vt:variant>
      <vt:variant>
        <vt:i4>0</vt:i4>
      </vt:variant>
      <vt:variant>
        <vt:i4>5</vt:i4>
      </vt:variant>
      <vt:variant>
        <vt:lpwstr>http://www.nevo.co.il/case/20683368</vt:lpwstr>
      </vt:variant>
      <vt:variant>
        <vt:lpwstr/>
      </vt:variant>
      <vt:variant>
        <vt:i4>7995492</vt:i4>
      </vt:variant>
      <vt:variant>
        <vt:i4>27</vt:i4>
      </vt:variant>
      <vt:variant>
        <vt:i4>0</vt:i4>
      </vt:variant>
      <vt:variant>
        <vt:i4>5</vt:i4>
      </vt:variant>
      <vt:variant>
        <vt:lpwstr>http://www.nevo.co.il/law/70301</vt:lpwstr>
      </vt:variant>
      <vt:variant>
        <vt:lpwstr/>
      </vt:variant>
      <vt:variant>
        <vt:i4>3276927</vt:i4>
      </vt:variant>
      <vt:variant>
        <vt:i4>24</vt:i4>
      </vt:variant>
      <vt:variant>
        <vt:i4>0</vt:i4>
      </vt:variant>
      <vt:variant>
        <vt:i4>5</vt:i4>
      </vt:variant>
      <vt:variant>
        <vt:lpwstr>http://www.nevo.co.il/case/22294063</vt:lpwstr>
      </vt:variant>
      <vt:variant>
        <vt:lpwstr/>
      </vt:variant>
      <vt:variant>
        <vt:i4>4128894</vt:i4>
      </vt:variant>
      <vt:variant>
        <vt:i4>21</vt:i4>
      </vt:variant>
      <vt:variant>
        <vt:i4>0</vt:i4>
      </vt:variant>
      <vt:variant>
        <vt:i4>5</vt:i4>
      </vt:variant>
      <vt:variant>
        <vt:lpwstr>http://www.nevo.co.il/case/7029339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589898</vt:i4>
      </vt:variant>
      <vt:variant>
        <vt:i4>15</vt:i4>
      </vt:variant>
      <vt:variant>
        <vt:i4>0</vt:i4>
      </vt:variant>
      <vt:variant>
        <vt:i4>5</vt:i4>
      </vt:variant>
      <vt:variant>
        <vt:lpwstr>http://www.nevo.co.il/case/161892</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5177418</vt:i4>
      </vt:variant>
      <vt:variant>
        <vt:i4>9</vt:i4>
      </vt:variant>
      <vt:variant>
        <vt:i4>0</vt:i4>
      </vt:variant>
      <vt:variant>
        <vt:i4>5</vt:i4>
      </vt:variant>
      <vt:variant>
        <vt:lpwstr>http://www.nevo.co.il/law/4216/13</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2025-04-23T01:36:00Z</dcterms:created>
  <dcterms:modified xsi:type="dcterms:W3CDTF">2025-04-23T01:36:00Z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37997</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מובארק רבאב</vt:lpwstr>
  </property>
  <property fmtid="{D5CDD505-2E9C-101B-9397-08002B2CF9AE}" pid="10" name="LAWYER">
    <vt:lpwstr>יוסי סקה</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20250210</vt:lpwstr>
  </property>
  <property fmtid="{D5CDD505-2E9C-101B-9397-08002B2CF9AE}" pid="14" name="TYPE_N_DATE">
    <vt:lpwstr>38020250210</vt:lpwstr>
  </property>
  <property fmtid="{D5CDD505-2E9C-101B-9397-08002B2CF9AE}" pid="15" name="CASESLISTTMP1">
    <vt:lpwstr>161892;7029339;22294063;20683368;28290009;23506377;25698757;26903409</vt:lpwstr>
  </property>
  <property fmtid="{D5CDD505-2E9C-101B-9397-08002B2CF9AE}" pid="16" name="WORDNUMPAGES">
    <vt:lpwstr>6</vt:lpwstr>
  </property>
  <property fmtid="{D5CDD505-2E9C-101B-9397-08002B2CF9AE}" pid="17" name="TYPE_ABS_DATE">
    <vt:lpwstr>380020250210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vt:lpwstr>
  </property>
  <property fmtid="{D5CDD505-2E9C-101B-9397-08002B2CF9AE}" pid="36" name="LAWLISTTMP2">
    <vt:lpwstr>70301:3</vt:lpwstr>
  </property>
  <property fmtid="{D5CDD505-2E9C-101B-9397-08002B2CF9AE}" pid="37" name="ISABSTRACT">
    <vt:lpwstr>Y</vt:lpwstr>
  </property>
</Properties>
</file>