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69"/>
        <w:gridCol w:w="3554"/>
      </w:tblGrid>
      <w:tr w:rsidR="00C317EF" w:rsidRPr="00C44D50" w14:paraId="295CF184" w14:textId="77777777" w:rsidTr="0041779F">
        <w:trPr>
          <w:trHeight w:hRule="exact" w:val="418"/>
          <w:jc w:val="center"/>
        </w:trPr>
        <w:tc>
          <w:tcPr>
            <w:tcW w:w="8523" w:type="dxa"/>
            <w:gridSpan w:val="2"/>
          </w:tcPr>
          <w:p w14:paraId="11C0B7EE" w14:textId="77777777" w:rsidR="00C317EF" w:rsidRPr="00C44D50" w:rsidRDefault="00C317EF" w:rsidP="00330F7E">
            <w:pPr>
              <w:pStyle w:val="a3"/>
              <w:jc w:val="center"/>
              <w:rPr>
                <w:rFonts w:ascii="Tahoma" w:hAnsi="Tahoma"/>
                <w:color w:val="000080"/>
                <w:sz w:val="32"/>
                <w:szCs w:val="32"/>
                <w:rtl/>
              </w:rPr>
            </w:pPr>
            <w:bookmarkStart w:id="0" w:name="LastJudge"/>
            <w:r w:rsidRPr="00C44D50">
              <w:rPr>
                <w:rFonts w:ascii="Tahoma" w:hAnsi="Tahoma"/>
                <w:b/>
                <w:bCs/>
                <w:color w:val="000080"/>
                <w:sz w:val="32"/>
                <w:szCs w:val="32"/>
                <w:rtl/>
              </w:rPr>
              <w:t>בית משפט השלום בתל אביב - יפו</w:t>
            </w:r>
          </w:p>
        </w:tc>
      </w:tr>
      <w:tr w:rsidR="00C317EF" w:rsidRPr="00C44D50" w14:paraId="760FBADE" w14:textId="77777777" w:rsidTr="0041779F">
        <w:trPr>
          <w:trHeight w:val="337"/>
          <w:jc w:val="center"/>
        </w:trPr>
        <w:tc>
          <w:tcPr>
            <w:tcW w:w="4969" w:type="dxa"/>
          </w:tcPr>
          <w:p w14:paraId="6DAA1670" w14:textId="77777777" w:rsidR="00C317EF" w:rsidRPr="00C44D50" w:rsidRDefault="00C317EF" w:rsidP="00330F7E">
            <w:pPr>
              <w:rPr>
                <w:sz w:val="26"/>
                <w:szCs w:val="26"/>
                <w:rtl/>
              </w:rPr>
            </w:pPr>
            <w:r w:rsidRPr="00C44D50">
              <w:rPr>
                <w:sz w:val="26"/>
                <w:szCs w:val="26"/>
                <w:rtl/>
              </w:rPr>
              <w:t>ת"פ</w:t>
            </w:r>
            <w:r w:rsidRPr="00C44D50">
              <w:rPr>
                <w:rFonts w:hint="cs"/>
                <w:sz w:val="26"/>
                <w:szCs w:val="26"/>
                <w:rtl/>
              </w:rPr>
              <w:t xml:space="preserve"> </w:t>
            </w:r>
            <w:r w:rsidRPr="00C44D50">
              <w:rPr>
                <w:sz w:val="26"/>
                <w:szCs w:val="26"/>
                <w:rtl/>
              </w:rPr>
              <w:t>47589-10-22</w:t>
            </w:r>
            <w:r w:rsidRPr="00C44D50">
              <w:rPr>
                <w:rFonts w:hint="cs"/>
                <w:sz w:val="26"/>
                <w:szCs w:val="26"/>
                <w:rtl/>
              </w:rPr>
              <w:t xml:space="preserve"> </w:t>
            </w:r>
            <w:r w:rsidRPr="00C44D50">
              <w:rPr>
                <w:sz w:val="26"/>
                <w:szCs w:val="26"/>
                <w:rtl/>
              </w:rPr>
              <w:t>מדינת ישראל נ' IBRAHIM(עציר)</w:t>
            </w:r>
          </w:p>
        </w:tc>
        <w:tc>
          <w:tcPr>
            <w:tcW w:w="3554" w:type="dxa"/>
          </w:tcPr>
          <w:p w14:paraId="312BBD73" w14:textId="77777777" w:rsidR="00C317EF" w:rsidRPr="00C44D50" w:rsidRDefault="00C317EF" w:rsidP="00330F7E">
            <w:pPr>
              <w:pStyle w:val="a3"/>
              <w:jc w:val="right"/>
              <w:rPr>
                <w:rFonts w:cs="FrankRuehl"/>
                <w:sz w:val="28"/>
                <w:szCs w:val="28"/>
                <w:rtl/>
              </w:rPr>
            </w:pPr>
          </w:p>
        </w:tc>
      </w:tr>
    </w:tbl>
    <w:p w14:paraId="5480CB89" w14:textId="77777777" w:rsidR="00C317EF" w:rsidRPr="00C44D50" w:rsidRDefault="00C317EF" w:rsidP="0041779F">
      <w:pPr>
        <w:pStyle w:val="a3"/>
      </w:pPr>
      <w:r w:rsidRPr="00C44D5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5599"/>
        <w:gridCol w:w="1990"/>
      </w:tblGrid>
      <w:tr w:rsidR="00C317EF" w:rsidRPr="00C44D50" w14:paraId="435C23B3" w14:textId="77777777" w:rsidTr="00C317EF">
        <w:trPr>
          <w:trHeight w:val="295"/>
          <w:jc w:val="center"/>
        </w:trPr>
        <w:tc>
          <w:tcPr>
            <w:tcW w:w="8820" w:type="dxa"/>
            <w:gridSpan w:val="3"/>
            <w:tcBorders>
              <w:top w:val="nil"/>
              <w:left w:val="nil"/>
              <w:bottom w:val="nil"/>
              <w:right w:val="nil"/>
            </w:tcBorders>
            <w:shd w:val="clear" w:color="auto" w:fill="auto"/>
          </w:tcPr>
          <w:p w14:paraId="6C0D2E65" w14:textId="77777777" w:rsidR="00C317EF" w:rsidRPr="00C44D50" w:rsidRDefault="00C317EF" w:rsidP="00C317EF">
            <w:pPr>
              <w:spacing w:line="360" w:lineRule="auto"/>
              <w:jc w:val="both"/>
              <w:rPr>
                <w:sz w:val="26"/>
                <w:szCs w:val="26"/>
                <w:rtl/>
              </w:rPr>
            </w:pPr>
            <w:r w:rsidRPr="00C44D50">
              <w:rPr>
                <w:rFonts w:ascii="Arial" w:hAnsi="Arial" w:hint="cs"/>
                <w:b/>
                <w:bCs/>
                <w:sz w:val="26"/>
                <w:szCs w:val="26"/>
                <w:rtl/>
              </w:rPr>
              <w:t>ל</w:t>
            </w:r>
            <w:r w:rsidRPr="00C44D50">
              <w:rPr>
                <w:rFonts w:ascii="Arial" w:hAnsi="Arial"/>
                <w:b/>
                <w:bCs/>
                <w:sz w:val="26"/>
                <w:szCs w:val="26"/>
                <w:rtl/>
              </w:rPr>
              <w:t xml:space="preserve">פני </w:t>
            </w:r>
            <w:r w:rsidRPr="00C44D50">
              <w:rPr>
                <w:rFonts w:ascii="Arial" w:hAnsi="Arial" w:hint="cs"/>
                <w:b/>
                <w:bCs/>
                <w:sz w:val="26"/>
                <w:szCs w:val="26"/>
                <w:rtl/>
              </w:rPr>
              <w:t>כבוד ה</w:t>
            </w:r>
            <w:r w:rsidRPr="00C44D50">
              <w:rPr>
                <w:rFonts w:ascii="Arial" w:hAnsi="Arial"/>
                <w:b/>
                <w:bCs/>
                <w:sz w:val="26"/>
                <w:szCs w:val="26"/>
                <w:rtl/>
              </w:rPr>
              <w:t>שופט</w:t>
            </w:r>
            <w:r w:rsidRPr="00C44D50">
              <w:rPr>
                <w:rFonts w:ascii="Arial" w:hAnsi="Arial" w:hint="cs"/>
                <w:b/>
                <w:bCs/>
                <w:sz w:val="26"/>
                <w:szCs w:val="26"/>
                <w:rtl/>
              </w:rPr>
              <w:t xml:space="preserve">  </w:t>
            </w:r>
            <w:r w:rsidRPr="00C44D50">
              <w:rPr>
                <w:rFonts w:ascii="Arial" w:hAnsi="Arial"/>
                <w:b/>
                <w:bCs/>
                <w:sz w:val="26"/>
                <w:szCs w:val="26"/>
                <w:rtl/>
              </w:rPr>
              <w:t>שמאי בקר</w:t>
            </w:r>
          </w:p>
          <w:p w14:paraId="50B9BA8C" w14:textId="77777777" w:rsidR="00C317EF" w:rsidRPr="00C44D50" w:rsidRDefault="00C317EF" w:rsidP="00C317EF">
            <w:pPr>
              <w:spacing w:line="360" w:lineRule="auto"/>
              <w:jc w:val="both"/>
              <w:rPr>
                <w:rFonts w:ascii="Arial" w:hAnsi="Arial"/>
                <w:b/>
                <w:bCs/>
                <w:sz w:val="26"/>
                <w:szCs w:val="26"/>
                <w:rtl/>
              </w:rPr>
            </w:pPr>
          </w:p>
          <w:p w14:paraId="00366F65" w14:textId="77777777" w:rsidR="00C317EF" w:rsidRPr="00C44D50" w:rsidRDefault="00C317EF" w:rsidP="00C317EF">
            <w:pPr>
              <w:spacing w:line="360" w:lineRule="auto"/>
              <w:jc w:val="both"/>
              <w:rPr>
                <w:rFonts w:ascii="Arial" w:hAnsi="Arial"/>
                <w:b/>
                <w:bCs/>
                <w:sz w:val="26"/>
                <w:szCs w:val="26"/>
              </w:rPr>
            </w:pPr>
          </w:p>
        </w:tc>
      </w:tr>
      <w:tr w:rsidR="00C317EF" w:rsidRPr="00C44D50" w14:paraId="2EEDB196" w14:textId="77777777" w:rsidTr="00C317EF">
        <w:trPr>
          <w:trHeight w:val="355"/>
          <w:jc w:val="center"/>
        </w:trPr>
        <w:tc>
          <w:tcPr>
            <w:tcW w:w="1231" w:type="dxa"/>
            <w:tcBorders>
              <w:top w:val="nil"/>
              <w:left w:val="nil"/>
              <w:bottom w:val="nil"/>
              <w:right w:val="nil"/>
            </w:tcBorders>
            <w:shd w:val="clear" w:color="auto" w:fill="auto"/>
          </w:tcPr>
          <w:p w14:paraId="40D251BC" w14:textId="77777777" w:rsidR="00C317EF" w:rsidRPr="00C44D50" w:rsidRDefault="00C317EF" w:rsidP="00C317EF">
            <w:pPr>
              <w:spacing w:line="360" w:lineRule="auto"/>
              <w:jc w:val="both"/>
              <w:rPr>
                <w:rFonts w:ascii="Arial" w:hAnsi="Arial"/>
                <w:b/>
                <w:bCs/>
                <w:sz w:val="26"/>
                <w:szCs w:val="26"/>
                <w:rtl/>
              </w:rPr>
            </w:pPr>
            <w:bookmarkStart w:id="1" w:name="FirstAppellant"/>
            <w:bookmarkStart w:id="2" w:name="FirstLawyer"/>
          </w:p>
          <w:p w14:paraId="5F967B00" w14:textId="77777777" w:rsidR="00C317EF" w:rsidRPr="00C44D50" w:rsidRDefault="00C317EF" w:rsidP="00C317EF">
            <w:pPr>
              <w:spacing w:line="360" w:lineRule="auto"/>
              <w:jc w:val="both"/>
              <w:rPr>
                <w:rFonts w:ascii="Arial" w:hAnsi="Arial"/>
                <w:b/>
                <w:bCs/>
                <w:sz w:val="26"/>
                <w:szCs w:val="26"/>
              </w:rPr>
            </w:pPr>
            <w:r w:rsidRPr="00C44D50">
              <w:rPr>
                <w:rFonts w:ascii="Arial" w:hAnsi="Arial" w:hint="cs"/>
                <w:b/>
                <w:bCs/>
                <w:sz w:val="26"/>
                <w:szCs w:val="26"/>
                <w:rtl/>
              </w:rPr>
              <w:t>ה</w:t>
            </w:r>
            <w:r w:rsidRPr="00C44D50">
              <w:rPr>
                <w:rFonts w:ascii="Arial" w:hAnsi="Arial"/>
                <w:b/>
                <w:bCs/>
                <w:sz w:val="26"/>
                <w:szCs w:val="26"/>
                <w:rtl/>
              </w:rPr>
              <w:t>מאשימה</w:t>
            </w:r>
          </w:p>
        </w:tc>
        <w:tc>
          <w:tcPr>
            <w:tcW w:w="5599" w:type="dxa"/>
            <w:tcBorders>
              <w:top w:val="nil"/>
              <w:left w:val="nil"/>
              <w:bottom w:val="nil"/>
              <w:right w:val="nil"/>
            </w:tcBorders>
            <w:shd w:val="clear" w:color="auto" w:fill="auto"/>
          </w:tcPr>
          <w:p w14:paraId="2AF9A9CF" w14:textId="77777777" w:rsidR="00C317EF" w:rsidRPr="00C44D50" w:rsidRDefault="00C317EF" w:rsidP="00C317EF">
            <w:pPr>
              <w:spacing w:line="360" w:lineRule="auto"/>
              <w:rPr>
                <w:b/>
                <w:bCs/>
                <w:sz w:val="26"/>
                <w:szCs w:val="26"/>
                <w:rtl/>
              </w:rPr>
            </w:pPr>
          </w:p>
          <w:p w14:paraId="46F438E0" w14:textId="77777777" w:rsidR="00C317EF" w:rsidRPr="00C44D50" w:rsidRDefault="00C317EF" w:rsidP="00C317EF">
            <w:pPr>
              <w:spacing w:line="360" w:lineRule="auto"/>
              <w:rPr>
                <w:sz w:val="26"/>
                <w:szCs w:val="26"/>
                <w:rtl/>
              </w:rPr>
            </w:pPr>
            <w:r w:rsidRPr="00C44D50">
              <w:rPr>
                <w:rFonts w:hint="cs"/>
                <w:b/>
                <w:bCs/>
                <w:sz w:val="26"/>
                <w:szCs w:val="26"/>
                <w:rtl/>
              </w:rPr>
              <w:t xml:space="preserve">                          </w:t>
            </w:r>
            <w:r w:rsidRPr="00C44D50">
              <w:rPr>
                <w:rFonts w:ascii="Arial" w:hAnsi="Arial"/>
                <w:b/>
                <w:bCs/>
                <w:sz w:val="26"/>
                <w:szCs w:val="26"/>
                <w:rtl/>
              </w:rPr>
              <w:t>מדינת ישראל</w:t>
            </w:r>
          </w:p>
          <w:p w14:paraId="2236B894" w14:textId="77777777" w:rsidR="00C317EF" w:rsidRPr="00C44D50" w:rsidRDefault="00C317EF" w:rsidP="00C317EF">
            <w:pPr>
              <w:spacing w:line="360" w:lineRule="auto"/>
              <w:rPr>
                <w:sz w:val="26"/>
                <w:szCs w:val="26"/>
              </w:rPr>
            </w:pPr>
            <w:r w:rsidRPr="00C44D50">
              <w:rPr>
                <w:rFonts w:hint="cs"/>
                <w:sz w:val="26"/>
                <w:szCs w:val="26"/>
                <w:rtl/>
              </w:rPr>
              <w:t xml:space="preserve">                          ע"י ב"כ עו"ד שירן ברגל, תביעות ת"א</w:t>
            </w:r>
          </w:p>
        </w:tc>
        <w:tc>
          <w:tcPr>
            <w:tcW w:w="1990" w:type="dxa"/>
            <w:tcBorders>
              <w:top w:val="nil"/>
              <w:left w:val="nil"/>
              <w:bottom w:val="nil"/>
              <w:right w:val="nil"/>
            </w:tcBorders>
            <w:shd w:val="clear" w:color="auto" w:fill="auto"/>
          </w:tcPr>
          <w:p w14:paraId="2853B905" w14:textId="77777777" w:rsidR="00C317EF" w:rsidRPr="00C44D50" w:rsidRDefault="00C317EF" w:rsidP="00C317EF">
            <w:pPr>
              <w:spacing w:line="360" w:lineRule="auto"/>
              <w:jc w:val="both"/>
              <w:rPr>
                <w:rFonts w:ascii="Arial" w:hAnsi="Arial"/>
                <w:sz w:val="26"/>
                <w:szCs w:val="26"/>
              </w:rPr>
            </w:pPr>
          </w:p>
        </w:tc>
      </w:tr>
      <w:bookmarkEnd w:id="1"/>
      <w:bookmarkEnd w:id="2"/>
      <w:tr w:rsidR="00C317EF" w:rsidRPr="00C44D50" w14:paraId="44C0A8BA" w14:textId="77777777" w:rsidTr="00C317EF">
        <w:trPr>
          <w:trHeight w:val="373"/>
          <w:jc w:val="center"/>
        </w:trPr>
        <w:tc>
          <w:tcPr>
            <w:tcW w:w="1231" w:type="dxa"/>
            <w:tcBorders>
              <w:top w:val="nil"/>
              <w:left w:val="nil"/>
              <w:bottom w:val="nil"/>
              <w:right w:val="nil"/>
            </w:tcBorders>
            <w:shd w:val="clear" w:color="auto" w:fill="auto"/>
          </w:tcPr>
          <w:p w14:paraId="6FC286E1" w14:textId="77777777" w:rsidR="00C317EF" w:rsidRPr="00C44D50" w:rsidRDefault="00C317EF" w:rsidP="00C317EF">
            <w:pPr>
              <w:spacing w:line="360" w:lineRule="auto"/>
              <w:jc w:val="both"/>
              <w:rPr>
                <w:rFonts w:ascii="Arial" w:hAnsi="Arial"/>
                <w:sz w:val="26"/>
                <w:szCs w:val="26"/>
                <w:rtl/>
              </w:rPr>
            </w:pPr>
          </w:p>
        </w:tc>
        <w:tc>
          <w:tcPr>
            <w:tcW w:w="7589" w:type="dxa"/>
            <w:gridSpan w:val="2"/>
            <w:tcBorders>
              <w:top w:val="nil"/>
              <w:left w:val="nil"/>
              <w:bottom w:val="nil"/>
              <w:right w:val="nil"/>
            </w:tcBorders>
            <w:shd w:val="clear" w:color="auto" w:fill="auto"/>
          </w:tcPr>
          <w:p w14:paraId="14BD5935" w14:textId="77777777" w:rsidR="00C317EF" w:rsidRPr="00C44D50" w:rsidRDefault="00C317EF" w:rsidP="00C317EF">
            <w:pPr>
              <w:spacing w:line="360" w:lineRule="auto"/>
              <w:jc w:val="center"/>
              <w:rPr>
                <w:rFonts w:ascii="Arial" w:hAnsi="Arial"/>
                <w:b/>
                <w:bCs/>
                <w:sz w:val="26"/>
                <w:szCs w:val="26"/>
                <w:rtl/>
              </w:rPr>
            </w:pPr>
          </w:p>
          <w:p w14:paraId="3F13F649" w14:textId="77777777" w:rsidR="00C317EF" w:rsidRPr="00C44D50" w:rsidRDefault="00C317EF" w:rsidP="00C317EF">
            <w:pPr>
              <w:spacing w:line="360" w:lineRule="auto"/>
              <w:rPr>
                <w:rFonts w:ascii="Arial" w:hAnsi="Arial"/>
                <w:b/>
                <w:bCs/>
                <w:sz w:val="26"/>
                <w:szCs w:val="26"/>
                <w:rtl/>
              </w:rPr>
            </w:pPr>
            <w:r w:rsidRPr="00C44D50">
              <w:rPr>
                <w:rFonts w:ascii="Arial" w:hAnsi="Arial" w:hint="cs"/>
                <w:b/>
                <w:bCs/>
                <w:sz w:val="26"/>
                <w:szCs w:val="26"/>
                <w:rtl/>
              </w:rPr>
              <w:t xml:space="preserve">                                              </w:t>
            </w:r>
            <w:r w:rsidRPr="00C44D50">
              <w:rPr>
                <w:rFonts w:ascii="Arial" w:hAnsi="Arial"/>
                <w:b/>
                <w:bCs/>
                <w:sz w:val="26"/>
                <w:szCs w:val="26"/>
                <w:rtl/>
              </w:rPr>
              <w:t>נ</w:t>
            </w:r>
            <w:r w:rsidRPr="00C44D50">
              <w:rPr>
                <w:rFonts w:ascii="Arial" w:hAnsi="Arial" w:hint="cs"/>
                <w:b/>
                <w:bCs/>
                <w:sz w:val="26"/>
                <w:szCs w:val="26"/>
                <w:rtl/>
              </w:rPr>
              <w:t xml:space="preserve">  </w:t>
            </w:r>
            <w:r w:rsidRPr="00C44D50">
              <w:rPr>
                <w:rFonts w:ascii="Arial" w:hAnsi="Arial"/>
                <w:b/>
                <w:bCs/>
                <w:sz w:val="26"/>
                <w:szCs w:val="26"/>
                <w:rtl/>
              </w:rPr>
              <w:t>ג</w:t>
            </w:r>
            <w:r w:rsidRPr="00C44D50">
              <w:rPr>
                <w:rFonts w:ascii="Arial" w:hAnsi="Arial" w:hint="cs"/>
                <w:b/>
                <w:bCs/>
                <w:sz w:val="26"/>
                <w:szCs w:val="26"/>
                <w:rtl/>
              </w:rPr>
              <w:t xml:space="preserve">  </w:t>
            </w:r>
            <w:r w:rsidRPr="00C44D50">
              <w:rPr>
                <w:rFonts w:ascii="Arial" w:hAnsi="Arial"/>
                <w:b/>
                <w:bCs/>
                <w:sz w:val="26"/>
                <w:szCs w:val="26"/>
                <w:rtl/>
              </w:rPr>
              <w:t>ד</w:t>
            </w:r>
          </w:p>
          <w:p w14:paraId="7BDC128D" w14:textId="77777777" w:rsidR="00C317EF" w:rsidRPr="00C44D50" w:rsidRDefault="00C317EF" w:rsidP="00C317EF">
            <w:pPr>
              <w:spacing w:line="360" w:lineRule="auto"/>
              <w:jc w:val="both"/>
              <w:rPr>
                <w:rFonts w:ascii="Arial" w:hAnsi="Arial"/>
                <w:sz w:val="26"/>
                <w:szCs w:val="26"/>
              </w:rPr>
            </w:pPr>
          </w:p>
        </w:tc>
      </w:tr>
      <w:tr w:rsidR="00C317EF" w:rsidRPr="00C44D50" w14:paraId="0AF423A8" w14:textId="77777777" w:rsidTr="00C317EF">
        <w:trPr>
          <w:trHeight w:val="355"/>
          <w:jc w:val="center"/>
        </w:trPr>
        <w:tc>
          <w:tcPr>
            <w:tcW w:w="1231" w:type="dxa"/>
            <w:tcBorders>
              <w:top w:val="nil"/>
              <w:left w:val="nil"/>
              <w:bottom w:val="nil"/>
              <w:right w:val="nil"/>
            </w:tcBorders>
            <w:shd w:val="clear" w:color="auto" w:fill="auto"/>
          </w:tcPr>
          <w:p w14:paraId="2E15CB00" w14:textId="77777777" w:rsidR="00C317EF" w:rsidRPr="00C44D50" w:rsidRDefault="00C317EF" w:rsidP="00C317EF">
            <w:pPr>
              <w:spacing w:line="360" w:lineRule="auto"/>
              <w:rPr>
                <w:rFonts w:ascii="Arial" w:hAnsi="Arial"/>
                <w:b/>
                <w:bCs/>
                <w:sz w:val="26"/>
                <w:szCs w:val="26"/>
                <w:rtl/>
              </w:rPr>
            </w:pPr>
            <w:r w:rsidRPr="00C44D50">
              <w:rPr>
                <w:rFonts w:ascii="Arial" w:hAnsi="Arial" w:hint="cs"/>
                <w:b/>
                <w:bCs/>
                <w:sz w:val="26"/>
                <w:szCs w:val="26"/>
                <w:rtl/>
              </w:rPr>
              <w:t>ה</w:t>
            </w:r>
            <w:r w:rsidRPr="00C44D50">
              <w:rPr>
                <w:rFonts w:ascii="Arial" w:hAnsi="Arial"/>
                <w:b/>
                <w:bCs/>
                <w:sz w:val="26"/>
                <w:szCs w:val="26"/>
                <w:rtl/>
              </w:rPr>
              <w:t>נאשמים</w:t>
            </w:r>
          </w:p>
        </w:tc>
        <w:tc>
          <w:tcPr>
            <w:tcW w:w="5599" w:type="dxa"/>
            <w:tcBorders>
              <w:top w:val="nil"/>
              <w:left w:val="nil"/>
              <w:bottom w:val="nil"/>
              <w:right w:val="nil"/>
            </w:tcBorders>
            <w:shd w:val="clear" w:color="auto" w:fill="auto"/>
          </w:tcPr>
          <w:p w14:paraId="15199A44" w14:textId="77777777" w:rsidR="00C317EF" w:rsidRPr="00C44D50" w:rsidRDefault="00C317EF" w:rsidP="00C317EF">
            <w:pPr>
              <w:spacing w:line="360" w:lineRule="auto"/>
              <w:rPr>
                <w:sz w:val="26"/>
                <w:szCs w:val="26"/>
                <w:rtl/>
              </w:rPr>
            </w:pPr>
            <w:r w:rsidRPr="00C44D50">
              <w:rPr>
                <w:rFonts w:hint="cs"/>
                <w:b/>
                <w:bCs/>
                <w:sz w:val="26"/>
                <w:szCs w:val="26"/>
                <w:rtl/>
              </w:rPr>
              <w:t xml:space="preserve">                         </w:t>
            </w:r>
            <w:r w:rsidRPr="00C44D50">
              <w:rPr>
                <w:rFonts w:ascii="Arial" w:hAnsi="Arial"/>
                <w:b/>
                <w:bCs/>
                <w:sz w:val="26"/>
                <w:szCs w:val="26"/>
                <w:rtl/>
              </w:rPr>
              <w:t>ELGUZOLI IBRAHIM (עציר)</w:t>
            </w:r>
          </w:p>
          <w:p w14:paraId="123FDF53" w14:textId="77777777" w:rsidR="00C317EF" w:rsidRPr="00C44D50" w:rsidRDefault="00C317EF" w:rsidP="00C317EF">
            <w:pPr>
              <w:spacing w:line="360" w:lineRule="auto"/>
              <w:rPr>
                <w:sz w:val="26"/>
                <w:szCs w:val="26"/>
                <w:rtl/>
              </w:rPr>
            </w:pPr>
            <w:r w:rsidRPr="00C44D50">
              <w:rPr>
                <w:rFonts w:hint="cs"/>
                <w:sz w:val="26"/>
                <w:szCs w:val="26"/>
                <w:rtl/>
              </w:rPr>
              <w:t xml:space="preserve">                         ע"י ב"כ עו"ד ענבר קינן, סנגוריה ציבורית </w:t>
            </w:r>
          </w:p>
        </w:tc>
        <w:tc>
          <w:tcPr>
            <w:tcW w:w="1990" w:type="dxa"/>
            <w:tcBorders>
              <w:top w:val="nil"/>
              <w:left w:val="nil"/>
              <w:bottom w:val="nil"/>
              <w:right w:val="nil"/>
            </w:tcBorders>
            <w:shd w:val="clear" w:color="auto" w:fill="auto"/>
          </w:tcPr>
          <w:p w14:paraId="3767249B" w14:textId="77777777" w:rsidR="00C317EF" w:rsidRPr="00C44D50" w:rsidRDefault="00C317EF" w:rsidP="00C317EF">
            <w:pPr>
              <w:spacing w:line="360" w:lineRule="auto"/>
              <w:jc w:val="right"/>
              <w:rPr>
                <w:rFonts w:ascii="Arial" w:hAnsi="Arial"/>
                <w:sz w:val="26"/>
                <w:szCs w:val="26"/>
              </w:rPr>
            </w:pPr>
          </w:p>
        </w:tc>
      </w:tr>
    </w:tbl>
    <w:p w14:paraId="5308933C" w14:textId="77777777" w:rsidR="0041779F" w:rsidRPr="00C44D50" w:rsidRDefault="0041779F" w:rsidP="0041779F">
      <w:pPr>
        <w:pStyle w:val="a3"/>
        <w:spacing w:before="120" w:after="120" w:line="240" w:lineRule="exact"/>
        <w:ind w:left="283" w:hanging="283"/>
        <w:jc w:val="both"/>
        <w:rPr>
          <w:rFonts w:ascii="FrankRuehl" w:hAnsi="FrankRuehl" w:cs="FrankRuehl"/>
          <w:rtl/>
        </w:rPr>
      </w:pPr>
    </w:p>
    <w:p w14:paraId="0B054F46" w14:textId="77777777" w:rsidR="00507DDC" w:rsidRPr="00507DDC" w:rsidRDefault="00507DDC" w:rsidP="00507DDC">
      <w:pPr>
        <w:spacing w:before="120" w:after="120" w:line="240" w:lineRule="exact"/>
        <w:ind w:left="283" w:hanging="283"/>
        <w:jc w:val="both"/>
        <w:rPr>
          <w:rFonts w:ascii="FrankRuehl" w:hAnsi="FrankRuehl" w:cs="FrankRuehl"/>
          <w:rtl/>
        </w:rPr>
      </w:pPr>
    </w:p>
    <w:p w14:paraId="65BEE82D" w14:textId="77777777" w:rsidR="00CB3504" w:rsidRDefault="00CB3504" w:rsidP="00CB3504">
      <w:pPr>
        <w:spacing w:line="360" w:lineRule="auto"/>
        <w:rPr>
          <w:rtl/>
        </w:rPr>
      </w:pPr>
      <w:bookmarkStart w:id="3" w:name="LawTable"/>
      <w:bookmarkEnd w:id="3"/>
    </w:p>
    <w:p w14:paraId="67DDE594" w14:textId="77777777" w:rsidR="00CB3504" w:rsidRPr="00CB3504" w:rsidRDefault="00CB3504" w:rsidP="00CB3504">
      <w:pPr>
        <w:spacing w:before="120" w:after="120" w:line="240" w:lineRule="exact"/>
        <w:ind w:left="283" w:hanging="283"/>
        <w:jc w:val="both"/>
        <w:rPr>
          <w:rFonts w:ascii="FrankRuehl" w:hAnsi="FrankRuehl" w:cs="FrankRuehl"/>
          <w:rtl/>
        </w:rPr>
      </w:pPr>
    </w:p>
    <w:p w14:paraId="46BD59CC" w14:textId="77777777" w:rsidR="00CB3504" w:rsidRPr="00CB3504" w:rsidRDefault="00CB3504" w:rsidP="00CB3504">
      <w:pPr>
        <w:spacing w:before="120" w:after="120" w:line="240" w:lineRule="exact"/>
        <w:ind w:left="283" w:hanging="283"/>
        <w:jc w:val="both"/>
        <w:rPr>
          <w:rFonts w:ascii="FrankRuehl" w:hAnsi="FrankRuehl" w:cs="FrankRuehl"/>
          <w:rtl/>
        </w:rPr>
      </w:pPr>
    </w:p>
    <w:p w14:paraId="692ACAB0" w14:textId="77777777" w:rsidR="00CB3504" w:rsidRPr="00CB3504" w:rsidRDefault="00CB3504" w:rsidP="00CB3504">
      <w:pPr>
        <w:spacing w:before="120" w:after="120" w:line="240" w:lineRule="exact"/>
        <w:ind w:left="283" w:hanging="283"/>
        <w:jc w:val="both"/>
        <w:rPr>
          <w:rFonts w:ascii="FrankRuehl" w:hAnsi="FrankRuehl" w:cs="FrankRuehl"/>
          <w:rtl/>
        </w:rPr>
      </w:pPr>
      <w:r w:rsidRPr="00CB3504">
        <w:rPr>
          <w:rFonts w:ascii="FrankRuehl" w:hAnsi="FrankRuehl" w:cs="FrankRuehl"/>
          <w:rtl/>
        </w:rPr>
        <w:t xml:space="preserve">חקיקה שאוזכרה: </w:t>
      </w:r>
    </w:p>
    <w:p w14:paraId="29AEAB23" w14:textId="77777777" w:rsidR="00CB3504" w:rsidRPr="00CB3504" w:rsidRDefault="00CB3504" w:rsidP="00CB3504">
      <w:pPr>
        <w:spacing w:before="120" w:after="120" w:line="240" w:lineRule="exact"/>
        <w:ind w:left="283" w:hanging="283"/>
        <w:jc w:val="both"/>
        <w:rPr>
          <w:rFonts w:ascii="FrankRuehl" w:hAnsi="FrankRuehl" w:cs="FrankRuehl"/>
          <w:rtl/>
        </w:rPr>
      </w:pPr>
      <w:hyperlink r:id="rId7" w:history="1">
        <w:r w:rsidRPr="00CB3504">
          <w:rPr>
            <w:rFonts w:ascii="FrankRuehl" w:hAnsi="FrankRuehl" w:cs="FrankRuehl"/>
            <w:color w:val="0000FF"/>
            <w:rtl/>
          </w:rPr>
          <w:t>פקודת הסמים המסוכנים [נוסח חדש], תשל"ג-1973</w:t>
        </w:r>
      </w:hyperlink>
      <w:r w:rsidRPr="00CB3504">
        <w:rPr>
          <w:rFonts w:ascii="FrankRuehl" w:hAnsi="FrankRuehl" w:cs="FrankRuehl"/>
          <w:rtl/>
        </w:rPr>
        <w:t xml:space="preserve">: סע'  </w:t>
      </w:r>
      <w:hyperlink r:id="rId8" w:history="1">
        <w:r w:rsidRPr="00CB3504">
          <w:rPr>
            <w:rFonts w:ascii="FrankRuehl" w:hAnsi="FrankRuehl" w:cs="FrankRuehl"/>
            <w:color w:val="0000FF"/>
            <w:rtl/>
          </w:rPr>
          <w:t>7 (א)</w:t>
        </w:r>
      </w:hyperlink>
      <w:r w:rsidRPr="00CB3504">
        <w:rPr>
          <w:rFonts w:ascii="FrankRuehl" w:hAnsi="FrankRuehl" w:cs="FrankRuehl"/>
          <w:rtl/>
        </w:rPr>
        <w:t xml:space="preserve">, </w:t>
      </w:r>
      <w:hyperlink r:id="rId9" w:history="1">
        <w:r w:rsidRPr="00CB3504">
          <w:rPr>
            <w:rFonts w:ascii="FrankRuehl" w:hAnsi="FrankRuehl" w:cs="FrankRuehl"/>
            <w:color w:val="0000FF"/>
            <w:rtl/>
          </w:rPr>
          <w:t>7 (א) (ג)</w:t>
        </w:r>
      </w:hyperlink>
      <w:r w:rsidRPr="00CB3504">
        <w:rPr>
          <w:rFonts w:ascii="FrankRuehl" w:hAnsi="FrankRuehl" w:cs="FrankRuehl"/>
          <w:rtl/>
        </w:rPr>
        <w:t xml:space="preserve">, </w:t>
      </w:r>
      <w:hyperlink r:id="rId10" w:history="1">
        <w:r w:rsidRPr="00CB3504">
          <w:rPr>
            <w:rFonts w:ascii="FrankRuehl" w:hAnsi="FrankRuehl" w:cs="FrankRuehl"/>
            <w:color w:val="0000FF"/>
            <w:rtl/>
          </w:rPr>
          <w:t>7 (ג)</w:t>
        </w:r>
      </w:hyperlink>
    </w:p>
    <w:p w14:paraId="2CE83874" w14:textId="77777777" w:rsidR="00CB3504" w:rsidRPr="00CB3504" w:rsidRDefault="00CB3504" w:rsidP="00CB3504">
      <w:pPr>
        <w:spacing w:before="120" w:after="120" w:line="240" w:lineRule="exact"/>
        <w:ind w:left="283" w:hanging="283"/>
        <w:jc w:val="both"/>
        <w:rPr>
          <w:rFonts w:ascii="FrankRuehl" w:hAnsi="FrankRuehl" w:cs="FrankRuehl"/>
          <w:rtl/>
        </w:rPr>
      </w:pPr>
      <w:hyperlink r:id="rId11" w:history="1">
        <w:r w:rsidRPr="00CB3504">
          <w:rPr>
            <w:rFonts w:ascii="FrankRuehl" w:hAnsi="FrankRuehl" w:cs="FrankRuehl"/>
            <w:color w:val="0000FF"/>
            <w:rtl/>
          </w:rPr>
          <w:t>חוק העונשין, תשל"ז-1977</w:t>
        </w:r>
      </w:hyperlink>
    </w:p>
    <w:p w14:paraId="63CA92B4" w14:textId="77777777" w:rsidR="00CB3504" w:rsidRPr="00CB3504" w:rsidRDefault="00CB3504" w:rsidP="00CB3504">
      <w:pPr>
        <w:spacing w:line="360" w:lineRule="auto"/>
        <w:rPr>
          <w:rtl/>
        </w:rPr>
      </w:pPr>
      <w:bookmarkStart w:id="4" w:name="LawTable_End"/>
      <w:bookmarkEnd w:id="4"/>
    </w:p>
    <w:p w14:paraId="6D6AF80D" w14:textId="77777777" w:rsidR="00C317EF" w:rsidRPr="00507DDC" w:rsidRDefault="00C317EF" w:rsidP="00507DDC">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317EF" w:rsidRPr="00C44D50" w14:paraId="108DE40F" w14:textId="77777777" w:rsidTr="00C317EF">
        <w:trPr>
          <w:trHeight w:val="355"/>
          <w:jc w:val="center"/>
        </w:trPr>
        <w:tc>
          <w:tcPr>
            <w:tcW w:w="8820" w:type="dxa"/>
            <w:tcBorders>
              <w:top w:val="nil"/>
              <w:left w:val="nil"/>
              <w:bottom w:val="nil"/>
              <w:right w:val="nil"/>
            </w:tcBorders>
            <w:shd w:val="clear" w:color="auto" w:fill="auto"/>
          </w:tcPr>
          <w:p w14:paraId="3BBB03CF" w14:textId="77777777" w:rsidR="00C317EF" w:rsidRPr="00C44D50" w:rsidRDefault="00C317EF" w:rsidP="00C317EF">
            <w:pPr>
              <w:spacing w:line="360" w:lineRule="auto"/>
              <w:jc w:val="center"/>
              <w:rPr>
                <w:rFonts w:ascii="Arial" w:hAnsi="Arial"/>
                <w:sz w:val="36"/>
                <w:szCs w:val="36"/>
                <w:rtl/>
              </w:rPr>
            </w:pPr>
            <w:bookmarkStart w:id="5" w:name="PsakDin"/>
            <w:r w:rsidRPr="00C44D50">
              <w:rPr>
                <w:rFonts w:ascii="Arial" w:hAnsi="Arial" w:hint="cs"/>
                <w:b/>
                <w:bCs/>
                <w:sz w:val="36"/>
                <w:szCs w:val="36"/>
                <w:rtl/>
              </w:rPr>
              <w:t>ג ז ר    ד י ן</w:t>
            </w:r>
            <w:bookmarkEnd w:id="5"/>
          </w:p>
        </w:tc>
      </w:tr>
    </w:tbl>
    <w:p w14:paraId="2E72CE58" w14:textId="77777777" w:rsidR="00C317EF" w:rsidRPr="00C44D50" w:rsidRDefault="00C317EF" w:rsidP="00C317EF">
      <w:pPr>
        <w:spacing w:line="360" w:lineRule="auto"/>
        <w:rPr>
          <w:rFonts w:ascii="Arial" w:hAnsi="Arial"/>
          <w:rtl/>
        </w:rPr>
      </w:pPr>
    </w:p>
    <w:p w14:paraId="0562D6F8" w14:textId="77777777" w:rsidR="00C317EF" w:rsidRPr="00C44D50" w:rsidRDefault="00C317EF" w:rsidP="00C317EF">
      <w:pPr>
        <w:spacing w:line="360" w:lineRule="auto"/>
        <w:jc w:val="both"/>
        <w:rPr>
          <w:rtl/>
        </w:rPr>
      </w:pPr>
      <w:r w:rsidRPr="00C44D50">
        <w:rPr>
          <w:b/>
          <w:bCs/>
          <w:rtl/>
        </w:rPr>
        <w:t xml:space="preserve">העובדות </w:t>
      </w:r>
    </w:p>
    <w:p w14:paraId="3BDDA922" w14:textId="77777777" w:rsidR="00C317EF" w:rsidRPr="00C44D50" w:rsidRDefault="00C317EF" w:rsidP="00C317EF">
      <w:pPr>
        <w:spacing w:line="360" w:lineRule="auto"/>
        <w:jc w:val="both"/>
        <w:rPr>
          <w:rtl/>
        </w:rPr>
      </w:pPr>
      <w:bookmarkStart w:id="6" w:name="ABSTRACT_START"/>
      <w:bookmarkEnd w:id="6"/>
    </w:p>
    <w:p w14:paraId="41AE4A4E" w14:textId="77777777" w:rsidR="00C317EF" w:rsidRPr="00C44D50" w:rsidRDefault="00C317EF" w:rsidP="00C317EF">
      <w:pPr>
        <w:pStyle w:val="ab"/>
        <w:numPr>
          <w:ilvl w:val="0"/>
          <w:numId w:val="1"/>
        </w:numPr>
        <w:spacing w:line="360" w:lineRule="auto"/>
        <w:jc w:val="both"/>
      </w:pPr>
      <w:r w:rsidRPr="00C44D50">
        <w:rPr>
          <w:rtl/>
        </w:rPr>
        <w:t xml:space="preserve">הנאשם הורשע על פי הודאתו בעובדות כתב אישום המייחס לו עבירה של החזקת סם שלא לצריכה עצמית לפי סעיף </w:t>
      </w:r>
      <w:hyperlink r:id="rId12" w:history="1">
        <w:r w:rsidR="0041779F" w:rsidRPr="0041779F">
          <w:rPr>
            <w:rStyle w:val="Hyperlink"/>
            <w:rtl/>
          </w:rPr>
          <w:t>7 (א)</w:t>
        </w:r>
      </w:hyperlink>
      <w:r w:rsidRPr="00C44D50">
        <w:rPr>
          <w:rtl/>
        </w:rPr>
        <w:t xml:space="preserve"> יחד עם </w:t>
      </w:r>
      <w:hyperlink r:id="rId13" w:history="1">
        <w:r w:rsidR="0041779F" w:rsidRPr="0041779F">
          <w:rPr>
            <w:rStyle w:val="Hyperlink"/>
            <w:rtl/>
          </w:rPr>
          <w:t>7 (ג)</w:t>
        </w:r>
      </w:hyperlink>
      <w:r w:rsidRPr="00C44D50">
        <w:rPr>
          <w:rtl/>
        </w:rPr>
        <w:t xml:space="preserve"> ל</w:t>
      </w:r>
      <w:hyperlink r:id="rId14" w:history="1">
        <w:r w:rsidR="00C44D50" w:rsidRPr="00C44D50">
          <w:rPr>
            <w:color w:val="0000FF"/>
            <w:u w:val="single"/>
            <w:rtl/>
          </w:rPr>
          <w:t>פקודת הסמים המסוכנים</w:t>
        </w:r>
      </w:hyperlink>
      <w:r w:rsidRPr="00C44D50">
        <w:rPr>
          <w:rtl/>
        </w:rPr>
        <w:t xml:space="preserve"> [נוסח חדש], תשל"ג-1973. </w:t>
      </w:r>
    </w:p>
    <w:p w14:paraId="56655AB7" w14:textId="77777777" w:rsidR="00C317EF" w:rsidRPr="00C44D50" w:rsidRDefault="00C317EF" w:rsidP="00C317EF">
      <w:pPr>
        <w:pStyle w:val="ab"/>
        <w:spacing w:line="360" w:lineRule="auto"/>
        <w:ind w:left="360"/>
        <w:jc w:val="both"/>
      </w:pPr>
    </w:p>
    <w:p w14:paraId="09560A28" w14:textId="77777777" w:rsidR="00C317EF" w:rsidRPr="00C44D50" w:rsidRDefault="00C317EF" w:rsidP="00C317EF">
      <w:pPr>
        <w:pStyle w:val="ab"/>
        <w:numPr>
          <w:ilvl w:val="0"/>
          <w:numId w:val="1"/>
        </w:numPr>
        <w:spacing w:line="360" w:lineRule="auto"/>
        <w:jc w:val="both"/>
      </w:pPr>
      <w:r w:rsidRPr="00C44D50">
        <w:rPr>
          <w:rtl/>
        </w:rPr>
        <w:t xml:space="preserve">על פי עובדות כתב האישום, ביום 22.10.2022 החזיק הנאשם בידו, בתוך קופסת סיגריות, סם מסוכן מסוג הרואין במשל כולל של 16.4635 גרם נטו, מחולק ל-18 שקיות קטנות (להלן: קופסת הסיגריות), שלא לצריכתו העצמית. </w:t>
      </w:r>
    </w:p>
    <w:p w14:paraId="44D054AE" w14:textId="77777777" w:rsidR="00C317EF" w:rsidRPr="00C44D50" w:rsidRDefault="00C317EF" w:rsidP="00C317EF">
      <w:pPr>
        <w:pStyle w:val="ab"/>
      </w:pPr>
    </w:p>
    <w:p w14:paraId="074D813D" w14:textId="77777777" w:rsidR="00C317EF" w:rsidRPr="00C44D50" w:rsidRDefault="00C317EF" w:rsidP="00C317EF">
      <w:pPr>
        <w:pStyle w:val="ab"/>
        <w:numPr>
          <w:ilvl w:val="0"/>
          <w:numId w:val="1"/>
        </w:numPr>
        <w:spacing w:line="360" w:lineRule="auto"/>
        <w:jc w:val="both"/>
        <w:rPr>
          <w:rtl/>
        </w:rPr>
      </w:pPr>
      <w:bookmarkStart w:id="7" w:name="ABSTRACT_END"/>
      <w:bookmarkEnd w:id="7"/>
      <w:r w:rsidRPr="00C44D50">
        <w:rPr>
          <w:rtl/>
        </w:rPr>
        <w:t xml:space="preserve">בתחילה כפר הנאשם באשמו, ובהתאם לכך החל להישמע המשפט. </w:t>
      </w:r>
    </w:p>
    <w:p w14:paraId="4363B576" w14:textId="77777777" w:rsidR="00C317EF" w:rsidRPr="00C44D50" w:rsidRDefault="00C317EF" w:rsidP="00C317EF">
      <w:pPr>
        <w:pStyle w:val="ab"/>
      </w:pPr>
    </w:p>
    <w:p w14:paraId="63354176" w14:textId="77777777" w:rsidR="00C317EF" w:rsidRPr="00C44D50" w:rsidRDefault="00C317EF" w:rsidP="00C317EF">
      <w:pPr>
        <w:pStyle w:val="ab"/>
        <w:numPr>
          <w:ilvl w:val="0"/>
          <w:numId w:val="1"/>
        </w:numPr>
        <w:spacing w:line="360" w:lineRule="auto"/>
        <w:jc w:val="both"/>
        <w:rPr>
          <w:rtl/>
        </w:rPr>
      </w:pPr>
      <w:r w:rsidRPr="00C44D50">
        <w:rPr>
          <w:rtl/>
        </w:rPr>
        <w:t xml:space="preserve">ביום 23.3.2023, באמצע פרשת התביעה, לאחר שהעידו מספר עדים מטעמה, הגיעו הצדדים להסדר טיעון לפיו הודה הנאשם בעובדות כתב האישום, והורשע בעבירה דלעיל. </w:t>
      </w:r>
    </w:p>
    <w:p w14:paraId="0D1D44A8" w14:textId="77777777" w:rsidR="00C317EF" w:rsidRPr="00C44D50" w:rsidRDefault="00C317EF" w:rsidP="00C317EF">
      <w:pPr>
        <w:pStyle w:val="ab"/>
      </w:pPr>
    </w:p>
    <w:p w14:paraId="36DF8D04" w14:textId="77777777" w:rsidR="00C317EF" w:rsidRPr="00C44D50" w:rsidRDefault="00C317EF" w:rsidP="00C317EF">
      <w:pPr>
        <w:pStyle w:val="ab"/>
        <w:spacing w:line="360" w:lineRule="auto"/>
        <w:ind w:left="360"/>
        <w:jc w:val="both"/>
        <w:rPr>
          <w:rtl/>
        </w:rPr>
      </w:pPr>
      <w:r w:rsidRPr="00C44D50">
        <w:rPr>
          <w:rtl/>
        </w:rPr>
        <w:t xml:space="preserve">הוסכם, כעניין שבעובדה, כי בעת מעצרו של הנאשם עמדה אשה פלונית בסמוך לו, וטענה כי קופסת הסיגריות שייכת לה (להלן: פלונית). עוד סוכם, כי הצדדים יהיו רשאים להגיש כל מסמך מתיק החקירה, וההגנה תטען כי מדובר במחדל חקירה היורד לשורשו של עניין, ומבחינת הגנה מן הצדק הרי שלולא היה הנאשם לוקח אחריות וחוסך בזמן שיפוטי אזי יכולה היתה ההגנה לטעון לזיכוי מחמת הספק, או לפחות לטעון כי המחדל האמור ראוי שישפיע על גדרי המתחם העונשי המתאים. מאידך גיסא, תוכל התביעה לטעון ההיפך, קרי – שכלל אין מחדל, ולחלופין שמשקלו זניח. מעבר לכך, הוסכם כי הצדדים יטענו לעונש באופן פתוח. </w:t>
      </w:r>
    </w:p>
    <w:p w14:paraId="39319DD5" w14:textId="77777777" w:rsidR="00C317EF" w:rsidRPr="00C44D50" w:rsidRDefault="00C317EF" w:rsidP="00C317EF">
      <w:pPr>
        <w:pStyle w:val="ab"/>
      </w:pPr>
    </w:p>
    <w:p w14:paraId="3F80C3E1" w14:textId="77777777" w:rsidR="00C317EF" w:rsidRPr="00C44D50" w:rsidRDefault="00C317EF" w:rsidP="00C317EF">
      <w:pPr>
        <w:pStyle w:val="ab"/>
        <w:numPr>
          <w:ilvl w:val="0"/>
          <w:numId w:val="1"/>
        </w:numPr>
        <w:spacing w:line="360" w:lineRule="auto"/>
        <w:jc w:val="both"/>
        <w:rPr>
          <w:rtl/>
        </w:rPr>
      </w:pPr>
      <w:r w:rsidRPr="00C44D50">
        <w:rPr>
          <w:rtl/>
        </w:rPr>
        <w:t xml:space="preserve">ביום 4.4.2023 טענו הצדדים לעונש בהתאם למוסכם. </w:t>
      </w:r>
      <w:r w:rsidRPr="00C44D50">
        <w:rPr>
          <w:rtl/>
        </w:rPr>
        <w:tab/>
      </w:r>
      <w:r w:rsidRPr="00C44D50">
        <w:rPr>
          <w:rtl/>
        </w:rPr>
        <w:br/>
      </w:r>
      <w:r w:rsidRPr="00C44D50">
        <w:rPr>
          <w:rtl/>
        </w:rPr>
        <w:br/>
        <w:t xml:space="preserve">התביעה טענה כי מתחם העונש ההולם נע בין 14 ועד 28 חודשי מאסר, וביקשה להשית על הנאשם 20 חודשי מאסר בפועל (כולל הפעלת מאסר מותנה שעומד לחובתו, בן ששה חודשים, בחופף ובמצטבר), מאסר על תנאי הרתעתי, התחייבות להימנע מביצוע עבירה, קנס כספי, ופסילת רישיון בפועל ועל תנאי. </w:t>
      </w:r>
    </w:p>
    <w:p w14:paraId="49E75DDD" w14:textId="77777777" w:rsidR="00C317EF" w:rsidRPr="00C44D50" w:rsidRDefault="00C317EF" w:rsidP="00C317EF">
      <w:pPr>
        <w:pStyle w:val="ab"/>
      </w:pPr>
    </w:p>
    <w:bookmarkEnd w:id="0"/>
    <w:p w14:paraId="4C08B9EE" w14:textId="77777777" w:rsidR="00C317EF" w:rsidRDefault="00C317EF" w:rsidP="00C317EF">
      <w:pPr>
        <w:pStyle w:val="ab"/>
        <w:spacing w:line="360" w:lineRule="auto"/>
        <w:ind w:left="360"/>
        <w:jc w:val="both"/>
        <w:rPr>
          <w:rtl/>
        </w:rPr>
      </w:pPr>
      <w:r>
        <w:rPr>
          <w:rtl/>
        </w:rPr>
        <w:t xml:space="preserve">התובעת עמדה על הערכים המוגנים בהם פגע הנאשם, שהם שמירה על שלום הציבור ובריאותו מפני נגע הסמים המסוכנים. התביעה הפנתה לעברו הפלילי של הנאשם, הכולל חמש הרשעות קודמות, גם בעבירות הרלוונטיות לפרשה זו, וטענה כי בנסיבות רגילות היתה מבקשת למקם את עונשו בחלקו העליון של מתחם הענישה. עם זאת, עתרה התביעה למקם את עונשו של הנאשם בשליש התחתון של המתחם העונשי, לאחר שהתחשבה בנסיבות המיוחדות של המקרה דנא (שמן הסתם באו לידי ביטוי בהסכמתם הדיונית של הצדדים). </w:t>
      </w:r>
    </w:p>
    <w:p w14:paraId="05D1C6B7" w14:textId="77777777" w:rsidR="00C317EF" w:rsidRDefault="00C317EF" w:rsidP="00C317EF">
      <w:pPr>
        <w:pStyle w:val="ab"/>
        <w:spacing w:line="360" w:lineRule="auto"/>
        <w:ind w:left="360"/>
        <w:jc w:val="both"/>
        <w:rPr>
          <w:rtl/>
        </w:rPr>
      </w:pPr>
    </w:p>
    <w:p w14:paraId="5BC1197E" w14:textId="77777777" w:rsidR="00C317EF" w:rsidRDefault="00C317EF" w:rsidP="00C317EF">
      <w:pPr>
        <w:pStyle w:val="ab"/>
        <w:spacing w:line="360" w:lineRule="auto"/>
        <w:ind w:left="360"/>
        <w:jc w:val="both"/>
        <w:rPr>
          <w:rtl/>
        </w:rPr>
      </w:pPr>
      <w:r>
        <w:rPr>
          <w:rtl/>
        </w:rPr>
        <w:t xml:space="preserve">לשיטת התביעה, אין לראות באי-הצלחתה של היחידה החוקרת לאתר את פלונית מחדל חקירה, בעיקר לאחר שבוצעו פעולות בניסיון לאתרה. התביעה הטעימה, כי גם אם ייקבע שהיה מחדל חקירתי בתיק, הרי שלא נפגעו זכויותיו של הנאשם במובן של הגנה מן הצדק. ממילא, כך התביעה, גם אם היתה מצליחה המשטרה לשים ידה על פלונית, והיה עולה כי </w:t>
      </w:r>
      <w:r>
        <w:rPr>
          <w:b/>
          <w:bCs/>
          <w:rtl/>
        </w:rPr>
        <w:t>גם</w:t>
      </w:r>
      <w:r>
        <w:rPr>
          <w:rtl/>
        </w:rPr>
        <w:t xml:space="preserve"> היא היתה מעורבת בעבירה בה הורשע הנאשם, הרי שלגישתה - "אנו מצויים ב(עבירה) בצוותא מה שמחמיר את מצבו של הנאשם". </w:t>
      </w:r>
    </w:p>
    <w:p w14:paraId="19FBEDC3" w14:textId="77777777" w:rsidR="00C317EF" w:rsidRDefault="00C317EF" w:rsidP="00C317EF">
      <w:pPr>
        <w:pStyle w:val="ab"/>
      </w:pPr>
    </w:p>
    <w:p w14:paraId="70DD1666" w14:textId="77777777" w:rsidR="00C317EF" w:rsidRDefault="00C317EF" w:rsidP="00C317EF">
      <w:pPr>
        <w:pStyle w:val="ab"/>
        <w:numPr>
          <w:ilvl w:val="0"/>
          <w:numId w:val="1"/>
        </w:numPr>
        <w:spacing w:line="360" w:lineRule="auto"/>
        <w:jc w:val="both"/>
        <w:rPr>
          <w:rtl/>
        </w:rPr>
      </w:pPr>
      <w:r>
        <w:rPr>
          <w:rtl/>
        </w:rPr>
        <w:t xml:space="preserve">ההגנה טענה, מנגד, כי מתחם העונש ההולם נע בין 6 חודשי מאסר, ועד 24 חודשי מאסר בפועל, וביקשה להשית על הנאשם, לכל היותר, עונש של 8 חודשי מאסר בפועל, ולהורות כי המאסר המותנה שעומד לחובתו ירוצה, כולו, בחופף לעונש זה. </w:t>
      </w:r>
    </w:p>
    <w:p w14:paraId="6CB1289C" w14:textId="77777777" w:rsidR="00C317EF" w:rsidRDefault="00C317EF" w:rsidP="00C317EF">
      <w:pPr>
        <w:pStyle w:val="ab"/>
        <w:spacing w:line="360" w:lineRule="auto"/>
        <w:ind w:left="360"/>
        <w:jc w:val="both"/>
      </w:pPr>
    </w:p>
    <w:p w14:paraId="636FD5B1" w14:textId="77777777" w:rsidR="00C317EF" w:rsidRDefault="00C317EF" w:rsidP="00C317EF">
      <w:pPr>
        <w:pStyle w:val="ab"/>
        <w:spacing w:line="360" w:lineRule="auto"/>
        <w:ind w:left="360"/>
        <w:jc w:val="both"/>
        <w:rPr>
          <w:rtl/>
        </w:rPr>
      </w:pPr>
      <w:r>
        <w:rPr>
          <w:rtl/>
        </w:rPr>
        <w:t xml:space="preserve">הסניגורית טענה כי מחדלי החקירה בתיק מגלמים פגיעה ממשית בזכויותיו של הנאשם עד כדי הגנה מן הצדק, ויש בהם כדי להשפיע על קביעת המתחם העונשי. לשיטת ההגנה, תחתית המתחם הנהוג עומדת על 9 חודשי מאסר בפועל, אולם בנסיבות המקרה כאן יש לקבוע רף נמוך מהרגיל, כמפורט לעיל. </w:t>
      </w:r>
    </w:p>
    <w:p w14:paraId="5465CC3A" w14:textId="77777777" w:rsidR="00C317EF" w:rsidRDefault="00C317EF" w:rsidP="00C317EF">
      <w:pPr>
        <w:pStyle w:val="ab"/>
        <w:spacing w:line="360" w:lineRule="auto"/>
        <w:ind w:left="360"/>
        <w:jc w:val="both"/>
        <w:rPr>
          <w:rtl/>
        </w:rPr>
      </w:pPr>
    </w:p>
    <w:p w14:paraId="6058C09C" w14:textId="77777777" w:rsidR="00C317EF" w:rsidRDefault="00C317EF" w:rsidP="00C317EF">
      <w:pPr>
        <w:pStyle w:val="ab"/>
        <w:spacing w:line="360" w:lineRule="auto"/>
        <w:ind w:left="360"/>
        <w:jc w:val="both"/>
        <w:rPr>
          <w:rtl/>
        </w:rPr>
      </w:pPr>
      <w:r>
        <w:rPr>
          <w:rtl/>
        </w:rPr>
        <w:t xml:space="preserve">ההגנה הפנתה לראיות שלימדו כי לצדו של הנאשם, בעת הרלוונטית לכתב האישום, נכחה פלונית, אשר טענה בפני ובאוזני השוטרים בשטח כי קופסת הסיגריות (ובתוכה הסמים) היתה שייכת לה. הסניגורית עמדה על כך שלא עלה בידי היחידה החוקרת לאתר את פלונית, ופעולות שנעשו (אם נעשו בכלל) לצורך כך - לא הועילו. לשיטת ההגנה, אם היתה פלונית נחקרת, ייתכן שהיתה לוקחת אחריות על כך שהסמים המסוכנים שנתפסו הם שלה, וממילא אי-איתורה פועל לטובת הנאשם. </w:t>
      </w:r>
    </w:p>
    <w:p w14:paraId="47E1FDF5" w14:textId="77777777" w:rsidR="00C317EF" w:rsidRDefault="00C317EF" w:rsidP="00C317EF">
      <w:pPr>
        <w:pStyle w:val="ab"/>
        <w:spacing w:line="360" w:lineRule="auto"/>
        <w:ind w:left="360"/>
        <w:jc w:val="both"/>
        <w:rPr>
          <w:rtl/>
        </w:rPr>
      </w:pPr>
    </w:p>
    <w:p w14:paraId="43D87F50" w14:textId="77777777" w:rsidR="00C317EF" w:rsidRDefault="00C317EF" w:rsidP="00C317EF">
      <w:pPr>
        <w:pStyle w:val="ab"/>
        <w:numPr>
          <w:ilvl w:val="0"/>
          <w:numId w:val="1"/>
        </w:numPr>
        <w:spacing w:line="360" w:lineRule="auto"/>
        <w:jc w:val="both"/>
      </w:pPr>
      <w:r>
        <w:rPr>
          <w:rtl/>
        </w:rPr>
        <w:t>הן התביעה והן ההגנה הגישו פסיקה על מנת לתמוך בעתירתן העונשית.</w:t>
      </w:r>
    </w:p>
    <w:p w14:paraId="6398FBB3" w14:textId="77777777" w:rsidR="00C317EF" w:rsidRDefault="00C317EF" w:rsidP="00C317EF">
      <w:pPr>
        <w:pStyle w:val="ab"/>
        <w:spacing w:line="360" w:lineRule="auto"/>
        <w:ind w:left="360"/>
        <w:jc w:val="both"/>
      </w:pPr>
    </w:p>
    <w:p w14:paraId="7EFCE17C" w14:textId="77777777" w:rsidR="00C317EF" w:rsidRDefault="00C317EF" w:rsidP="00C317EF">
      <w:pPr>
        <w:pStyle w:val="ab"/>
        <w:numPr>
          <w:ilvl w:val="0"/>
          <w:numId w:val="1"/>
        </w:numPr>
        <w:spacing w:line="360" w:lineRule="auto"/>
        <w:jc w:val="both"/>
      </w:pPr>
      <w:r>
        <w:rPr>
          <w:rtl/>
        </w:rPr>
        <w:t>הנאשם בדברו האחרון אמר:</w:t>
      </w:r>
    </w:p>
    <w:p w14:paraId="46633B9F" w14:textId="77777777" w:rsidR="00C317EF" w:rsidRDefault="00C317EF" w:rsidP="00C317EF">
      <w:pPr>
        <w:pStyle w:val="ab"/>
      </w:pPr>
    </w:p>
    <w:p w14:paraId="67F31A0D" w14:textId="77777777" w:rsidR="00C317EF" w:rsidRDefault="00C317EF" w:rsidP="00C317EF">
      <w:pPr>
        <w:pStyle w:val="ab"/>
        <w:spacing w:line="360" w:lineRule="auto"/>
        <w:ind w:left="360"/>
        <w:jc w:val="both"/>
        <w:rPr>
          <w:rtl/>
        </w:rPr>
      </w:pPr>
      <w:r>
        <w:rPr>
          <w:rtl/>
        </w:rPr>
        <w:t xml:space="preserve">"אני מצטער על מה שקרה, ואני מקווה שזו הפעם האחרונה". </w:t>
      </w:r>
    </w:p>
    <w:p w14:paraId="743B5603" w14:textId="77777777" w:rsidR="00C317EF" w:rsidRDefault="00C317EF" w:rsidP="00C317EF">
      <w:pPr>
        <w:spacing w:line="360" w:lineRule="auto"/>
        <w:jc w:val="both"/>
        <w:rPr>
          <w:rtl/>
        </w:rPr>
      </w:pPr>
    </w:p>
    <w:p w14:paraId="235FA382" w14:textId="77777777" w:rsidR="00C317EF" w:rsidRDefault="00C317EF" w:rsidP="00C317EF">
      <w:pPr>
        <w:spacing w:line="360" w:lineRule="auto"/>
        <w:jc w:val="both"/>
        <w:rPr>
          <w:rFonts w:ascii="Arial" w:hAnsi="Arial"/>
          <w:u w:val="single"/>
          <w:rtl/>
        </w:rPr>
      </w:pPr>
      <w:r>
        <w:rPr>
          <w:rFonts w:ascii="Arial" w:hAnsi="Arial"/>
          <w:b/>
          <w:bCs/>
          <w:u w:val="single"/>
          <w:rtl/>
        </w:rPr>
        <w:t xml:space="preserve">דיון והכרעה </w:t>
      </w:r>
    </w:p>
    <w:p w14:paraId="271073CA" w14:textId="77777777" w:rsidR="00C317EF" w:rsidRDefault="00C317EF" w:rsidP="00C317EF">
      <w:pPr>
        <w:pStyle w:val="ab"/>
        <w:spacing w:line="360" w:lineRule="auto"/>
        <w:ind w:left="360"/>
        <w:jc w:val="both"/>
        <w:rPr>
          <w:rtl/>
        </w:rPr>
      </w:pPr>
    </w:p>
    <w:p w14:paraId="3D36E3C0" w14:textId="77777777" w:rsidR="00C317EF" w:rsidRDefault="00C317EF" w:rsidP="00C317EF">
      <w:pPr>
        <w:pStyle w:val="ab"/>
        <w:numPr>
          <w:ilvl w:val="0"/>
          <w:numId w:val="1"/>
        </w:numPr>
        <w:spacing w:line="360" w:lineRule="auto"/>
        <w:jc w:val="both"/>
        <w:rPr>
          <w:rFonts w:ascii="Arial" w:hAnsi="Arial"/>
        </w:rPr>
      </w:pPr>
      <w:r>
        <w:rPr>
          <w:rFonts w:ascii="Arial" w:hAnsi="Arial"/>
          <w:rtl/>
        </w:rPr>
        <w:t>אין חולק: במעשיו פגע הנאשם במלחמה בנגע הסמים, על כל הנזקים וההשלכות הקשות הקשורים בשימוש ובהחזקה שלהם; ראו בעניין זה למשל את הקבוע ב</w:t>
      </w:r>
      <w:hyperlink r:id="rId15" w:history="1">
        <w:r w:rsidR="00C44D50" w:rsidRPr="00C44D50">
          <w:rPr>
            <w:rFonts w:ascii="Arial" w:hAnsi="Arial"/>
            <w:color w:val="0000FF"/>
            <w:u w:val="single"/>
            <w:rtl/>
          </w:rPr>
          <w:t>ע"פ 972/11</w:t>
        </w:r>
      </w:hyperlink>
      <w:r>
        <w:rPr>
          <w:rFonts w:ascii="Arial" w:hAnsi="Arial"/>
          <w:rtl/>
        </w:rPr>
        <w:t xml:space="preserve"> </w:t>
      </w:r>
      <w:r>
        <w:rPr>
          <w:rFonts w:ascii="Arial" w:hAnsi="Arial"/>
          <w:b/>
          <w:bCs/>
          <w:rtl/>
        </w:rPr>
        <w:t>מדינת ישראל נ' יונה</w:t>
      </w:r>
      <w:r>
        <w:rPr>
          <w:rFonts w:ascii="Arial" w:hAnsi="Arial"/>
          <w:rtl/>
        </w:rPr>
        <w:t xml:space="preserve"> (4.7.2021): </w:t>
      </w:r>
    </w:p>
    <w:p w14:paraId="7DCC0EA5" w14:textId="77777777" w:rsidR="00C317EF" w:rsidRDefault="00C317EF" w:rsidP="00C317EF">
      <w:pPr>
        <w:pStyle w:val="ab"/>
        <w:spacing w:line="360" w:lineRule="auto"/>
        <w:ind w:left="360"/>
        <w:jc w:val="both"/>
        <w:rPr>
          <w:rFonts w:ascii="Arial" w:hAnsi="Arial"/>
        </w:rPr>
      </w:pPr>
    </w:p>
    <w:p w14:paraId="185ABE3D" w14:textId="77777777" w:rsidR="00C317EF" w:rsidRDefault="00C317EF" w:rsidP="00C317EF">
      <w:pPr>
        <w:pStyle w:val="ab"/>
        <w:spacing w:line="360" w:lineRule="auto"/>
        <w:ind w:left="360"/>
        <w:jc w:val="both"/>
        <w:rPr>
          <w:rFonts w:ascii="Arial" w:hAnsi="Arial"/>
          <w:rtl/>
        </w:rPr>
      </w:pPr>
      <w:r>
        <w:rPr>
          <w:rFonts w:ascii="Arial" w:hAnsi="Arial"/>
          <w:rtl/>
        </w:rPr>
        <w:t xml:space="preserve">"את נגע הסמים יש לעקור מן השורש. ייצור, הפצה, סחר וכמובן גם שימוש בסמים – כל אלו מסבים נזק עצום. </w:t>
      </w:r>
      <w:r>
        <w:rPr>
          <w:rFonts w:ascii="Arial" w:hAnsi="Arial"/>
          <w:b/>
          <w:bCs/>
          <w:rtl/>
        </w:rPr>
        <w:t>הנזק נגרם לא רק למעגל הסגור של המעורבים הישירים בביצוע העבירות, אלא גם לחברה בכללותה</w:t>
      </w:r>
      <w:r>
        <w:rPr>
          <w:rFonts w:ascii="Arial" w:hAnsi="Arial"/>
          <w:rtl/>
        </w:rPr>
        <w:t xml:space="preserve">...". </w:t>
      </w:r>
    </w:p>
    <w:p w14:paraId="6C40EC05" w14:textId="77777777" w:rsidR="00C317EF" w:rsidRDefault="00C317EF" w:rsidP="00C317EF">
      <w:pPr>
        <w:pStyle w:val="ab"/>
        <w:spacing w:line="360" w:lineRule="auto"/>
        <w:ind w:left="360"/>
        <w:jc w:val="both"/>
        <w:rPr>
          <w:rFonts w:ascii="Arial" w:hAnsi="Arial"/>
          <w:rtl/>
        </w:rPr>
      </w:pPr>
    </w:p>
    <w:p w14:paraId="11AB6F0F" w14:textId="77777777" w:rsidR="00C317EF" w:rsidRDefault="00C317EF" w:rsidP="00C317EF">
      <w:pPr>
        <w:pStyle w:val="ab"/>
        <w:spacing w:line="360" w:lineRule="auto"/>
        <w:ind w:left="360"/>
        <w:jc w:val="both"/>
        <w:rPr>
          <w:rFonts w:ascii="Arial" w:hAnsi="Arial"/>
          <w:rtl/>
        </w:rPr>
      </w:pPr>
      <w:r>
        <w:rPr>
          <w:rFonts w:ascii="Arial" w:hAnsi="Arial"/>
          <w:rtl/>
        </w:rPr>
        <w:t xml:space="preserve">ובהמשך: </w:t>
      </w:r>
    </w:p>
    <w:p w14:paraId="78D05402" w14:textId="77777777" w:rsidR="00C317EF" w:rsidRDefault="00C317EF" w:rsidP="00C317EF">
      <w:pPr>
        <w:pStyle w:val="ab"/>
        <w:spacing w:line="360" w:lineRule="auto"/>
        <w:ind w:left="360"/>
        <w:jc w:val="both"/>
        <w:rPr>
          <w:rFonts w:ascii="Arial" w:hAnsi="Arial"/>
          <w:rtl/>
        </w:rPr>
      </w:pPr>
    </w:p>
    <w:p w14:paraId="6B33CE74" w14:textId="77777777" w:rsidR="00C317EF" w:rsidRDefault="00C317EF" w:rsidP="00C317EF">
      <w:pPr>
        <w:pStyle w:val="ab"/>
        <w:spacing w:line="360" w:lineRule="auto"/>
        <w:ind w:left="360"/>
        <w:jc w:val="both"/>
        <w:rPr>
          <w:rFonts w:ascii="Arial" w:hAnsi="Arial"/>
          <w:rtl/>
        </w:rPr>
      </w:pPr>
      <w:r>
        <w:rPr>
          <w:rFonts w:ascii="Arial" w:hAnsi="Arial"/>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w:t>
      </w:r>
      <w:r>
        <w:rPr>
          <w:rFonts w:ascii="Arial" w:hAnsi="Arial"/>
          <w:b/>
          <w:bCs/>
          <w:rtl/>
        </w:rPr>
        <w:t>בית המשפט נוטל חלק חשוב במאבק, באמצעות הטלת עונש מרתיע על מי שהורשע בעבירות סמים</w:t>
      </w:r>
      <w:r>
        <w:rPr>
          <w:rFonts w:ascii="Arial" w:hAnsi="Arial"/>
          <w:rtl/>
        </w:rPr>
        <w:t xml:space="preserve">. </w:t>
      </w:r>
      <w:r>
        <w:rPr>
          <w:rFonts w:ascii="Arial" w:hAnsi="Arial"/>
          <w:b/>
          <w:bCs/>
          <w:rtl/>
        </w:rPr>
        <w:t>בכל זאת תוך מתן משקל - בין היתר - לכמות הסם ואיכותו, טיב עבירת הסמים שבוצעה, תרומתו של הנאשם להתגשמות העבירה ועברו הפלילי (</w:t>
      </w:r>
      <w:r>
        <w:rPr>
          <w:rFonts w:ascii="Arial" w:hAnsi="Arial"/>
          <w:rtl/>
        </w:rPr>
        <w:t xml:space="preserve">השוו: </w:t>
      </w:r>
      <w:hyperlink r:id="rId16" w:history="1">
        <w:r w:rsidR="00C44D50" w:rsidRPr="00C44D50">
          <w:rPr>
            <w:rFonts w:ascii="Arial" w:hAnsi="Arial"/>
            <w:color w:val="0000FF"/>
            <w:u w:val="single"/>
            <w:rtl/>
          </w:rPr>
          <w:t>ע"פ 8031/10</w:t>
        </w:r>
      </w:hyperlink>
      <w:r>
        <w:rPr>
          <w:rFonts w:ascii="Arial" w:hAnsi="Arial"/>
          <w:rtl/>
        </w:rPr>
        <w:t xml:space="preserve"> אורוסקו-צ'אבז נ' מדינת ישראל (1.3.2012))"</w:t>
      </w:r>
      <w:r>
        <w:rPr>
          <w:rStyle w:val="ac"/>
          <w:rFonts w:ascii="Arial" w:hAnsi="Arial"/>
          <w:rtl/>
        </w:rPr>
        <w:footnoteReference w:id="1"/>
      </w:r>
      <w:r>
        <w:rPr>
          <w:rFonts w:ascii="Arial" w:hAnsi="Arial"/>
          <w:rtl/>
        </w:rPr>
        <w:t>.</w:t>
      </w:r>
    </w:p>
    <w:p w14:paraId="3D84308D" w14:textId="77777777" w:rsidR="00C317EF" w:rsidRDefault="00C317EF" w:rsidP="00C317EF">
      <w:pPr>
        <w:pStyle w:val="ab"/>
        <w:spacing w:line="360" w:lineRule="auto"/>
        <w:ind w:left="360"/>
        <w:jc w:val="both"/>
        <w:rPr>
          <w:rFonts w:ascii="Arial" w:hAnsi="Arial"/>
        </w:rPr>
      </w:pPr>
    </w:p>
    <w:p w14:paraId="1347672B" w14:textId="77777777" w:rsidR="00C317EF" w:rsidRDefault="00C317EF" w:rsidP="00C317EF">
      <w:pPr>
        <w:pStyle w:val="ab"/>
        <w:numPr>
          <w:ilvl w:val="0"/>
          <w:numId w:val="1"/>
        </w:numPr>
        <w:spacing w:line="360" w:lineRule="auto"/>
        <w:jc w:val="both"/>
        <w:rPr>
          <w:rFonts w:ascii="Arial" w:hAnsi="Arial"/>
        </w:rPr>
      </w:pPr>
      <w:r>
        <w:rPr>
          <w:rFonts w:ascii="Arial" w:hAnsi="Arial"/>
          <w:rtl/>
        </w:rPr>
        <w:t xml:space="preserve">הפסיקה עמדה על החומרה שבהחזקת סם מסוכן שלא לצריכה עצמית, ראו למשל את </w:t>
      </w:r>
      <w:hyperlink r:id="rId17" w:history="1">
        <w:r w:rsidR="00C44D50" w:rsidRPr="00C44D50">
          <w:rPr>
            <w:rFonts w:ascii="Arial" w:hAnsi="Arial"/>
            <w:color w:val="0000FF"/>
            <w:u w:val="single"/>
            <w:rtl/>
          </w:rPr>
          <w:t>ע"פ 9482/09</w:t>
        </w:r>
      </w:hyperlink>
      <w:r>
        <w:rPr>
          <w:rFonts w:ascii="Arial" w:hAnsi="Arial"/>
          <w:rtl/>
        </w:rPr>
        <w:t xml:space="preserve"> </w:t>
      </w:r>
      <w:r>
        <w:rPr>
          <w:rFonts w:ascii="Arial" w:hAnsi="Arial"/>
          <w:b/>
          <w:bCs/>
          <w:rtl/>
        </w:rPr>
        <w:t>ביטון נ' מדינת ישראל</w:t>
      </w:r>
      <w:r>
        <w:rPr>
          <w:rFonts w:ascii="Arial" w:hAnsi="Arial"/>
          <w:rtl/>
        </w:rPr>
        <w:t xml:space="preserve"> (24.7.2011), שם נקבע:</w:t>
      </w:r>
    </w:p>
    <w:p w14:paraId="354D9D36" w14:textId="77777777" w:rsidR="00C317EF" w:rsidRDefault="00C317EF" w:rsidP="00C317EF">
      <w:pPr>
        <w:pStyle w:val="ab"/>
        <w:spacing w:line="360" w:lineRule="auto"/>
        <w:ind w:left="360"/>
        <w:jc w:val="both"/>
        <w:rPr>
          <w:rFonts w:ascii="Arial" w:hAnsi="Arial"/>
          <w:rtl/>
        </w:rPr>
      </w:pPr>
    </w:p>
    <w:p w14:paraId="7D94EA1E" w14:textId="77777777" w:rsidR="00C317EF" w:rsidRDefault="00C317EF" w:rsidP="00C317EF">
      <w:pPr>
        <w:pStyle w:val="ab"/>
        <w:spacing w:line="360" w:lineRule="auto"/>
        <w:ind w:left="360"/>
        <w:jc w:val="both"/>
        <w:rPr>
          <w:rFonts w:ascii="Arial" w:hAnsi="Arial"/>
          <w:rtl/>
        </w:rPr>
      </w:pPr>
      <w:r>
        <w:rPr>
          <w:rFonts w:ascii="Arial" w:hAnsi="Arial"/>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r>
        <w:rPr>
          <w:rFonts w:ascii="Arial" w:hAnsi="Arial"/>
          <w:b/>
          <w:bCs/>
          <w:rtl/>
        </w:rPr>
        <w:t>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w:t>
      </w:r>
      <w:r>
        <w:rPr>
          <w:rFonts w:ascii="Arial" w:hAnsi="Arial"/>
          <w:rtl/>
        </w:rPr>
        <w:t>. שתי תכליות מרכזיות אלו ניתן להשיג רק על ידי הטלת עונשים חמורים" (</w:t>
      </w:r>
      <w:hyperlink r:id="rId18" w:history="1">
        <w:r w:rsidR="00C44D50" w:rsidRPr="00C44D50">
          <w:rPr>
            <w:rFonts w:ascii="Arial" w:hAnsi="Arial"/>
            <w:color w:val="0000FF"/>
            <w:u w:val="single"/>
            <w:rtl/>
          </w:rPr>
          <w:t>ע"פ 966/94</w:t>
        </w:r>
      </w:hyperlink>
      <w:r>
        <w:rPr>
          <w:rFonts w:ascii="Arial" w:hAnsi="Arial"/>
          <w:rtl/>
        </w:rPr>
        <w:t xml:space="preserve"> אמזלג נ' מדינת ישראל ([פורסם בנבו], 12.12.1995)).". (ראו עוד בעניין זה, למשל, את </w:t>
      </w:r>
      <w:hyperlink r:id="rId19" w:history="1">
        <w:r w:rsidR="00C44D50" w:rsidRPr="00C44D50">
          <w:rPr>
            <w:rFonts w:ascii="Arial" w:hAnsi="Arial"/>
            <w:color w:val="0000FF"/>
            <w:u w:val="single"/>
            <w:rtl/>
          </w:rPr>
          <w:t>ע"פ 972/11</w:t>
        </w:r>
      </w:hyperlink>
      <w:r>
        <w:rPr>
          <w:rFonts w:ascii="Arial" w:hAnsi="Arial"/>
          <w:rtl/>
        </w:rPr>
        <w:t xml:space="preserve"> מדינת ישראל נ' אמארה [פורסם בנבו] [ניתן ביום 4.7.2012]).</w:t>
      </w:r>
    </w:p>
    <w:p w14:paraId="54E6885E" w14:textId="77777777" w:rsidR="00C317EF" w:rsidRDefault="00C317EF" w:rsidP="00C317EF">
      <w:pPr>
        <w:pStyle w:val="ab"/>
        <w:spacing w:line="360" w:lineRule="auto"/>
        <w:ind w:left="360"/>
        <w:jc w:val="both"/>
        <w:rPr>
          <w:rFonts w:ascii="Arial" w:hAnsi="Arial"/>
        </w:rPr>
      </w:pPr>
    </w:p>
    <w:p w14:paraId="2B0A6793" w14:textId="77777777" w:rsidR="00C317EF" w:rsidRDefault="00C317EF" w:rsidP="00C317EF">
      <w:pPr>
        <w:pStyle w:val="ab"/>
        <w:numPr>
          <w:ilvl w:val="0"/>
          <w:numId w:val="1"/>
        </w:numPr>
        <w:spacing w:line="360" w:lineRule="auto"/>
        <w:jc w:val="both"/>
        <w:rPr>
          <w:rFonts w:ascii="Arial" w:hAnsi="Arial"/>
        </w:rPr>
      </w:pPr>
      <w:r>
        <w:rPr>
          <w:rFonts w:ascii="Arial" w:hAnsi="Arial"/>
          <w:rtl/>
        </w:rPr>
        <w:t xml:space="preserve">ראו בעניין זה גם את הקבוע בע"פ </w:t>
      </w:r>
      <w:hyperlink r:id="rId20" w:history="1">
        <w:r w:rsidR="00507DDC" w:rsidRPr="00507DDC">
          <w:rPr>
            <w:rFonts w:ascii="Arial" w:hAnsi="Arial"/>
            <w:color w:val="0000FF"/>
            <w:u w:val="single"/>
            <w:rtl/>
          </w:rPr>
          <w:t xml:space="preserve">4203/14 </w:t>
        </w:r>
      </w:hyperlink>
      <w:r>
        <w:rPr>
          <w:rFonts w:ascii="Arial" w:hAnsi="Arial"/>
          <w:rtl/>
        </w:rPr>
        <w:t xml:space="preserve"> ‏</w:t>
      </w:r>
      <w:r>
        <w:rPr>
          <w:rFonts w:ascii="Arial" w:hAnsi="Arial"/>
          <w:b/>
          <w:bCs/>
          <w:rtl/>
        </w:rPr>
        <w:t>כהן נ' מדינת ישראל</w:t>
      </w:r>
      <w:r>
        <w:rPr>
          <w:rFonts w:ascii="Arial" w:hAnsi="Arial"/>
          <w:rtl/>
        </w:rPr>
        <w:t xml:space="preserve"> (14.5.2015): </w:t>
      </w:r>
    </w:p>
    <w:p w14:paraId="49343BAF" w14:textId="77777777" w:rsidR="00C317EF" w:rsidRDefault="00C317EF" w:rsidP="00C317EF">
      <w:pPr>
        <w:pStyle w:val="ab"/>
        <w:rPr>
          <w:rFonts w:ascii="Arial" w:hAnsi="Arial"/>
        </w:rPr>
      </w:pPr>
    </w:p>
    <w:p w14:paraId="73E274C6" w14:textId="77777777" w:rsidR="00C317EF" w:rsidRDefault="00C317EF" w:rsidP="00C317EF">
      <w:pPr>
        <w:pStyle w:val="ab"/>
        <w:spacing w:line="360" w:lineRule="auto"/>
        <w:ind w:left="360"/>
        <w:jc w:val="both"/>
        <w:rPr>
          <w:rFonts w:ascii="Arial" w:hAnsi="Arial"/>
          <w:rtl/>
        </w:rPr>
      </w:pPr>
      <w:r>
        <w:rPr>
          <w:rFonts w:ascii="Arial" w:hAnsi="Arial"/>
          <w:rtl/>
        </w:rPr>
        <w:t>"</w:t>
      </w:r>
      <w:r>
        <w:rPr>
          <w:rFonts w:ascii="Arial" w:hAnsi="Arial"/>
          <w:b/>
          <w:bCs/>
          <w:rtl/>
        </w:rPr>
        <w:t xml:space="preserve">כידוע השווה המחוקק החזקת סם שלא לצריכה עצמית (סעיף </w:t>
      </w:r>
      <w:hyperlink r:id="rId21" w:history="1">
        <w:r w:rsidR="0041779F" w:rsidRPr="0041779F">
          <w:rPr>
            <w:rStyle w:val="Hyperlink"/>
            <w:rFonts w:ascii="Arial" w:hAnsi="Arial"/>
            <w:b/>
            <w:bCs/>
            <w:rtl/>
          </w:rPr>
          <w:t>7 (א) (ג)</w:t>
        </w:r>
      </w:hyperlink>
      <w:r>
        <w:rPr>
          <w:rFonts w:ascii="Arial" w:hAnsi="Arial"/>
          <w:b/>
          <w:bCs/>
          <w:rtl/>
        </w:rPr>
        <w:t xml:space="preserve"> רישא ל</w:t>
      </w:r>
      <w:hyperlink r:id="rId22" w:history="1">
        <w:r w:rsidR="00C44D50" w:rsidRPr="00C44D50">
          <w:rPr>
            <w:rFonts w:ascii="Arial" w:hAnsi="Arial"/>
            <w:b/>
            <w:bCs/>
            <w:color w:val="0000FF"/>
            <w:u w:val="single"/>
            <w:rtl/>
          </w:rPr>
          <w:t>פקודת הסמים המסוכנים</w:t>
        </w:r>
      </w:hyperlink>
      <w:r>
        <w:rPr>
          <w:rFonts w:ascii="Arial" w:hAnsi="Arial"/>
          <w:b/>
          <w:bCs/>
          <w:rtl/>
        </w:rPr>
        <w:t>) לסחר מבחינת תג הענישה המירבי, 20 שנות מאסר (לעניין סחר ראו סעיף 19א לפקודה), וזאת מטעמים טובים</w:t>
      </w:r>
      <w:r>
        <w:rPr>
          <w:rFonts w:ascii="Arial" w:hAnsi="Arial"/>
          <w:rtl/>
        </w:rPr>
        <w:t xml:space="preserve">: ברי מדוע בחר המחוקק לקבוע כך, שכן לא תמיד ניתן להוכיח סחר, אך כמות גדולה של סמים שאינה לצריכה עצמית מטבעה מועדת לפורענות, ודעת לנבון נקל". </w:t>
      </w:r>
    </w:p>
    <w:p w14:paraId="51A6C5B7" w14:textId="77777777" w:rsidR="00C317EF" w:rsidRDefault="00C317EF" w:rsidP="00C317EF">
      <w:pPr>
        <w:pStyle w:val="ab"/>
        <w:spacing w:line="360" w:lineRule="auto"/>
        <w:ind w:left="360"/>
        <w:jc w:val="both"/>
        <w:rPr>
          <w:rFonts w:ascii="Arial" w:hAnsi="Arial"/>
          <w:rtl/>
        </w:rPr>
      </w:pPr>
    </w:p>
    <w:p w14:paraId="05FBEC01" w14:textId="77777777" w:rsidR="00C317EF" w:rsidRDefault="00C317EF" w:rsidP="00C317EF">
      <w:pPr>
        <w:pStyle w:val="ab"/>
        <w:numPr>
          <w:ilvl w:val="0"/>
          <w:numId w:val="1"/>
        </w:numPr>
        <w:spacing w:line="360" w:lineRule="auto"/>
        <w:jc w:val="both"/>
        <w:rPr>
          <w:rFonts w:ascii="Arial" w:hAnsi="Arial"/>
          <w:rtl/>
        </w:rPr>
      </w:pPr>
      <w:r>
        <w:rPr>
          <w:rFonts w:ascii="Arial" w:hAnsi="Arial"/>
          <w:rtl/>
        </w:rPr>
        <w:t xml:space="preserve">לטעמי, מידת הפגיעה בערכים המוגנים במקרה דנא היא </w:t>
      </w:r>
      <w:r>
        <w:rPr>
          <w:rFonts w:ascii="Arial" w:hAnsi="Arial"/>
          <w:b/>
          <w:bCs/>
          <w:rtl/>
        </w:rPr>
        <w:t>בינונית</w:t>
      </w:r>
      <w:r>
        <w:rPr>
          <w:rFonts w:ascii="Arial" w:hAnsi="Arial"/>
          <w:rtl/>
        </w:rPr>
        <w:t xml:space="preserve">, וזאת לנוכח סוג הסם המסוכן בו החזיק הנאשם, כמותו, ואופן החזקתו (מחולק למנות), כמפורט להלן. </w:t>
      </w:r>
    </w:p>
    <w:p w14:paraId="2C9992C5" w14:textId="77777777" w:rsidR="00C317EF" w:rsidRDefault="00C317EF" w:rsidP="00C317EF">
      <w:pPr>
        <w:pStyle w:val="ab"/>
        <w:spacing w:line="360" w:lineRule="auto"/>
        <w:ind w:left="360"/>
        <w:jc w:val="both"/>
        <w:rPr>
          <w:rFonts w:ascii="Arial" w:hAnsi="Arial"/>
        </w:rPr>
      </w:pPr>
    </w:p>
    <w:p w14:paraId="1AA05015" w14:textId="77777777" w:rsidR="00C317EF" w:rsidRDefault="00C317EF" w:rsidP="00C317EF">
      <w:pPr>
        <w:pStyle w:val="ab"/>
        <w:numPr>
          <w:ilvl w:val="0"/>
          <w:numId w:val="1"/>
        </w:numPr>
        <w:spacing w:line="360" w:lineRule="auto"/>
        <w:jc w:val="both"/>
        <w:rPr>
          <w:rFonts w:ascii="Arial" w:hAnsi="Arial"/>
        </w:rPr>
      </w:pPr>
      <w:r>
        <w:rPr>
          <w:rFonts w:ascii="Arial" w:hAnsi="Arial"/>
          <w:rtl/>
        </w:rPr>
        <w:t xml:space="preserve">הנאשם החזיק בסם מסוכן מסוג הרואין, אשר לגביו נקבע בפסיקה כי הוא סם מסוכן וקטלני (וכונה "סם המוות"); ראו למשל את </w:t>
      </w:r>
      <w:hyperlink r:id="rId23" w:history="1">
        <w:r w:rsidR="00C44D50" w:rsidRPr="00C44D50">
          <w:rPr>
            <w:rFonts w:ascii="Arial" w:hAnsi="Arial"/>
            <w:color w:val="0000FF"/>
            <w:u w:val="single"/>
            <w:rtl/>
          </w:rPr>
          <w:t>ע"פ 329/87</w:t>
        </w:r>
      </w:hyperlink>
      <w:r>
        <w:rPr>
          <w:rFonts w:ascii="Arial" w:hAnsi="Arial"/>
          <w:rtl/>
        </w:rPr>
        <w:t xml:space="preserve">  </w:t>
      </w:r>
      <w:r>
        <w:rPr>
          <w:rFonts w:ascii="Arial" w:hAnsi="Arial"/>
          <w:b/>
          <w:bCs/>
          <w:rtl/>
        </w:rPr>
        <w:t>מדינת ישראל נ' בר און</w:t>
      </w:r>
      <w:r>
        <w:rPr>
          <w:rFonts w:ascii="Arial" w:hAnsi="Arial"/>
          <w:rtl/>
        </w:rPr>
        <w:t xml:space="preserve"> (10.2.1988) שם נקבע:</w:t>
      </w:r>
    </w:p>
    <w:p w14:paraId="132CF82B" w14:textId="77777777" w:rsidR="00C317EF" w:rsidRDefault="00C317EF" w:rsidP="00C317EF">
      <w:pPr>
        <w:pStyle w:val="ab"/>
        <w:spacing w:line="360" w:lineRule="auto"/>
        <w:ind w:left="360"/>
        <w:jc w:val="both"/>
        <w:rPr>
          <w:rFonts w:ascii="Arial" w:hAnsi="Arial"/>
        </w:rPr>
      </w:pPr>
    </w:p>
    <w:p w14:paraId="3F39487C" w14:textId="77777777" w:rsidR="00C317EF" w:rsidRDefault="00C317EF" w:rsidP="00C317EF">
      <w:pPr>
        <w:pStyle w:val="ab"/>
        <w:spacing w:line="360" w:lineRule="auto"/>
        <w:ind w:left="360"/>
        <w:jc w:val="both"/>
        <w:rPr>
          <w:rFonts w:ascii="Arial" w:hAnsi="Arial"/>
          <w:rtl/>
        </w:rPr>
      </w:pPr>
      <w:r>
        <w:rPr>
          <w:rFonts w:ascii="Arial" w:hAnsi="Arial"/>
          <w:rtl/>
        </w:rPr>
        <w:t xml:space="preserve">"... וזאת משום החומרה המופלגת שבפשע עבירת סמים במיוחד משמדובר בהירואין ובכמות עצומה של 150 גרם, שיש בהם אלפים רבים של מנות סם מרעיל וממית. בצדק הצביע השופט המלומד </w:t>
      </w:r>
      <w:r>
        <w:rPr>
          <w:rFonts w:ascii="Arial" w:hAnsi="Arial"/>
          <w:b/>
          <w:bCs/>
          <w:rtl/>
        </w:rPr>
        <w:t>על הסכנה האיומה שבסם זה, סכנת חיים פשוטו כמשמעו,</w:t>
      </w:r>
      <w:r>
        <w:rPr>
          <w:rFonts w:ascii="Arial" w:hAnsi="Arial"/>
          <w:rtl/>
        </w:rPr>
        <w:t xml:space="preserve"> ועל התפשטות נגע הסמים בחברתנו בתקופה האחרונה. ממחקריהם של מלומדים ומדבריהם של עדים אנו למדים על </w:t>
      </w:r>
      <w:r>
        <w:rPr>
          <w:rFonts w:ascii="Arial" w:hAnsi="Arial"/>
          <w:b/>
          <w:bCs/>
          <w:rtl/>
        </w:rPr>
        <w:t>התוצאות ההרסניות שישבו בסם זה לשלומה של החברה, לבריאותה ולביטחונה, ורבים וטובים מקרבנותיו נופלים חלל מפגיעתו הרעה</w:t>
      </w:r>
      <w:r>
        <w:rPr>
          <w:rFonts w:ascii="Arial" w:hAnsi="Arial"/>
          <w:rtl/>
        </w:rPr>
        <w:t xml:space="preserve">". </w:t>
      </w:r>
    </w:p>
    <w:p w14:paraId="139EA619" w14:textId="77777777" w:rsidR="00C317EF" w:rsidRDefault="00C317EF" w:rsidP="00C317EF">
      <w:pPr>
        <w:pStyle w:val="ab"/>
        <w:spacing w:line="360" w:lineRule="auto"/>
        <w:ind w:left="360"/>
        <w:jc w:val="both"/>
        <w:rPr>
          <w:rFonts w:ascii="Arial" w:hAnsi="Arial"/>
          <w:rtl/>
        </w:rPr>
      </w:pPr>
    </w:p>
    <w:p w14:paraId="4856D9E2" w14:textId="77777777" w:rsidR="00C317EF" w:rsidRDefault="00C317EF" w:rsidP="00C317EF">
      <w:pPr>
        <w:pStyle w:val="ab"/>
        <w:spacing w:line="360" w:lineRule="auto"/>
        <w:ind w:left="360"/>
        <w:jc w:val="both"/>
        <w:rPr>
          <w:rFonts w:ascii="Arial" w:hAnsi="Arial"/>
          <w:rtl/>
        </w:rPr>
      </w:pPr>
      <w:r>
        <w:rPr>
          <w:rFonts w:ascii="Arial" w:hAnsi="Arial"/>
          <w:rtl/>
        </w:rPr>
        <w:t xml:space="preserve">ראו גם את </w:t>
      </w:r>
      <w:hyperlink r:id="rId24" w:history="1">
        <w:r w:rsidR="00C44D50" w:rsidRPr="00C44D50">
          <w:rPr>
            <w:rFonts w:ascii="Arial" w:hAnsi="Arial"/>
            <w:color w:val="0000FF"/>
            <w:u w:val="single"/>
            <w:rtl/>
          </w:rPr>
          <w:t>ע"פ 417/88</w:t>
        </w:r>
      </w:hyperlink>
      <w:r>
        <w:rPr>
          <w:rFonts w:ascii="Arial" w:hAnsi="Arial"/>
          <w:rtl/>
        </w:rPr>
        <w:t xml:space="preserve"> </w:t>
      </w:r>
      <w:r>
        <w:rPr>
          <w:rFonts w:ascii="Arial" w:hAnsi="Arial"/>
          <w:b/>
          <w:bCs/>
          <w:rtl/>
        </w:rPr>
        <w:t>חוואג'ה נ' מדינת ישראל</w:t>
      </w:r>
      <w:r>
        <w:rPr>
          <w:rFonts w:ascii="Arial" w:hAnsi="Arial"/>
          <w:rtl/>
        </w:rPr>
        <w:t xml:space="preserve"> (12.10.1989), שם נקבע כי הרואין הוא סם מסוכן וקטלני, וכן את </w:t>
      </w:r>
      <w:hyperlink r:id="rId25" w:history="1">
        <w:r w:rsidR="00C44D50" w:rsidRPr="00C44D50">
          <w:rPr>
            <w:rFonts w:ascii="Arial" w:hAnsi="Arial"/>
            <w:color w:val="0000FF"/>
            <w:u w:val="single"/>
            <w:rtl/>
          </w:rPr>
          <w:t>ע"פ 6839/97</w:t>
        </w:r>
      </w:hyperlink>
      <w:r>
        <w:rPr>
          <w:rFonts w:ascii="Arial" w:hAnsi="Arial"/>
          <w:rtl/>
        </w:rPr>
        <w:t xml:space="preserve"> </w:t>
      </w:r>
      <w:r>
        <w:rPr>
          <w:rFonts w:ascii="Arial" w:hAnsi="Arial"/>
          <w:b/>
          <w:bCs/>
          <w:rtl/>
        </w:rPr>
        <w:t>עזרן נ' מדינת ישראל</w:t>
      </w:r>
      <w:r>
        <w:rPr>
          <w:rFonts w:ascii="Arial" w:hAnsi="Arial"/>
          <w:rtl/>
        </w:rPr>
        <w:t xml:space="preserve"> (24.8.1998), שם כונה הסם המסוכן מסוג הרואין "סם המוות הלבן"; ראו עוד את: ת"פ (מחוזי מרכז) 74740-06-20  </w:t>
      </w:r>
      <w:r>
        <w:rPr>
          <w:rFonts w:ascii="Arial" w:hAnsi="Arial"/>
          <w:b/>
          <w:bCs/>
          <w:rtl/>
        </w:rPr>
        <w:t>מדינת ישראל נ' אבו צעלוק</w:t>
      </w:r>
      <w:r>
        <w:rPr>
          <w:rFonts w:ascii="Arial" w:hAnsi="Arial"/>
          <w:rtl/>
        </w:rPr>
        <w:t xml:space="preserve"> (1.9.2022) בפסקה 14 וההפניות שם, </w:t>
      </w:r>
      <w:hyperlink r:id="rId26" w:history="1">
        <w:r w:rsidR="00C44D50" w:rsidRPr="00C44D50">
          <w:rPr>
            <w:rFonts w:ascii="Arial" w:hAnsi="Arial"/>
            <w:color w:val="0000FF"/>
            <w:u w:val="single"/>
            <w:rtl/>
          </w:rPr>
          <w:t>עפ"ג (חי') 37357-11-19</w:t>
        </w:r>
      </w:hyperlink>
      <w:r>
        <w:rPr>
          <w:rFonts w:ascii="Arial" w:hAnsi="Arial"/>
          <w:rtl/>
        </w:rPr>
        <w:t xml:space="preserve"> </w:t>
      </w:r>
      <w:r>
        <w:rPr>
          <w:rFonts w:ascii="Arial" w:hAnsi="Arial"/>
          <w:b/>
          <w:bCs/>
          <w:rtl/>
        </w:rPr>
        <w:t>מדינת ישראל נ' עראבי</w:t>
      </w:r>
      <w:r>
        <w:rPr>
          <w:rFonts w:ascii="Arial" w:hAnsi="Arial"/>
          <w:rtl/>
        </w:rPr>
        <w:t xml:space="preserve"> ‏(2.1.2020), </w:t>
      </w:r>
      <w:hyperlink r:id="rId27" w:history="1">
        <w:r w:rsidR="00C44D50" w:rsidRPr="00C44D50">
          <w:rPr>
            <w:rFonts w:ascii="Arial" w:hAnsi="Arial"/>
            <w:color w:val="0000FF"/>
            <w:u w:val="single"/>
            <w:rtl/>
          </w:rPr>
          <w:t>ת"פ (מחוזי חי') 44181-01-17</w:t>
        </w:r>
      </w:hyperlink>
      <w:r>
        <w:rPr>
          <w:rFonts w:ascii="Arial" w:hAnsi="Arial"/>
          <w:rtl/>
        </w:rPr>
        <w:t xml:space="preserve">‏ ‏ </w:t>
      </w:r>
      <w:r>
        <w:rPr>
          <w:rFonts w:ascii="Arial" w:hAnsi="Arial"/>
          <w:b/>
          <w:bCs/>
          <w:rtl/>
        </w:rPr>
        <w:t>מדינת ישראל נ' גריפולינה</w:t>
      </w:r>
      <w:r>
        <w:rPr>
          <w:rFonts w:ascii="Arial" w:hAnsi="Arial"/>
          <w:rtl/>
        </w:rPr>
        <w:t xml:space="preserve"> (6.11.2017) בפסקה 25. </w:t>
      </w:r>
    </w:p>
    <w:p w14:paraId="46F193E9" w14:textId="77777777" w:rsidR="00C317EF" w:rsidRDefault="00C317EF" w:rsidP="00C317EF">
      <w:pPr>
        <w:pStyle w:val="ab"/>
        <w:spacing w:line="360" w:lineRule="auto"/>
        <w:ind w:left="360"/>
        <w:jc w:val="both"/>
        <w:rPr>
          <w:rFonts w:ascii="Arial" w:hAnsi="Arial"/>
          <w:rtl/>
        </w:rPr>
      </w:pPr>
    </w:p>
    <w:p w14:paraId="3CC41F32" w14:textId="77777777" w:rsidR="00C317EF" w:rsidRDefault="00C317EF" w:rsidP="00C317EF">
      <w:pPr>
        <w:pStyle w:val="ab"/>
        <w:numPr>
          <w:ilvl w:val="0"/>
          <w:numId w:val="1"/>
        </w:numPr>
        <w:spacing w:line="360" w:lineRule="auto"/>
        <w:jc w:val="both"/>
        <w:rPr>
          <w:rFonts w:ascii="Arial" w:hAnsi="Arial"/>
          <w:rtl/>
        </w:rPr>
      </w:pPr>
      <w:r>
        <w:rPr>
          <w:rFonts w:ascii="Arial" w:hAnsi="Arial"/>
          <w:rtl/>
        </w:rPr>
        <w:t xml:space="preserve">הנאשם החזיק כ-16 גרם נטו של סם מסוכן מסוג הרואין, מחולק למנות; כמות הסם שהחזיק הנאשם היתה בערך פי- 50 (!) מהכמות שהוכרה בדין לצורך שימוש עצמי, והיותו מחולק למנות לימד על נסיבות החזקה "שלא לצריכה </w:t>
      </w:r>
      <w:r>
        <w:rPr>
          <w:rFonts w:ascii="Arial" w:hAnsi="Arial"/>
          <w:b/>
          <w:bCs/>
          <w:rtl/>
        </w:rPr>
        <w:t>עצמית</w:t>
      </w:r>
      <w:r>
        <w:rPr>
          <w:rFonts w:ascii="Arial" w:hAnsi="Arial"/>
          <w:rtl/>
        </w:rPr>
        <w:t>", באופן מובהק ולחומרה.</w:t>
      </w:r>
    </w:p>
    <w:p w14:paraId="4AED9AEE" w14:textId="77777777" w:rsidR="00C317EF" w:rsidRDefault="00C317EF" w:rsidP="00C317EF">
      <w:pPr>
        <w:pStyle w:val="ab"/>
        <w:spacing w:line="360" w:lineRule="auto"/>
        <w:ind w:left="360"/>
        <w:jc w:val="both"/>
        <w:rPr>
          <w:rFonts w:ascii="Arial" w:hAnsi="Arial"/>
          <w:rtl/>
        </w:rPr>
      </w:pPr>
    </w:p>
    <w:p w14:paraId="185D672B" w14:textId="77777777" w:rsidR="00C317EF" w:rsidRDefault="00C317EF" w:rsidP="00C317EF">
      <w:pPr>
        <w:pStyle w:val="ab"/>
        <w:numPr>
          <w:ilvl w:val="0"/>
          <w:numId w:val="1"/>
        </w:numPr>
        <w:spacing w:line="360" w:lineRule="auto"/>
        <w:jc w:val="both"/>
        <w:rPr>
          <w:rFonts w:ascii="Arial" w:hAnsi="Arial"/>
        </w:rPr>
      </w:pPr>
      <w:r>
        <w:rPr>
          <w:rFonts w:ascii="Arial" w:hAnsi="Arial"/>
          <w:rtl/>
        </w:rPr>
        <w:t xml:space="preserve">עם זאת, ומנגד, יש טעם בטענת ההגנה שלפיה התנהלות היחידה החוקרת, לנוכח מחדלה לאתר את פלונית, משפיע, ולו במעט, על קביעת מתחם העונש ההולם, לקולא כמובן. </w:t>
      </w:r>
    </w:p>
    <w:p w14:paraId="524B93C4" w14:textId="77777777" w:rsidR="00C317EF" w:rsidRDefault="00C317EF" w:rsidP="00C317EF">
      <w:pPr>
        <w:pStyle w:val="ab"/>
        <w:rPr>
          <w:rFonts w:ascii="Arial" w:hAnsi="Arial"/>
        </w:rPr>
      </w:pPr>
    </w:p>
    <w:p w14:paraId="3870BA6B" w14:textId="77777777" w:rsidR="00C317EF" w:rsidRDefault="00C317EF" w:rsidP="00C317EF">
      <w:pPr>
        <w:pStyle w:val="ab"/>
        <w:spacing w:line="360" w:lineRule="auto"/>
        <w:ind w:left="360"/>
        <w:jc w:val="both"/>
        <w:rPr>
          <w:rFonts w:ascii="Arial" w:hAnsi="Arial"/>
          <w:rtl/>
        </w:rPr>
      </w:pPr>
      <w:r>
        <w:rPr>
          <w:rFonts w:ascii="Arial" w:hAnsi="Arial"/>
          <w:rtl/>
        </w:rPr>
        <w:t>עיון בת/5, מצלמות הגוף של השוטרים מעת האירוע המתואר בכתב האישום, לימד כי פלונית אכן עמדה ליד השוטרים והנאשם, עת אספו הראשונים את מה שנתפס באירוע מושא כתב האישום אל תוך שקיות משטרתיות, ושחה להם: "הסכינים שלי", ובהמשך גם "הסיגריות שלי"; ניתן בהחלט להבין מצפיה בסרטון, כי "הסיגריות" אליהן כיוונה פלונית אינן אלא אותה קופסת הסיגריות בתוכה הוצפנו הסמים המסוכנים.</w:t>
      </w:r>
    </w:p>
    <w:p w14:paraId="57AC6A25" w14:textId="77777777" w:rsidR="00C317EF" w:rsidRDefault="00C317EF" w:rsidP="00C317EF">
      <w:pPr>
        <w:pStyle w:val="ab"/>
        <w:spacing w:line="360" w:lineRule="auto"/>
        <w:ind w:left="360"/>
        <w:jc w:val="both"/>
        <w:rPr>
          <w:rFonts w:ascii="Arial" w:hAnsi="Arial"/>
          <w:rtl/>
        </w:rPr>
      </w:pPr>
    </w:p>
    <w:p w14:paraId="0C70EE07" w14:textId="77777777" w:rsidR="00C317EF" w:rsidRDefault="00C317EF" w:rsidP="00C317EF">
      <w:pPr>
        <w:pStyle w:val="ab"/>
        <w:spacing w:line="360" w:lineRule="auto"/>
        <w:ind w:left="360"/>
        <w:jc w:val="both"/>
        <w:rPr>
          <w:rFonts w:ascii="Arial" w:hAnsi="Arial"/>
          <w:rtl/>
        </w:rPr>
      </w:pPr>
      <w:r>
        <w:rPr>
          <w:rFonts w:ascii="Arial" w:hAnsi="Arial"/>
          <w:rtl/>
        </w:rPr>
        <w:t xml:space="preserve">השוטרים אמנם תשאלו בשטח את פלונית, ואף בוצע עליה חיפוש, שעל פני הדברים העלה חרס. </w:t>
      </w:r>
      <w:r>
        <w:rPr>
          <w:rFonts w:ascii="Arial" w:hAnsi="Arial"/>
          <w:rtl/>
        </w:rPr>
        <w:br/>
      </w:r>
      <w:r>
        <w:rPr>
          <w:rFonts w:ascii="Arial" w:hAnsi="Arial"/>
          <w:rtl/>
        </w:rPr>
        <w:br/>
        <w:t xml:space="preserve">ברם, במהלך חקירת התיק נגד הנאשם, עלה הצורך לאתר את האלמונית; במזכר ת/3 כתב השוטר חיים ואקנין, שהיה חלק מצוות החקירה בתיק, אל כוחות השטח בתחנת שרת, כך: "בתחנתנו מתנהל תיק בגין החזקת סמים שלא לצריכה עצמית כנגד החשוד... בעת מעצרו נכחה אישה שעדותה נדרשת בתיק (פ.ח) תמונתה כפי שעולה ממצלמות גוף (צורפה תמונה), נא לבצע ניסיונות איתור דחופים לצורך גביית עדותה". </w:t>
      </w:r>
    </w:p>
    <w:p w14:paraId="63683B30" w14:textId="77777777" w:rsidR="00C317EF" w:rsidRDefault="00C317EF" w:rsidP="00C317EF">
      <w:pPr>
        <w:pStyle w:val="ab"/>
        <w:rPr>
          <w:rFonts w:ascii="Arial" w:hAnsi="Arial"/>
        </w:rPr>
      </w:pPr>
    </w:p>
    <w:p w14:paraId="30B38691" w14:textId="77777777" w:rsidR="00C317EF" w:rsidRDefault="00C317EF" w:rsidP="00C317EF">
      <w:pPr>
        <w:pStyle w:val="ab"/>
        <w:spacing w:line="360" w:lineRule="auto"/>
        <w:ind w:left="360"/>
        <w:jc w:val="both"/>
        <w:rPr>
          <w:rFonts w:ascii="Arial" w:hAnsi="Arial"/>
          <w:rtl/>
        </w:rPr>
      </w:pPr>
      <w:r>
        <w:rPr>
          <w:rFonts w:ascii="Arial" w:hAnsi="Arial"/>
          <w:rtl/>
        </w:rPr>
        <w:t xml:space="preserve">ברם, אין בתיק כל מזכר או ראיה אחרת לכך שבוצעו ניסיונות לאתר את פלונית. </w:t>
      </w:r>
    </w:p>
    <w:p w14:paraId="723E3241" w14:textId="77777777" w:rsidR="00C317EF" w:rsidRDefault="00C317EF" w:rsidP="00C317EF">
      <w:pPr>
        <w:pStyle w:val="ab"/>
        <w:spacing w:line="360" w:lineRule="auto"/>
        <w:ind w:left="360"/>
        <w:jc w:val="both"/>
        <w:rPr>
          <w:rFonts w:ascii="Arial" w:hAnsi="Arial"/>
          <w:rtl/>
        </w:rPr>
      </w:pPr>
    </w:p>
    <w:p w14:paraId="571ACFB0" w14:textId="77777777" w:rsidR="00C317EF" w:rsidRDefault="00C317EF" w:rsidP="00C317EF">
      <w:pPr>
        <w:pStyle w:val="ab"/>
        <w:numPr>
          <w:ilvl w:val="0"/>
          <w:numId w:val="1"/>
        </w:numPr>
        <w:spacing w:line="360" w:lineRule="auto"/>
        <w:jc w:val="both"/>
        <w:rPr>
          <w:rFonts w:ascii="Arial" w:hAnsi="Arial"/>
          <w:rtl/>
        </w:rPr>
      </w:pPr>
      <w:r>
        <w:rPr>
          <w:rFonts w:ascii="Arial" w:hAnsi="Arial"/>
          <w:rtl/>
        </w:rPr>
        <w:t>אכן, מדובר במחדל חקירתי, בגינו לא ניתן לעמוד על טיב הקשר שבין פלונית לנאשם, ובעיקר – לא הושג מידע מבוסס על הקשר (אם קיים) בינה לבין הסמים של הנאשם, באותה קופסת סיגריות שזרק מידיו לעיני השוטרים, כאמור בכתב האישום.</w:t>
      </w:r>
    </w:p>
    <w:p w14:paraId="3A9E7851" w14:textId="77777777" w:rsidR="00C317EF" w:rsidRDefault="00C317EF" w:rsidP="00C317EF">
      <w:pPr>
        <w:pStyle w:val="ab"/>
        <w:spacing w:line="360" w:lineRule="auto"/>
        <w:ind w:left="360"/>
        <w:jc w:val="both"/>
        <w:rPr>
          <w:rFonts w:ascii="Arial" w:hAnsi="Arial"/>
        </w:rPr>
      </w:pPr>
    </w:p>
    <w:p w14:paraId="6C7A8C0C" w14:textId="77777777" w:rsidR="00C317EF" w:rsidRDefault="00C317EF" w:rsidP="00C317EF">
      <w:pPr>
        <w:pStyle w:val="ab"/>
        <w:spacing w:line="360" w:lineRule="auto"/>
        <w:ind w:left="360"/>
        <w:jc w:val="both"/>
        <w:rPr>
          <w:rFonts w:ascii="Arial" w:hAnsi="Arial"/>
          <w:rtl/>
        </w:rPr>
      </w:pPr>
      <w:r>
        <w:rPr>
          <w:rFonts w:ascii="Arial" w:hAnsi="Arial"/>
          <w:rtl/>
        </w:rPr>
        <w:t xml:space="preserve">יתכן כי מדובר במי שניסתה לסייע בידו של הנאשם (הלה, אגב, טען בחקירתו כי היה במקום "לבד", ולשאלות ביחס לאישה שהיתה עמו אמר – "לא יודע על מה מדברים אחי", ת/1), ויתכן שלא. ממילא, לא ניתן לברר לאשורו את הקשר של פלונית אל הנאשם ואל הסמים, ויש בכך, כאמור, מחדל חקירתי מסוים. עם זאת, ברי ואין חולק כי </w:t>
      </w:r>
      <w:r>
        <w:rPr>
          <w:rFonts w:ascii="Arial" w:hAnsi="Arial"/>
          <w:u w:val="single"/>
          <w:rtl/>
        </w:rPr>
        <w:t xml:space="preserve">הסמים שנתפסו הם של הנאשם, ולמצער - </w:t>
      </w:r>
      <w:r>
        <w:rPr>
          <w:rFonts w:ascii="Arial" w:hAnsi="Arial"/>
          <w:b/>
          <w:bCs/>
          <w:u w:val="single"/>
          <w:rtl/>
        </w:rPr>
        <w:t>גם</w:t>
      </w:r>
      <w:r>
        <w:rPr>
          <w:rFonts w:ascii="Arial" w:hAnsi="Arial"/>
          <w:u w:val="single"/>
          <w:rtl/>
        </w:rPr>
        <w:t xml:space="preserve"> שלו</w:t>
      </w:r>
      <w:r>
        <w:rPr>
          <w:rFonts w:ascii="Arial" w:hAnsi="Arial"/>
          <w:rtl/>
        </w:rPr>
        <w:t xml:space="preserve">. </w:t>
      </w:r>
    </w:p>
    <w:p w14:paraId="345B9348" w14:textId="77777777" w:rsidR="00C317EF" w:rsidRDefault="00C317EF" w:rsidP="00C317EF">
      <w:pPr>
        <w:pStyle w:val="ab"/>
        <w:spacing w:line="360" w:lineRule="auto"/>
        <w:ind w:left="360"/>
        <w:jc w:val="both"/>
        <w:rPr>
          <w:rFonts w:ascii="Arial" w:hAnsi="Arial"/>
          <w:rtl/>
        </w:rPr>
      </w:pPr>
    </w:p>
    <w:p w14:paraId="382E12CA" w14:textId="77777777" w:rsidR="00C317EF" w:rsidRDefault="00C317EF" w:rsidP="00C317EF">
      <w:pPr>
        <w:pStyle w:val="ab"/>
        <w:spacing w:line="360" w:lineRule="auto"/>
        <w:ind w:left="360"/>
        <w:jc w:val="both"/>
        <w:rPr>
          <w:rFonts w:ascii="Arial" w:hAnsi="Arial"/>
          <w:rtl/>
        </w:rPr>
      </w:pPr>
      <w:r>
        <w:rPr>
          <w:rFonts w:ascii="Arial" w:hAnsi="Arial"/>
          <w:rtl/>
        </w:rPr>
        <w:t xml:space="preserve">על כן, למחדל החקירה אין, ולא היתה, כל השלכה על שאלת אשמו של איברהים, הנאשם. עם זאת, יתכן שאיתור וחקירת האלמונית, שאולי היתה קושרת (גם) את עצמה לסמים שנתפסו, היתה משפיעה על </w:t>
      </w:r>
      <w:r>
        <w:rPr>
          <w:rFonts w:ascii="Arial" w:hAnsi="Arial"/>
          <w:b/>
          <w:bCs/>
          <w:rtl/>
        </w:rPr>
        <w:t>מידת</w:t>
      </w:r>
      <w:r>
        <w:rPr>
          <w:rFonts w:ascii="Arial" w:hAnsi="Arial"/>
          <w:rtl/>
        </w:rPr>
        <w:t xml:space="preserve"> אשמו של הנאשם. </w:t>
      </w:r>
      <w:r>
        <w:rPr>
          <w:rFonts w:ascii="Arial" w:hAnsi="Arial"/>
          <w:rtl/>
        </w:rPr>
        <w:tab/>
      </w:r>
      <w:r>
        <w:rPr>
          <w:rFonts w:ascii="Arial" w:hAnsi="Arial"/>
          <w:rtl/>
        </w:rPr>
        <w:br/>
      </w:r>
      <w:r>
        <w:rPr>
          <w:rFonts w:ascii="Arial" w:hAnsi="Arial"/>
          <w:rtl/>
        </w:rPr>
        <w:br/>
        <w:t>הנה כי כן, טיב המחדל החקירתי קשור ל"נסיבות ביצוע העבירה", ובהתאם – ועל פי תיקון 113 ל</w:t>
      </w:r>
      <w:hyperlink r:id="rId28" w:history="1">
        <w:r w:rsidR="00C44D50" w:rsidRPr="00C44D50">
          <w:rPr>
            <w:rFonts w:ascii="Arial" w:hAnsi="Arial"/>
            <w:color w:val="0000FF"/>
            <w:u w:val="single"/>
            <w:rtl/>
          </w:rPr>
          <w:t>חוק העונשין</w:t>
        </w:r>
      </w:hyperlink>
      <w:r>
        <w:rPr>
          <w:rFonts w:ascii="Arial" w:hAnsi="Arial"/>
          <w:rtl/>
        </w:rPr>
        <w:t xml:space="preserve"> - יש ליתן לכך משקל מסוים בקביעת מתחם הענישה</w:t>
      </w:r>
      <w:r>
        <w:rPr>
          <w:rStyle w:val="ac"/>
          <w:rFonts w:ascii="Arial" w:hAnsi="Arial"/>
          <w:rtl/>
        </w:rPr>
        <w:footnoteReference w:id="2"/>
      </w:r>
      <w:r>
        <w:rPr>
          <w:rFonts w:ascii="Arial" w:hAnsi="Arial"/>
          <w:rtl/>
        </w:rPr>
        <w:t xml:space="preserve">. </w:t>
      </w:r>
    </w:p>
    <w:p w14:paraId="5A939CDB" w14:textId="77777777" w:rsidR="00C317EF" w:rsidRDefault="00C317EF" w:rsidP="00C317EF">
      <w:pPr>
        <w:pStyle w:val="ab"/>
        <w:spacing w:line="360" w:lineRule="auto"/>
        <w:ind w:left="360"/>
        <w:jc w:val="both"/>
        <w:rPr>
          <w:rFonts w:ascii="Arial" w:hAnsi="Arial"/>
          <w:rtl/>
        </w:rPr>
      </w:pPr>
    </w:p>
    <w:p w14:paraId="6BF576B7" w14:textId="77777777" w:rsidR="00C317EF" w:rsidRDefault="00C317EF" w:rsidP="00C317EF">
      <w:pPr>
        <w:pStyle w:val="ab"/>
        <w:numPr>
          <w:ilvl w:val="0"/>
          <w:numId w:val="1"/>
        </w:numPr>
        <w:spacing w:line="360" w:lineRule="auto"/>
        <w:jc w:val="both"/>
        <w:rPr>
          <w:rFonts w:ascii="Arial" w:hAnsi="Arial"/>
          <w:rtl/>
        </w:rPr>
      </w:pPr>
      <w:r>
        <w:rPr>
          <w:rFonts w:ascii="Arial" w:hAnsi="Arial"/>
          <w:rtl/>
        </w:rPr>
        <w:t>הצדדים הגישו פסיקה על מנת לתמוך בעתירתם אשר למדיניות הענישה הנהוגה; ראיתי להתייחס לפסקי הדין הבאים</w:t>
      </w:r>
      <w:r>
        <w:rPr>
          <w:rStyle w:val="ac"/>
          <w:rFonts w:ascii="Arial" w:hAnsi="Arial"/>
          <w:rtl/>
        </w:rPr>
        <w:footnoteReference w:id="3"/>
      </w:r>
      <w:r>
        <w:rPr>
          <w:rFonts w:ascii="Arial" w:hAnsi="Arial"/>
          <w:rtl/>
        </w:rPr>
        <w:t xml:space="preserve">, וכן לפסיקה נוספת כמפורט להלן. </w:t>
      </w:r>
    </w:p>
    <w:p w14:paraId="42D83FAB" w14:textId="77777777" w:rsidR="00C317EF" w:rsidRDefault="00C317EF" w:rsidP="00C317EF">
      <w:pPr>
        <w:pStyle w:val="ab"/>
        <w:rPr>
          <w:rFonts w:ascii="Arial" w:hAnsi="Arial"/>
          <w:rtl/>
        </w:rPr>
      </w:pPr>
    </w:p>
    <w:p w14:paraId="7D0F6041" w14:textId="77777777" w:rsidR="00C317EF" w:rsidRDefault="00C317EF" w:rsidP="00C317EF">
      <w:pPr>
        <w:pStyle w:val="ab"/>
        <w:numPr>
          <w:ilvl w:val="0"/>
          <w:numId w:val="1"/>
        </w:numPr>
        <w:spacing w:line="360" w:lineRule="auto"/>
        <w:jc w:val="both"/>
        <w:rPr>
          <w:rFonts w:ascii="Arial" w:hAnsi="Arial"/>
          <w:rtl/>
        </w:rPr>
      </w:pPr>
      <w:r>
        <w:rPr>
          <w:rFonts w:ascii="Arial" w:hAnsi="Arial"/>
          <w:rtl/>
        </w:rPr>
        <w:t xml:space="preserve">במסגרת </w:t>
      </w:r>
      <w:hyperlink r:id="rId29" w:history="1">
        <w:r w:rsidR="00C44D50" w:rsidRPr="00C44D50">
          <w:rPr>
            <w:rFonts w:ascii="Arial" w:hAnsi="Arial"/>
            <w:color w:val="0000FF"/>
            <w:u w:val="single"/>
            <w:rtl/>
          </w:rPr>
          <w:t>רע"פ 2986/21</w:t>
        </w:r>
      </w:hyperlink>
      <w:r>
        <w:rPr>
          <w:rFonts w:ascii="Arial" w:hAnsi="Arial"/>
          <w:rtl/>
        </w:rPr>
        <w:t xml:space="preserve"> </w:t>
      </w:r>
      <w:r>
        <w:rPr>
          <w:rFonts w:ascii="Arial" w:hAnsi="Arial"/>
          <w:b/>
          <w:bCs/>
          <w:rtl/>
        </w:rPr>
        <w:t>עיסאוי נ' מדינת ישראל</w:t>
      </w:r>
      <w:r>
        <w:rPr>
          <w:rFonts w:ascii="Arial" w:hAnsi="Arial"/>
          <w:rtl/>
        </w:rPr>
        <w:t xml:space="preserve"> (10.5.2021) דחה בית המשפט העליון בקשת רשות ערעור נגד פסק דינו של בית המשפט המחוזי, שם התקבל ערעורה של המדינה נגד קולת העונש שנגזר בבית משפט השלום. </w:t>
      </w:r>
      <w:r>
        <w:rPr>
          <w:rFonts w:ascii="Arial" w:hAnsi="Arial"/>
          <w:rtl/>
        </w:rPr>
        <w:tab/>
      </w:r>
      <w:r>
        <w:rPr>
          <w:rFonts w:ascii="Arial" w:hAnsi="Arial"/>
          <w:rtl/>
        </w:rPr>
        <w:br/>
      </w:r>
      <w:r>
        <w:rPr>
          <w:rFonts w:ascii="Arial" w:hAnsi="Arial"/>
          <w:rtl/>
        </w:rPr>
        <w:br/>
        <w:t xml:space="preserve">עיסאווי הורשע בכך ששהה ברכב שעמד בצד הכביש עם אדם נוסף. שוטר שהבחין ברכב פנה אליהם, ובעת ששוחח עם הנהג, השליך הלה שקית שהכילה סם מסוכן מסוג הרואין במשקל 11.6 גרם, המחולק ל-14 מנות. בית משפט השלום קבע כי </w:t>
      </w:r>
      <w:r>
        <w:rPr>
          <w:rFonts w:ascii="Arial" w:hAnsi="Arial"/>
          <w:b/>
          <w:bCs/>
          <w:rtl/>
        </w:rPr>
        <w:t>מתחם העונש ההולם נע בין מספר חודשי מאסר בפועל הניתנים לריצוי בדרך של עבודות שירות, ועד 18 חודשי מאסר בפועל</w:t>
      </w:r>
      <w:r>
        <w:rPr>
          <w:rFonts w:ascii="Arial" w:hAnsi="Arial"/>
          <w:rtl/>
        </w:rPr>
        <w:t xml:space="preserve">; על המבקש הושת עונש בתחתית מתחם הענישה שנקבע (חודש מאסר לריצוי בדרך של עבודות שירות). בית המשפט המחוזי קיבל את ערעור המאשימה נגד קולת העונש, והחמיר את עונשו ל-9 חודשי מאסר לריצוי בדרך של עבודות שירות. בית המשפט המחוזי קבע כי ראוי היה לגזור על המבקש עונש של 10 חודשי מאסר בפועל, אולם נוכח העובדה שערכאת הערעור אינה ממצה את הדין, הוחמר העונש כמפורט לעיל. </w:t>
      </w:r>
    </w:p>
    <w:p w14:paraId="51EC9559" w14:textId="77777777" w:rsidR="00C317EF" w:rsidRDefault="00C317EF" w:rsidP="00C317EF">
      <w:pPr>
        <w:pStyle w:val="ab"/>
        <w:spacing w:line="360" w:lineRule="auto"/>
        <w:ind w:left="360"/>
        <w:jc w:val="both"/>
        <w:rPr>
          <w:rFonts w:ascii="Arial" w:hAnsi="Arial"/>
        </w:rPr>
      </w:pPr>
    </w:p>
    <w:p w14:paraId="7C2A5B5C" w14:textId="77777777" w:rsidR="00C317EF" w:rsidRDefault="00C317EF" w:rsidP="00C317EF">
      <w:pPr>
        <w:pStyle w:val="ab"/>
        <w:spacing w:line="360" w:lineRule="auto"/>
        <w:ind w:left="360"/>
        <w:jc w:val="both"/>
        <w:rPr>
          <w:rFonts w:ascii="Arial" w:hAnsi="Arial"/>
          <w:rtl/>
        </w:rPr>
      </w:pPr>
      <w:r>
        <w:rPr>
          <w:rFonts w:ascii="Arial" w:hAnsi="Arial"/>
          <w:rtl/>
        </w:rPr>
        <w:t>בית המשפט העליון דחה את בקשת רשות הערעור, וקבע:</w:t>
      </w:r>
    </w:p>
    <w:p w14:paraId="7FFFC510" w14:textId="77777777" w:rsidR="00C317EF" w:rsidRDefault="00C317EF" w:rsidP="00C317EF">
      <w:pPr>
        <w:pStyle w:val="ab"/>
        <w:spacing w:line="360" w:lineRule="auto"/>
        <w:ind w:left="360"/>
        <w:jc w:val="both"/>
        <w:rPr>
          <w:rFonts w:ascii="Arial" w:hAnsi="Arial"/>
        </w:rPr>
      </w:pPr>
    </w:p>
    <w:p w14:paraId="123805B4" w14:textId="77777777" w:rsidR="00C317EF" w:rsidRDefault="00C317EF" w:rsidP="00C317EF">
      <w:pPr>
        <w:pStyle w:val="ab"/>
        <w:spacing w:line="360" w:lineRule="auto"/>
        <w:ind w:left="360"/>
        <w:jc w:val="both"/>
        <w:rPr>
          <w:rFonts w:ascii="Arial" w:hAnsi="Arial"/>
          <w:rtl/>
        </w:rPr>
      </w:pPr>
      <w:r>
        <w:rPr>
          <w:rFonts w:ascii="Arial" w:hAnsi="Arial"/>
          <w:rtl/>
        </w:rPr>
        <w:t>"אני סבור כי העונש שהוטל על המבקש אינו חמור כלל ועיקר – ואף מקל עימו.</w:t>
      </w:r>
    </w:p>
    <w:p w14:paraId="0A3F8CDB" w14:textId="77777777" w:rsidR="00C317EF" w:rsidRDefault="00C317EF" w:rsidP="00C317EF">
      <w:pPr>
        <w:pStyle w:val="ab"/>
        <w:spacing w:line="360" w:lineRule="auto"/>
        <w:ind w:left="360"/>
        <w:jc w:val="both"/>
        <w:rPr>
          <w:rFonts w:ascii="Arial" w:hAnsi="Arial"/>
          <w:rtl/>
        </w:rPr>
      </w:pPr>
    </w:p>
    <w:p w14:paraId="430B6575" w14:textId="77777777" w:rsidR="00C317EF" w:rsidRDefault="00C317EF" w:rsidP="00C317EF">
      <w:pPr>
        <w:pStyle w:val="ab"/>
        <w:spacing w:line="360" w:lineRule="auto"/>
        <w:ind w:left="360"/>
        <w:jc w:val="both"/>
        <w:rPr>
          <w:rFonts w:ascii="Arial" w:hAnsi="Arial"/>
          <w:rtl/>
        </w:rPr>
      </w:pPr>
      <w:r>
        <w:rPr>
          <w:rFonts w:ascii="Arial" w:hAnsi="Arial"/>
          <w:rtl/>
        </w:rPr>
        <w:t>המבקש הורשע בהחזקה של סם מסוכן מסוג הרואין שלא לצריכה עצמית, אשר השפעותיו ההרסניות על צורכיו חמורות וידועות זה מכבר. בית משפט זה הדגיש לא אחת את החומרה הרבה שיש לייחס לעבירות סמים מסוכנים, המצריכה ענישה משמעותית ומרתיעה (</w:t>
      </w:r>
      <w:hyperlink r:id="rId30" w:history="1">
        <w:r w:rsidR="00C44D50" w:rsidRPr="00C44D50">
          <w:rPr>
            <w:rFonts w:ascii="Arial" w:hAnsi="Arial"/>
            <w:color w:val="0000FF"/>
            <w:u w:val="single"/>
            <w:rtl/>
          </w:rPr>
          <w:t>רע"פ 8695/19</w:t>
        </w:r>
      </w:hyperlink>
      <w:r>
        <w:rPr>
          <w:rFonts w:ascii="Arial" w:hAnsi="Arial"/>
          <w:rtl/>
        </w:rPr>
        <w:t xml:space="preserve"> פסו נ' מדינת ישראל (5.1.20)).</w:t>
      </w:r>
    </w:p>
    <w:p w14:paraId="27400050" w14:textId="77777777" w:rsidR="00C317EF" w:rsidRDefault="00C317EF" w:rsidP="00C317EF">
      <w:pPr>
        <w:pStyle w:val="ab"/>
        <w:spacing w:line="360" w:lineRule="auto"/>
        <w:ind w:left="360"/>
        <w:jc w:val="both"/>
        <w:rPr>
          <w:rFonts w:ascii="Arial" w:hAnsi="Arial"/>
          <w:rtl/>
        </w:rPr>
      </w:pPr>
    </w:p>
    <w:p w14:paraId="5D58C97D" w14:textId="77777777" w:rsidR="00C317EF" w:rsidRDefault="00C317EF" w:rsidP="00C317EF">
      <w:pPr>
        <w:pStyle w:val="ab"/>
        <w:spacing w:line="360" w:lineRule="auto"/>
        <w:ind w:left="360"/>
        <w:jc w:val="both"/>
        <w:rPr>
          <w:rFonts w:ascii="Arial" w:hAnsi="Arial"/>
          <w:rtl/>
        </w:rPr>
      </w:pPr>
      <w:r>
        <w:rPr>
          <w:rFonts w:ascii="Arial" w:hAnsi="Arial"/>
          <w:rtl/>
        </w:rPr>
        <w:t>על בתי המשפט ליטול חלק במאבק בתופעה ההולכת וגדלה של הפצת סמים מסוכנים, תוך גזירת עונשים משמעותיים על החזקת סמים שלא לשימוש עצמי לשם הרתעת מבצעי העבירות. זאת, באופן שיש לקוות כי יסייע בקטיעת מערך הפצת הסמים, ובצמצום תופעה נפסדת זו".</w:t>
      </w:r>
    </w:p>
    <w:p w14:paraId="3236A4BE" w14:textId="77777777" w:rsidR="00C317EF" w:rsidRDefault="00C317EF" w:rsidP="00C317EF">
      <w:pPr>
        <w:pStyle w:val="ab"/>
        <w:spacing w:line="360" w:lineRule="auto"/>
        <w:ind w:left="360"/>
        <w:jc w:val="both"/>
        <w:rPr>
          <w:rFonts w:ascii="Arial" w:hAnsi="Arial"/>
          <w:b/>
          <w:bCs/>
        </w:rPr>
      </w:pPr>
    </w:p>
    <w:p w14:paraId="755AC8D0" w14:textId="77777777" w:rsidR="00C317EF" w:rsidRDefault="00C317EF" w:rsidP="00C317EF">
      <w:pPr>
        <w:pStyle w:val="ab"/>
        <w:numPr>
          <w:ilvl w:val="0"/>
          <w:numId w:val="1"/>
        </w:numPr>
        <w:spacing w:line="360" w:lineRule="auto"/>
        <w:jc w:val="both"/>
        <w:rPr>
          <w:rFonts w:ascii="Arial" w:hAnsi="Arial"/>
        </w:rPr>
      </w:pPr>
      <w:r>
        <w:rPr>
          <w:rFonts w:ascii="Arial" w:hAnsi="Arial"/>
          <w:rtl/>
        </w:rPr>
        <w:t xml:space="preserve">במסגרת </w:t>
      </w:r>
      <w:hyperlink r:id="rId31" w:history="1">
        <w:r w:rsidR="00C44D50" w:rsidRPr="00C44D50">
          <w:rPr>
            <w:rFonts w:ascii="Arial" w:hAnsi="Arial"/>
            <w:color w:val="0000FF"/>
            <w:u w:val="single"/>
            <w:rtl/>
          </w:rPr>
          <w:t>רע"פ 894/16</w:t>
        </w:r>
      </w:hyperlink>
      <w:r>
        <w:rPr>
          <w:rFonts w:ascii="Arial" w:hAnsi="Arial"/>
          <w:rtl/>
        </w:rPr>
        <w:t xml:space="preserve"> </w:t>
      </w:r>
      <w:r>
        <w:rPr>
          <w:rFonts w:ascii="Arial" w:hAnsi="Arial"/>
          <w:b/>
          <w:bCs/>
          <w:rtl/>
        </w:rPr>
        <w:t>פרץ נ' מדינת ישראל</w:t>
      </w:r>
      <w:r>
        <w:rPr>
          <w:rFonts w:ascii="Arial" w:hAnsi="Arial"/>
          <w:rtl/>
        </w:rPr>
        <w:t xml:space="preserve"> (10.2.2016) דחה בית המשפט העליון בקשת רשות ערעור נגד פסק דינו של בית המשפט המחוזי בגדרו נדחה ערעורו של פרץ נגד חומרת גזר דינו של בית משפט השלום. </w:t>
      </w:r>
      <w:r>
        <w:rPr>
          <w:rFonts w:ascii="Arial" w:hAnsi="Arial"/>
          <w:rtl/>
        </w:rPr>
        <w:tab/>
      </w:r>
      <w:r>
        <w:rPr>
          <w:rFonts w:ascii="Arial" w:hAnsi="Arial"/>
          <w:rtl/>
        </w:rPr>
        <w:br/>
      </w:r>
      <w:r>
        <w:rPr>
          <w:rFonts w:ascii="Arial" w:hAnsi="Arial"/>
          <w:rtl/>
        </w:rPr>
        <w:br/>
        <w:t xml:space="preserve">פרץ הורשע בכך שהחזיק בדירתו 31.05 גרם נטו של סם מסוכן מסוג קוקאין, שלא לצריכתו העצמית. בית משפט השלום קבע כי </w:t>
      </w:r>
      <w:r>
        <w:rPr>
          <w:rFonts w:ascii="Arial" w:hAnsi="Arial"/>
          <w:b/>
          <w:bCs/>
          <w:rtl/>
        </w:rPr>
        <w:t>מתחם העונש ההולם נע בין 15 ועד 36 חודשי מאסר בפועל</w:t>
      </w:r>
      <w:r>
        <w:rPr>
          <w:rFonts w:ascii="Arial" w:hAnsi="Arial"/>
          <w:rtl/>
        </w:rPr>
        <w:t xml:space="preserve">, והשית על הנאשם עונש בתחתית מתחם הענישה, בהתאם לנסיבותיו האישיות. בית המשפט המחוזי דחה את ערעורו של פרץ נגד גזר הדין, וקבע כי הוא משקף נכונה את מדיניות הענישה הנוהגת בעבירות דומות, ובפרט כאשר מדובר בכמות נכבדה של סמים קשים מסוג קוקאין. בית המשפט העליון דחה את בקשת רשות הערעור, וקבע כי עונש המאסר שהושת על המבקש אינו סוטה כלל ממדיניות הענישה המקובלת בעבירות דומות. </w:t>
      </w:r>
    </w:p>
    <w:p w14:paraId="36D6D1D1" w14:textId="77777777" w:rsidR="00C317EF" w:rsidRDefault="00C317EF" w:rsidP="00C317EF">
      <w:pPr>
        <w:pStyle w:val="ab"/>
        <w:spacing w:line="360" w:lineRule="auto"/>
        <w:ind w:left="360"/>
        <w:jc w:val="both"/>
        <w:rPr>
          <w:rFonts w:ascii="Arial" w:hAnsi="Arial"/>
        </w:rPr>
      </w:pPr>
    </w:p>
    <w:p w14:paraId="6A3C1B4F" w14:textId="77777777" w:rsidR="00C317EF" w:rsidRDefault="00C317EF" w:rsidP="00C317EF">
      <w:pPr>
        <w:pStyle w:val="ab"/>
        <w:numPr>
          <w:ilvl w:val="0"/>
          <w:numId w:val="1"/>
        </w:numPr>
        <w:spacing w:line="360" w:lineRule="auto"/>
        <w:jc w:val="both"/>
        <w:rPr>
          <w:rFonts w:ascii="Arial" w:hAnsi="Arial"/>
        </w:rPr>
      </w:pPr>
      <w:r>
        <w:rPr>
          <w:rFonts w:ascii="Arial" w:hAnsi="Arial"/>
          <w:rtl/>
        </w:rPr>
        <w:t xml:space="preserve">במסגרת </w:t>
      </w:r>
      <w:hyperlink r:id="rId32" w:history="1">
        <w:r w:rsidR="00C44D50" w:rsidRPr="00C44D50">
          <w:rPr>
            <w:rFonts w:ascii="Arial" w:hAnsi="Arial"/>
            <w:color w:val="0000FF"/>
            <w:u w:val="single"/>
            <w:rtl/>
          </w:rPr>
          <w:t>רע"פ 2472/15</w:t>
        </w:r>
      </w:hyperlink>
      <w:r>
        <w:rPr>
          <w:rFonts w:ascii="Arial" w:hAnsi="Arial"/>
          <w:rtl/>
        </w:rPr>
        <w:t xml:space="preserve"> </w:t>
      </w:r>
      <w:r>
        <w:rPr>
          <w:rFonts w:ascii="Arial" w:hAnsi="Arial"/>
          <w:b/>
          <w:bCs/>
          <w:rtl/>
        </w:rPr>
        <w:t>שורצמן נ' מדינת ישראל</w:t>
      </w:r>
      <w:r>
        <w:rPr>
          <w:rFonts w:ascii="Arial" w:hAnsi="Arial"/>
          <w:rtl/>
        </w:rPr>
        <w:t xml:space="preserve"> (21.5.2015) דחה בית המשפט העליון בקשת רשות ערעור נגד פסק דינו של בית המשפט המחוזי, שם התקבל ערעור המאשימה נגד קולת גזר הדין שהושת על שורצמן בערכאה דלמטה. </w:t>
      </w:r>
      <w:r>
        <w:rPr>
          <w:rFonts w:ascii="Arial" w:hAnsi="Arial"/>
          <w:rtl/>
        </w:rPr>
        <w:tab/>
      </w:r>
      <w:r>
        <w:rPr>
          <w:rFonts w:ascii="Arial" w:hAnsi="Arial"/>
          <w:rtl/>
        </w:rPr>
        <w:br/>
      </w:r>
      <w:r>
        <w:rPr>
          <w:rFonts w:ascii="Arial" w:hAnsi="Arial"/>
          <w:rtl/>
        </w:rPr>
        <w:br/>
        <w:t xml:space="preserve">שורצמן הורשע בכך שבעת ששהה בתחנה המרכזית בתל אביב, החזיק בתוך תחתוניו 4 יחידות של סם מסוכן מסוג קוקאין, במשקל כולל של 1.4115 גרם נטו, ו-19 יחידות של סם מסוכן מסוג הרואין, במשקל כולל של 17.3204 גרם נטו, והכל שלא לצריכתו העצמית. בית משפט השלום קבע כי </w:t>
      </w:r>
      <w:r>
        <w:rPr>
          <w:rFonts w:ascii="Arial" w:hAnsi="Arial"/>
          <w:b/>
          <w:bCs/>
          <w:rtl/>
        </w:rPr>
        <w:t>מתחם העונש ההולם נע בין 10 ועד 20 חודשי מאסר בפועל</w:t>
      </w:r>
      <w:r>
        <w:rPr>
          <w:rFonts w:ascii="Arial" w:hAnsi="Arial"/>
          <w:rtl/>
        </w:rPr>
        <w:t>, והשית על המבקש 16 חודשי מאסר בפועל, בהתאם לנסיבותיו האישיות. ערעור המדינה נגד קולת העונש התקבל, ובית המשפט המחוזי אף החליט להחמיר את מתחם הענישה, כך:</w:t>
      </w:r>
    </w:p>
    <w:p w14:paraId="1EF0A47B" w14:textId="77777777" w:rsidR="00C317EF" w:rsidRDefault="00C317EF" w:rsidP="00C317EF">
      <w:pPr>
        <w:pStyle w:val="ab"/>
        <w:spacing w:line="360" w:lineRule="auto"/>
        <w:ind w:left="360"/>
        <w:jc w:val="both"/>
        <w:rPr>
          <w:rFonts w:ascii="Arial" w:hAnsi="Arial"/>
        </w:rPr>
      </w:pPr>
    </w:p>
    <w:p w14:paraId="10E2C30D" w14:textId="77777777" w:rsidR="00C317EF" w:rsidRDefault="00C317EF" w:rsidP="00C317EF">
      <w:pPr>
        <w:pStyle w:val="ab"/>
        <w:spacing w:line="360" w:lineRule="auto"/>
        <w:ind w:left="360"/>
        <w:jc w:val="both"/>
        <w:rPr>
          <w:rFonts w:ascii="Arial" w:hAnsi="Arial"/>
          <w:rtl/>
        </w:rPr>
      </w:pPr>
      <w:r>
        <w:rPr>
          <w:rFonts w:ascii="Arial" w:hAnsi="Arial"/>
          <w:rtl/>
        </w:rPr>
        <w:t xml:space="preserve">"אשר למתחם הענישה – </w:t>
      </w:r>
      <w:r>
        <w:rPr>
          <w:rFonts w:ascii="Arial" w:hAnsi="Arial"/>
          <w:b/>
          <w:bCs/>
          <w:rtl/>
        </w:rPr>
        <w:t>צודקת התביעה באומרה שהמתחם הראוי בתיק זה הוא בין 12 ל-24 חודשי מאסר</w:t>
      </w:r>
      <w:r>
        <w:rPr>
          <w:rFonts w:ascii="Arial" w:hAnsi="Arial"/>
          <w:rtl/>
        </w:rPr>
        <w:t>. אנו ערים לכך שההבדל בין מתחם זה למתחם שנקבע על-ידי בית משפט קמא איננו מהותי, עדיין מן הראוי להעמיד דברים על דיוקם ונראה לנו כי המתחם לו עתרה המדינה משקף נכונה את הנסיבות שבפנינו.</w:t>
      </w:r>
    </w:p>
    <w:p w14:paraId="66617E52" w14:textId="77777777" w:rsidR="00C317EF" w:rsidRDefault="00C317EF" w:rsidP="00C317EF">
      <w:pPr>
        <w:pStyle w:val="ab"/>
        <w:spacing w:line="360" w:lineRule="auto"/>
        <w:ind w:left="360"/>
        <w:jc w:val="both"/>
        <w:rPr>
          <w:rFonts w:ascii="Arial" w:hAnsi="Arial"/>
          <w:rtl/>
        </w:rPr>
      </w:pPr>
    </w:p>
    <w:p w14:paraId="4537FD42" w14:textId="77777777" w:rsidR="00C317EF" w:rsidRDefault="00C317EF" w:rsidP="00C317EF">
      <w:pPr>
        <w:pStyle w:val="ab"/>
        <w:spacing w:line="360" w:lineRule="auto"/>
        <w:ind w:left="360"/>
        <w:jc w:val="both"/>
        <w:rPr>
          <w:rFonts w:ascii="Arial" w:hAnsi="Arial"/>
          <w:rtl/>
        </w:rPr>
      </w:pPr>
      <w:r>
        <w:rPr>
          <w:rFonts w:ascii="Arial" w:hAnsi="Arial"/>
          <w:rtl/>
        </w:rPr>
        <w:t>כיוון שהדברים נאמרו, נזכיר רק בקצרה – עשרים מנות סם. הסם שמדובר בו הוא סם מסוכן, מן הסמים הקשים, והכוונה לשני סוגי הסמים שנמצאו בתחתוניו של המשיב, הן הקוקאין והן ההרואין. העובדה שהסם חולק למנות מדברת בעד עצמה, וכך גם התנהלותו של המשיב, שהתנהל כמקצוען.</w:t>
      </w:r>
    </w:p>
    <w:p w14:paraId="0FFBB548" w14:textId="77777777" w:rsidR="00C317EF" w:rsidRDefault="00C317EF" w:rsidP="00C317EF">
      <w:pPr>
        <w:pStyle w:val="ab"/>
        <w:spacing w:line="360" w:lineRule="auto"/>
        <w:ind w:left="360"/>
        <w:jc w:val="both"/>
        <w:rPr>
          <w:rFonts w:ascii="Arial" w:hAnsi="Arial"/>
          <w:rtl/>
        </w:rPr>
      </w:pPr>
    </w:p>
    <w:p w14:paraId="466638A3" w14:textId="77777777" w:rsidR="00C317EF" w:rsidRDefault="00C317EF" w:rsidP="00C317EF">
      <w:pPr>
        <w:pStyle w:val="ab"/>
        <w:spacing w:line="360" w:lineRule="auto"/>
        <w:ind w:left="360"/>
        <w:jc w:val="both"/>
        <w:rPr>
          <w:rFonts w:ascii="Arial" w:hAnsi="Arial"/>
          <w:rtl/>
        </w:rPr>
      </w:pPr>
      <w:r>
        <w:rPr>
          <w:rFonts w:ascii="Arial" w:hAnsi="Arial"/>
          <w:rtl/>
        </w:rPr>
        <w:t>בהינתן הנסיבות נראה לנו כי המתחם הנכון, כאמור, הוא בין 12 ל-24 חודשי מאסר. מתחם זה משקף נכונה את עיקרון ההלימה שבתיקון 113".</w:t>
      </w:r>
    </w:p>
    <w:p w14:paraId="5A97A8DE" w14:textId="77777777" w:rsidR="00C317EF" w:rsidRDefault="00C317EF" w:rsidP="00C317EF">
      <w:pPr>
        <w:pStyle w:val="ab"/>
        <w:spacing w:line="360" w:lineRule="auto"/>
        <w:ind w:left="360"/>
        <w:jc w:val="both"/>
        <w:rPr>
          <w:rFonts w:ascii="Arial" w:hAnsi="Arial"/>
          <w:rtl/>
        </w:rPr>
      </w:pPr>
    </w:p>
    <w:p w14:paraId="07363CD2" w14:textId="77777777" w:rsidR="00C317EF" w:rsidRDefault="00C317EF" w:rsidP="00C317EF">
      <w:pPr>
        <w:pStyle w:val="ab"/>
        <w:spacing w:line="360" w:lineRule="auto"/>
        <w:ind w:left="360"/>
        <w:jc w:val="both"/>
        <w:rPr>
          <w:rFonts w:ascii="Arial" w:hAnsi="Arial"/>
          <w:rtl/>
        </w:rPr>
      </w:pPr>
      <w:r>
        <w:rPr>
          <w:rFonts w:ascii="Arial" w:hAnsi="Arial"/>
          <w:rtl/>
        </w:rPr>
        <w:t xml:space="preserve">בית המשפט העליון דחה את בקשת רשות הערעור, שהתמקדה בשאלת תחולת המאסר המותנה שעמד נגד המבקש. </w:t>
      </w:r>
    </w:p>
    <w:p w14:paraId="46C7F48B" w14:textId="77777777" w:rsidR="00C317EF" w:rsidRDefault="00C317EF" w:rsidP="00C317EF">
      <w:pPr>
        <w:pStyle w:val="ab"/>
        <w:spacing w:line="360" w:lineRule="auto"/>
        <w:ind w:left="360"/>
        <w:jc w:val="both"/>
        <w:rPr>
          <w:rFonts w:ascii="Arial" w:hAnsi="Arial"/>
        </w:rPr>
      </w:pPr>
    </w:p>
    <w:p w14:paraId="7FFD516F" w14:textId="77777777" w:rsidR="00C317EF" w:rsidRDefault="00C317EF" w:rsidP="00C317EF">
      <w:pPr>
        <w:pStyle w:val="ab"/>
        <w:numPr>
          <w:ilvl w:val="0"/>
          <w:numId w:val="1"/>
        </w:numPr>
        <w:spacing w:line="360" w:lineRule="auto"/>
        <w:jc w:val="both"/>
        <w:rPr>
          <w:rFonts w:ascii="Arial" w:hAnsi="Arial"/>
        </w:rPr>
      </w:pPr>
      <w:r>
        <w:rPr>
          <w:rFonts w:ascii="Arial" w:hAnsi="Arial"/>
          <w:rtl/>
        </w:rPr>
        <w:t xml:space="preserve">במסגרת ע"פ (מרכז) </w:t>
      </w:r>
      <w:hyperlink r:id="rId33" w:history="1">
        <w:r w:rsidR="00507DDC" w:rsidRPr="00507DDC">
          <w:rPr>
            <w:rFonts w:ascii="Arial" w:hAnsi="Arial"/>
            <w:color w:val="0000FF"/>
            <w:u w:val="single"/>
            <w:rtl/>
          </w:rPr>
          <w:t xml:space="preserve">22857-04-17 </w:t>
        </w:r>
      </w:hyperlink>
      <w:r>
        <w:rPr>
          <w:rFonts w:ascii="Arial" w:hAnsi="Arial"/>
          <w:rtl/>
        </w:rPr>
        <w:t xml:space="preserve"> </w:t>
      </w:r>
      <w:r>
        <w:rPr>
          <w:rFonts w:ascii="Arial" w:hAnsi="Arial"/>
          <w:b/>
          <w:bCs/>
          <w:rtl/>
        </w:rPr>
        <w:t>פרץ נ' מדינת ישראל</w:t>
      </w:r>
      <w:r>
        <w:rPr>
          <w:rFonts w:ascii="Arial" w:hAnsi="Arial"/>
          <w:rtl/>
        </w:rPr>
        <w:t xml:space="preserve"> (22.10.2017) דחה בית המשפט המחוזי את ערעורו של פרץ על חומרת העונש שהושת עליו. המערער הורשע בכך שהחזיק סם מסוכן מסוג קוקאין במשקל של 15 גרם, וסם מסוכן מסוג </w:t>
      </w:r>
      <w:r>
        <w:rPr>
          <w:rFonts w:ascii="Arial" w:hAnsi="Arial"/>
        </w:rPr>
        <w:t>MDMA</w:t>
      </w:r>
      <w:r>
        <w:rPr>
          <w:rFonts w:ascii="Arial" w:hAnsi="Arial"/>
          <w:rtl/>
        </w:rPr>
        <w:t xml:space="preserve"> במשקל 35 גרם, והכל שלא לצריכתו העצמית.  בית משפט השלום קבע כי </w:t>
      </w:r>
      <w:r>
        <w:rPr>
          <w:rFonts w:ascii="Arial" w:hAnsi="Arial"/>
          <w:b/>
          <w:bCs/>
          <w:rtl/>
        </w:rPr>
        <w:t>מתחם העונש ההולם נע בין שנתיים ועד 5 שנות מאסר בפועל</w:t>
      </w:r>
      <w:r>
        <w:rPr>
          <w:rFonts w:ascii="Arial" w:hAnsi="Arial"/>
          <w:rtl/>
        </w:rPr>
        <w:t xml:space="preserve">, והשית על הנאשם עונש בתחתית מתחם הענישה, בהתאם לנסיבותיו האישיות. בית המשפט המחוזי דחה, כאמור, את הערעור. </w:t>
      </w:r>
      <w:r>
        <w:rPr>
          <w:rFonts w:ascii="Arial" w:hAnsi="Arial"/>
          <w:rtl/>
        </w:rPr>
        <w:tab/>
      </w:r>
      <w:r>
        <w:rPr>
          <w:rFonts w:ascii="Arial" w:hAnsi="Arial"/>
          <w:rtl/>
        </w:rPr>
        <w:br/>
      </w:r>
      <w:r>
        <w:rPr>
          <w:rFonts w:ascii="Arial" w:hAnsi="Arial"/>
          <w:rtl/>
        </w:rPr>
        <w:br/>
        <w:t xml:space="preserve">פסיקה זו, שהניחה התביעה לפניי, חורגת </w:t>
      </w:r>
      <w:r>
        <w:rPr>
          <w:rFonts w:ascii="Arial" w:hAnsi="Arial"/>
          <w:b/>
          <w:bCs/>
          <w:rtl/>
        </w:rPr>
        <w:t>לכאורה</w:t>
      </w:r>
      <w:r>
        <w:rPr>
          <w:rFonts w:ascii="Arial" w:hAnsi="Arial"/>
          <w:rtl/>
        </w:rPr>
        <w:t xml:space="preserve">, לחומרה, מן השורה; למותר לציין, איפוא, כי כמות הסם בפרשת פרץ הנ"ל – היתה מעל לפי שלושה מזו שלפנינו. </w:t>
      </w:r>
    </w:p>
    <w:p w14:paraId="342A0078" w14:textId="77777777" w:rsidR="00C317EF" w:rsidRDefault="00C317EF" w:rsidP="00C317EF">
      <w:pPr>
        <w:pStyle w:val="ab"/>
        <w:rPr>
          <w:rFonts w:ascii="Arial" w:hAnsi="Arial"/>
        </w:rPr>
      </w:pPr>
    </w:p>
    <w:p w14:paraId="4A60B9DC" w14:textId="77777777" w:rsidR="00C317EF" w:rsidRDefault="00C317EF" w:rsidP="00C317EF">
      <w:pPr>
        <w:pStyle w:val="ab"/>
        <w:numPr>
          <w:ilvl w:val="0"/>
          <w:numId w:val="1"/>
        </w:numPr>
        <w:spacing w:line="360" w:lineRule="auto"/>
        <w:jc w:val="both"/>
        <w:rPr>
          <w:rFonts w:ascii="Arial" w:hAnsi="Arial"/>
          <w:rtl/>
        </w:rPr>
      </w:pPr>
      <w:r>
        <w:rPr>
          <w:rFonts w:ascii="Arial" w:hAnsi="Arial"/>
          <w:rtl/>
        </w:rPr>
        <w:t xml:space="preserve">במסגרת </w:t>
      </w:r>
      <w:hyperlink r:id="rId34" w:history="1">
        <w:r w:rsidR="00C44D50" w:rsidRPr="00C44D50">
          <w:rPr>
            <w:rFonts w:ascii="Arial" w:hAnsi="Arial"/>
            <w:color w:val="0000FF"/>
            <w:u w:val="single"/>
            <w:rtl/>
          </w:rPr>
          <w:t>עפ"ג (מרכז) 2372-11-15</w:t>
        </w:r>
      </w:hyperlink>
      <w:r>
        <w:rPr>
          <w:rFonts w:ascii="Arial" w:hAnsi="Arial"/>
          <w:rtl/>
        </w:rPr>
        <w:t xml:space="preserve"> </w:t>
      </w:r>
      <w:r>
        <w:rPr>
          <w:rFonts w:ascii="Arial" w:hAnsi="Arial"/>
          <w:b/>
          <w:bCs/>
          <w:rtl/>
        </w:rPr>
        <w:t>אלמרבוע נ' מדינת ישראל</w:t>
      </w:r>
      <w:r>
        <w:rPr>
          <w:rFonts w:ascii="Arial" w:hAnsi="Arial"/>
          <w:rtl/>
        </w:rPr>
        <w:t xml:space="preserve"> (10.1.2016) קיבל בית המשפט המחוזי (בהסכמת הצדדים) את ערעורו של אלמרבוע נגד חומרת העונש בעניינו, ביחס לניכוי ימי מעצרו בעת היותו אסיר (ניכוי חודשיים נוספים מהעונש), נוכח הליך שיקום שעבר בכלא. </w:t>
      </w:r>
      <w:r>
        <w:rPr>
          <w:rFonts w:ascii="Arial" w:hAnsi="Arial"/>
          <w:rtl/>
        </w:rPr>
        <w:tab/>
      </w:r>
      <w:r>
        <w:rPr>
          <w:rFonts w:ascii="Arial" w:hAnsi="Arial"/>
          <w:rtl/>
        </w:rPr>
        <w:br/>
        <w:t xml:space="preserve">אלמרבוע הורשע בכך שבעת שנסע עם אחרת במונית, החזיק בסם מסוכן מסוג הרואין במשקל 28.88 גרם נטו, ובסם מסוג קוקאין במשקל נטו של 6.97 גרם מחולקים למארזים. משהורו השוטרים למונית לעצור, השליך הנאשם את הסם לעברה של האחרת, והיא הכניסה את הסם אל חולצתה. בית משפט השלום קבע כי </w:t>
      </w:r>
      <w:r>
        <w:rPr>
          <w:rFonts w:ascii="Arial" w:hAnsi="Arial"/>
          <w:b/>
          <w:bCs/>
          <w:rtl/>
        </w:rPr>
        <w:t>מתחם העונש ההולם נע בין שנת מאסר בפועל ועד 36 חודשי מאסר</w:t>
      </w:r>
      <w:r>
        <w:rPr>
          <w:rFonts w:ascii="Arial" w:hAnsi="Arial"/>
          <w:rtl/>
        </w:rPr>
        <w:t xml:space="preserve">, והשית על הנאשם 18 חודשי מאסר בפועל (יחד עם הפעלת מאסר מותנה שעמד לחובתו, היה על הנאשם לרצות 30 חודשי מאסר בפועל). בית המשפט המחוזי קבע כי פסק דינו של בית משפט השלום היה "נכון לשעתו" ורק בשל הליך השיקום שעבר המערער בכלא, הורה על הפחתה בעונש, כאמור לעיל. </w:t>
      </w:r>
    </w:p>
    <w:p w14:paraId="7BC70496" w14:textId="77777777" w:rsidR="00C317EF" w:rsidRDefault="00C317EF" w:rsidP="00C317EF">
      <w:pPr>
        <w:pStyle w:val="ab"/>
        <w:rPr>
          <w:rFonts w:ascii="Arial" w:hAnsi="Arial"/>
        </w:rPr>
      </w:pPr>
    </w:p>
    <w:p w14:paraId="1D07DC44" w14:textId="77777777" w:rsidR="00C317EF" w:rsidRDefault="00C317EF" w:rsidP="00C317EF">
      <w:pPr>
        <w:pStyle w:val="ab"/>
        <w:numPr>
          <w:ilvl w:val="0"/>
          <w:numId w:val="1"/>
        </w:numPr>
        <w:spacing w:line="360" w:lineRule="auto"/>
        <w:jc w:val="both"/>
        <w:rPr>
          <w:rFonts w:ascii="Arial" w:hAnsi="Arial"/>
          <w:rtl/>
        </w:rPr>
      </w:pPr>
      <w:r>
        <w:rPr>
          <w:rFonts w:ascii="Arial" w:hAnsi="Arial"/>
          <w:rtl/>
        </w:rPr>
        <w:t xml:space="preserve">במסגרת </w:t>
      </w:r>
      <w:hyperlink r:id="rId35" w:history="1">
        <w:r w:rsidR="00C44D50" w:rsidRPr="00C44D50">
          <w:rPr>
            <w:rFonts w:ascii="Arial" w:hAnsi="Arial"/>
            <w:color w:val="0000FF"/>
            <w:u w:val="single"/>
            <w:rtl/>
          </w:rPr>
          <w:t>ת"פ (ת"א) 50520-12-17</w:t>
        </w:r>
      </w:hyperlink>
      <w:r>
        <w:rPr>
          <w:rFonts w:ascii="Arial" w:hAnsi="Arial"/>
          <w:rtl/>
        </w:rPr>
        <w:t xml:space="preserve"> </w:t>
      </w:r>
      <w:r>
        <w:rPr>
          <w:rFonts w:ascii="Arial" w:hAnsi="Arial"/>
          <w:b/>
          <w:bCs/>
          <w:rtl/>
        </w:rPr>
        <w:t>מדינת ישראל נ' מחמוד סעדה</w:t>
      </w:r>
      <w:r>
        <w:rPr>
          <w:rFonts w:ascii="Arial" w:hAnsi="Arial"/>
          <w:rtl/>
        </w:rPr>
        <w:t xml:space="preserve"> (3.5.2020), הורשע סעדה בהחזקת 172 מנות סמים מסוכנים מסוג קוקאין, במשקל של 25.0824 גרם נטו. בית המשפט קבע כי </w:t>
      </w:r>
      <w:r>
        <w:rPr>
          <w:rFonts w:ascii="Arial" w:hAnsi="Arial"/>
          <w:b/>
          <w:bCs/>
          <w:rtl/>
        </w:rPr>
        <w:t>מתחם העונש ההולם נע בין 9 חודשי מאסר בפועל ועד שנתיים מאסר בפועל</w:t>
      </w:r>
      <w:r>
        <w:rPr>
          <w:rFonts w:ascii="Arial" w:hAnsi="Arial"/>
          <w:rtl/>
        </w:rPr>
        <w:t xml:space="preserve">, והשית על הנאשם עונש בתחתית המתחם שנקבע, בהתאם לנסיבותיו האישיות. </w:t>
      </w:r>
    </w:p>
    <w:p w14:paraId="5199D439" w14:textId="77777777" w:rsidR="00C317EF" w:rsidRDefault="00C317EF" w:rsidP="00C317EF">
      <w:pPr>
        <w:pStyle w:val="ab"/>
        <w:rPr>
          <w:rFonts w:ascii="Arial" w:hAnsi="Arial"/>
        </w:rPr>
      </w:pPr>
    </w:p>
    <w:p w14:paraId="156F7F67" w14:textId="77777777" w:rsidR="00C317EF" w:rsidRDefault="00C317EF" w:rsidP="00C317EF">
      <w:pPr>
        <w:pStyle w:val="ab"/>
        <w:numPr>
          <w:ilvl w:val="0"/>
          <w:numId w:val="1"/>
        </w:numPr>
        <w:spacing w:line="360" w:lineRule="auto"/>
        <w:jc w:val="both"/>
        <w:rPr>
          <w:rFonts w:ascii="Arial" w:hAnsi="Arial"/>
          <w:rtl/>
        </w:rPr>
      </w:pPr>
      <w:r>
        <w:rPr>
          <w:rFonts w:ascii="Arial" w:hAnsi="Arial"/>
          <w:rtl/>
        </w:rPr>
        <w:t xml:space="preserve">במסגרת </w:t>
      </w:r>
      <w:hyperlink r:id="rId36" w:history="1">
        <w:r w:rsidR="00C44D50" w:rsidRPr="00C44D50">
          <w:rPr>
            <w:rFonts w:ascii="Arial" w:hAnsi="Arial"/>
            <w:color w:val="0000FF"/>
            <w:u w:val="single"/>
            <w:rtl/>
          </w:rPr>
          <w:t>ת"פ (ראשל"צ) 71968-02-19</w:t>
        </w:r>
      </w:hyperlink>
      <w:r>
        <w:rPr>
          <w:rFonts w:ascii="Arial" w:hAnsi="Arial"/>
          <w:rtl/>
        </w:rPr>
        <w:t xml:space="preserve"> </w:t>
      </w:r>
      <w:r>
        <w:rPr>
          <w:rFonts w:ascii="Arial" w:hAnsi="Arial"/>
          <w:b/>
          <w:bCs/>
          <w:rtl/>
        </w:rPr>
        <w:t>מדינת ישראל נ' ברוך סעדה</w:t>
      </w:r>
      <w:r>
        <w:rPr>
          <w:rFonts w:ascii="Arial" w:hAnsi="Arial"/>
          <w:rtl/>
        </w:rPr>
        <w:t xml:space="preserve"> (5.8.2020), הורשע סעדה בהחזקת 16 גרם נטו של סם מסוכן מסוג הרואין בביתו, סם מסוכן מסוג קנבוס במשקל 2 גרם נטו, ובשרשרת (בגינה הורשע בעבירה של החזקת נכס חשוד כגנוב). בית המשפט קבע כי </w:t>
      </w:r>
      <w:r>
        <w:rPr>
          <w:rFonts w:ascii="Arial" w:hAnsi="Arial"/>
          <w:b/>
          <w:bCs/>
          <w:rtl/>
        </w:rPr>
        <w:t>מתחם העונש ההולם נע בין שנת מאסר עד שנתיים מאסר בפועל</w:t>
      </w:r>
      <w:r>
        <w:rPr>
          <w:rFonts w:ascii="Arial" w:hAnsi="Arial"/>
          <w:rtl/>
        </w:rPr>
        <w:t xml:space="preserve">, והשית על הנאשם 16 חודשי מאסר בפועל, בהתאם לנסיבותיו האישיות. </w:t>
      </w:r>
    </w:p>
    <w:p w14:paraId="71774D16" w14:textId="77777777" w:rsidR="00C317EF" w:rsidRDefault="00C317EF" w:rsidP="00C317EF">
      <w:pPr>
        <w:pStyle w:val="ab"/>
        <w:rPr>
          <w:rFonts w:ascii="Arial" w:hAnsi="Arial"/>
        </w:rPr>
      </w:pPr>
    </w:p>
    <w:p w14:paraId="08D52774" w14:textId="77777777" w:rsidR="00C317EF" w:rsidRDefault="00C317EF" w:rsidP="00C317EF">
      <w:pPr>
        <w:pStyle w:val="ab"/>
        <w:numPr>
          <w:ilvl w:val="0"/>
          <w:numId w:val="1"/>
        </w:numPr>
        <w:spacing w:line="360" w:lineRule="auto"/>
        <w:jc w:val="both"/>
        <w:rPr>
          <w:rFonts w:ascii="Arial" w:hAnsi="Arial"/>
          <w:rtl/>
        </w:rPr>
      </w:pPr>
      <w:r>
        <w:rPr>
          <w:rFonts w:ascii="Arial" w:hAnsi="Arial"/>
          <w:rtl/>
        </w:rPr>
        <w:t xml:space="preserve">אשר על כן, לאור כל האמור לעיל, הרי שבאופן </w:t>
      </w:r>
      <w:r>
        <w:rPr>
          <w:rFonts w:ascii="Arial" w:hAnsi="Arial"/>
          <w:b/>
          <w:bCs/>
          <w:rtl/>
        </w:rPr>
        <w:t>רגיל</w:t>
      </w:r>
      <w:r>
        <w:rPr>
          <w:rFonts w:ascii="Arial" w:hAnsi="Arial"/>
          <w:rtl/>
        </w:rPr>
        <w:t xml:space="preserve"> היה מתחם העונש עומד על 12 עד 24 חודשי מאסר בפועל. </w:t>
      </w:r>
      <w:r>
        <w:rPr>
          <w:rFonts w:ascii="Arial" w:hAnsi="Arial"/>
          <w:rtl/>
        </w:rPr>
        <w:tab/>
      </w:r>
      <w:r>
        <w:rPr>
          <w:rFonts w:ascii="Arial" w:hAnsi="Arial"/>
          <w:rtl/>
        </w:rPr>
        <w:br/>
      </w:r>
      <w:r>
        <w:rPr>
          <w:rFonts w:ascii="Arial" w:hAnsi="Arial"/>
          <w:rtl/>
        </w:rPr>
        <w:br/>
        <w:t xml:space="preserve">אולם, לנוכח המחדל החקירתי והערפל העובדתי אודות </w:t>
      </w:r>
      <w:r w:rsidRPr="00BD00EF">
        <w:rPr>
          <w:rFonts w:ascii="Arial" w:hAnsi="Arial"/>
          <w:b/>
          <w:bCs/>
          <w:rtl/>
        </w:rPr>
        <w:t>מידת</w:t>
      </w:r>
      <w:r>
        <w:rPr>
          <w:rFonts w:ascii="Arial" w:hAnsi="Arial"/>
          <w:rtl/>
        </w:rPr>
        <w:t xml:space="preserve"> אשמו של הנאשם בכל הקשור לסם שנתפס, אותו הסיר הנאשם בלוקחו אחריות מלאה עליו, אני קובע – בהתאם להסכמת הצדדים ובאופן חריג - כי </w:t>
      </w:r>
      <w:r>
        <w:rPr>
          <w:rFonts w:ascii="Arial" w:hAnsi="Arial"/>
          <w:b/>
          <w:bCs/>
          <w:rtl/>
        </w:rPr>
        <w:t>מתחם העונש ההולם נע בין 9 חודשי מאסר בפועל, ועד 24 חודשי מאסר בפועל</w:t>
      </w:r>
      <w:r>
        <w:rPr>
          <w:rFonts w:ascii="Arial" w:hAnsi="Arial"/>
          <w:rtl/>
        </w:rPr>
        <w:t xml:space="preserve">. </w:t>
      </w:r>
    </w:p>
    <w:p w14:paraId="74573453" w14:textId="77777777" w:rsidR="00C317EF" w:rsidRDefault="00C317EF" w:rsidP="00C317EF">
      <w:pPr>
        <w:pStyle w:val="ab"/>
        <w:rPr>
          <w:rFonts w:ascii="Arial" w:hAnsi="Arial"/>
          <w:rtl/>
        </w:rPr>
      </w:pPr>
    </w:p>
    <w:p w14:paraId="507F5447" w14:textId="77777777" w:rsidR="00C317EF" w:rsidRDefault="00C317EF" w:rsidP="00C317EF">
      <w:pPr>
        <w:spacing w:line="360" w:lineRule="auto"/>
        <w:jc w:val="both"/>
        <w:rPr>
          <w:rFonts w:ascii="Arial" w:hAnsi="Arial"/>
          <w:b/>
          <w:bCs/>
          <w:u w:val="single"/>
          <w:rtl/>
        </w:rPr>
      </w:pPr>
      <w:r>
        <w:rPr>
          <w:rFonts w:ascii="Arial" w:hAnsi="Arial"/>
          <w:b/>
          <w:bCs/>
          <w:u w:val="single"/>
          <w:rtl/>
        </w:rPr>
        <w:t xml:space="preserve">העונש המתאים לנאשם </w:t>
      </w:r>
    </w:p>
    <w:p w14:paraId="3FD11903" w14:textId="77777777" w:rsidR="00C317EF" w:rsidRDefault="00C317EF" w:rsidP="00C317EF">
      <w:pPr>
        <w:pStyle w:val="1"/>
        <w:rPr>
          <w:rFonts w:ascii="Arial" w:hAnsi="Arial"/>
          <w:rtl/>
        </w:rPr>
      </w:pPr>
    </w:p>
    <w:p w14:paraId="53B94D2C" w14:textId="77777777" w:rsidR="00C317EF" w:rsidRDefault="00C317EF" w:rsidP="00C317EF">
      <w:pPr>
        <w:pStyle w:val="1"/>
        <w:numPr>
          <w:ilvl w:val="0"/>
          <w:numId w:val="1"/>
        </w:numPr>
        <w:spacing w:line="360" w:lineRule="auto"/>
        <w:jc w:val="both"/>
        <w:rPr>
          <w:rFonts w:ascii="Arial" w:hAnsi="Arial"/>
          <w:rtl/>
        </w:rPr>
      </w:pPr>
      <w:r>
        <w:rPr>
          <w:rFonts w:ascii="Arial" w:hAnsi="Arial"/>
          <w:rtl/>
        </w:rPr>
        <w:t xml:space="preserve">בעברו של הנאשם, יליד 1988, חמש הרשעות קודמות, בעבירות רכוש, סמים ואלימות. </w:t>
      </w:r>
      <w:r>
        <w:rPr>
          <w:rFonts w:ascii="Arial" w:hAnsi="Arial"/>
          <w:rtl/>
        </w:rPr>
        <w:tab/>
      </w:r>
      <w:r>
        <w:rPr>
          <w:rFonts w:ascii="Arial" w:hAnsi="Arial"/>
          <w:rtl/>
        </w:rPr>
        <w:br/>
      </w:r>
      <w:r>
        <w:rPr>
          <w:rFonts w:ascii="Arial" w:hAnsi="Arial"/>
          <w:rtl/>
        </w:rPr>
        <w:br/>
        <w:t xml:space="preserve">בשנת 2018 הורשע הנאשם בעבירה של תקיפה הגורמת חבלה של ממש (בן זוג) ונדון לעונש של מאסר בפועל. </w:t>
      </w:r>
      <w:r>
        <w:rPr>
          <w:rFonts w:ascii="Arial" w:hAnsi="Arial"/>
          <w:rtl/>
        </w:rPr>
        <w:tab/>
      </w:r>
      <w:r>
        <w:rPr>
          <w:rFonts w:ascii="Arial" w:hAnsi="Arial"/>
          <w:rtl/>
        </w:rPr>
        <w:br/>
      </w:r>
      <w:r>
        <w:rPr>
          <w:rFonts w:ascii="Arial" w:hAnsi="Arial"/>
          <w:rtl/>
        </w:rPr>
        <w:br/>
        <w:t xml:space="preserve">בשנת 2020 הורשע הנאשם בעבירות של התפרצות לדירה ופציעה כשהעבריין מזויין, הוא ריצה 20 חודשי מאסר. </w:t>
      </w:r>
      <w:r>
        <w:rPr>
          <w:rFonts w:ascii="Arial" w:hAnsi="Arial"/>
          <w:rtl/>
        </w:rPr>
        <w:tab/>
      </w:r>
      <w:r>
        <w:rPr>
          <w:rFonts w:ascii="Arial" w:hAnsi="Arial"/>
          <w:rtl/>
        </w:rPr>
        <w:br/>
      </w:r>
      <w:r>
        <w:rPr>
          <w:rFonts w:ascii="Arial" w:hAnsi="Arial"/>
          <w:rtl/>
        </w:rPr>
        <w:br/>
        <w:t xml:space="preserve">הנאשם לא חיכה הרבה, ועוד באותה השנה, הורשע הנאשם בהחזקת סם שלא לצריכה עצמית. </w:t>
      </w:r>
      <w:r>
        <w:rPr>
          <w:rFonts w:ascii="Arial" w:hAnsi="Arial"/>
          <w:rtl/>
        </w:rPr>
        <w:tab/>
      </w:r>
      <w:r>
        <w:rPr>
          <w:rFonts w:ascii="Arial" w:hAnsi="Arial"/>
          <w:rtl/>
        </w:rPr>
        <w:br/>
        <w:t>שנה לאחר מכן, בשנת 2021, הורשע הנאשם בסחר בסמים; בגין הרשעה זו עומד לחובתו מאסר על תנאי למשך 6 חודשים, ופסילת רישיון אף היא למשך 6 חודשים.</w:t>
      </w:r>
      <w:r>
        <w:rPr>
          <w:rFonts w:ascii="Arial" w:hAnsi="Arial"/>
          <w:rtl/>
        </w:rPr>
        <w:tab/>
      </w:r>
      <w:r>
        <w:rPr>
          <w:rFonts w:ascii="Arial" w:hAnsi="Arial"/>
          <w:rtl/>
        </w:rPr>
        <w:br/>
      </w:r>
      <w:r>
        <w:rPr>
          <w:rFonts w:ascii="Arial" w:hAnsi="Arial"/>
          <w:rtl/>
        </w:rPr>
        <w:br/>
        <w:t xml:space="preserve">בהינתן העובדה כי הנאשם לא נולד בישראל, ואליה הגיע מסודאן, לא לפני שנות דור, הרי שמדובר בעבר מכביד, מכביד בהחלט. </w:t>
      </w:r>
    </w:p>
    <w:p w14:paraId="06D27CF6" w14:textId="77777777" w:rsidR="00C317EF" w:rsidRDefault="00C317EF" w:rsidP="00C317EF">
      <w:pPr>
        <w:pStyle w:val="1"/>
        <w:spacing w:line="360" w:lineRule="auto"/>
        <w:ind w:left="360"/>
        <w:jc w:val="both"/>
        <w:rPr>
          <w:rFonts w:ascii="Arial" w:hAnsi="Arial"/>
        </w:rPr>
      </w:pPr>
    </w:p>
    <w:p w14:paraId="54109307" w14:textId="77777777" w:rsidR="00C317EF" w:rsidRDefault="00C317EF" w:rsidP="00C317EF">
      <w:pPr>
        <w:pStyle w:val="1"/>
        <w:numPr>
          <w:ilvl w:val="0"/>
          <w:numId w:val="1"/>
        </w:numPr>
        <w:spacing w:line="360" w:lineRule="auto"/>
        <w:jc w:val="both"/>
        <w:rPr>
          <w:rFonts w:ascii="Arial" w:hAnsi="Arial"/>
        </w:rPr>
      </w:pPr>
      <w:r>
        <w:rPr>
          <w:rFonts w:ascii="Arial" w:hAnsi="Arial"/>
          <w:rtl/>
        </w:rPr>
        <w:t xml:space="preserve">ומן הצד השני, לקולא הבאתי בחשבון את הודייתו של הנאשם במיוחס לו, לקיחת האחריות והחסכון הרב בזמן שיפוטי, לצד התנצלותו על מעשיו.  </w:t>
      </w:r>
    </w:p>
    <w:p w14:paraId="1AE54D16" w14:textId="77777777" w:rsidR="00C317EF" w:rsidRDefault="00C317EF" w:rsidP="00C317EF">
      <w:pPr>
        <w:pStyle w:val="1"/>
        <w:spacing w:line="360" w:lineRule="auto"/>
        <w:ind w:left="360"/>
        <w:jc w:val="both"/>
        <w:rPr>
          <w:rFonts w:ascii="Arial" w:hAnsi="Arial"/>
        </w:rPr>
      </w:pPr>
    </w:p>
    <w:p w14:paraId="69CAFACA" w14:textId="77777777" w:rsidR="00C317EF" w:rsidRDefault="00C317EF" w:rsidP="00C317EF">
      <w:pPr>
        <w:pStyle w:val="1"/>
        <w:numPr>
          <w:ilvl w:val="0"/>
          <w:numId w:val="1"/>
        </w:numPr>
        <w:spacing w:line="360" w:lineRule="auto"/>
        <w:jc w:val="both"/>
        <w:rPr>
          <w:rFonts w:ascii="Arial" w:hAnsi="Arial"/>
        </w:rPr>
      </w:pPr>
      <w:r>
        <w:rPr>
          <w:rFonts w:ascii="Arial" w:hAnsi="Arial"/>
          <w:rtl/>
        </w:rPr>
        <w:t xml:space="preserve">בהתאם לאמור לעיל, אני משית על הנאשם את העונשים הבאים: </w:t>
      </w:r>
    </w:p>
    <w:p w14:paraId="2B040142" w14:textId="77777777" w:rsidR="00C317EF" w:rsidRDefault="00C317EF" w:rsidP="00C317EF">
      <w:pPr>
        <w:pStyle w:val="1"/>
        <w:spacing w:line="360" w:lineRule="auto"/>
        <w:ind w:left="360"/>
        <w:jc w:val="both"/>
        <w:rPr>
          <w:rFonts w:ascii="Arial" w:hAnsi="Arial"/>
        </w:rPr>
      </w:pPr>
    </w:p>
    <w:p w14:paraId="53B10DB4" w14:textId="77777777" w:rsidR="00C317EF" w:rsidRDefault="00C317EF" w:rsidP="00C317EF">
      <w:pPr>
        <w:pStyle w:val="1"/>
        <w:numPr>
          <w:ilvl w:val="1"/>
          <w:numId w:val="2"/>
        </w:numPr>
        <w:spacing w:line="360" w:lineRule="auto"/>
        <w:jc w:val="both"/>
        <w:rPr>
          <w:rFonts w:ascii="Arial" w:hAnsi="Arial"/>
        </w:rPr>
      </w:pPr>
      <w:r>
        <w:rPr>
          <w:rFonts w:ascii="Arial" w:hAnsi="Arial"/>
          <w:rtl/>
        </w:rPr>
        <w:t>שנת מאסר בפועל, בניכוי ימי מעצרו, על פי רישומי שב"ס.</w:t>
      </w:r>
    </w:p>
    <w:p w14:paraId="4A678C3B" w14:textId="77777777" w:rsidR="00C317EF" w:rsidRDefault="00C317EF" w:rsidP="00C317EF">
      <w:pPr>
        <w:pStyle w:val="1"/>
        <w:numPr>
          <w:ilvl w:val="1"/>
          <w:numId w:val="2"/>
        </w:numPr>
        <w:spacing w:line="360" w:lineRule="auto"/>
        <w:jc w:val="both"/>
        <w:rPr>
          <w:rFonts w:ascii="Arial" w:hAnsi="Arial"/>
        </w:rPr>
      </w:pPr>
      <w:r>
        <w:rPr>
          <w:rFonts w:ascii="Arial" w:hAnsi="Arial"/>
          <w:rtl/>
        </w:rPr>
        <w:t xml:space="preserve">אני מפעיל את המאסר המותנה משך 6 חודשים שנגזר על הנאשם במסגרת </w:t>
      </w:r>
      <w:hyperlink r:id="rId37" w:history="1">
        <w:r w:rsidR="00C44D50" w:rsidRPr="00C44D50">
          <w:rPr>
            <w:rFonts w:ascii="Arial" w:hAnsi="Arial"/>
            <w:color w:val="0000FF"/>
            <w:u w:val="single"/>
            <w:rtl/>
          </w:rPr>
          <w:t>ת"פ 9950-04-21</w:t>
        </w:r>
      </w:hyperlink>
      <w:r>
        <w:rPr>
          <w:rFonts w:ascii="Arial" w:hAnsi="Arial"/>
          <w:rtl/>
        </w:rPr>
        <w:t xml:space="preserve"> מיום 22.7.2021, כאשר חודשיים (2) ירוצו במצטבר, ואילו ארבעה (4) ירוצו בחופף לעונש דנא. </w:t>
      </w:r>
    </w:p>
    <w:p w14:paraId="017B851C" w14:textId="77777777" w:rsidR="00C317EF" w:rsidRDefault="00C317EF" w:rsidP="00C317EF">
      <w:pPr>
        <w:pStyle w:val="1"/>
        <w:numPr>
          <w:ilvl w:val="1"/>
          <w:numId w:val="2"/>
        </w:numPr>
        <w:spacing w:line="360" w:lineRule="auto"/>
        <w:jc w:val="both"/>
        <w:rPr>
          <w:rFonts w:ascii="Arial" w:hAnsi="Arial"/>
          <w:b/>
          <w:bCs/>
        </w:rPr>
      </w:pPr>
      <w:r>
        <w:rPr>
          <w:rFonts w:ascii="Arial" w:hAnsi="Arial"/>
          <w:b/>
          <w:bCs/>
          <w:rtl/>
        </w:rPr>
        <w:t xml:space="preserve">סך הכל איפוא יישא הנאשם בעונש של 14 חודשי מאסר בפועל, בניכוי ימי מעצרו.     </w:t>
      </w:r>
    </w:p>
    <w:p w14:paraId="7AAE3632" w14:textId="77777777" w:rsidR="00C317EF" w:rsidRDefault="00C317EF" w:rsidP="00C317EF">
      <w:pPr>
        <w:pStyle w:val="1"/>
        <w:numPr>
          <w:ilvl w:val="1"/>
          <w:numId w:val="2"/>
        </w:numPr>
        <w:spacing w:line="360" w:lineRule="auto"/>
        <w:jc w:val="both"/>
        <w:rPr>
          <w:rFonts w:ascii="Arial" w:hAnsi="Arial"/>
        </w:rPr>
      </w:pPr>
      <w:r>
        <w:rPr>
          <w:rFonts w:ascii="Arial" w:hAnsi="Arial"/>
          <w:rtl/>
        </w:rPr>
        <w:t xml:space="preserve">8 חודשי מאסר, אולם הנאשם לא יישא בעונש זה אלא אם יעבור בתוך 36 חודשים מיום שחרורו עבירת סמים מסוג פשע. </w:t>
      </w:r>
    </w:p>
    <w:p w14:paraId="086210C2" w14:textId="77777777" w:rsidR="00C317EF" w:rsidRDefault="00C317EF" w:rsidP="00C317EF">
      <w:pPr>
        <w:pStyle w:val="1"/>
        <w:numPr>
          <w:ilvl w:val="1"/>
          <w:numId w:val="2"/>
        </w:numPr>
        <w:spacing w:line="360" w:lineRule="auto"/>
        <w:jc w:val="both"/>
        <w:rPr>
          <w:rFonts w:ascii="Arial" w:hAnsi="Arial"/>
        </w:rPr>
      </w:pPr>
      <w:r>
        <w:rPr>
          <w:rFonts w:ascii="Arial" w:hAnsi="Arial"/>
          <w:rtl/>
        </w:rPr>
        <w:t xml:space="preserve">אני פוסל את הנאשם מלהחזיק או לקבל רישיון נהיגה למשך שנה; אני מפעיל את פסילת הרישיון המותנית שהוטלה על הנאשם במסגרת </w:t>
      </w:r>
      <w:hyperlink r:id="rId38" w:history="1">
        <w:r w:rsidR="00C44D50" w:rsidRPr="00C44D50">
          <w:rPr>
            <w:rFonts w:ascii="Arial" w:hAnsi="Arial"/>
            <w:color w:val="0000FF"/>
            <w:u w:val="single"/>
            <w:rtl/>
          </w:rPr>
          <w:t>ת"פ 9950-04-21</w:t>
        </w:r>
      </w:hyperlink>
      <w:r>
        <w:rPr>
          <w:rFonts w:ascii="Arial" w:hAnsi="Arial"/>
          <w:rtl/>
        </w:rPr>
        <w:t xml:space="preserve"> מיום 22.7.2021 למשך 6 חודשים. </w:t>
      </w:r>
    </w:p>
    <w:p w14:paraId="35299368" w14:textId="77777777" w:rsidR="00C317EF" w:rsidRDefault="00C317EF" w:rsidP="00C317EF">
      <w:pPr>
        <w:pStyle w:val="1"/>
        <w:numPr>
          <w:ilvl w:val="1"/>
          <w:numId w:val="2"/>
        </w:numPr>
        <w:spacing w:line="360" w:lineRule="auto"/>
        <w:jc w:val="both"/>
        <w:rPr>
          <w:rFonts w:ascii="Arial" w:hAnsi="Arial"/>
        </w:rPr>
      </w:pPr>
      <w:r>
        <w:rPr>
          <w:rFonts w:ascii="Arial" w:hAnsi="Arial"/>
          <w:b/>
          <w:bCs/>
          <w:rtl/>
        </w:rPr>
        <w:t xml:space="preserve">סך הכל, איפוא, אני פוסל את הנאשם מלהחזיק או לקבל רישיון נהיגה למשך 14 חודשים מיום שחרורו ממאסר. </w:t>
      </w:r>
    </w:p>
    <w:p w14:paraId="1708C7B6" w14:textId="77777777" w:rsidR="00C317EF" w:rsidRDefault="00C317EF" w:rsidP="00C317EF">
      <w:pPr>
        <w:pStyle w:val="1"/>
        <w:numPr>
          <w:ilvl w:val="1"/>
          <w:numId w:val="2"/>
        </w:numPr>
        <w:spacing w:line="360" w:lineRule="auto"/>
        <w:jc w:val="both"/>
        <w:rPr>
          <w:rFonts w:ascii="Arial" w:hAnsi="Arial"/>
        </w:rPr>
      </w:pPr>
      <w:r>
        <w:rPr>
          <w:rFonts w:ascii="David" w:hAnsi="David"/>
          <w:color w:val="000000"/>
          <w:rtl/>
        </w:rPr>
        <w:t>אני פוסל את הנאשם מלהחזיק רישיון נהיגה למשך 6 חודשים, על תנאי, והתנאי הוא שמשך 36 חודשים מיום שחרורו לא יעבור עבירות לפי</w:t>
      </w:r>
      <w:r>
        <w:rPr>
          <w:rFonts w:ascii="Arial" w:hAnsi="Arial"/>
          <w:rtl/>
        </w:rPr>
        <w:t xml:space="preserve"> </w:t>
      </w:r>
      <w:hyperlink r:id="rId39" w:history="1">
        <w:r w:rsidR="00C44D50" w:rsidRPr="00C44D50">
          <w:rPr>
            <w:rFonts w:ascii="Arial" w:hAnsi="Arial"/>
            <w:color w:val="0000FF"/>
            <w:u w:val="single"/>
            <w:rtl/>
          </w:rPr>
          <w:t>פקודת הסמים המסוכנים</w:t>
        </w:r>
      </w:hyperlink>
      <w:r>
        <w:rPr>
          <w:rFonts w:ascii="Arial" w:hAnsi="Arial"/>
          <w:rtl/>
        </w:rPr>
        <w:t>.</w:t>
      </w:r>
    </w:p>
    <w:p w14:paraId="46E25D2B" w14:textId="77777777" w:rsidR="00C317EF" w:rsidRDefault="00C317EF" w:rsidP="00C317EF">
      <w:pPr>
        <w:pStyle w:val="1"/>
        <w:spacing w:line="360" w:lineRule="auto"/>
        <w:jc w:val="both"/>
        <w:rPr>
          <w:rFonts w:ascii="Arial" w:hAnsi="Arial"/>
        </w:rPr>
      </w:pPr>
    </w:p>
    <w:p w14:paraId="751D2278" w14:textId="77777777" w:rsidR="00C317EF" w:rsidRDefault="00C317EF" w:rsidP="00C317EF">
      <w:pPr>
        <w:spacing w:line="360" w:lineRule="auto"/>
        <w:jc w:val="both"/>
        <w:rPr>
          <w:rFonts w:ascii="David" w:hAnsi="David"/>
          <w:color w:val="000000"/>
        </w:rPr>
      </w:pPr>
      <w:r>
        <w:rPr>
          <w:rFonts w:ascii="David" w:hAnsi="David"/>
          <w:color w:val="000000"/>
          <w:rtl/>
        </w:rPr>
        <w:t>הסמים – יושמדו.</w:t>
      </w:r>
    </w:p>
    <w:p w14:paraId="79C04C5A" w14:textId="77777777" w:rsidR="00C317EF" w:rsidRDefault="00C317EF" w:rsidP="00C317EF">
      <w:pPr>
        <w:spacing w:line="360" w:lineRule="auto"/>
        <w:jc w:val="both"/>
        <w:rPr>
          <w:rFonts w:ascii="David" w:hAnsi="David"/>
          <w:color w:val="000000"/>
          <w:rtl/>
        </w:rPr>
      </w:pPr>
    </w:p>
    <w:p w14:paraId="613E1526" w14:textId="77777777" w:rsidR="00C317EF" w:rsidRDefault="00C317EF" w:rsidP="00C317EF">
      <w:pPr>
        <w:spacing w:line="360" w:lineRule="auto"/>
        <w:jc w:val="both"/>
        <w:rPr>
          <w:rFonts w:ascii="David" w:hAnsi="David"/>
          <w:color w:val="000000"/>
          <w:rtl/>
        </w:rPr>
      </w:pPr>
      <w:r>
        <w:rPr>
          <w:rFonts w:ascii="David" w:hAnsi="David"/>
          <w:color w:val="000000"/>
          <w:rtl/>
        </w:rPr>
        <w:t>כל המוצגים – לשיקול דעת קצין החקירות</w:t>
      </w:r>
      <w:r>
        <w:rPr>
          <w:rFonts w:ascii="David" w:hAnsi="David"/>
          <w:color w:val="000000"/>
        </w:rPr>
        <w:t>.</w:t>
      </w:r>
    </w:p>
    <w:p w14:paraId="25BE47C5" w14:textId="77777777" w:rsidR="00C317EF" w:rsidRDefault="00C317EF" w:rsidP="00C317EF">
      <w:pPr>
        <w:spacing w:line="360" w:lineRule="auto"/>
        <w:jc w:val="both"/>
        <w:rPr>
          <w:rtl/>
        </w:rPr>
      </w:pPr>
    </w:p>
    <w:p w14:paraId="0FD418CD" w14:textId="77777777" w:rsidR="00C317EF" w:rsidRDefault="00C317EF" w:rsidP="00C317EF">
      <w:pPr>
        <w:spacing w:line="360" w:lineRule="auto"/>
        <w:jc w:val="both"/>
        <w:rPr>
          <w:b/>
          <w:bCs/>
          <w:rtl/>
        </w:rPr>
      </w:pPr>
      <w:r>
        <w:rPr>
          <w:b/>
          <w:bCs/>
          <w:rtl/>
        </w:rPr>
        <w:t xml:space="preserve">זכות ערעור לבית המשפט המחוזי בתל אביב תוך 45 ימים. </w:t>
      </w:r>
    </w:p>
    <w:p w14:paraId="56C827D8" w14:textId="77777777" w:rsidR="00C317EF" w:rsidRPr="00B05847" w:rsidRDefault="00C317EF" w:rsidP="00C317EF">
      <w:pPr>
        <w:rPr>
          <w:rtl/>
        </w:rPr>
      </w:pPr>
    </w:p>
    <w:p w14:paraId="57AD6C39" w14:textId="77777777" w:rsidR="00C317EF" w:rsidRPr="00B05847" w:rsidRDefault="00C317EF" w:rsidP="00C317EF">
      <w:pPr>
        <w:rPr>
          <w:rtl/>
        </w:rPr>
      </w:pPr>
    </w:p>
    <w:p w14:paraId="331DAFFB" w14:textId="77777777" w:rsidR="00C317EF" w:rsidRPr="00C44D50" w:rsidRDefault="00C44D50" w:rsidP="00C317EF">
      <w:pPr>
        <w:rPr>
          <w:color w:val="FFFFFF"/>
          <w:sz w:val="2"/>
          <w:szCs w:val="2"/>
          <w:rtl/>
        </w:rPr>
      </w:pPr>
      <w:r w:rsidRPr="00C44D50">
        <w:rPr>
          <w:color w:val="FFFFFF"/>
          <w:sz w:val="2"/>
          <w:szCs w:val="2"/>
          <w:rtl/>
        </w:rPr>
        <w:t>5129371</w:t>
      </w:r>
    </w:p>
    <w:p w14:paraId="14F511E5" w14:textId="77777777" w:rsidR="00C317EF" w:rsidRPr="00250B83" w:rsidRDefault="00C44D50" w:rsidP="00C317EF">
      <w:pPr>
        <w:rPr>
          <w:rtl/>
        </w:rPr>
      </w:pPr>
      <w:bookmarkStart w:id="8" w:name="Nitan"/>
      <w:r w:rsidRPr="00C44D50">
        <w:rPr>
          <w:rFonts w:ascii="Arial" w:hAnsi="Arial"/>
          <w:color w:val="FFFFFF"/>
          <w:sz w:val="2"/>
          <w:szCs w:val="2"/>
          <w:rtl/>
        </w:rPr>
        <w:t>54678313</w:t>
      </w:r>
      <w:r>
        <w:rPr>
          <w:rFonts w:ascii="Arial" w:hAnsi="Arial"/>
          <w:rtl/>
        </w:rPr>
        <w:t xml:space="preserve">ניתן היום,  י"ח אייר תשפ"ג, 09 מאי 2023, במעמד הצדדים. </w:t>
      </w:r>
      <w:bookmarkEnd w:id="8"/>
    </w:p>
    <w:p w14:paraId="18BC2C46" w14:textId="77777777" w:rsidR="00C317EF" w:rsidRPr="00250B83" w:rsidRDefault="00C317EF" w:rsidP="00C44D50">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5FB481C" w14:textId="77777777" w:rsidR="00C317EF" w:rsidRPr="00250B83" w:rsidRDefault="00C317EF" w:rsidP="00C317EF">
      <w:pPr>
        <w:jc w:val="center"/>
        <w:rPr>
          <w:rFonts w:ascii="Arial" w:hAnsi="Arial"/>
          <w:rtl/>
        </w:rPr>
      </w:pPr>
    </w:p>
    <w:p w14:paraId="140A0303" w14:textId="77777777" w:rsidR="00C44D50" w:rsidRDefault="00C44D50" w:rsidP="00C44D50">
      <w:pPr>
        <w:rPr>
          <w:rtl/>
        </w:rPr>
      </w:pPr>
    </w:p>
    <w:p w14:paraId="5F223D57" w14:textId="77777777" w:rsidR="00C44D50" w:rsidRDefault="00C44D50" w:rsidP="00C44D50">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3F9815BC" w14:textId="77777777" w:rsidR="0041779F" w:rsidRPr="0041779F" w:rsidRDefault="0041779F" w:rsidP="0041779F">
      <w:pPr>
        <w:keepNext/>
        <w:rPr>
          <w:rFonts w:ascii="David" w:hAnsi="David"/>
          <w:color w:val="000000"/>
          <w:sz w:val="22"/>
          <w:szCs w:val="22"/>
          <w:rtl/>
        </w:rPr>
      </w:pPr>
    </w:p>
    <w:p w14:paraId="4886B30D" w14:textId="77777777" w:rsidR="0041779F" w:rsidRPr="0041779F" w:rsidRDefault="0041779F" w:rsidP="0041779F">
      <w:pPr>
        <w:keepNext/>
        <w:rPr>
          <w:rFonts w:ascii="David" w:hAnsi="David"/>
          <w:color w:val="000000"/>
          <w:sz w:val="22"/>
          <w:szCs w:val="22"/>
          <w:rtl/>
        </w:rPr>
      </w:pPr>
      <w:r w:rsidRPr="0041779F">
        <w:rPr>
          <w:rFonts w:ascii="David" w:hAnsi="David"/>
          <w:color w:val="000000"/>
          <w:sz w:val="22"/>
          <w:szCs w:val="22"/>
          <w:rtl/>
        </w:rPr>
        <w:t>שמאי בקר 54678313-/</w:t>
      </w:r>
    </w:p>
    <w:p w14:paraId="728FC6D2" w14:textId="77777777" w:rsidR="00C44D50" w:rsidRPr="00C44D50" w:rsidRDefault="0041779F" w:rsidP="0041779F">
      <w:pPr>
        <w:rPr>
          <w:color w:val="0000FF"/>
          <w:u w:val="single"/>
        </w:rPr>
      </w:pPr>
      <w:r w:rsidRPr="0041779F">
        <w:rPr>
          <w:color w:val="000000"/>
          <w:u w:val="single"/>
          <w:rtl/>
        </w:rPr>
        <w:t>נוסח מסמך זה כפוף לשינויי ניסוח ועריכה</w:t>
      </w:r>
    </w:p>
    <w:sectPr w:rsidR="00C44D50" w:rsidRPr="00C44D50" w:rsidSect="0041779F">
      <w:headerReference w:type="even" r:id="rId41"/>
      <w:headerReference w:type="default" r:id="rId42"/>
      <w:footerReference w:type="even" r:id="rId43"/>
      <w:footerReference w:type="default" r:id="rId4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C170D" w14:textId="77777777" w:rsidR="003D292F" w:rsidRDefault="003D292F" w:rsidP="00C317EF">
      <w:r>
        <w:separator/>
      </w:r>
    </w:p>
  </w:endnote>
  <w:endnote w:type="continuationSeparator" w:id="0">
    <w:p w14:paraId="245FB85C" w14:textId="77777777" w:rsidR="003D292F" w:rsidRDefault="003D292F" w:rsidP="00C31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C5B9A" w14:textId="77777777" w:rsidR="0041779F" w:rsidRDefault="0041779F" w:rsidP="0041779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A2FB82" w14:textId="77777777" w:rsidR="00330F7E" w:rsidRPr="0041779F" w:rsidRDefault="0041779F" w:rsidP="0041779F">
    <w:pPr>
      <w:pStyle w:val="a5"/>
      <w:pBdr>
        <w:top w:val="single" w:sz="4" w:space="1" w:color="auto"/>
        <w:between w:val="single" w:sz="4" w:space="0" w:color="auto"/>
      </w:pBdr>
      <w:spacing w:after="60"/>
      <w:jc w:val="center"/>
      <w:rPr>
        <w:rFonts w:ascii="FrankRuehl" w:hAnsi="FrankRuehl" w:cs="FrankRuehl"/>
        <w:color w:val="000000"/>
      </w:rPr>
    </w:pPr>
    <w:r w:rsidRPr="004177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763A1" w14:textId="77777777" w:rsidR="0041779F" w:rsidRDefault="0041779F" w:rsidP="0041779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45664">
      <w:rPr>
        <w:rFonts w:ascii="FrankRuehl" w:hAnsi="FrankRuehl" w:cs="FrankRuehl"/>
        <w:noProof/>
        <w:rtl/>
      </w:rPr>
      <w:t>1</w:t>
    </w:r>
    <w:r>
      <w:rPr>
        <w:rFonts w:ascii="FrankRuehl" w:hAnsi="FrankRuehl" w:cs="FrankRuehl"/>
        <w:rtl/>
      </w:rPr>
      <w:fldChar w:fldCharType="end"/>
    </w:r>
  </w:p>
  <w:p w14:paraId="6775BFF3" w14:textId="77777777" w:rsidR="00330F7E" w:rsidRPr="0041779F" w:rsidRDefault="0041779F" w:rsidP="0041779F">
    <w:pPr>
      <w:pStyle w:val="a5"/>
      <w:pBdr>
        <w:top w:val="single" w:sz="4" w:space="1" w:color="auto"/>
        <w:between w:val="single" w:sz="4" w:space="0" w:color="auto"/>
      </w:pBdr>
      <w:spacing w:after="60"/>
      <w:jc w:val="center"/>
      <w:rPr>
        <w:rFonts w:ascii="FrankRuehl" w:hAnsi="FrankRuehl" w:cs="FrankRuehl"/>
        <w:color w:val="000000"/>
      </w:rPr>
    </w:pPr>
    <w:r w:rsidRPr="0041779F">
      <w:rPr>
        <w:rFonts w:ascii="FrankRuehl" w:hAnsi="FrankRuehl" w:cs="FrankRuehl"/>
        <w:color w:val="000000"/>
      </w:rPr>
      <w:pict w14:anchorId="5ACE1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0A786" w14:textId="77777777" w:rsidR="003D292F" w:rsidRDefault="003D292F" w:rsidP="00C317EF">
      <w:r>
        <w:separator/>
      </w:r>
    </w:p>
  </w:footnote>
  <w:footnote w:type="continuationSeparator" w:id="0">
    <w:p w14:paraId="590FF288" w14:textId="77777777" w:rsidR="003D292F" w:rsidRDefault="003D292F" w:rsidP="00C317EF">
      <w:r>
        <w:continuationSeparator/>
      </w:r>
    </w:p>
  </w:footnote>
  <w:footnote w:id="1">
    <w:p w14:paraId="302CB82F" w14:textId="77777777" w:rsidR="00C317EF" w:rsidRDefault="00C317EF" w:rsidP="00C317EF">
      <w:pPr>
        <w:pStyle w:val="a9"/>
      </w:pPr>
      <w:r>
        <w:rPr>
          <w:rStyle w:val="ac"/>
        </w:rPr>
        <w:footnoteRef/>
      </w:r>
      <w:r>
        <w:rPr>
          <w:rtl/>
        </w:rPr>
        <w:t xml:space="preserve"> </w:t>
      </w:r>
      <w:r>
        <w:rPr>
          <w:rFonts w:hint="cs"/>
          <w:rtl/>
        </w:rPr>
        <w:t>כל ההדגשות בגזר הדין אינן במקור, והן שלי, ש.ב.</w:t>
      </w:r>
    </w:p>
  </w:footnote>
  <w:footnote w:id="2">
    <w:p w14:paraId="3EA2B44C" w14:textId="77777777" w:rsidR="00C317EF" w:rsidRDefault="00C317EF" w:rsidP="00C317EF">
      <w:pPr>
        <w:pStyle w:val="a9"/>
      </w:pPr>
      <w:r>
        <w:rPr>
          <w:rStyle w:val="ac"/>
        </w:rPr>
        <w:footnoteRef/>
      </w:r>
      <w:r>
        <w:rPr>
          <w:rtl/>
        </w:rPr>
        <w:t xml:space="preserve"> </w:t>
      </w:r>
      <w:r>
        <w:rPr>
          <w:rFonts w:hint="cs"/>
          <w:rtl/>
        </w:rPr>
        <w:t xml:space="preserve">אשר להתחשבות במחדלי חקירה גם בקביעת מתחם העונש ההולם ראו למשל את </w:t>
      </w:r>
      <w:hyperlink r:id="rId1" w:history="1">
        <w:r w:rsidR="00C44D50" w:rsidRPr="00C44D50">
          <w:rPr>
            <w:color w:val="0000FF"/>
            <w:u w:val="single"/>
            <w:rtl/>
          </w:rPr>
          <w:t>ת"פ (ת"א) 41515-08-18</w:t>
        </w:r>
      </w:hyperlink>
      <w:r>
        <w:rPr>
          <w:rFonts w:hint="cs"/>
          <w:b/>
          <w:bCs/>
          <w:rtl/>
        </w:rPr>
        <w:t xml:space="preserve"> מדינת ישראל נ' בורזנקו</w:t>
      </w:r>
      <w:r>
        <w:rPr>
          <w:rFonts w:hint="cs"/>
          <w:rtl/>
        </w:rPr>
        <w:t xml:space="preserve"> (31.5.2022), שהוגש על ידי ההגנה. </w:t>
      </w:r>
    </w:p>
  </w:footnote>
  <w:footnote w:id="3">
    <w:p w14:paraId="02EB9D8E" w14:textId="77777777" w:rsidR="00C317EF" w:rsidRDefault="00C317EF" w:rsidP="00C317EF">
      <w:pPr>
        <w:pStyle w:val="a9"/>
        <w:jc w:val="both"/>
      </w:pPr>
      <w:r>
        <w:rPr>
          <w:rStyle w:val="ac"/>
        </w:rPr>
        <w:footnoteRef/>
      </w:r>
      <w:r>
        <w:rPr>
          <w:rtl/>
        </w:rPr>
        <w:t xml:space="preserve"> </w:t>
      </w:r>
      <w:r>
        <w:rPr>
          <w:rFonts w:hint="cs"/>
          <w:rtl/>
        </w:rPr>
        <w:t xml:space="preserve">ההגנה הפנתה אף אל </w:t>
      </w:r>
      <w:hyperlink r:id="rId2" w:history="1">
        <w:r w:rsidR="00C44D50" w:rsidRPr="00C44D50">
          <w:rPr>
            <w:color w:val="0000FF"/>
            <w:u w:val="single"/>
            <w:rtl/>
          </w:rPr>
          <w:t>ת"פ (קריות) 27255-08-16</w:t>
        </w:r>
      </w:hyperlink>
      <w:r>
        <w:rPr>
          <w:rFonts w:hint="cs"/>
          <w:rtl/>
        </w:rPr>
        <w:t xml:space="preserve"> </w:t>
      </w:r>
      <w:r>
        <w:rPr>
          <w:rFonts w:hint="cs"/>
          <w:b/>
          <w:bCs/>
          <w:rtl/>
        </w:rPr>
        <w:t>מדינת ישראל נ' זוביידאת</w:t>
      </w:r>
      <w:r>
        <w:rPr>
          <w:rFonts w:hint="cs"/>
          <w:rtl/>
        </w:rPr>
        <w:t xml:space="preserve"> (20.12.2018), הרלוונטי למקרה דנא, אך נראה כי הוגש ערעור נגד גזר הדין, שקצרה ידי (מבחינת נט-המשפט) מלעיין בו.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9A5DA" w14:textId="77777777" w:rsidR="00C44D50" w:rsidRPr="0041779F" w:rsidRDefault="0041779F" w:rsidP="004177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47589-10-22</w:t>
    </w:r>
    <w:r>
      <w:rPr>
        <w:rFonts w:ascii="David" w:hAnsi="David"/>
        <w:color w:val="000000"/>
        <w:sz w:val="22"/>
        <w:szCs w:val="22"/>
        <w:rtl/>
      </w:rPr>
      <w:tab/>
      <w:t xml:space="preserve"> מדינת ישראל נ' </w:t>
    </w:r>
    <w:r>
      <w:rPr>
        <w:rFonts w:ascii="David" w:hAnsi="David"/>
        <w:color w:val="000000"/>
        <w:sz w:val="22"/>
        <w:szCs w:val="22"/>
      </w:rPr>
      <w:t>ELGUZOLI IBRAHIM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26FA7" w14:textId="77777777" w:rsidR="00C44D50" w:rsidRPr="0041779F" w:rsidRDefault="0041779F" w:rsidP="0041779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47589-10-22</w:t>
    </w:r>
    <w:r>
      <w:rPr>
        <w:rFonts w:ascii="David" w:hAnsi="David"/>
        <w:color w:val="000000"/>
        <w:sz w:val="22"/>
        <w:szCs w:val="22"/>
        <w:rtl/>
      </w:rPr>
      <w:tab/>
      <w:t xml:space="preserve"> מדינת ישראל נ' </w:t>
    </w:r>
    <w:r>
      <w:rPr>
        <w:rFonts w:ascii="David" w:hAnsi="David"/>
        <w:color w:val="000000"/>
        <w:sz w:val="22"/>
        <w:szCs w:val="22"/>
      </w:rPr>
      <w:t>ELGUZOLI IBRAHIM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112EB"/>
    <w:multiLevelType w:val="hybridMultilevel"/>
    <w:tmpl w:val="DC961118"/>
    <w:lvl w:ilvl="0" w:tplc="041C0546">
      <w:start w:val="1"/>
      <w:numFmt w:val="decimal"/>
      <w:lvlText w:val="%1."/>
      <w:lvlJc w:val="left"/>
      <w:pPr>
        <w:ind w:left="360" w:hanging="360"/>
      </w:pPr>
      <w:rPr>
        <w:b w:val="0"/>
        <w:bCs w:val="0"/>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FF02AA8"/>
    <w:multiLevelType w:val="hybridMultilevel"/>
    <w:tmpl w:val="B19069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1565347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58733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17EF"/>
    <w:rsid w:val="0012107B"/>
    <w:rsid w:val="001B5A3B"/>
    <w:rsid w:val="00330F7E"/>
    <w:rsid w:val="003D292F"/>
    <w:rsid w:val="0041779F"/>
    <w:rsid w:val="00507DDC"/>
    <w:rsid w:val="00672F82"/>
    <w:rsid w:val="007A57AE"/>
    <w:rsid w:val="007B0882"/>
    <w:rsid w:val="00945664"/>
    <w:rsid w:val="00C317EF"/>
    <w:rsid w:val="00C44D50"/>
    <w:rsid w:val="00C672E2"/>
    <w:rsid w:val="00CB3504"/>
    <w:rsid w:val="00D02FA2"/>
    <w:rsid w:val="00DE5F1D"/>
    <w:rsid w:val="00F030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32074E"/>
  <w15:chartTrackingRefBased/>
  <w15:docId w15:val="{4959AF5D-9A40-41A5-B77D-796D3EE3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17E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317EF"/>
    <w:pPr>
      <w:tabs>
        <w:tab w:val="center" w:pos="4153"/>
        <w:tab w:val="right" w:pos="8306"/>
      </w:tabs>
    </w:pPr>
  </w:style>
  <w:style w:type="character" w:customStyle="1" w:styleId="a4">
    <w:name w:val="כותרת עליונה תו"/>
    <w:link w:val="a3"/>
    <w:rsid w:val="00C317EF"/>
    <w:rPr>
      <w:rFonts w:ascii="Times New Roman" w:eastAsia="Times New Roman" w:hAnsi="Times New Roman" w:cs="David"/>
      <w:sz w:val="24"/>
      <w:szCs w:val="24"/>
    </w:rPr>
  </w:style>
  <w:style w:type="paragraph" w:styleId="a5">
    <w:name w:val="footer"/>
    <w:basedOn w:val="a"/>
    <w:link w:val="a6"/>
    <w:rsid w:val="00C317EF"/>
    <w:pPr>
      <w:tabs>
        <w:tab w:val="center" w:pos="4153"/>
        <w:tab w:val="right" w:pos="8306"/>
      </w:tabs>
    </w:pPr>
  </w:style>
  <w:style w:type="character" w:customStyle="1" w:styleId="a6">
    <w:name w:val="כותרת תחתונה תו"/>
    <w:link w:val="a5"/>
    <w:rsid w:val="00C317EF"/>
    <w:rPr>
      <w:rFonts w:ascii="Times New Roman" w:eastAsia="Times New Roman" w:hAnsi="Times New Roman" w:cs="David"/>
      <w:sz w:val="24"/>
      <w:szCs w:val="24"/>
    </w:rPr>
  </w:style>
  <w:style w:type="table" w:styleId="a7">
    <w:name w:val="Table Grid"/>
    <w:basedOn w:val="a1"/>
    <w:rsid w:val="00C317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317EF"/>
  </w:style>
  <w:style w:type="paragraph" w:styleId="a9">
    <w:name w:val="footnote text"/>
    <w:basedOn w:val="a"/>
    <w:link w:val="aa"/>
    <w:rsid w:val="00C317EF"/>
    <w:rPr>
      <w:sz w:val="20"/>
      <w:szCs w:val="20"/>
    </w:rPr>
  </w:style>
  <w:style w:type="character" w:customStyle="1" w:styleId="aa">
    <w:name w:val="טקסט הערת שוליים תו"/>
    <w:link w:val="a9"/>
    <w:rsid w:val="00C317EF"/>
    <w:rPr>
      <w:rFonts w:ascii="Times New Roman" w:eastAsia="Times New Roman" w:hAnsi="Times New Roman" w:cs="David"/>
      <w:sz w:val="20"/>
      <w:szCs w:val="20"/>
    </w:rPr>
  </w:style>
  <w:style w:type="paragraph" w:styleId="ab">
    <w:name w:val="List Paragraph"/>
    <w:basedOn w:val="a"/>
    <w:qFormat/>
    <w:rsid w:val="00C317EF"/>
    <w:pPr>
      <w:ind w:left="720"/>
      <w:contextualSpacing/>
    </w:pPr>
  </w:style>
  <w:style w:type="paragraph" w:customStyle="1" w:styleId="1">
    <w:name w:val="פיסקת רשימה1"/>
    <w:basedOn w:val="a"/>
    <w:rsid w:val="00C317EF"/>
    <w:pPr>
      <w:ind w:left="720"/>
      <w:contextualSpacing/>
    </w:pPr>
  </w:style>
  <w:style w:type="character" w:styleId="ac">
    <w:name w:val="footnote reference"/>
    <w:rsid w:val="00C317EF"/>
    <w:rPr>
      <w:vertAlign w:val="superscript"/>
    </w:rPr>
  </w:style>
  <w:style w:type="character" w:styleId="Hyperlink">
    <w:name w:val="Hyperlink"/>
    <w:rsid w:val="00C44D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17932979" TargetMode="External"/><Relationship Id="rId26" Type="http://schemas.openxmlformats.org/officeDocument/2006/relationships/hyperlink" Target="http://www.nevo.co.il/case/26191532"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7.a.c" TargetMode="External"/><Relationship Id="rId34" Type="http://schemas.openxmlformats.org/officeDocument/2006/relationships/hyperlink" Target="http://www.nevo.co.il/case/20684683"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6119015" TargetMode="External"/><Relationship Id="rId29" Type="http://schemas.openxmlformats.org/officeDocument/2006/relationships/hyperlink" Target="http://www.nevo.co.il/case/275893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17945621" TargetMode="External"/><Relationship Id="rId32" Type="http://schemas.openxmlformats.org/officeDocument/2006/relationships/hyperlink" Target="http://www.nevo.co.il/case/20178093" TargetMode="External"/><Relationship Id="rId37" Type="http://schemas.openxmlformats.org/officeDocument/2006/relationships/hyperlink" Target="http://www.nevo.co.il/case/27519865"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738608" TargetMode="External"/><Relationship Id="rId23" Type="http://schemas.openxmlformats.org/officeDocument/2006/relationships/hyperlink" Target="http://www.nevo.co.il/case/17942553"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5496120"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5738608" TargetMode="External"/><Relationship Id="rId31" Type="http://schemas.openxmlformats.org/officeDocument/2006/relationships/hyperlink" Target="http://www.nevo.co.il/case/20956295"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2182887" TargetMode="External"/><Relationship Id="rId30" Type="http://schemas.openxmlformats.org/officeDocument/2006/relationships/hyperlink" Target="http://www.nevo.co.il/case/26318040" TargetMode="External"/><Relationship Id="rId35" Type="http://schemas.openxmlformats.org/officeDocument/2006/relationships/hyperlink" Target="http://www.nevo.co.il/case/23433613"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case/5726579" TargetMode="External"/><Relationship Id="rId25" Type="http://schemas.openxmlformats.org/officeDocument/2006/relationships/hyperlink" Target="http://www.nevo.co.il/case/6085666" TargetMode="External"/><Relationship Id="rId33" Type="http://schemas.openxmlformats.org/officeDocument/2006/relationships/hyperlink" Target="http://www.nevo.co.il/case/22533809" TargetMode="External"/><Relationship Id="rId38" Type="http://schemas.openxmlformats.org/officeDocument/2006/relationships/hyperlink" Target="http://www.nevo.co.il/case/27519865" TargetMode="External"/><Relationship Id="rId46" Type="http://schemas.openxmlformats.org/officeDocument/2006/relationships/theme" Target="theme/theme1.xml"/><Relationship Id="rId20" Type="http://schemas.openxmlformats.org/officeDocument/2006/relationships/hyperlink" Target="http://www.nevo.co.il/case/20061696"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nevo.co.il/case/21570530" TargetMode="External"/><Relationship Id="rId1" Type="http://schemas.openxmlformats.org/officeDocument/2006/relationships/hyperlink" Target="http://www.nevo.co.il/case/24932683"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3174</Words>
  <Characters>15874</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19010</CharactersWithSpaces>
  <SharedDoc>false</SharedDoc>
  <HLinks>
    <vt:vector size="216"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3670138</vt:i4>
      </vt:variant>
      <vt:variant>
        <vt:i4>93</vt:i4>
      </vt:variant>
      <vt:variant>
        <vt:i4>0</vt:i4>
      </vt:variant>
      <vt:variant>
        <vt:i4>5</vt:i4>
      </vt:variant>
      <vt:variant>
        <vt:lpwstr>http://www.nevo.co.il/case/27519865</vt:lpwstr>
      </vt:variant>
      <vt:variant>
        <vt:lpwstr/>
      </vt:variant>
      <vt:variant>
        <vt:i4>3670138</vt:i4>
      </vt:variant>
      <vt:variant>
        <vt:i4>90</vt:i4>
      </vt:variant>
      <vt:variant>
        <vt:i4>0</vt:i4>
      </vt:variant>
      <vt:variant>
        <vt:i4>5</vt:i4>
      </vt:variant>
      <vt:variant>
        <vt:lpwstr>http://www.nevo.co.il/case/27519865</vt:lpwstr>
      </vt:variant>
      <vt:variant>
        <vt:lpwstr/>
      </vt:variant>
      <vt:variant>
        <vt:i4>3276921</vt:i4>
      </vt:variant>
      <vt:variant>
        <vt:i4>87</vt:i4>
      </vt:variant>
      <vt:variant>
        <vt:i4>0</vt:i4>
      </vt:variant>
      <vt:variant>
        <vt:i4>5</vt:i4>
      </vt:variant>
      <vt:variant>
        <vt:lpwstr>http://www.nevo.co.il/case/25496120</vt:lpwstr>
      </vt:variant>
      <vt:variant>
        <vt:lpwstr/>
      </vt:variant>
      <vt:variant>
        <vt:i4>3407986</vt:i4>
      </vt:variant>
      <vt:variant>
        <vt:i4>84</vt:i4>
      </vt:variant>
      <vt:variant>
        <vt:i4>0</vt:i4>
      </vt:variant>
      <vt:variant>
        <vt:i4>5</vt:i4>
      </vt:variant>
      <vt:variant>
        <vt:lpwstr>http://www.nevo.co.il/case/23433613</vt:lpwstr>
      </vt:variant>
      <vt:variant>
        <vt:lpwstr/>
      </vt:variant>
      <vt:variant>
        <vt:i4>3670138</vt:i4>
      </vt:variant>
      <vt:variant>
        <vt:i4>81</vt:i4>
      </vt:variant>
      <vt:variant>
        <vt:i4>0</vt:i4>
      </vt:variant>
      <vt:variant>
        <vt:i4>5</vt:i4>
      </vt:variant>
      <vt:variant>
        <vt:lpwstr>http://www.nevo.co.il/case/20684683</vt:lpwstr>
      </vt:variant>
      <vt:variant>
        <vt:lpwstr/>
      </vt:variant>
      <vt:variant>
        <vt:i4>3407997</vt:i4>
      </vt:variant>
      <vt:variant>
        <vt:i4>78</vt:i4>
      </vt:variant>
      <vt:variant>
        <vt:i4>0</vt:i4>
      </vt:variant>
      <vt:variant>
        <vt:i4>5</vt:i4>
      </vt:variant>
      <vt:variant>
        <vt:lpwstr>http://www.nevo.co.il/case/22533809</vt:lpwstr>
      </vt:variant>
      <vt:variant>
        <vt:lpwstr/>
      </vt:variant>
      <vt:variant>
        <vt:i4>3276915</vt:i4>
      </vt:variant>
      <vt:variant>
        <vt:i4>75</vt:i4>
      </vt:variant>
      <vt:variant>
        <vt:i4>0</vt:i4>
      </vt:variant>
      <vt:variant>
        <vt:i4>5</vt:i4>
      </vt:variant>
      <vt:variant>
        <vt:lpwstr>http://www.nevo.co.il/case/20178093</vt:lpwstr>
      </vt:variant>
      <vt:variant>
        <vt:lpwstr/>
      </vt:variant>
      <vt:variant>
        <vt:i4>3407987</vt:i4>
      </vt:variant>
      <vt:variant>
        <vt:i4>72</vt:i4>
      </vt:variant>
      <vt:variant>
        <vt:i4>0</vt:i4>
      </vt:variant>
      <vt:variant>
        <vt:i4>5</vt:i4>
      </vt:variant>
      <vt:variant>
        <vt:lpwstr>http://www.nevo.co.il/case/20956295</vt:lpwstr>
      </vt:variant>
      <vt:variant>
        <vt:lpwstr/>
      </vt:variant>
      <vt:variant>
        <vt:i4>3997811</vt:i4>
      </vt:variant>
      <vt:variant>
        <vt:i4>69</vt:i4>
      </vt:variant>
      <vt:variant>
        <vt:i4>0</vt:i4>
      </vt:variant>
      <vt:variant>
        <vt:i4>5</vt:i4>
      </vt:variant>
      <vt:variant>
        <vt:lpwstr>http://www.nevo.co.il/case/26318040</vt:lpwstr>
      </vt:variant>
      <vt:variant>
        <vt:lpwstr/>
      </vt:variant>
      <vt:variant>
        <vt:i4>3932280</vt:i4>
      </vt:variant>
      <vt:variant>
        <vt:i4>66</vt:i4>
      </vt:variant>
      <vt:variant>
        <vt:i4>0</vt:i4>
      </vt:variant>
      <vt:variant>
        <vt:i4>5</vt:i4>
      </vt:variant>
      <vt:variant>
        <vt:lpwstr>http://www.nevo.co.il/case/27589322</vt:lpwstr>
      </vt:variant>
      <vt:variant>
        <vt:lpwstr/>
      </vt:variant>
      <vt:variant>
        <vt:i4>7995492</vt:i4>
      </vt:variant>
      <vt:variant>
        <vt:i4>63</vt:i4>
      </vt:variant>
      <vt:variant>
        <vt:i4>0</vt:i4>
      </vt:variant>
      <vt:variant>
        <vt:i4>5</vt:i4>
      </vt:variant>
      <vt:variant>
        <vt:lpwstr>http://www.nevo.co.il/law/70301</vt:lpwstr>
      </vt:variant>
      <vt:variant>
        <vt:lpwstr/>
      </vt:variant>
      <vt:variant>
        <vt:i4>3735670</vt:i4>
      </vt:variant>
      <vt:variant>
        <vt:i4>60</vt:i4>
      </vt:variant>
      <vt:variant>
        <vt:i4>0</vt:i4>
      </vt:variant>
      <vt:variant>
        <vt:i4>5</vt:i4>
      </vt:variant>
      <vt:variant>
        <vt:lpwstr>http://www.nevo.co.il/case/22182887</vt:lpwstr>
      </vt:variant>
      <vt:variant>
        <vt:lpwstr/>
      </vt:variant>
      <vt:variant>
        <vt:i4>3211390</vt:i4>
      </vt:variant>
      <vt:variant>
        <vt:i4>57</vt:i4>
      </vt:variant>
      <vt:variant>
        <vt:i4>0</vt:i4>
      </vt:variant>
      <vt:variant>
        <vt:i4>5</vt:i4>
      </vt:variant>
      <vt:variant>
        <vt:lpwstr>http://www.nevo.co.il/case/26191532</vt:lpwstr>
      </vt:variant>
      <vt:variant>
        <vt:lpwstr/>
      </vt:variant>
      <vt:variant>
        <vt:i4>4063351</vt:i4>
      </vt:variant>
      <vt:variant>
        <vt:i4>54</vt:i4>
      </vt:variant>
      <vt:variant>
        <vt:i4>0</vt:i4>
      </vt:variant>
      <vt:variant>
        <vt:i4>5</vt:i4>
      </vt:variant>
      <vt:variant>
        <vt:lpwstr>http://www.nevo.co.il/case/6085666</vt:lpwstr>
      </vt:variant>
      <vt:variant>
        <vt:lpwstr/>
      </vt:variant>
      <vt:variant>
        <vt:i4>4128881</vt:i4>
      </vt:variant>
      <vt:variant>
        <vt:i4>51</vt:i4>
      </vt:variant>
      <vt:variant>
        <vt:i4>0</vt:i4>
      </vt:variant>
      <vt:variant>
        <vt:i4>5</vt:i4>
      </vt:variant>
      <vt:variant>
        <vt:lpwstr>http://www.nevo.co.il/case/17945621</vt:lpwstr>
      </vt:variant>
      <vt:variant>
        <vt:lpwstr/>
      </vt:variant>
      <vt:variant>
        <vt:i4>4128882</vt:i4>
      </vt:variant>
      <vt:variant>
        <vt:i4>48</vt:i4>
      </vt:variant>
      <vt:variant>
        <vt:i4>0</vt:i4>
      </vt:variant>
      <vt:variant>
        <vt:i4>5</vt:i4>
      </vt:variant>
      <vt:variant>
        <vt:lpwstr>http://www.nevo.co.il/case/17942553</vt:lpwstr>
      </vt:variant>
      <vt:variant>
        <vt:lpwstr/>
      </vt:variant>
      <vt:variant>
        <vt:i4>8257637</vt:i4>
      </vt:variant>
      <vt:variant>
        <vt:i4>45</vt:i4>
      </vt:variant>
      <vt:variant>
        <vt:i4>0</vt:i4>
      </vt:variant>
      <vt:variant>
        <vt:i4>5</vt:i4>
      </vt:variant>
      <vt:variant>
        <vt:lpwstr>http://www.nevo.co.il/law/4216</vt:lpwstr>
      </vt:variant>
      <vt:variant>
        <vt:lpwstr/>
      </vt:variant>
      <vt:variant>
        <vt:i4>4915274</vt:i4>
      </vt:variant>
      <vt:variant>
        <vt:i4>42</vt:i4>
      </vt:variant>
      <vt:variant>
        <vt:i4>0</vt:i4>
      </vt:variant>
      <vt:variant>
        <vt:i4>5</vt:i4>
      </vt:variant>
      <vt:variant>
        <vt:lpwstr>http://www.nevo.co.il/law/4216/7.a.c</vt:lpwstr>
      </vt:variant>
      <vt:variant>
        <vt:lpwstr/>
      </vt:variant>
      <vt:variant>
        <vt:i4>3801204</vt:i4>
      </vt:variant>
      <vt:variant>
        <vt:i4>39</vt:i4>
      </vt:variant>
      <vt:variant>
        <vt:i4>0</vt:i4>
      </vt:variant>
      <vt:variant>
        <vt:i4>5</vt:i4>
      </vt:variant>
      <vt:variant>
        <vt:lpwstr>http://www.nevo.co.il/case/20061696</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3997817</vt:i4>
      </vt:variant>
      <vt:variant>
        <vt:i4>33</vt:i4>
      </vt:variant>
      <vt:variant>
        <vt:i4>0</vt:i4>
      </vt:variant>
      <vt:variant>
        <vt:i4>5</vt:i4>
      </vt:variant>
      <vt:variant>
        <vt:lpwstr>http://www.nevo.co.il/case/17932979</vt:lpwstr>
      </vt:variant>
      <vt:variant>
        <vt:lpwstr/>
      </vt:variant>
      <vt:variant>
        <vt:i4>3866738</vt:i4>
      </vt:variant>
      <vt:variant>
        <vt:i4>30</vt:i4>
      </vt:variant>
      <vt:variant>
        <vt:i4>0</vt:i4>
      </vt:variant>
      <vt:variant>
        <vt:i4>5</vt:i4>
      </vt:variant>
      <vt:variant>
        <vt:lpwstr>http://www.nevo.co.il/case/5726579</vt:lpwstr>
      </vt:variant>
      <vt:variant>
        <vt:lpwstr/>
      </vt:variant>
      <vt:variant>
        <vt:i4>3276925</vt:i4>
      </vt:variant>
      <vt:variant>
        <vt:i4>27</vt:i4>
      </vt:variant>
      <vt:variant>
        <vt:i4>0</vt:i4>
      </vt:variant>
      <vt:variant>
        <vt:i4>5</vt:i4>
      </vt:variant>
      <vt:variant>
        <vt:lpwstr>http://www.nevo.co.il/case/6119015</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4915274</vt:i4>
      </vt:variant>
      <vt:variant>
        <vt:i4>6</vt:i4>
      </vt:variant>
      <vt:variant>
        <vt:i4>0</vt:i4>
      </vt:variant>
      <vt:variant>
        <vt:i4>5</vt:i4>
      </vt:variant>
      <vt:variant>
        <vt:lpwstr>http://www.nevo.co.il/law/4216/7.a.c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ariant>
        <vt:i4>3407991</vt:i4>
      </vt:variant>
      <vt:variant>
        <vt:i4>3</vt:i4>
      </vt:variant>
      <vt:variant>
        <vt:i4>0</vt:i4>
      </vt:variant>
      <vt:variant>
        <vt:i4>5</vt:i4>
      </vt:variant>
      <vt:variant>
        <vt:lpwstr>http://www.nevo.co.il/case/21570530</vt:lpwstr>
      </vt:variant>
      <vt:variant>
        <vt:lpwstr/>
      </vt:variant>
      <vt:variant>
        <vt:i4>3211381</vt:i4>
      </vt:variant>
      <vt:variant>
        <vt:i4>0</vt:i4>
      </vt:variant>
      <vt:variant>
        <vt:i4>0</vt:i4>
      </vt:variant>
      <vt:variant>
        <vt:i4>5</vt:i4>
      </vt:variant>
      <vt:variant>
        <vt:lpwstr>http://www.nevo.co.il/case/24932683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2025-04-23T01:36:00Z</dcterms:created>
  <dcterms:modified xsi:type="dcterms:W3CDTF">2025-04-23T01:36:00Z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47589</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ELGUZOLI IBRAHIM</vt:lpwstr>
  </property>
  <property fmtid="{D5CDD505-2E9C-101B-9397-08002B2CF9AE}" pid="10" name="LAWYER">
    <vt:lpwstr>שירן ברגל;ענבר קינן</vt:lpwstr>
  </property>
  <property fmtid="{D5CDD505-2E9C-101B-9397-08002B2CF9AE}" pid="11" name="JUDGE">
    <vt:lpwstr>שמאי בקר</vt:lpwstr>
  </property>
  <property fmtid="{D5CDD505-2E9C-101B-9397-08002B2CF9AE}" pid="12" name="CITY">
    <vt:lpwstr>ת"א</vt:lpwstr>
  </property>
  <property fmtid="{D5CDD505-2E9C-101B-9397-08002B2CF9AE}" pid="13" name="DATE">
    <vt:lpwstr>20230509</vt:lpwstr>
  </property>
  <property fmtid="{D5CDD505-2E9C-101B-9397-08002B2CF9AE}" pid="14" name="TYPE_N_DATE">
    <vt:lpwstr>38020230509</vt:lpwstr>
  </property>
  <property fmtid="{D5CDD505-2E9C-101B-9397-08002B2CF9AE}" pid="15" name="WORDNUMPAGES">
    <vt:lpwstr>10</vt:lpwstr>
  </property>
  <property fmtid="{D5CDD505-2E9C-101B-9397-08002B2CF9AE}" pid="16" name="TYPE_ABS_DATE">
    <vt:lpwstr>380020230509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5738608:2;6119015;5726579;17932979;20061696;17942553;17945621;6085666;26191532;22182887;27589322;26318040;20956295;20178093;22533809;20684683;23433613;25496120;27519865:2;24932683;21570530</vt:lpwstr>
  </property>
  <property fmtid="{D5CDD505-2E9C-101B-9397-08002B2CF9AE}" pid="36" name="LAWLISTTMP1">
    <vt:lpwstr>4216/007.a:2;007.c:2;007.a.c:2</vt:lpwstr>
  </property>
  <property fmtid="{D5CDD505-2E9C-101B-9397-08002B2CF9AE}" pid="37" name="LAWLISTTMP2">
    <vt:lpwstr>70301</vt:lpwstr>
  </property>
</Properties>
</file>