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4"/>
        <w:gridCol w:w="3658"/>
        <w:gridCol w:w="99"/>
      </w:tblGrid>
      <w:tr w:rsidR="00FC7DC5" w:rsidRPr="00583395" w14:paraId="7FFFD88A" w14:textId="77777777" w:rsidTr="007D4053">
        <w:trPr>
          <w:gridAfter w:val="1"/>
          <w:wAfter w:w="99" w:type="dxa"/>
          <w:trHeight w:hRule="exact" w:val="418"/>
          <w:jc w:val="center"/>
        </w:trPr>
        <w:tc>
          <w:tcPr>
            <w:tcW w:w="8721" w:type="dxa"/>
            <w:gridSpan w:val="4"/>
          </w:tcPr>
          <w:p w14:paraId="2E57F933" w14:textId="77777777" w:rsidR="00FC7DC5" w:rsidRPr="00583395" w:rsidRDefault="00FC7DC5" w:rsidP="00FC07B4">
            <w:pPr>
              <w:pStyle w:val="a3"/>
              <w:jc w:val="center"/>
              <w:rPr>
                <w:rFonts w:ascii="Tahoma" w:hAnsi="Tahoma" w:cs="Tahoma"/>
                <w:color w:val="000080"/>
                <w:rtl/>
              </w:rPr>
            </w:pPr>
            <w:r w:rsidRPr="00583395">
              <w:rPr>
                <w:rFonts w:ascii="Tahoma" w:hAnsi="Tahoma" w:cs="Tahoma"/>
                <w:b/>
                <w:bCs/>
                <w:color w:val="000080"/>
                <w:rtl/>
              </w:rPr>
              <w:t>בית משפט השלום בקריות</w:t>
            </w:r>
          </w:p>
        </w:tc>
      </w:tr>
      <w:tr w:rsidR="00FC7DC5" w:rsidRPr="00583395" w14:paraId="326CEE69" w14:textId="77777777" w:rsidTr="007D4053">
        <w:trPr>
          <w:gridAfter w:val="1"/>
          <w:wAfter w:w="99" w:type="dxa"/>
          <w:trHeight w:val="337"/>
          <w:jc w:val="center"/>
        </w:trPr>
        <w:tc>
          <w:tcPr>
            <w:tcW w:w="5063" w:type="dxa"/>
            <w:gridSpan w:val="3"/>
          </w:tcPr>
          <w:p w14:paraId="152328A0" w14:textId="77777777" w:rsidR="00FC7DC5" w:rsidRPr="00583395" w:rsidRDefault="00FC7DC5" w:rsidP="00FC07B4">
            <w:pPr>
              <w:rPr>
                <w:rFonts w:cs="FrankRuehl"/>
                <w:sz w:val="28"/>
                <w:szCs w:val="28"/>
                <w:rtl/>
              </w:rPr>
            </w:pPr>
            <w:r w:rsidRPr="00583395">
              <w:rPr>
                <w:rFonts w:cs="FrankRuehl"/>
                <w:sz w:val="28"/>
                <w:szCs w:val="28"/>
                <w:rtl/>
              </w:rPr>
              <w:t>ת"פ</w:t>
            </w:r>
            <w:r w:rsidRPr="00583395">
              <w:rPr>
                <w:rFonts w:cs="FrankRuehl" w:hint="cs"/>
                <w:sz w:val="28"/>
                <w:szCs w:val="28"/>
                <w:rtl/>
              </w:rPr>
              <w:t xml:space="preserve"> </w:t>
            </w:r>
            <w:r w:rsidRPr="00583395">
              <w:rPr>
                <w:rFonts w:cs="FrankRuehl"/>
                <w:sz w:val="28"/>
                <w:szCs w:val="28"/>
                <w:rtl/>
              </w:rPr>
              <w:t>9649-10-22</w:t>
            </w:r>
            <w:r w:rsidRPr="00583395">
              <w:rPr>
                <w:rFonts w:cs="FrankRuehl" w:hint="cs"/>
                <w:sz w:val="28"/>
                <w:szCs w:val="28"/>
                <w:rtl/>
              </w:rPr>
              <w:t xml:space="preserve"> </w:t>
            </w:r>
            <w:r w:rsidRPr="00583395">
              <w:rPr>
                <w:rFonts w:cs="FrankRuehl"/>
                <w:sz w:val="28"/>
                <w:szCs w:val="28"/>
                <w:rtl/>
              </w:rPr>
              <w:t>מדינת ישראל נ' פחימה(עצור/אסיר בפיקוח)</w:t>
            </w:r>
          </w:p>
          <w:p w14:paraId="00DA2F03" w14:textId="77777777" w:rsidR="00FC7DC5" w:rsidRPr="00583395" w:rsidRDefault="00FC7DC5" w:rsidP="00FC07B4">
            <w:pPr>
              <w:pStyle w:val="a3"/>
              <w:rPr>
                <w:rFonts w:cs="FrankRuehl"/>
                <w:sz w:val="28"/>
                <w:szCs w:val="28"/>
                <w:rtl/>
              </w:rPr>
            </w:pPr>
          </w:p>
        </w:tc>
        <w:tc>
          <w:tcPr>
            <w:tcW w:w="3658" w:type="dxa"/>
          </w:tcPr>
          <w:p w14:paraId="4D4A31FF" w14:textId="77777777" w:rsidR="00FC7DC5" w:rsidRPr="00583395" w:rsidRDefault="00FC7DC5" w:rsidP="00FC07B4">
            <w:pPr>
              <w:pStyle w:val="a3"/>
              <w:jc w:val="right"/>
              <w:rPr>
                <w:rFonts w:cs="FrankRuehl"/>
                <w:sz w:val="28"/>
                <w:szCs w:val="28"/>
                <w:rtl/>
              </w:rPr>
            </w:pPr>
          </w:p>
        </w:tc>
      </w:tr>
      <w:tr w:rsidR="00FC7DC5" w:rsidRPr="00583395" w14:paraId="472B45B7" w14:textId="77777777" w:rsidTr="007D40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803113B" w14:textId="77777777" w:rsidR="00FC7DC5" w:rsidRPr="00583395" w:rsidRDefault="00FC7DC5" w:rsidP="00FC7DC5">
            <w:pPr>
              <w:jc w:val="both"/>
              <w:rPr>
                <w:rFonts w:ascii="David" w:hAnsi="David"/>
                <w:b/>
                <w:bCs/>
              </w:rPr>
            </w:pPr>
            <w:r w:rsidRPr="00583395">
              <w:rPr>
                <w:rFonts w:hint="cs"/>
                <w:rtl/>
              </w:rPr>
              <w:t xml:space="preserve"> </w:t>
            </w:r>
            <w:r w:rsidRPr="00583395">
              <w:rPr>
                <w:rFonts w:ascii="David" w:hAnsi="David"/>
                <w:b/>
                <w:bCs/>
                <w:rtl/>
              </w:rPr>
              <w:t xml:space="preserve">בפני </w:t>
            </w:r>
          </w:p>
        </w:tc>
        <w:tc>
          <w:tcPr>
            <w:tcW w:w="7897" w:type="dxa"/>
            <w:gridSpan w:val="4"/>
            <w:tcBorders>
              <w:top w:val="nil"/>
              <w:left w:val="nil"/>
              <w:bottom w:val="nil"/>
              <w:right w:val="nil"/>
            </w:tcBorders>
            <w:shd w:val="clear" w:color="auto" w:fill="auto"/>
          </w:tcPr>
          <w:p w14:paraId="48B8CB2A" w14:textId="77777777" w:rsidR="00FC7DC5" w:rsidRPr="00583395" w:rsidRDefault="00FC7DC5" w:rsidP="00FC07B4">
            <w:pPr>
              <w:rPr>
                <w:rFonts w:ascii="David" w:hAnsi="David"/>
                <w:b/>
                <w:bCs/>
                <w:rtl/>
              </w:rPr>
            </w:pPr>
            <w:r w:rsidRPr="00583395">
              <w:rPr>
                <w:rFonts w:ascii="Arial" w:hAnsi="Arial"/>
                <w:b/>
                <w:bCs/>
                <w:rtl/>
              </w:rPr>
              <w:t>כב' השופט יוסי טורס , סגן הנשיאה</w:t>
            </w:r>
          </w:p>
          <w:p w14:paraId="7456F614" w14:textId="77777777" w:rsidR="00FC7DC5" w:rsidRPr="00583395" w:rsidRDefault="00FC7DC5" w:rsidP="00FC07B4">
            <w:pPr>
              <w:rPr>
                <w:rFonts w:ascii="David" w:hAnsi="David"/>
                <w:b/>
                <w:bCs/>
              </w:rPr>
            </w:pPr>
          </w:p>
        </w:tc>
      </w:tr>
      <w:tr w:rsidR="00FC7DC5" w:rsidRPr="00583395" w14:paraId="32733DD1" w14:textId="77777777" w:rsidTr="007D40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21E5F69" w14:textId="77777777" w:rsidR="00FC7DC5" w:rsidRPr="00583395" w:rsidRDefault="00FC7DC5" w:rsidP="00FC7DC5">
            <w:pPr>
              <w:jc w:val="both"/>
              <w:rPr>
                <w:rFonts w:ascii="David" w:hAnsi="David"/>
                <w:b/>
                <w:bCs/>
                <w:rtl/>
              </w:rPr>
            </w:pPr>
            <w:bookmarkStart w:id="0" w:name="FirstAppellant"/>
            <w:bookmarkStart w:id="1" w:name="LastJudge"/>
            <w:bookmarkEnd w:id="1"/>
          </w:p>
          <w:p w14:paraId="423F287E" w14:textId="77777777" w:rsidR="00FC7DC5" w:rsidRPr="00583395" w:rsidRDefault="00FC7DC5" w:rsidP="00FC7DC5">
            <w:pPr>
              <w:jc w:val="both"/>
              <w:rPr>
                <w:rFonts w:ascii="David" w:hAnsi="David"/>
                <w:b/>
                <w:bCs/>
              </w:rPr>
            </w:pPr>
            <w:r w:rsidRPr="00583395">
              <w:rPr>
                <w:rFonts w:ascii="David" w:hAnsi="David"/>
                <w:b/>
                <w:bCs/>
                <w:rtl/>
              </w:rPr>
              <w:t>בעניין:</w:t>
            </w:r>
          </w:p>
        </w:tc>
        <w:tc>
          <w:tcPr>
            <w:tcW w:w="4126" w:type="dxa"/>
            <w:tcBorders>
              <w:top w:val="nil"/>
              <w:left w:val="nil"/>
              <w:bottom w:val="nil"/>
              <w:right w:val="nil"/>
            </w:tcBorders>
            <w:shd w:val="clear" w:color="auto" w:fill="auto"/>
          </w:tcPr>
          <w:p w14:paraId="0C015274" w14:textId="77777777" w:rsidR="00FC7DC5" w:rsidRPr="00583395" w:rsidRDefault="00FC7DC5" w:rsidP="00FC07B4">
            <w:pPr>
              <w:rPr>
                <w:rFonts w:ascii="David" w:hAnsi="David"/>
                <w:b/>
                <w:bCs/>
              </w:rPr>
            </w:pPr>
            <w:r w:rsidRPr="00583395">
              <w:rPr>
                <w:rFonts w:ascii="David" w:hAnsi="David"/>
                <w:b/>
                <w:bCs/>
                <w:rtl/>
              </w:rPr>
              <w:br/>
              <w:t>מדינת ישראל</w:t>
            </w:r>
          </w:p>
        </w:tc>
        <w:tc>
          <w:tcPr>
            <w:tcW w:w="3771" w:type="dxa"/>
            <w:gridSpan w:val="3"/>
            <w:tcBorders>
              <w:top w:val="nil"/>
              <w:left w:val="nil"/>
              <w:bottom w:val="nil"/>
              <w:right w:val="nil"/>
            </w:tcBorders>
            <w:shd w:val="clear" w:color="auto" w:fill="auto"/>
          </w:tcPr>
          <w:p w14:paraId="29C4D61A" w14:textId="77777777" w:rsidR="00FC7DC5" w:rsidRPr="00583395" w:rsidRDefault="00FC7DC5" w:rsidP="00FC7DC5">
            <w:pPr>
              <w:jc w:val="right"/>
              <w:rPr>
                <w:rFonts w:ascii="David" w:hAnsi="David"/>
                <w:b/>
                <w:bCs/>
                <w:rtl/>
              </w:rPr>
            </w:pPr>
          </w:p>
          <w:p w14:paraId="7F56727E" w14:textId="77777777" w:rsidR="00FC7DC5" w:rsidRPr="00583395" w:rsidRDefault="00FC7DC5" w:rsidP="00FC7DC5">
            <w:pPr>
              <w:jc w:val="right"/>
              <w:rPr>
                <w:rFonts w:ascii="David" w:hAnsi="David"/>
                <w:b/>
                <w:bCs/>
                <w:rtl/>
              </w:rPr>
            </w:pPr>
            <w:r w:rsidRPr="00583395">
              <w:rPr>
                <w:rFonts w:ascii="David" w:hAnsi="David"/>
                <w:b/>
                <w:bCs/>
                <w:rtl/>
              </w:rPr>
              <w:t>המאשימה</w:t>
            </w:r>
          </w:p>
        </w:tc>
      </w:tr>
      <w:bookmarkEnd w:id="0"/>
      <w:tr w:rsidR="00FC7DC5" w:rsidRPr="00583395" w14:paraId="42208B77" w14:textId="77777777" w:rsidTr="007D40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174017" w14:textId="77777777" w:rsidR="00FC7DC5" w:rsidRPr="00583395" w:rsidRDefault="00FC7DC5" w:rsidP="00FC7DC5">
            <w:pPr>
              <w:jc w:val="both"/>
              <w:rPr>
                <w:rFonts w:ascii="David" w:hAnsi="David"/>
                <w:b/>
                <w:bCs/>
                <w:rtl/>
              </w:rPr>
            </w:pPr>
          </w:p>
        </w:tc>
        <w:tc>
          <w:tcPr>
            <w:tcW w:w="4126" w:type="dxa"/>
            <w:tcBorders>
              <w:top w:val="nil"/>
              <w:left w:val="nil"/>
              <w:bottom w:val="nil"/>
              <w:right w:val="nil"/>
            </w:tcBorders>
            <w:shd w:val="clear" w:color="auto" w:fill="auto"/>
          </w:tcPr>
          <w:p w14:paraId="39025892" w14:textId="77777777" w:rsidR="00FC7DC5" w:rsidRPr="00583395" w:rsidRDefault="00FC7DC5" w:rsidP="00FC7DC5">
            <w:pPr>
              <w:jc w:val="both"/>
              <w:rPr>
                <w:rFonts w:ascii="David" w:hAnsi="David"/>
                <w:b/>
                <w:bCs/>
                <w:rtl/>
              </w:rPr>
            </w:pPr>
          </w:p>
        </w:tc>
        <w:tc>
          <w:tcPr>
            <w:tcW w:w="3771" w:type="dxa"/>
            <w:gridSpan w:val="3"/>
            <w:tcBorders>
              <w:top w:val="nil"/>
              <w:left w:val="nil"/>
              <w:bottom w:val="nil"/>
              <w:right w:val="nil"/>
            </w:tcBorders>
            <w:shd w:val="clear" w:color="auto" w:fill="auto"/>
          </w:tcPr>
          <w:p w14:paraId="2A0CA4F1" w14:textId="77777777" w:rsidR="00FC7DC5" w:rsidRPr="00583395" w:rsidRDefault="00FC7DC5" w:rsidP="00FC7DC5">
            <w:pPr>
              <w:jc w:val="right"/>
              <w:rPr>
                <w:rFonts w:ascii="David" w:hAnsi="David"/>
                <w:b/>
                <w:bCs/>
                <w:rtl/>
              </w:rPr>
            </w:pPr>
          </w:p>
        </w:tc>
      </w:tr>
      <w:tr w:rsidR="00FC7DC5" w:rsidRPr="00583395" w14:paraId="42C58745" w14:textId="77777777" w:rsidTr="007D40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932CDE" w14:textId="77777777" w:rsidR="00FC7DC5" w:rsidRPr="00583395" w:rsidRDefault="00FC7DC5" w:rsidP="00FC7DC5">
            <w:pPr>
              <w:jc w:val="both"/>
              <w:rPr>
                <w:rFonts w:ascii="David" w:hAnsi="David"/>
                <w:b/>
                <w:bCs/>
                <w:rtl/>
              </w:rPr>
            </w:pPr>
          </w:p>
        </w:tc>
        <w:tc>
          <w:tcPr>
            <w:tcW w:w="7897" w:type="dxa"/>
            <w:gridSpan w:val="4"/>
            <w:tcBorders>
              <w:top w:val="nil"/>
              <w:left w:val="nil"/>
              <w:bottom w:val="nil"/>
              <w:right w:val="nil"/>
            </w:tcBorders>
            <w:shd w:val="clear" w:color="auto" w:fill="auto"/>
          </w:tcPr>
          <w:p w14:paraId="2A2D3C48" w14:textId="77777777" w:rsidR="00FC7DC5" w:rsidRPr="00583395" w:rsidRDefault="00FC7DC5" w:rsidP="00FC7DC5">
            <w:pPr>
              <w:jc w:val="center"/>
              <w:rPr>
                <w:rFonts w:ascii="David" w:hAnsi="David"/>
                <w:b/>
                <w:bCs/>
                <w:rtl/>
              </w:rPr>
            </w:pPr>
          </w:p>
          <w:p w14:paraId="246E64E8" w14:textId="77777777" w:rsidR="00FC7DC5" w:rsidRPr="00583395" w:rsidRDefault="00FC7DC5" w:rsidP="00FC7DC5">
            <w:pPr>
              <w:jc w:val="center"/>
              <w:rPr>
                <w:rFonts w:ascii="David" w:hAnsi="David"/>
                <w:b/>
                <w:bCs/>
                <w:rtl/>
              </w:rPr>
            </w:pPr>
            <w:r w:rsidRPr="00583395">
              <w:rPr>
                <w:rFonts w:ascii="David" w:hAnsi="David"/>
                <w:b/>
                <w:bCs/>
                <w:rtl/>
              </w:rPr>
              <w:t>נגד</w:t>
            </w:r>
          </w:p>
          <w:p w14:paraId="3A21EE73" w14:textId="77777777" w:rsidR="00FC7DC5" w:rsidRPr="00583395" w:rsidRDefault="00FC7DC5" w:rsidP="00FC7DC5">
            <w:pPr>
              <w:jc w:val="both"/>
              <w:rPr>
                <w:rFonts w:ascii="David" w:hAnsi="David"/>
                <w:b/>
                <w:bCs/>
              </w:rPr>
            </w:pPr>
          </w:p>
        </w:tc>
      </w:tr>
      <w:tr w:rsidR="00FC7DC5" w:rsidRPr="00583395" w14:paraId="3117114A" w14:textId="77777777" w:rsidTr="007D40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E34593" w14:textId="77777777" w:rsidR="00FC7DC5" w:rsidRPr="00583395" w:rsidRDefault="00FC7DC5" w:rsidP="00FC07B4">
            <w:pPr>
              <w:rPr>
                <w:rFonts w:ascii="David" w:hAnsi="David"/>
                <w:b/>
                <w:bCs/>
                <w:rtl/>
              </w:rPr>
            </w:pPr>
          </w:p>
        </w:tc>
        <w:tc>
          <w:tcPr>
            <w:tcW w:w="4126" w:type="dxa"/>
            <w:tcBorders>
              <w:top w:val="nil"/>
              <w:left w:val="nil"/>
              <w:bottom w:val="nil"/>
              <w:right w:val="nil"/>
            </w:tcBorders>
            <w:shd w:val="clear" w:color="auto" w:fill="auto"/>
          </w:tcPr>
          <w:p w14:paraId="5FF0D445" w14:textId="77777777" w:rsidR="00FC7DC5" w:rsidRPr="00583395" w:rsidRDefault="00FC7DC5" w:rsidP="00FC07B4">
            <w:pPr>
              <w:rPr>
                <w:rFonts w:ascii="David" w:hAnsi="David"/>
                <w:b/>
                <w:bCs/>
                <w:rtl/>
              </w:rPr>
            </w:pPr>
            <w:r w:rsidRPr="00583395">
              <w:rPr>
                <w:rFonts w:ascii="David" w:hAnsi="David"/>
                <w:b/>
                <w:bCs/>
                <w:rtl/>
              </w:rPr>
              <w:t xml:space="preserve">יעקב פחימה </w:t>
            </w:r>
          </w:p>
        </w:tc>
        <w:tc>
          <w:tcPr>
            <w:tcW w:w="3771" w:type="dxa"/>
            <w:gridSpan w:val="3"/>
            <w:tcBorders>
              <w:top w:val="nil"/>
              <w:left w:val="nil"/>
              <w:bottom w:val="nil"/>
              <w:right w:val="nil"/>
            </w:tcBorders>
            <w:shd w:val="clear" w:color="auto" w:fill="auto"/>
          </w:tcPr>
          <w:p w14:paraId="350C39ED" w14:textId="77777777" w:rsidR="00FC7DC5" w:rsidRPr="00583395" w:rsidRDefault="00FC7DC5" w:rsidP="00FC7DC5">
            <w:pPr>
              <w:jc w:val="right"/>
              <w:rPr>
                <w:rFonts w:ascii="David" w:hAnsi="David"/>
                <w:b/>
                <w:bCs/>
              </w:rPr>
            </w:pPr>
            <w:r w:rsidRPr="00583395">
              <w:rPr>
                <w:rFonts w:ascii="David" w:hAnsi="David"/>
                <w:b/>
                <w:bCs/>
                <w:rtl/>
              </w:rPr>
              <w:t>ה</w:t>
            </w:r>
            <w:r w:rsidRPr="00583395">
              <w:rPr>
                <w:rFonts w:ascii="David" w:hAnsi="David" w:hint="cs"/>
                <w:b/>
                <w:bCs/>
                <w:rtl/>
              </w:rPr>
              <w:t>נאשם</w:t>
            </w:r>
          </w:p>
        </w:tc>
      </w:tr>
    </w:tbl>
    <w:p w14:paraId="5CFF15B4" w14:textId="77777777" w:rsidR="0002218E" w:rsidRDefault="0002218E" w:rsidP="00400255">
      <w:pPr>
        <w:rPr>
          <w:rtl/>
        </w:rPr>
      </w:pPr>
      <w:bookmarkStart w:id="2" w:name="Links_Kitvei_Start"/>
    </w:p>
    <w:p w14:paraId="40F081B8" w14:textId="77777777" w:rsidR="0002218E" w:rsidRPr="0002218E" w:rsidRDefault="0002218E" w:rsidP="0002218E">
      <w:pPr>
        <w:spacing w:after="120" w:line="240" w:lineRule="exact"/>
        <w:ind w:left="283" w:hanging="283"/>
        <w:jc w:val="both"/>
        <w:rPr>
          <w:rFonts w:ascii="FrankRuehl" w:hAnsi="FrankRuehl" w:cs="FrankRuehl"/>
          <w:rtl/>
        </w:rPr>
      </w:pPr>
    </w:p>
    <w:bookmarkEnd w:id="2"/>
    <w:p w14:paraId="65AD35D3" w14:textId="77777777" w:rsidR="0002218E" w:rsidRPr="0002218E" w:rsidRDefault="0002218E" w:rsidP="0002218E">
      <w:pPr>
        <w:spacing w:after="120" w:line="240" w:lineRule="exact"/>
        <w:ind w:left="283" w:hanging="283"/>
        <w:jc w:val="both"/>
        <w:rPr>
          <w:rStyle w:val="Hyperlink"/>
          <w:rFonts w:ascii="FrankRuehl" w:hAnsi="FrankRuehl" w:cs="FrankRuehl"/>
          <w:u w:val="none"/>
        </w:rPr>
      </w:pPr>
      <w:r w:rsidRPr="0002218E">
        <w:rPr>
          <w:rFonts w:ascii="FrankRuehl" w:hAnsi="FrankRuehl" w:cs="FrankRuehl"/>
          <w:rtl/>
        </w:rPr>
        <w:t>כתבי עת:</w:t>
      </w:r>
      <w:r w:rsidRPr="0002218E">
        <w:rPr>
          <w:rFonts w:ascii="FrankRuehl" w:hAnsi="FrankRuehl" w:cs="FrankRuehl"/>
          <w:color w:val="0000FF"/>
          <w:rtl/>
        </w:rPr>
        <w:fldChar w:fldCharType="begin"/>
      </w:r>
      <w:r w:rsidRPr="0002218E">
        <w:rPr>
          <w:rFonts w:ascii="FrankRuehl" w:hAnsi="FrankRuehl" w:cs="FrankRuehl"/>
          <w:color w:val="0000FF"/>
          <w:rtl/>
        </w:rPr>
        <w:instrText xml:space="preserve"> </w:instrText>
      </w:r>
      <w:r w:rsidRPr="0002218E">
        <w:rPr>
          <w:rFonts w:ascii="FrankRuehl" w:hAnsi="FrankRuehl" w:cs="FrankRuehl"/>
          <w:color w:val="0000FF"/>
        </w:rPr>
        <w:instrText xml:space="preserve">HYPERLINK </w:instrText>
      </w:r>
      <w:r w:rsidRPr="0002218E">
        <w:rPr>
          <w:rFonts w:ascii="FrankRuehl" w:hAnsi="FrankRuehl" w:cs="FrankRuehl"/>
          <w:color w:val="0000FF"/>
          <w:rtl/>
        </w:rPr>
        <w:instrText>"</w:instrText>
      </w:r>
      <w:r w:rsidRPr="0002218E">
        <w:rPr>
          <w:rFonts w:ascii="FrankRuehl" w:hAnsi="FrankRuehl" w:cs="FrankRuehl"/>
          <w:color w:val="0000FF"/>
        </w:rPr>
        <w:instrText>http://www.nevo.co.il/safrut/book/30035"</w:instrText>
      </w:r>
      <w:r w:rsidRPr="0002218E">
        <w:rPr>
          <w:rFonts w:ascii="FrankRuehl" w:hAnsi="FrankRuehl" w:cs="FrankRuehl"/>
          <w:color w:val="0000FF"/>
          <w:rtl/>
        </w:rPr>
        <w:instrText xml:space="preserve"> </w:instrText>
      </w:r>
      <w:r w:rsidRPr="0002218E">
        <w:rPr>
          <w:rFonts w:ascii="FrankRuehl" w:hAnsi="FrankRuehl" w:cs="FrankRuehl"/>
          <w:color w:val="0000FF"/>
          <w:rtl/>
        </w:rPr>
      </w:r>
      <w:r w:rsidRPr="0002218E">
        <w:rPr>
          <w:rFonts w:ascii="FrankRuehl" w:hAnsi="FrankRuehl" w:cs="FrankRuehl"/>
          <w:color w:val="0000FF"/>
          <w:rtl/>
        </w:rPr>
        <w:fldChar w:fldCharType="separate"/>
      </w:r>
    </w:p>
    <w:p w14:paraId="40F6D285" w14:textId="77777777" w:rsidR="0002218E" w:rsidRPr="0002218E" w:rsidRDefault="0002218E" w:rsidP="0002218E">
      <w:pPr>
        <w:spacing w:after="120" w:line="240" w:lineRule="exact"/>
        <w:ind w:left="283" w:hanging="283"/>
        <w:jc w:val="both"/>
        <w:rPr>
          <w:rFonts w:ascii="FrankRuehl" w:hAnsi="FrankRuehl" w:cs="FrankRuehl"/>
        </w:rPr>
      </w:pPr>
      <w:r w:rsidRPr="0002218E">
        <w:rPr>
          <w:rStyle w:val="Hyperlink"/>
          <w:rFonts w:ascii="FrankRuehl" w:hAnsi="FrankRuehl" w:cs="FrankRuehl"/>
          <w:u w:val="none"/>
          <w:rtl/>
        </w:rPr>
        <w:t>אורן גזל-אייל, "חריגה ממתחם העונש ההולם", ספר דורית ביניש,  (אונ' בר אילן, נבו, 2018) 539</w:t>
      </w:r>
      <w:r w:rsidRPr="0002218E">
        <w:rPr>
          <w:rFonts w:ascii="FrankRuehl" w:hAnsi="FrankRuehl" w:cs="FrankRuehl"/>
          <w:color w:val="0000FF"/>
          <w:rtl/>
        </w:rPr>
        <w:fldChar w:fldCharType="end"/>
      </w:r>
    </w:p>
    <w:p w14:paraId="57F6FD40" w14:textId="77777777" w:rsidR="0002218E" w:rsidRDefault="0002218E" w:rsidP="0002218E">
      <w:pPr>
        <w:rPr>
          <w:rtl/>
        </w:rPr>
      </w:pPr>
      <w:bookmarkStart w:id="3" w:name="Links_Kitvei_End"/>
      <w:bookmarkStart w:id="4" w:name="LawTable"/>
      <w:bookmarkEnd w:id="3"/>
      <w:bookmarkEnd w:id="4"/>
    </w:p>
    <w:p w14:paraId="395E5E49" w14:textId="77777777" w:rsidR="0002218E" w:rsidRPr="0002218E" w:rsidRDefault="0002218E" w:rsidP="0002218E">
      <w:pPr>
        <w:spacing w:before="120" w:after="120" w:line="240" w:lineRule="exact"/>
        <w:ind w:left="283" w:hanging="283"/>
        <w:jc w:val="both"/>
        <w:rPr>
          <w:rFonts w:ascii="FrankRuehl" w:hAnsi="FrankRuehl" w:cs="FrankRuehl"/>
          <w:rtl/>
        </w:rPr>
      </w:pPr>
    </w:p>
    <w:p w14:paraId="7453EEC8" w14:textId="77777777" w:rsidR="0002218E" w:rsidRPr="0002218E" w:rsidRDefault="0002218E" w:rsidP="0002218E">
      <w:pPr>
        <w:spacing w:before="120" w:after="120" w:line="240" w:lineRule="exact"/>
        <w:ind w:left="283" w:hanging="283"/>
        <w:jc w:val="both"/>
        <w:rPr>
          <w:rFonts w:ascii="FrankRuehl" w:hAnsi="FrankRuehl" w:cs="FrankRuehl"/>
          <w:rtl/>
        </w:rPr>
      </w:pPr>
    </w:p>
    <w:p w14:paraId="52FC6DCF" w14:textId="77777777" w:rsidR="0002218E" w:rsidRPr="0002218E" w:rsidRDefault="0002218E" w:rsidP="0002218E">
      <w:pPr>
        <w:spacing w:before="120" w:after="120" w:line="240" w:lineRule="exact"/>
        <w:ind w:left="283" w:hanging="283"/>
        <w:jc w:val="both"/>
        <w:rPr>
          <w:rFonts w:ascii="FrankRuehl" w:hAnsi="FrankRuehl" w:cs="FrankRuehl"/>
          <w:rtl/>
        </w:rPr>
      </w:pPr>
      <w:r w:rsidRPr="0002218E">
        <w:rPr>
          <w:rFonts w:ascii="FrankRuehl" w:hAnsi="FrankRuehl" w:cs="FrankRuehl"/>
          <w:rtl/>
        </w:rPr>
        <w:t xml:space="preserve">חקיקה שאוזכרה: </w:t>
      </w:r>
    </w:p>
    <w:p w14:paraId="390D817B" w14:textId="77777777" w:rsidR="0002218E" w:rsidRPr="0002218E" w:rsidRDefault="0002218E" w:rsidP="0002218E">
      <w:pPr>
        <w:spacing w:before="120" w:after="120" w:line="240" w:lineRule="exact"/>
        <w:ind w:left="283" w:hanging="283"/>
        <w:jc w:val="both"/>
        <w:rPr>
          <w:rFonts w:ascii="FrankRuehl" w:hAnsi="FrankRuehl" w:cs="FrankRuehl"/>
          <w:rtl/>
        </w:rPr>
      </w:pPr>
      <w:hyperlink r:id="rId7" w:history="1">
        <w:r w:rsidRPr="0002218E">
          <w:rPr>
            <w:rFonts w:ascii="FrankRuehl" w:hAnsi="FrankRuehl" w:cs="FrankRuehl"/>
            <w:color w:val="0000FF"/>
            <w:rtl/>
          </w:rPr>
          <w:t>פקודת הסמים המסוכנים [נוסח חדש], תשל"ג-1973</w:t>
        </w:r>
      </w:hyperlink>
      <w:r w:rsidRPr="0002218E">
        <w:rPr>
          <w:rFonts w:ascii="FrankRuehl" w:hAnsi="FrankRuehl" w:cs="FrankRuehl"/>
          <w:rtl/>
        </w:rPr>
        <w:t xml:space="preserve">: סע'  </w:t>
      </w:r>
      <w:hyperlink r:id="rId8" w:history="1">
        <w:r w:rsidRPr="0002218E">
          <w:rPr>
            <w:rFonts w:ascii="FrankRuehl" w:hAnsi="FrankRuehl" w:cs="FrankRuehl"/>
            <w:color w:val="0000FF"/>
            <w:rtl/>
          </w:rPr>
          <w:t>7.א.</w:t>
        </w:r>
      </w:hyperlink>
      <w:r w:rsidRPr="0002218E">
        <w:rPr>
          <w:rFonts w:ascii="FrankRuehl" w:hAnsi="FrankRuehl" w:cs="FrankRuehl"/>
          <w:rtl/>
        </w:rPr>
        <w:t xml:space="preserve">, </w:t>
      </w:r>
      <w:hyperlink r:id="rId9" w:history="1">
        <w:r w:rsidRPr="0002218E">
          <w:rPr>
            <w:rFonts w:ascii="FrankRuehl" w:hAnsi="FrankRuehl" w:cs="FrankRuehl"/>
            <w:color w:val="0000FF"/>
            <w:rtl/>
          </w:rPr>
          <w:t>7.ג</w:t>
        </w:r>
      </w:hyperlink>
    </w:p>
    <w:p w14:paraId="562D1902" w14:textId="77777777" w:rsidR="0002218E" w:rsidRPr="0002218E" w:rsidRDefault="0002218E" w:rsidP="0002218E">
      <w:pPr>
        <w:spacing w:before="120" w:after="120" w:line="240" w:lineRule="exact"/>
        <w:ind w:left="283" w:hanging="283"/>
        <w:jc w:val="both"/>
        <w:rPr>
          <w:rFonts w:ascii="FrankRuehl" w:hAnsi="FrankRuehl" w:cs="FrankRuehl"/>
          <w:rtl/>
        </w:rPr>
      </w:pPr>
      <w:hyperlink r:id="rId10" w:history="1">
        <w:r w:rsidRPr="0002218E">
          <w:rPr>
            <w:rFonts w:ascii="FrankRuehl" w:hAnsi="FrankRuehl" w:cs="FrankRuehl"/>
            <w:color w:val="0000FF"/>
            <w:rtl/>
          </w:rPr>
          <w:t>חוק העונשין, תשל"ז-1977</w:t>
        </w:r>
      </w:hyperlink>
      <w:r w:rsidRPr="0002218E">
        <w:rPr>
          <w:rFonts w:ascii="FrankRuehl" w:hAnsi="FrankRuehl" w:cs="FrankRuehl"/>
          <w:rtl/>
        </w:rPr>
        <w:t xml:space="preserve">: סע'  </w:t>
      </w:r>
      <w:hyperlink r:id="rId11" w:history="1">
        <w:r w:rsidRPr="0002218E">
          <w:rPr>
            <w:rFonts w:ascii="FrankRuehl" w:hAnsi="FrankRuehl" w:cs="FrankRuehl"/>
            <w:color w:val="0000FF"/>
            <w:rtl/>
          </w:rPr>
          <w:t>40ד'</w:t>
        </w:r>
      </w:hyperlink>
    </w:p>
    <w:p w14:paraId="1B254CF4" w14:textId="77777777" w:rsidR="0002218E" w:rsidRPr="0002218E" w:rsidRDefault="0002218E" w:rsidP="0002218E">
      <w:pPr>
        <w:rPr>
          <w:rtl/>
        </w:rPr>
      </w:pPr>
      <w:bookmarkStart w:id="5" w:name="LawTable_End"/>
      <w:bookmarkEnd w:id="5"/>
    </w:p>
    <w:p w14:paraId="0105DD59" w14:textId="77777777" w:rsidR="00583395" w:rsidRPr="0002218E" w:rsidRDefault="00583395" w:rsidP="0040025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C7DC5" w:rsidRPr="00F951C8" w14:paraId="19148027" w14:textId="77777777" w:rsidTr="00FC7DC5">
        <w:trPr>
          <w:trHeight w:val="355"/>
          <w:jc w:val="center"/>
        </w:trPr>
        <w:tc>
          <w:tcPr>
            <w:tcW w:w="8820" w:type="dxa"/>
            <w:tcBorders>
              <w:top w:val="nil"/>
              <w:left w:val="nil"/>
              <w:bottom w:val="nil"/>
              <w:right w:val="nil"/>
            </w:tcBorders>
            <w:shd w:val="clear" w:color="auto" w:fill="auto"/>
          </w:tcPr>
          <w:p w14:paraId="5909555B" w14:textId="77777777" w:rsidR="00583395" w:rsidRPr="00583395" w:rsidRDefault="00583395" w:rsidP="00583395">
            <w:pPr>
              <w:jc w:val="center"/>
              <w:rPr>
                <w:rFonts w:ascii="David" w:hAnsi="David"/>
                <w:b/>
                <w:bCs/>
                <w:sz w:val="32"/>
                <w:szCs w:val="32"/>
                <w:rtl/>
              </w:rPr>
            </w:pPr>
            <w:bookmarkStart w:id="6" w:name="PsakDin" w:colFirst="0" w:colLast="0"/>
            <w:r w:rsidRPr="00583395">
              <w:rPr>
                <w:rFonts w:ascii="David" w:hAnsi="David"/>
                <w:b/>
                <w:bCs/>
                <w:sz w:val="32"/>
                <w:szCs w:val="32"/>
                <w:rtl/>
              </w:rPr>
              <w:t>גזר דין</w:t>
            </w:r>
          </w:p>
          <w:p w14:paraId="561C5C79" w14:textId="77777777" w:rsidR="00FC7DC5" w:rsidRPr="00583395" w:rsidRDefault="00FC7DC5" w:rsidP="00583395">
            <w:pPr>
              <w:jc w:val="center"/>
              <w:rPr>
                <w:rFonts w:ascii="David" w:hAnsi="David"/>
                <w:bCs/>
                <w:sz w:val="32"/>
                <w:szCs w:val="32"/>
                <w:rtl/>
              </w:rPr>
            </w:pPr>
          </w:p>
        </w:tc>
      </w:tr>
      <w:bookmarkEnd w:id="6"/>
    </w:tbl>
    <w:p w14:paraId="428504C0" w14:textId="77777777" w:rsidR="00FC7DC5" w:rsidRPr="002B7D23" w:rsidRDefault="00FC7DC5" w:rsidP="00FC7DC5">
      <w:pPr>
        <w:rPr>
          <w:rFonts w:ascii="David" w:hAnsi="David"/>
          <w:sz w:val="26"/>
          <w:szCs w:val="26"/>
          <w:rtl/>
        </w:rPr>
      </w:pPr>
    </w:p>
    <w:p w14:paraId="04141684" w14:textId="77777777" w:rsidR="00FC7DC5" w:rsidRDefault="00FC7DC5" w:rsidP="00FC7DC5">
      <w:pPr>
        <w:jc w:val="both"/>
        <w:rPr>
          <w:rFonts w:ascii="David" w:hAnsi="David"/>
          <w:b/>
          <w:bCs/>
          <w:u w:val="single"/>
        </w:rPr>
      </w:pPr>
      <w:r>
        <w:rPr>
          <w:rFonts w:ascii="David" w:hAnsi="David"/>
          <w:b/>
          <w:bCs/>
          <w:u w:val="single"/>
          <w:rtl/>
        </w:rPr>
        <w:t>כתב האישום וההליכים</w:t>
      </w:r>
    </w:p>
    <w:p w14:paraId="11B0747D" w14:textId="77777777" w:rsidR="00FC7DC5" w:rsidRPr="006C4C56" w:rsidRDefault="00FC7DC5" w:rsidP="00FC7DC5">
      <w:pPr>
        <w:spacing w:line="360" w:lineRule="auto"/>
        <w:jc w:val="both"/>
        <w:rPr>
          <w:rFonts w:ascii="David" w:hAnsi="David"/>
          <w:sz w:val="26"/>
          <w:szCs w:val="26"/>
          <w:rtl/>
        </w:rPr>
      </w:pPr>
    </w:p>
    <w:p w14:paraId="39718B2B" w14:textId="77777777" w:rsidR="00FC7DC5" w:rsidRDefault="00FC7DC5" w:rsidP="00FC7DC5">
      <w:pPr>
        <w:pStyle w:val="a9"/>
        <w:numPr>
          <w:ilvl w:val="0"/>
          <w:numId w:val="1"/>
        </w:numPr>
        <w:spacing w:line="360" w:lineRule="auto"/>
        <w:jc w:val="both"/>
        <w:rPr>
          <w:rFonts w:ascii="David" w:hAnsi="David"/>
        </w:rPr>
      </w:pPr>
      <w:bookmarkStart w:id="7" w:name="ABSTRACT_START"/>
      <w:bookmarkEnd w:id="7"/>
      <w:r w:rsidRPr="006C4C56">
        <w:rPr>
          <w:rFonts w:ascii="David" w:hAnsi="David"/>
          <w:rtl/>
        </w:rPr>
        <w:t>הנאשם הורשע על פי הודאתו</w:t>
      </w:r>
      <w:r>
        <w:rPr>
          <w:rFonts w:ascii="David" w:hAnsi="David" w:hint="cs"/>
          <w:rtl/>
        </w:rPr>
        <w:t xml:space="preserve">, במסגרת הסדר טיעון שלא כלל הסכמה עונשית, בשני כתבי אישום כמפורט להלן: </w:t>
      </w:r>
    </w:p>
    <w:p w14:paraId="53F4CD75" w14:textId="77777777" w:rsidR="00FC7DC5" w:rsidRDefault="00FC7DC5" w:rsidP="00FC7DC5">
      <w:pPr>
        <w:pStyle w:val="a9"/>
        <w:spacing w:line="360" w:lineRule="auto"/>
        <w:ind w:left="0"/>
        <w:jc w:val="both"/>
        <w:rPr>
          <w:rFonts w:ascii="David" w:hAnsi="David"/>
        </w:rPr>
      </w:pPr>
    </w:p>
    <w:p w14:paraId="717ADD5D" w14:textId="77777777" w:rsidR="00FC7DC5" w:rsidRDefault="00FC7DC5" w:rsidP="00FC7DC5">
      <w:pPr>
        <w:pStyle w:val="a9"/>
        <w:spacing w:line="360" w:lineRule="auto"/>
        <w:jc w:val="both"/>
        <w:rPr>
          <w:rFonts w:ascii="David" w:hAnsi="David"/>
        </w:rPr>
      </w:pPr>
      <w:r>
        <w:rPr>
          <w:rFonts w:ascii="David" w:hAnsi="David" w:hint="cs"/>
          <w:rtl/>
        </w:rPr>
        <w:t>(-)</w:t>
      </w:r>
      <w:r>
        <w:rPr>
          <w:rFonts w:ascii="David" w:hAnsi="David"/>
          <w:rtl/>
        </w:rPr>
        <w:tab/>
      </w:r>
      <w:r>
        <w:rPr>
          <w:rFonts w:ascii="David" w:hAnsi="David" w:hint="cs"/>
          <w:rtl/>
        </w:rPr>
        <w:t xml:space="preserve">על פי עובדות כתב האישום בתיק העיקרי, ביום 24.04.22, הבחינו שוטרים בנאשם כשהוא רוכב על אופניים חשמליים ללא קסדה על ראשו. במעמד זה נמצאו בחזקתו שקית ובה שלוש שקיות המכילות 127.90 גרם קנבוס ו- 188.28 גרם חשיש. </w:t>
      </w:r>
    </w:p>
    <w:p w14:paraId="118B2D27" w14:textId="77777777" w:rsidR="00FC7DC5" w:rsidRPr="00D342E8" w:rsidRDefault="00FC7DC5" w:rsidP="00FC7DC5">
      <w:pPr>
        <w:pStyle w:val="a9"/>
        <w:rPr>
          <w:rFonts w:ascii="David" w:hAnsi="David"/>
          <w:rtl/>
        </w:rPr>
      </w:pPr>
      <w:bookmarkStart w:id="8" w:name="ABSTRACT_END"/>
      <w:bookmarkEnd w:id="8"/>
    </w:p>
    <w:p w14:paraId="234FE818" w14:textId="77777777" w:rsidR="00FC7DC5" w:rsidRDefault="00FC7DC5" w:rsidP="00FC7DC5">
      <w:pPr>
        <w:pStyle w:val="a9"/>
        <w:spacing w:line="360" w:lineRule="auto"/>
        <w:jc w:val="both"/>
        <w:rPr>
          <w:rFonts w:ascii="David" w:hAnsi="David"/>
        </w:rPr>
      </w:pPr>
      <w:r>
        <w:rPr>
          <w:rFonts w:ascii="David" w:hAnsi="David" w:hint="cs"/>
          <w:rtl/>
        </w:rPr>
        <w:t>(-)</w:t>
      </w:r>
      <w:r>
        <w:rPr>
          <w:rFonts w:ascii="David" w:hAnsi="David"/>
          <w:rtl/>
        </w:rPr>
        <w:tab/>
      </w:r>
      <w:r>
        <w:rPr>
          <w:rFonts w:ascii="David" w:hAnsi="David" w:hint="cs"/>
          <w:rtl/>
        </w:rPr>
        <w:t>הנאשם צירף תיק נוסף (</w:t>
      </w:r>
      <w:hyperlink r:id="rId12" w:history="1">
        <w:r w:rsidR="00583395" w:rsidRPr="00583395">
          <w:rPr>
            <w:rFonts w:ascii="David" w:hAnsi="David"/>
            <w:color w:val="0000FF"/>
            <w:u w:val="single"/>
            <w:rtl/>
          </w:rPr>
          <w:t>ת"פ 53156-07-22</w:t>
        </w:r>
      </w:hyperlink>
      <w:r>
        <w:rPr>
          <w:rFonts w:ascii="David" w:hAnsi="David" w:hint="cs"/>
          <w:rtl/>
        </w:rPr>
        <w:t xml:space="preserve">) ובהתאם לעובדותיו ביום 12.07.22, הבחינו בו שוטרים כשהוא יושב על אופניים חשמליים ומקבל לידיו שקית המכילה שלוש </w:t>
      </w:r>
      <w:r>
        <w:rPr>
          <w:rFonts w:ascii="David" w:hAnsi="David" w:hint="cs"/>
          <w:rtl/>
        </w:rPr>
        <w:lastRenderedPageBreak/>
        <w:t xml:space="preserve">שקיות ובהן 19.8 גרם קוקאין ו- 186.6 גרם חשיש. הנאשם התבקש לעצור על ידי השוטרים אך הוא נסע תוך שהוא משליך את השקית מהאופניים. </w:t>
      </w:r>
    </w:p>
    <w:p w14:paraId="4B8799AA" w14:textId="77777777" w:rsidR="00FC7DC5" w:rsidRPr="001D14FF" w:rsidRDefault="00FC7DC5" w:rsidP="00FC7DC5">
      <w:pPr>
        <w:pStyle w:val="a9"/>
        <w:rPr>
          <w:rFonts w:ascii="David" w:hAnsi="David"/>
          <w:rtl/>
        </w:rPr>
      </w:pPr>
    </w:p>
    <w:p w14:paraId="2C1EEA66" w14:textId="77777777" w:rsidR="00FC7DC5" w:rsidRPr="001D14FF" w:rsidRDefault="00FC7DC5" w:rsidP="00FC7DC5">
      <w:pPr>
        <w:pStyle w:val="a9"/>
        <w:numPr>
          <w:ilvl w:val="0"/>
          <w:numId w:val="1"/>
        </w:numPr>
        <w:spacing w:line="360" w:lineRule="auto"/>
        <w:jc w:val="both"/>
        <w:rPr>
          <w:rFonts w:ascii="David" w:hAnsi="David"/>
          <w:rtl/>
        </w:rPr>
      </w:pPr>
      <w:r>
        <w:rPr>
          <w:rFonts w:ascii="David" w:hAnsi="David" w:hint="cs"/>
          <w:rtl/>
        </w:rPr>
        <w:t xml:space="preserve">בהתאם, הורשע הנאשם </w:t>
      </w:r>
      <w:r w:rsidRPr="006C4C56">
        <w:rPr>
          <w:rFonts w:ascii="David" w:hAnsi="David"/>
          <w:rtl/>
        </w:rPr>
        <w:t>ב</w:t>
      </w:r>
      <w:r>
        <w:rPr>
          <w:rFonts w:ascii="David" w:hAnsi="David" w:hint="cs"/>
          <w:rtl/>
        </w:rPr>
        <w:t xml:space="preserve">שתי </w:t>
      </w:r>
      <w:r w:rsidRPr="006C4C56">
        <w:rPr>
          <w:rFonts w:ascii="David" w:hAnsi="David"/>
          <w:rtl/>
        </w:rPr>
        <w:t xml:space="preserve">עבירות שעניינן החזקת סם שלא לשימוש עצמי בלבד, לפי </w:t>
      </w:r>
      <w:hyperlink r:id="rId13" w:history="1">
        <w:r w:rsidR="007D4053" w:rsidRPr="007D4053">
          <w:rPr>
            <w:rStyle w:val="Hyperlink"/>
            <w:rFonts w:ascii="David" w:hAnsi="David"/>
            <w:rtl/>
          </w:rPr>
          <w:t>סעיף 7(א)+7(ג)</w:t>
        </w:r>
      </w:hyperlink>
      <w:r w:rsidRPr="006C4C56">
        <w:rPr>
          <w:rFonts w:ascii="David" w:hAnsi="David"/>
          <w:rtl/>
        </w:rPr>
        <w:t xml:space="preserve"> רישא ל</w:t>
      </w:r>
      <w:hyperlink r:id="rId14" w:history="1">
        <w:r w:rsidR="00583395" w:rsidRPr="00583395">
          <w:rPr>
            <w:rFonts w:ascii="David" w:hAnsi="David"/>
            <w:color w:val="0000FF"/>
            <w:u w:val="single"/>
            <w:rtl/>
          </w:rPr>
          <w:t>פקודת הסמים המסוכנים</w:t>
        </w:r>
      </w:hyperlink>
      <w:r w:rsidRPr="006C4C56">
        <w:rPr>
          <w:rFonts w:ascii="David" w:hAnsi="David"/>
          <w:rtl/>
        </w:rPr>
        <w:t xml:space="preserve"> (נוסח חדש), תשל"ג- 1973 (להלן – </w:t>
      </w:r>
      <w:r w:rsidRPr="006C4C56">
        <w:rPr>
          <w:rFonts w:ascii="Miriam" w:hAnsi="Miriam" w:cs="Miriam"/>
          <w:rtl/>
        </w:rPr>
        <w:t>פקודת הסמים</w:t>
      </w:r>
      <w:r w:rsidRPr="006C4C56">
        <w:rPr>
          <w:rFonts w:ascii="David" w:hAnsi="David"/>
          <w:rtl/>
        </w:rPr>
        <w:t>)</w:t>
      </w:r>
      <w:r>
        <w:rPr>
          <w:rFonts w:ascii="David" w:hAnsi="David" w:hint="cs"/>
          <w:rtl/>
        </w:rPr>
        <w:t xml:space="preserve">. </w:t>
      </w:r>
    </w:p>
    <w:p w14:paraId="39130427" w14:textId="77777777" w:rsidR="00FC7DC5" w:rsidRDefault="00FC7DC5" w:rsidP="00FC7DC5">
      <w:pPr>
        <w:jc w:val="both"/>
        <w:rPr>
          <w:rFonts w:ascii="David" w:hAnsi="David"/>
          <w:b/>
          <w:bCs/>
          <w:u w:val="single"/>
          <w:rtl/>
        </w:rPr>
      </w:pPr>
    </w:p>
    <w:p w14:paraId="29930F61" w14:textId="77777777" w:rsidR="00FC7DC5" w:rsidRDefault="00FC7DC5" w:rsidP="00FC7DC5">
      <w:pPr>
        <w:spacing w:line="360" w:lineRule="auto"/>
        <w:jc w:val="both"/>
        <w:rPr>
          <w:rFonts w:ascii="David" w:hAnsi="David"/>
          <w:b/>
          <w:bCs/>
          <w:u w:val="single"/>
          <w:rtl/>
        </w:rPr>
      </w:pPr>
      <w:r>
        <w:rPr>
          <w:rFonts w:ascii="David" w:hAnsi="David"/>
          <w:b/>
          <w:bCs/>
          <w:u w:val="single"/>
          <w:rtl/>
        </w:rPr>
        <w:t>תסקירי שירות המבחן</w:t>
      </w:r>
    </w:p>
    <w:p w14:paraId="09C1D375" w14:textId="77777777" w:rsidR="00FC7DC5" w:rsidRDefault="00FC7DC5" w:rsidP="00FC7DC5">
      <w:pPr>
        <w:jc w:val="both"/>
        <w:rPr>
          <w:rFonts w:ascii="David" w:hAnsi="David"/>
          <w:b/>
          <w:bCs/>
          <w:u w:val="single"/>
          <w:rtl/>
        </w:rPr>
      </w:pPr>
    </w:p>
    <w:p w14:paraId="6BD9F376" w14:textId="77777777" w:rsidR="00FC7DC5" w:rsidRDefault="00FC7DC5" w:rsidP="00FC7DC5">
      <w:pPr>
        <w:pStyle w:val="a9"/>
        <w:numPr>
          <w:ilvl w:val="0"/>
          <w:numId w:val="1"/>
        </w:numPr>
        <w:spacing w:line="360" w:lineRule="auto"/>
        <w:jc w:val="both"/>
        <w:rPr>
          <w:rFonts w:ascii="David" w:hAnsi="David"/>
        </w:rPr>
      </w:pPr>
      <w:r>
        <w:rPr>
          <w:rFonts w:ascii="David" w:hAnsi="David"/>
          <w:rtl/>
        </w:rPr>
        <w:t xml:space="preserve">שירות המבחן הגיש </w:t>
      </w:r>
      <w:r>
        <w:rPr>
          <w:rFonts w:ascii="David" w:hAnsi="David" w:hint="cs"/>
          <w:rtl/>
        </w:rPr>
        <w:t>שלושה תסקירים על אודות הנאשם אשר התפרשו על פני תקופה ארוכה יחסית.</w:t>
      </w:r>
      <w:r>
        <w:rPr>
          <w:rFonts w:ascii="David" w:hAnsi="David"/>
          <w:rtl/>
        </w:rPr>
        <w:t xml:space="preserve"> בתסקיר</w:t>
      </w:r>
      <w:r>
        <w:rPr>
          <w:rFonts w:ascii="David" w:hAnsi="David" w:hint="cs"/>
          <w:rtl/>
        </w:rPr>
        <w:t>ים</w:t>
      </w:r>
      <w:r>
        <w:rPr>
          <w:rFonts w:ascii="David" w:hAnsi="David"/>
          <w:rtl/>
        </w:rPr>
        <w:t xml:space="preserve"> נסקרו בהרחבה נסיבות חייו ומטעמים של שמירה על פרטיותו לא ארחיב. עם זאת </w:t>
      </w:r>
      <w:r>
        <w:rPr>
          <w:rFonts w:ascii="David" w:hAnsi="David" w:hint="cs"/>
          <w:rtl/>
        </w:rPr>
        <w:t>אציין</w:t>
      </w:r>
      <w:r>
        <w:rPr>
          <w:rFonts w:ascii="David" w:hAnsi="David"/>
          <w:rtl/>
        </w:rPr>
        <w:t xml:space="preserve"> כי הנאשם תיאר שימוש בסמים מגיל צעיר</w:t>
      </w:r>
      <w:r>
        <w:rPr>
          <w:rFonts w:ascii="David" w:hAnsi="David" w:hint="cs"/>
          <w:rtl/>
        </w:rPr>
        <w:t xml:space="preserve">, חבירה לקבוצת שוליים וניהול אורך חיים עברייני והתמכרותי בגינו נשא עונשי מאסר. ביחס לעבירות קיבל הנאשם אחריות אם כי מסר גרסה מרחיבה מעט ביחס לזו שהופיעה בכתבי האישום (אך לא סתרה אותה). </w:t>
      </w:r>
      <w:r w:rsidRPr="00454A57">
        <w:rPr>
          <w:rFonts w:ascii="David" w:hAnsi="David"/>
          <w:rtl/>
        </w:rPr>
        <w:t xml:space="preserve">שירות המבחן שילב את הנאשם </w:t>
      </w:r>
      <w:r>
        <w:rPr>
          <w:rFonts w:ascii="David" w:hAnsi="David" w:hint="cs"/>
          <w:rtl/>
        </w:rPr>
        <w:t xml:space="preserve">בקבוצה טיפולית המיועדת לעוברי חוק ולאחר תקופה ארוכה ומספר דחיות למעקב צוין שהוא נוטל חלק פעיל בקבוצה, מגלה מוטיבציה גבוהה לשינוי דרכיו ונקי מסמים (זולת קנביס רפואי הניתן לו ברישיון). לאור כך, ובשים  לב לגילו ולשנים הארוכות בהן לא עבר עבירות, התרשם שירות המבחן </w:t>
      </w:r>
      <w:r w:rsidRPr="00A01CE6">
        <w:rPr>
          <w:rFonts w:ascii="David" w:hAnsi="David" w:hint="cs"/>
          <w:rtl/>
        </w:rPr>
        <w:t xml:space="preserve"> </w:t>
      </w:r>
      <w:r>
        <w:rPr>
          <w:rFonts w:ascii="David" w:hAnsi="David" w:hint="cs"/>
          <w:rtl/>
        </w:rPr>
        <w:t xml:space="preserve">שחרף קיומו של סיכון, הנאשם יכול להיתרם בצורה משמעותית מההליך הטיפולי ולהפחיתו. לסיכום המליץ שירות המבחן על העמדתו במבחן למשך שנה לצד מאסר על תנאי. </w:t>
      </w:r>
      <w:r w:rsidRPr="00A33701">
        <w:rPr>
          <w:rFonts w:ascii="David" w:hAnsi="David"/>
          <w:rtl/>
        </w:rPr>
        <w:t xml:space="preserve"> </w:t>
      </w:r>
    </w:p>
    <w:p w14:paraId="235DEC68" w14:textId="77777777" w:rsidR="00FC7DC5" w:rsidRDefault="00FC7DC5" w:rsidP="00FC7DC5">
      <w:pPr>
        <w:jc w:val="both"/>
        <w:rPr>
          <w:rFonts w:ascii="David" w:hAnsi="David"/>
          <w:rtl/>
        </w:rPr>
      </w:pPr>
    </w:p>
    <w:p w14:paraId="6543130B" w14:textId="77777777" w:rsidR="00FC7DC5" w:rsidRDefault="00FC7DC5" w:rsidP="00FC7DC5">
      <w:pPr>
        <w:spacing w:line="360" w:lineRule="auto"/>
        <w:jc w:val="both"/>
        <w:rPr>
          <w:rFonts w:ascii="David" w:hAnsi="David"/>
          <w:b/>
          <w:bCs/>
          <w:u w:val="single"/>
          <w:rtl/>
        </w:rPr>
      </w:pPr>
      <w:r>
        <w:rPr>
          <w:rFonts w:ascii="David" w:hAnsi="David" w:hint="cs"/>
          <w:b/>
          <w:bCs/>
          <w:u w:val="single"/>
          <w:rtl/>
        </w:rPr>
        <w:t>טיעוני הצדדים והראיות לעונש</w:t>
      </w:r>
    </w:p>
    <w:p w14:paraId="593E6EDA" w14:textId="77777777" w:rsidR="00FC7DC5" w:rsidRDefault="00FC7DC5" w:rsidP="00FC7DC5">
      <w:pPr>
        <w:jc w:val="both"/>
        <w:rPr>
          <w:rFonts w:ascii="David" w:hAnsi="David"/>
          <w:b/>
          <w:bCs/>
          <w:u w:val="single"/>
          <w:rtl/>
        </w:rPr>
      </w:pPr>
    </w:p>
    <w:p w14:paraId="4B2F8393" w14:textId="77777777" w:rsidR="00FC7DC5" w:rsidRDefault="00FC7DC5" w:rsidP="00FC7DC5">
      <w:pPr>
        <w:pStyle w:val="a9"/>
        <w:numPr>
          <w:ilvl w:val="0"/>
          <w:numId w:val="1"/>
        </w:numPr>
        <w:spacing w:line="360" w:lineRule="auto"/>
        <w:jc w:val="both"/>
        <w:rPr>
          <w:rFonts w:ascii="David" w:hAnsi="David"/>
        </w:rPr>
      </w:pPr>
      <w:r>
        <w:rPr>
          <w:rFonts w:ascii="David" w:hAnsi="David" w:hint="cs"/>
          <w:rtl/>
        </w:rPr>
        <w:t xml:space="preserve">הטיעונים לעונש נשמעו בשני מופעים בשל דחיה לצרכי מעקב. מטעם המאשימה הוגשו טיעונים בכתב וכן נטענו טיעונים על פה. נטען כי הנאשם פגע בערכים המוגנים של שלום הציבור וכי מידת הפגיעה גבוהה לאור כמות הסמים וסוגם. </w:t>
      </w:r>
      <w:r>
        <w:rPr>
          <w:rtl/>
        </w:rPr>
        <w:t xml:space="preserve">עוד נטען </w:t>
      </w:r>
      <w:r>
        <w:rPr>
          <w:rFonts w:hint="cs"/>
          <w:rtl/>
        </w:rPr>
        <w:t>ש</w:t>
      </w:r>
      <w:r>
        <w:rPr>
          <w:rtl/>
        </w:rPr>
        <w:t xml:space="preserve">על בית המשפט להירתם למאבק בנגע הסמים הגורם לנזקים כבדים. </w:t>
      </w:r>
      <w:r>
        <w:rPr>
          <w:rFonts w:hint="cs"/>
          <w:rtl/>
        </w:rPr>
        <w:t xml:space="preserve">ב"כ </w:t>
      </w:r>
      <w:r>
        <w:rPr>
          <w:rtl/>
        </w:rPr>
        <w:t>ביקש</w:t>
      </w:r>
      <w:r>
        <w:rPr>
          <w:rFonts w:hint="cs"/>
          <w:rtl/>
        </w:rPr>
        <w:t xml:space="preserve"> לקבוע שני מתחמי ענישה. בתיק העיקרי מתחם הנע בין 4-12 חודשי מאסר בפועל ותיק המצורף מתחם הנע בין  14-28 חודשי מאסר. </w:t>
      </w:r>
      <w:r>
        <w:rPr>
          <w:rFonts w:ascii="David" w:hAnsi="David"/>
          <w:rtl/>
        </w:rPr>
        <w:t xml:space="preserve">בהתייחס להמלצת שירות המבחן </w:t>
      </w:r>
      <w:r>
        <w:rPr>
          <w:rFonts w:ascii="David" w:hAnsi="David" w:hint="cs"/>
          <w:rtl/>
        </w:rPr>
        <w:t>נ</w:t>
      </w:r>
      <w:r>
        <w:rPr>
          <w:rFonts w:ascii="David" w:hAnsi="David"/>
          <w:rtl/>
        </w:rPr>
        <w:t>טע</w:t>
      </w:r>
      <w:r>
        <w:rPr>
          <w:rFonts w:ascii="David" w:hAnsi="David" w:hint="cs"/>
          <w:rtl/>
        </w:rPr>
        <w:t>ן שהיא</w:t>
      </w:r>
      <w:r>
        <w:rPr>
          <w:rFonts w:ascii="David" w:hAnsi="David"/>
          <w:rtl/>
        </w:rPr>
        <w:t xml:space="preserve"> אינה הולמת נכונה את נסיבות המקרה וזאת חרף העובדה שהנאשם עבר הליך טיפולי</w:t>
      </w:r>
      <w:r>
        <w:rPr>
          <w:rFonts w:ascii="David" w:hAnsi="David" w:hint="cs"/>
          <w:rtl/>
        </w:rPr>
        <w:t xml:space="preserve">. כן נטען שהתכנית הטיפולית בה שולב הנאשם אינה תואמת את העבירות שעבר. בסיכום הדברים ובשים לב לעבר הפלילי, ביקשה המאשימה לגזור על הנאשם 7 חודשי מאסר בפועל בתיק העיקרי ו-20 חודשי מאסר בתיק המצורף לצד ענישה נלווית. </w:t>
      </w:r>
    </w:p>
    <w:p w14:paraId="78D78B32" w14:textId="77777777" w:rsidR="00FC7DC5" w:rsidRDefault="00FC7DC5" w:rsidP="00FC7DC5">
      <w:pPr>
        <w:jc w:val="both"/>
        <w:rPr>
          <w:rFonts w:ascii="David" w:hAnsi="David"/>
          <w:rtl/>
        </w:rPr>
      </w:pPr>
    </w:p>
    <w:p w14:paraId="0003F37B" w14:textId="77777777" w:rsidR="00FC7DC5" w:rsidRDefault="00FC7DC5" w:rsidP="00FC7DC5">
      <w:pPr>
        <w:pStyle w:val="a9"/>
        <w:numPr>
          <w:ilvl w:val="0"/>
          <w:numId w:val="1"/>
        </w:numPr>
        <w:spacing w:line="360" w:lineRule="auto"/>
        <w:jc w:val="both"/>
        <w:rPr>
          <w:rFonts w:ascii="David" w:hAnsi="David"/>
        </w:rPr>
      </w:pPr>
      <w:r w:rsidRPr="0054022A">
        <w:rPr>
          <w:rFonts w:ascii="David" w:hAnsi="David" w:hint="cs"/>
          <w:rtl/>
        </w:rPr>
        <w:t>ב"כ הנאשם טען כי מתחם הענישה בתיק העיקרי מתחיל במאסר מותנה ואילו בתיק המצורף מדובר בהחזקה קצרת מועד בלבד. נטען כי מדובר באדם מבוגר יחסית אשר עשה שינוי משמעותי בחייו, הוא נקי מסמים, מגלה מוטיבציה גבוהה לשינוי ומשתף פעולה בצורה מלאה בהליך הטיפולי. כן נטען שאכן עברו הפלילי מכביד אך העבירה האחרונה שעבר היא מלפני 13 שנים והמאסר האח</w:t>
      </w:r>
      <w:r>
        <w:rPr>
          <w:rFonts w:ascii="David" w:hAnsi="David" w:hint="cs"/>
          <w:rtl/>
        </w:rPr>
        <w:t>ר</w:t>
      </w:r>
      <w:r w:rsidRPr="0054022A">
        <w:rPr>
          <w:rFonts w:ascii="David" w:hAnsi="David" w:hint="cs"/>
          <w:rtl/>
        </w:rPr>
        <w:t xml:space="preserve">ון </w:t>
      </w:r>
      <w:r w:rsidRPr="0054022A">
        <w:rPr>
          <w:rFonts w:ascii="David" w:hAnsi="David" w:hint="cs"/>
          <w:rtl/>
        </w:rPr>
        <w:lastRenderedPageBreak/>
        <w:t xml:space="preserve">בו נשא הוא מלפני 23 שנים. </w:t>
      </w:r>
      <w:r>
        <w:rPr>
          <w:rFonts w:ascii="David" w:hAnsi="David" w:hint="cs"/>
          <w:rtl/>
        </w:rPr>
        <w:t xml:space="preserve">לאור כך טען הסנגור שנכון לאמץ את המלצת שירות המבחן אף אגב מאסר בעבודות שירות ככל שהנאשם מתאים. </w:t>
      </w:r>
    </w:p>
    <w:p w14:paraId="32A061F8" w14:textId="77777777" w:rsidR="00FC7DC5" w:rsidRPr="0054022A" w:rsidRDefault="00FC7DC5" w:rsidP="00FC7DC5">
      <w:pPr>
        <w:pStyle w:val="a9"/>
        <w:rPr>
          <w:rFonts w:ascii="David" w:hAnsi="David"/>
          <w:rtl/>
        </w:rPr>
      </w:pPr>
    </w:p>
    <w:p w14:paraId="4DDB27FC" w14:textId="77777777" w:rsidR="00FC7DC5" w:rsidRDefault="00FC7DC5" w:rsidP="00FC7DC5">
      <w:pPr>
        <w:pStyle w:val="a9"/>
        <w:numPr>
          <w:ilvl w:val="0"/>
          <w:numId w:val="1"/>
        </w:numPr>
        <w:spacing w:line="360" w:lineRule="auto"/>
        <w:jc w:val="both"/>
        <w:rPr>
          <w:rFonts w:ascii="David" w:hAnsi="David"/>
        </w:rPr>
      </w:pPr>
      <w:r>
        <w:rPr>
          <w:rFonts w:ascii="David" w:hAnsi="David" w:hint="cs"/>
          <w:rtl/>
        </w:rPr>
        <w:t xml:space="preserve">הנאשם הביע צער על מעשיו וטען שמעצרו </w:t>
      </w:r>
      <w:r w:rsidRPr="00944674">
        <w:rPr>
          <w:rFonts w:ascii="Miriam" w:hAnsi="Miriam" w:cs="Miriam"/>
          <w:rtl/>
        </w:rPr>
        <w:t>"נתן לי סטירה והעיר אותי"</w:t>
      </w:r>
      <w:r>
        <w:rPr>
          <w:rFonts w:ascii="David" w:hAnsi="David" w:hint="cs"/>
          <w:rtl/>
        </w:rPr>
        <w:t xml:space="preserve">. כן טען שהוא משולב בקבוצה הטיפולית וביקש התחשבות. </w:t>
      </w:r>
    </w:p>
    <w:p w14:paraId="6B99BB62" w14:textId="77777777" w:rsidR="00FC7DC5" w:rsidRDefault="00FC7DC5" w:rsidP="00FC7DC5">
      <w:pPr>
        <w:pStyle w:val="a9"/>
        <w:rPr>
          <w:rFonts w:ascii="David" w:hAnsi="David"/>
          <w:rtl/>
        </w:rPr>
      </w:pPr>
    </w:p>
    <w:p w14:paraId="03B6960B" w14:textId="77777777" w:rsidR="00FC7DC5" w:rsidRDefault="00FC7DC5" w:rsidP="00FC7DC5">
      <w:pPr>
        <w:rPr>
          <w:rFonts w:ascii="David" w:hAnsi="David"/>
          <w:b/>
          <w:bCs/>
          <w:u w:val="single"/>
          <w:rtl/>
        </w:rPr>
      </w:pPr>
      <w:r>
        <w:rPr>
          <w:rFonts w:ascii="David" w:hAnsi="David" w:hint="cs"/>
          <w:b/>
          <w:bCs/>
          <w:u w:val="single"/>
          <w:rtl/>
        </w:rPr>
        <w:t xml:space="preserve">דיון והכרעה </w:t>
      </w:r>
    </w:p>
    <w:p w14:paraId="0EA6C5CB" w14:textId="77777777" w:rsidR="00FC7DC5" w:rsidRDefault="00FC7DC5" w:rsidP="00FC7DC5">
      <w:pPr>
        <w:rPr>
          <w:rFonts w:ascii="David" w:hAnsi="David"/>
          <w:b/>
          <w:bCs/>
          <w:u w:val="single"/>
        </w:rPr>
      </w:pPr>
      <w:r>
        <w:rPr>
          <w:rFonts w:ascii="David" w:hAnsi="David"/>
          <w:b/>
          <w:bCs/>
          <w:u w:val="single"/>
          <w:rtl/>
        </w:rPr>
        <w:t>קביעת מתחם העונש</w:t>
      </w:r>
    </w:p>
    <w:p w14:paraId="2EFEAD27" w14:textId="77777777" w:rsidR="00FC7DC5" w:rsidRPr="00944674" w:rsidRDefault="00FC7DC5" w:rsidP="00FC7DC5">
      <w:pPr>
        <w:pStyle w:val="a9"/>
        <w:rPr>
          <w:rFonts w:ascii="David" w:hAnsi="David"/>
          <w:rtl/>
        </w:rPr>
      </w:pPr>
    </w:p>
    <w:p w14:paraId="7B4571AE" w14:textId="77777777" w:rsidR="00FC7DC5" w:rsidRPr="00D1688D" w:rsidRDefault="00FC7DC5" w:rsidP="00FC7DC5">
      <w:pPr>
        <w:pStyle w:val="a9"/>
        <w:numPr>
          <w:ilvl w:val="0"/>
          <w:numId w:val="1"/>
        </w:numPr>
        <w:spacing w:line="360" w:lineRule="auto"/>
        <w:jc w:val="both"/>
        <w:rPr>
          <w:rFonts w:ascii="David" w:hAnsi="David"/>
        </w:rPr>
      </w:pPr>
      <w:r w:rsidRPr="00D1688D">
        <w:rPr>
          <w:rFonts w:ascii="David" w:hAnsi="David"/>
          <w:rtl/>
        </w:rPr>
        <w:t xml:space="preserve">המאשימה ביקשה לקבוע מתחם עונש </w:t>
      </w:r>
      <w:r w:rsidRPr="00D1688D">
        <w:rPr>
          <w:rFonts w:ascii="David" w:hAnsi="David" w:hint="cs"/>
          <w:rtl/>
        </w:rPr>
        <w:t>נפרד לכל כתב האישום ודומה ש</w:t>
      </w:r>
      <w:r w:rsidRPr="00D1688D">
        <w:rPr>
          <w:rFonts w:ascii="David" w:hAnsi="David"/>
          <w:rtl/>
        </w:rPr>
        <w:t xml:space="preserve">ההגנה </w:t>
      </w:r>
      <w:r w:rsidRPr="00D1688D">
        <w:rPr>
          <w:rFonts w:ascii="David" w:hAnsi="David" w:hint="cs"/>
          <w:rtl/>
        </w:rPr>
        <w:t xml:space="preserve">ראתה בשני כתבי האישום אירוע אחד. דעתי היא שיש לראות בשתי העבירות שעבר הנאשם כאירוע אחד. אכן, </w:t>
      </w:r>
      <w:r>
        <w:rPr>
          <w:rtl/>
        </w:rPr>
        <w:t>מדובר בשני כתבי אישום שונים</w:t>
      </w:r>
      <w:r>
        <w:rPr>
          <w:rFonts w:hint="cs"/>
          <w:rtl/>
        </w:rPr>
        <w:t xml:space="preserve"> ולכן </w:t>
      </w:r>
      <w:r>
        <w:rPr>
          <w:rtl/>
        </w:rPr>
        <w:t xml:space="preserve">עמדה זו אינה מובנת מאליה ויתכנו בנושא פנים לכאן ולכאן. עם זאת, במקרה זה סברתי שיש לקבוע מתחם עונש אחד. </w:t>
      </w:r>
      <w:r w:rsidRPr="00D1688D">
        <w:rPr>
          <w:rFonts w:ascii="David" w:hAnsi="David"/>
          <w:rtl/>
        </w:rPr>
        <w:t xml:space="preserve">מדובר בעבירות זהות יחסית שבוצעו בנסיבות דומות מאוד ועל רקע דומה. </w:t>
      </w:r>
      <w:r w:rsidRPr="00D1688D">
        <w:rPr>
          <w:rFonts w:ascii="David" w:hAnsi="David" w:hint="cs"/>
          <w:rtl/>
        </w:rPr>
        <w:t xml:space="preserve">אכן, בעבירה המאוחרת קיים סם שונה במהותו ואולם אין בכך להביא למסקנה שמדובר באירוע נפרד, אלא לקביעת גבולות מתחם מחמירים יותר. </w:t>
      </w:r>
      <w:r>
        <w:rPr>
          <w:rFonts w:ascii="David" w:hAnsi="David" w:hint="cs"/>
          <w:rtl/>
        </w:rPr>
        <w:t>לא התעלמתי מכך ש</w:t>
      </w:r>
      <w:r w:rsidRPr="00D1688D">
        <w:rPr>
          <w:rFonts w:ascii="David" w:hAnsi="David"/>
          <w:rtl/>
        </w:rPr>
        <w:t xml:space="preserve">בין </w:t>
      </w:r>
      <w:r>
        <w:rPr>
          <w:rFonts w:ascii="David" w:hAnsi="David" w:hint="cs"/>
          <w:rtl/>
        </w:rPr>
        <w:t xml:space="preserve">העבירות </w:t>
      </w:r>
      <w:r w:rsidRPr="00D1688D">
        <w:rPr>
          <w:rFonts w:ascii="David" w:hAnsi="David"/>
          <w:rtl/>
        </w:rPr>
        <w:t xml:space="preserve">מפרידים מספר חודשים </w:t>
      </w:r>
      <w:r>
        <w:rPr>
          <w:rtl/>
        </w:rPr>
        <w:t>ואולם מדובר בסמיכות זמנים המתיישבת עם התכלית העומדת בבסיס הפרשנות שניתנה בפסיקה למונח "אירוע" (</w:t>
      </w:r>
      <w:hyperlink r:id="rId15" w:history="1">
        <w:r w:rsidR="00583395" w:rsidRPr="00583395">
          <w:rPr>
            <w:color w:val="0000FF"/>
            <w:u w:val="single"/>
            <w:rtl/>
          </w:rPr>
          <w:t>ע"פ 5643/14</w:t>
        </w:r>
      </w:hyperlink>
      <w:r>
        <w:rPr>
          <w:rtl/>
        </w:rPr>
        <w:t xml:space="preserve"> </w:t>
      </w:r>
      <w:r w:rsidRPr="00D1688D">
        <w:rPr>
          <w:b/>
          <w:bCs/>
          <w:rtl/>
        </w:rPr>
        <w:t>אחמד עיסא נ' מדינת ישראל</w:t>
      </w:r>
      <w:r>
        <w:rPr>
          <w:rtl/>
        </w:rPr>
        <w:t xml:space="preserve"> (23.6.2015); </w:t>
      </w:r>
      <w:hyperlink r:id="rId16" w:history="1">
        <w:r w:rsidR="00583395" w:rsidRPr="00583395">
          <w:rPr>
            <w:color w:val="0000FF"/>
            <w:u w:val="single"/>
            <w:rtl/>
          </w:rPr>
          <w:t>ע"פ 4910/13</w:t>
        </w:r>
      </w:hyperlink>
      <w:r>
        <w:rPr>
          <w:rtl/>
        </w:rPr>
        <w:t xml:space="preserve"> </w:t>
      </w:r>
      <w:r w:rsidRPr="00D1688D">
        <w:rPr>
          <w:b/>
          <w:bCs/>
          <w:rtl/>
        </w:rPr>
        <w:t>ג'אבר נ' מדינת ישראל</w:t>
      </w:r>
      <w:r>
        <w:rPr>
          <w:rtl/>
        </w:rPr>
        <w:t xml:space="preserve"> (29.10.2014)).</w:t>
      </w:r>
      <w:r>
        <w:rPr>
          <w:rFonts w:hint="cs"/>
          <w:rtl/>
        </w:rPr>
        <w:t xml:space="preserve"> </w:t>
      </w:r>
    </w:p>
    <w:p w14:paraId="3227091D" w14:textId="77777777" w:rsidR="00FC7DC5" w:rsidRPr="00D1688D" w:rsidRDefault="00FC7DC5" w:rsidP="00FC7DC5">
      <w:pPr>
        <w:pStyle w:val="a9"/>
        <w:ind w:left="0"/>
        <w:jc w:val="both"/>
        <w:rPr>
          <w:rFonts w:ascii="David" w:hAnsi="David"/>
        </w:rPr>
      </w:pPr>
    </w:p>
    <w:p w14:paraId="1E955C67" w14:textId="77777777" w:rsidR="00FC7DC5" w:rsidRPr="00FA2AEC" w:rsidRDefault="00FC7DC5" w:rsidP="00FC7DC5">
      <w:pPr>
        <w:pStyle w:val="a9"/>
        <w:numPr>
          <w:ilvl w:val="0"/>
          <w:numId w:val="1"/>
        </w:numPr>
        <w:spacing w:line="360" w:lineRule="auto"/>
        <w:jc w:val="both"/>
        <w:rPr>
          <w:rFonts w:ascii="David" w:hAnsi="David"/>
        </w:rPr>
      </w:pPr>
      <w:r>
        <w:rPr>
          <w:rFonts w:ascii="David" w:hAnsi="David"/>
          <w:rtl/>
        </w:rPr>
        <w:t>במעשי</w:t>
      </w:r>
      <w:r>
        <w:rPr>
          <w:rFonts w:ascii="David" w:hAnsi="David" w:hint="cs"/>
          <w:rtl/>
        </w:rPr>
        <w:t>ו</w:t>
      </w:r>
      <w:r>
        <w:rPr>
          <w:rFonts w:ascii="David" w:hAnsi="David"/>
          <w:rtl/>
        </w:rPr>
        <w:t xml:space="preserve"> פגע </w:t>
      </w:r>
      <w:r>
        <w:rPr>
          <w:rFonts w:ascii="David" w:hAnsi="David" w:hint="cs"/>
          <w:rtl/>
        </w:rPr>
        <w:t>הנאשם</w:t>
      </w:r>
      <w:r>
        <w:rPr>
          <w:rFonts w:ascii="David" w:hAnsi="David"/>
          <w:rtl/>
        </w:rPr>
        <w:t xml:space="preserve"> בערכים המוגנים של בטחון הציבור ושלומו. הסכנות הטמונות בהחזקת סם מסוכן שלא לשימוש עצמי ידועות ואין צורך להכביר מילים על הנזקים העקיפים והישירים שעלולים להיגרם לחברה ולפרט מעבירות הסמים. </w:t>
      </w:r>
      <w:r>
        <w:rPr>
          <w:rFonts w:ascii="David" w:hAnsi="David" w:hint="cs"/>
          <w:rtl/>
        </w:rPr>
        <w:t xml:space="preserve">כמו כן בתיק המצורף החזיק הנאשם סם קשה מסוג קוקאין ובכמות שאינה מבוטלת ומכאן שמידת הפגיעה ממשית.  </w:t>
      </w:r>
    </w:p>
    <w:p w14:paraId="63069E1A" w14:textId="77777777" w:rsidR="00FC7DC5" w:rsidRPr="00AF50A9" w:rsidRDefault="00FC7DC5" w:rsidP="00FC7DC5">
      <w:pPr>
        <w:pStyle w:val="a9"/>
        <w:rPr>
          <w:rFonts w:ascii="David" w:hAnsi="David"/>
          <w:rtl/>
        </w:rPr>
      </w:pPr>
    </w:p>
    <w:p w14:paraId="0FEC3E9D" w14:textId="77777777" w:rsidR="00FC7DC5" w:rsidRDefault="00FC7DC5" w:rsidP="00FC7DC5">
      <w:pPr>
        <w:pStyle w:val="a9"/>
        <w:numPr>
          <w:ilvl w:val="0"/>
          <w:numId w:val="1"/>
        </w:numPr>
        <w:spacing w:line="360" w:lineRule="auto"/>
        <w:jc w:val="both"/>
        <w:rPr>
          <w:rFonts w:ascii="David" w:hAnsi="David"/>
        </w:rPr>
      </w:pPr>
      <w:r w:rsidRPr="00636EFE">
        <w:rPr>
          <w:rFonts w:ascii="David" w:hAnsi="David"/>
          <w:rtl/>
        </w:rPr>
        <w:t xml:space="preserve">אשר לנסיבות ביצוע העבירות </w:t>
      </w:r>
      <w:r>
        <w:rPr>
          <w:rFonts w:ascii="David" w:hAnsi="David" w:hint="cs"/>
          <w:rtl/>
        </w:rPr>
        <w:t xml:space="preserve">אציין שכמויות הסם שהחזיק הנאשם משמעותיות והן אף חולקו לשקיות, אם כי מדובר בחלוקה לשלוש שקיות בלבד ודומה אפוא שאין לומר שמדובר בחלוקה לצרכן קצה. הנאשם החזיק אף בסם קשה מסוג קוקאין ובמשקל לא מבוטל. כן אציין שאין להקל ראש אף בהחזקת סם מסוג קנביס </w:t>
      </w:r>
      <w:r>
        <w:rPr>
          <w:rFonts w:ascii="David" w:hAnsi="David"/>
          <w:rtl/>
        </w:rPr>
        <w:t>(</w:t>
      </w:r>
      <w:hyperlink r:id="rId17" w:history="1">
        <w:r w:rsidR="00583395" w:rsidRPr="00583395">
          <w:rPr>
            <w:rFonts w:ascii="David" w:hAnsi="David"/>
            <w:color w:val="0000FF"/>
            <w:u w:val="single"/>
            <w:rtl/>
          </w:rPr>
          <w:t>ע"פ 6299/20</w:t>
        </w:r>
      </w:hyperlink>
      <w:r>
        <w:rPr>
          <w:rFonts w:ascii="David" w:hAnsi="David"/>
          <w:rtl/>
        </w:rPr>
        <w:t xml:space="preserve"> </w:t>
      </w:r>
      <w:r>
        <w:rPr>
          <w:rFonts w:ascii="David" w:hAnsi="David"/>
          <w:b/>
          <w:bCs/>
          <w:rtl/>
        </w:rPr>
        <w:t>שחר חן נ' מדינת ישראל</w:t>
      </w:r>
      <w:r>
        <w:rPr>
          <w:rFonts w:ascii="David" w:hAnsi="David"/>
          <w:rtl/>
        </w:rPr>
        <w:t xml:space="preserve"> (4.2.2021); </w:t>
      </w:r>
      <w:hyperlink r:id="rId18" w:history="1">
        <w:r w:rsidR="00583395" w:rsidRPr="00583395">
          <w:rPr>
            <w:color w:val="0000FF"/>
            <w:u w:val="single"/>
            <w:rtl/>
          </w:rPr>
          <w:t>ע"פ 2596/18</w:t>
        </w:r>
      </w:hyperlink>
      <w:r>
        <w:rPr>
          <w:rtl/>
        </w:rPr>
        <w:t xml:space="preserve"> </w:t>
      </w:r>
      <w:r>
        <w:rPr>
          <w:b/>
          <w:bCs/>
          <w:rtl/>
        </w:rPr>
        <w:t>כפיר זנזורי נ' מדינת ישראל</w:t>
      </w:r>
      <w:r>
        <w:rPr>
          <w:rtl/>
        </w:rPr>
        <w:t xml:space="preserve"> (12.8.2018)</w:t>
      </w:r>
      <w:r>
        <w:rPr>
          <w:rFonts w:ascii="David" w:hAnsi="David"/>
          <w:rtl/>
        </w:rPr>
        <w:t>).</w:t>
      </w:r>
      <w:r>
        <w:rPr>
          <w:rFonts w:ascii="David" w:hAnsi="David" w:hint="cs"/>
          <w:rtl/>
        </w:rPr>
        <w:t xml:space="preserve"> ביחס לטענה לפיה בתיק המצורף מדובר בהחזקה קצרת מועד, הרי שאינני יכול לקבלה. ראשית, הנאשם נתפס מיד כשקיבל את הסמים כך שהעובדה שהחזיקם למשך זמן קצר אינה נסיבה מקלה אלא היא תוצאה של פעולת השוטרים. ואם הכוונה היא שגם אלמלא נתפס היה הנאשם מחזיק בסמים לתקופה קצרה ובנסיבות שיש בהן משום נסיבה לקולה, הרי שהטענה לא הוכחה. </w:t>
      </w:r>
    </w:p>
    <w:p w14:paraId="752AC77A" w14:textId="77777777" w:rsidR="00FC7DC5" w:rsidRPr="00DF5B6F" w:rsidRDefault="00FC7DC5" w:rsidP="00FC7DC5">
      <w:pPr>
        <w:pStyle w:val="a9"/>
        <w:rPr>
          <w:rFonts w:ascii="Calibri" w:hAnsi="Calibri"/>
          <w:b/>
          <w:bCs/>
          <w:rtl/>
        </w:rPr>
      </w:pPr>
    </w:p>
    <w:p w14:paraId="0533873D" w14:textId="77777777" w:rsidR="00FC7DC5" w:rsidRPr="00672286" w:rsidRDefault="00FC7DC5" w:rsidP="00FC7DC5">
      <w:pPr>
        <w:pStyle w:val="a9"/>
        <w:numPr>
          <w:ilvl w:val="0"/>
          <w:numId w:val="1"/>
        </w:numPr>
        <w:spacing w:line="360" w:lineRule="auto"/>
        <w:jc w:val="both"/>
        <w:rPr>
          <w:rFonts w:ascii="David" w:hAnsi="David"/>
          <w:rtl/>
        </w:rPr>
      </w:pPr>
      <w:r w:rsidRPr="00672286">
        <w:rPr>
          <w:rFonts w:ascii="Calibri" w:hAnsi="Calibri"/>
          <w:rtl/>
        </w:rPr>
        <w:t xml:space="preserve">ביחס למדיניות הענישה הנוהגת בעבירות של החזקת סם </w:t>
      </w:r>
      <w:r>
        <w:rPr>
          <w:rFonts w:ascii="Calibri" w:hAnsi="Calibri" w:hint="cs"/>
          <w:rtl/>
        </w:rPr>
        <w:t xml:space="preserve">מסוג קוקאין </w:t>
      </w:r>
      <w:r w:rsidRPr="00672286">
        <w:rPr>
          <w:rFonts w:ascii="Calibri" w:hAnsi="Calibri"/>
          <w:rtl/>
        </w:rPr>
        <w:t>שלא לצריכה עצמית,</w:t>
      </w:r>
      <w:r w:rsidRPr="00672286">
        <w:rPr>
          <w:rFonts w:ascii="Calibri" w:hAnsi="Calibri" w:hint="cs"/>
          <w:rtl/>
        </w:rPr>
        <w:t xml:space="preserve"> אפנה למקרים הבאים: </w:t>
      </w:r>
      <w:hyperlink r:id="rId19" w:history="1">
        <w:r w:rsidR="00583395" w:rsidRPr="00583395">
          <w:rPr>
            <w:rFonts w:ascii="David" w:hAnsi="David"/>
            <w:color w:val="0000FF"/>
            <w:u w:val="single"/>
            <w:rtl/>
          </w:rPr>
          <w:t>רע"פ 894/16</w:t>
        </w:r>
      </w:hyperlink>
      <w:r w:rsidRPr="00672286">
        <w:rPr>
          <w:rFonts w:ascii="David" w:hAnsi="David"/>
          <w:rtl/>
        </w:rPr>
        <w:t xml:space="preserve"> </w:t>
      </w:r>
      <w:r w:rsidRPr="00672286">
        <w:rPr>
          <w:rFonts w:ascii="David" w:hAnsi="David"/>
          <w:b/>
          <w:bCs/>
          <w:rtl/>
        </w:rPr>
        <w:t>פרץ נ' מדינת ישראל</w:t>
      </w:r>
      <w:r w:rsidRPr="00672286">
        <w:rPr>
          <w:rFonts w:ascii="David" w:hAnsi="David"/>
          <w:rtl/>
        </w:rPr>
        <w:t xml:space="preserve"> (10.2.2016), בו הוטלו על נאשם 15 חודשי מאסר בגין החזקת 31.05 גרם נטו של סם מסוכן מסוג קוקאין שלא לצריכה עצמית. יצוין כי בית המשפט המחוזי אישר את מתחם העונש שקבע בית משפט השלום, הנע בין 15 ל-36 חודשי מאסר בפועל. בקשת רשות ערעור נדחתה; </w:t>
      </w:r>
      <w:hyperlink r:id="rId20" w:history="1">
        <w:r w:rsidR="00583395" w:rsidRPr="00583395">
          <w:rPr>
            <w:rFonts w:ascii="David" w:hAnsi="David"/>
            <w:color w:val="0000FF"/>
            <w:u w:val="single"/>
            <w:rtl/>
          </w:rPr>
          <w:t>ע"פ 9910/17</w:t>
        </w:r>
      </w:hyperlink>
      <w:r w:rsidRPr="00672286">
        <w:rPr>
          <w:rFonts w:ascii="David" w:hAnsi="David"/>
          <w:rtl/>
        </w:rPr>
        <w:t xml:space="preserve"> </w:t>
      </w:r>
      <w:r w:rsidRPr="00672286">
        <w:rPr>
          <w:rFonts w:ascii="David" w:hAnsi="David"/>
          <w:b/>
          <w:bCs/>
          <w:rtl/>
        </w:rPr>
        <w:t xml:space="preserve">גריפולינה ואח' נ' מדינת ישראל </w:t>
      </w:r>
      <w:r w:rsidRPr="00672286">
        <w:rPr>
          <w:rFonts w:ascii="David" w:hAnsi="David" w:hint="cs"/>
          <w:rtl/>
        </w:rPr>
        <w:t xml:space="preserve">(03.05.2018), בו נדחה ערעור נאשם בשל </w:t>
      </w:r>
      <w:r w:rsidRPr="00672286">
        <w:rPr>
          <w:rFonts w:ascii="David" w:hAnsi="David"/>
          <w:rtl/>
        </w:rPr>
        <w:t xml:space="preserve">החזקת סם שלא לצריכה עצמית </w:t>
      </w:r>
      <w:r w:rsidRPr="00672286">
        <w:rPr>
          <w:rFonts w:ascii="David" w:hAnsi="David" w:hint="cs"/>
          <w:rtl/>
        </w:rPr>
        <w:t xml:space="preserve">מסוג </w:t>
      </w:r>
      <w:r w:rsidRPr="00672286">
        <w:rPr>
          <w:rFonts w:ascii="David" w:hAnsi="David"/>
          <w:rtl/>
        </w:rPr>
        <w:t xml:space="preserve">קוקאין במשקל 21.75 גרם וחשיש במשקל 3.26 גרם. בית המשפט המחוזי קבע מתחם ענישה </w:t>
      </w:r>
      <w:r w:rsidRPr="00672286">
        <w:rPr>
          <w:rFonts w:ascii="David" w:hAnsi="David" w:hint="cs"/>
          <w:rtl/>
        </w:rPr>
        <w:t xml:space="preserve">הנע </w:t>
      </w:r>
      <w:r w:rsidRPr="00672286">
        <w:rPr>
          <w:rFonts w:ascii="David" w:hAnsi="David"/>
          <w:rtl/>
        </w:rPr>
        <w:t>בין 15 חודשי מאסר לבין 36 חודשי מאסר וגזר את עונשו של המערער למאסר בפועל בן 24 חודשים, זאת בין השאר על רקע עברו הפלילי המכביד ונסיבות ביצוע העבירה</w:t>
      </w:r>
      <w:r w:rsidRPr="00672286">
        <w:rPr>
          <w:rFonts w:ascii="David" w:hAnsi="David" w:hint="cs"/>
          <w:rtl/>
        </w:rPr>
        <w:t xml:space="preserve">; </w:t>
      </w:r>
      <w:hyperlink r:id="rId21" w:history="1">
        <w:r w:rsidR="00583395" w:rsidRPr="00583395">
          <w:rPr>
            <w:color w:val="0000FF"/>
            <w:u w:val="single"/>
            <w:rtl/>
          </w:rPr>
          <w:t>ע"פ 6277/14</w:t>
        </w:r>
      </w:hyperlink>
      <w:r w:rsidRPr="00AE4CEC">
        <w:rPr>
          <w:rtl/>
        </w:rPr>
        <w:t xml:space="preserve"> </w:t>
      </w:r>
      <w:r w:rsidRPr="00672286">
        <w:rPr>
          <w:b/>
          <w:bCs/>
          <w:rtl/>
        </w:rPr>
        <w:t>משלטי נגד מדינת ישראל</w:t>
      </w:r>
      <w:r w:rsidRPr="00AE4CEC">
        <w:rPr>
          <w:rtl/>
        </w:rPr>
        <w:t xml:space="preserve"> (2.2.2015), בו נידון עניינו של נאשם שהורשע בהחזקת סם מסוג קוקאין במשקל 51.36 גרם, שלא לצריכה עצמית והחזקת כלים. בית המשפט המחוזי קבע מתחם ענישה הנע בין 3 שנות מאסר ועד 5 שנות מאסר ולאור עבר פלילי מכביד ושיקולים נוספים </w:t>
      </w:r>
      <w:r>
        <w:rPr>
          <w:rFonts w:hint="cs"/>
          <w:rtl/>
        </w:rPr>
        <w:t>הטיל</w:t>
      </w:r>
      <w:r w:rsidRPr="00AE4CEC">
        <w:rPr>
          <w:rtl/>
        </w:rPr>
        <w:t xml:space="preserve"> על הנאשם 4 שנות מאסר בפועל  וכן הופעל מאסר על תנאי, כך שסה"כ הוטלו 5 שנות מאסר. הערעור לבית המשפט העליון נדחה, תוך שנקבע </w:t>
      </w:r>
      <w:r w:rsidRPr="00672286">
        <w:rPr>
          <w:rFonts w:ascii="David" w:hAnsi="David"/>
          <w:rtl/>
        </w:rPr>
        <w:t xml:space="preserve">כי המתחם שנקבע והעונש אינם חמורים יתר על המידה; עפ"ג 65932-02-20 </w:t>
      </w:r>
      <w:r w:rsidRPr="00672286">
        <w:rPr>
          <w:rFonts w:ascii="David" w:hAnsi="David"/>
          <w:b/>
          <w:bCs/>
          <w:rtl/>
        </w:rPr>
        <w:t>מדינת ישראל נ' לולו</w:t>
      </w:r>
      <w:r w:rsidRPr="00672286">
        <w:rPr>
          <w:rFonts w:ascii="David" w:hAnsi="David"/>
          <w:rtl/>
        </w:rPr>
        <w:t xml:space="preserve"> (16.6.2020), בו הוחמר עונשו של נאשם והועמד על 32 חודשי מאסר בשל החזקת 15.8 גר' קוקאין ובתיק אחר כ-34 גר' קוקאין וכ-5 גר' קנבוס; </w:t>
      </w:r>
      <w:hyperlink r:id="rId22" w:history="1">
        <w:r w:rsidR="00583395" w:rsidRPr="00583395">
          <w:rPr>
            <w:color w:val="0000FF"/>
            <w:u w:val="single"/>
            <w:rtl/>
          </w:rPr>
          <w:t>עפ"ג 61351-01-19</w:t>
        </w:r>
      </w:hyperlink>
      <w:r w:rsidRPr="00AE4CEC">
        <w:rPr>
          <w:rtl/>
        </w:rPr>
        <w:t xml:space="preserve"> </w:t>
      </w:r>
      <w:r w:rsidRPr="00672286">
        <w:rPr>
          <w:b/>
          <w:bCs/>
          <w:rtl/>
        </w:rPr>
        <w:t>זובידאת</w:t>
      </w:r>
      <w:r w:rsidRPr="00AE4CEC">
        <w:rPr>
          <w:rtl/>
        </w:rPr>
        <w:t xml:space="preserve"> </w:t>
      </w:r>
      <w:r w:rsidRPr="00672286">
        <w:rPr>
          <w:b/>
          <w:bCs/>
          <w:rtl/>
        </w:rPr>
        <w:t xml:space="preserve">נ' מדינת ישראל </w:t>
      </w:r>
      <w:r w:rsidRPr="00AE4CEC">
        <w:rPr>
          <w:rtl/>
        </w:rPr>
        <w:t xml:space="preserve">(7.3.2019), בו נידון נאשם </w:t>
      </w:r>
      <w:r>
        <w:rPr>
          <w:rFonts w:hint="cs"/>
          <w:rtl/>
        </w:rPr>
        <w:t xml:space="preserve">לעשרה חודשי מאסר בשל כך </w:t>
      </w:r>
      <w:r w:rsidRPr="00AE4CEC">
        <w:rPr>
          <w:rtl/>
        </w:rPr>
        <w:t xml:space="preserve">שהחזיק 19.22 גרם קוקאין והשליכו ארצה במטרה להכשיל את השוטר. </w:t>
      </w:r>
      <w:r w:rsidRPr="00672286">
        <w:rPr>
          <w:rFonts w:ascii="Arial" w:hAnsi="Arial"/>
          <w:rtl/>
        </w:rPr>
        <w:t xml:space="preserve">מתחם הענישה שנקבע בבית משפט השלום היה </w:t>
      </w:r>
      <w:r w:rsidRPr="00672286">
        <w:rPr>
          <w:rFonts w:ascii="Arial" w:hAnsi="Arial" w:hint="cs"/>
          <w:rtl/>
        </w:rPr>
        <w:t xml:space="preserve">10-24 </w:t>
      </w:r>
      <w:r w:rsidRPr="00672286">
        <w:rPr>
          <w:rFonts w:ascii="Arial" w:hAnsi="Arial"/>
          <w:rtl/>
        </w:rPr>
        <w:t xml:space="preserve">חודשי מאסר. ערעור הנאשם נדחה תוך שצוין </w:t>
      </w:r>
      <w:r w:rsidRPr="00672286">
        <w:rPr>
          <w:rFonts w:ascii="Arial" w:hAnsi="Arial" w:hint="cs"/>
          <w:rtl/>
        </w:rPr>
        <w:t>ש</w:t>
      </w:r>
      <w:r w:rsidRPr="00672286">
        <w:rPr>
          <w:rFonts w:ascii="Arial" w:hAnsi="Arial"/>
          <w:rtl/>
        </w:rPr>
        <w:t>העונש הוא על הצד הנמוך</w:t>
      </w:r>
      <w:r>
        <w:rPr>
          <w:rFonts w:ascii="Arial" w:hAnsi="Arial" w:hint="cs"/>
          <w:rtl/>
        </w:rPr>
        <w:t>.</w:t>
      </w:r>
    </w:p>
    <w:p w14:paraId="24D7E2A3" w14:textId="77777777" w:rsidR="00FC7DC5" w:rsidRDefault="00FC7DC5" w:rsidP="00FC7DC5">
      <w:pPr>
        <w:spacing w:line="360" w:lineRule="auto"/>
        <w:contextualSpacing/>
        <w:jc w:val="both"/>
        <w:rPr>
          <w:rFonts w:ascii="David" w:hAnsi="David"/>
          <w:rtl/>
        </w:rPr>
      </w:pPr>
    </w:p>
    <w:p w14:paraId="091E58E4" w14:textId="77777777" w:rsidR="00FC7DC5" w:rsidRDefault="00FC7DC5" w:rsidP="00FC7DC5">
      <w:pPr>
        <w:spacing w:line="360" w:lineRule="auto"/>
        <w:ind w:firstLine="720"/>
        <w:contextualSpacing/>
        <w:jc w:val="both"/>
        <w:rPr>
          <w:rFonts w:ascii="David" w:hAnsi="David"/>
          <w:rtl/>
        </w:rPr>
      </w:pPr>
      <w:r>
        <w:rPr>
          <w:rFonts w:hint="cs"/>
          <w:rtl/>
        </w:rPr>
        <w:t xml:space="preserve">ביחס לעבירות של החזקת סם מסוג חשיש אפנה </w:t>
      </w:r>
      <w:r>
        <w:rPr>
          <w:rtl/>
        </w:rPr>
        <w:t>ל</w:t>
      </w:r>
      <w:hyperlink r:id="rId23" w:history="1">
        <w:r w:rsidR="00583395" w:rsidRPr="00583395">
          <w:rPr>
            <w:color w:val="0000FF"/>
            <w:u w:val="single"/>
            <w:rtl/>
          </w:rPr>
          <w:t>רע"פ 636/21</w:t>
        </w:r>
      </w:hyperlink>
      <w:r>
        <w:rPr>
          <w:rtl/>
        </w:rPr>
        <w:t xml:space="preserve"> ‏ </w:t>
      </w:r>
      <w:r>
        <w:rPr>
          <w:b/>
          <w:bCs/>
          <w:rtl/>
        </w:rPr>
        <w:t>ברוך לוי נ' מדינת ישראל</w:t>
      </w:r>
      <w:r>
        <w:rPr>
          <w:rtl/>
        </w:rPr>
        <w:t xml:space="preserve"> (16.2.2021), בו נידון נאשם שהורשע בהחזקת חשיש במשקל כולל של כ-760 גרם נטו. בית משפט השלום קבע מתחם הנע בין 6 חודשי מאסר לריצוי בדרך של עבודות שירות ועד 12 חודשי מאסר בפועל ו</w:t>
      </w:r>
      <w:r>
        <w:rPr>
          <w:rFonts w:hint="cs"/>
          <w:rtl/>
        </w:rPr>
        <w:t xml:space="preserve">הטיל </w:t>
      </w:r>
      <w:r>
        <w:rPr>
          <w:rtl/>
        </w:rPr>
        <w:t>4 חודשי מאסר בעבודות שירות</w:t>
      </w:r>
      <w:r>
        <w:rPr>
          <w:rFonts w:hint="cs"/>
          <w:rtl/>
        </w:rPr>
        <w:t xml:space="preserve"> בשל שיקולי שיקום. ערעור שהגיש נדחה</w:t>
      </w:r>
      <w:r>
        <w:rPr>
          <w:rtl/>
        </w:rPr>
        <w:t xml:space="preserve">; </w:t>
      </w:r>
      <w:hyperlink r:id="rId24" w:history="1">
        <w:r w:rsidR="00583395" w:rsidRPr="00583395">
          <w:rPr>
            <w:color w:val="0000FF"/>
            <w:u w:val="single"/>
            <w:rtl/>
          </w:rPr>
          <w:t>רע"פ 8759/21</w:t>
        </w:r>
      </w:hyperlink>
      <w:r>
        <w:rPr>
          <w:rtl/>
        </w:rPr>
        <w:t xml:space="preserve"> </w:t>
      </w:r>
      <w:r>
        <w:rPr>
          <w:b/>
          <w:bCs/>
          <w:rtl/>
        </w:rPr>
        <w:t>אלעד קסלר נ' מדינת ישראל</w:t>
      </w:r>
      <w:r>
        <w:rPr>
          <w:rtl/>
        </w:rPr>
        <w:t xml:space="preserve"> (23.12.2021), בו הנאשם הורשע בהחזקת 229 גרם קנבוס והחזקת סכין והוטלו עליו 30 ימי מאסר בעבודות שירות, צו מבחן ועונשים נלווים;</w:t>
      </w:r>
      <w:r>
        <w:rPr>
          <w:rFonts w:ascii="David" w:hAnsi="David" w:hint="cs"/>
          <w:rtl/>
        </w:rPr>
        <w:t xml:space="preserve"> </w:t>
      </w:r>
      <w:hyperlink r:id="rId25" w:history="1">
        <w:r w:rsidR="00583395" w:rsidRPr="00583395">
          <w:rPr>
            <w:rFonts w:ascii="David" w:hAnsi="David"/>
            <w:color w:val="0000FF"/>
            <w:u w:val="single"/>
            <w:rtl/>
          </w:rPr>
          <w:t>עפ"ג 23393-01-20</w:t>
        </w:r>
      </w:hyperlink>
      <w:r>
        <w:rPr>
          <w:rFonts w:ascii="David" w:hAnsi="David"/>
          <w:rtl/>
        </w:rPr>
        <w:t xml:space="preserve"> </w:t>
      </w:r>
      <w:r>
        <w:rPr>
          <w:rFonts w:ascii="David" w:hAnsi="David"/>
          <w:b/>
          <w:bCs/>
          <w:rtl/>
        </w:rPr>
        <w:t>יוני אברהם נ' מדינת ישראל</w:t>
      </w:r>
      <w:r>
        <w:rPr>
          <w:rFonts w:ascii="David" w:hAnsi="David"/>
          <w:rtl/>
        </w:rPr>
        <w:t xml:space="preserve"> (20.5.2020), בו נידון עניינו של נאשם שהחזיק סם מסוג קנבוס במשקל של 1.44 ק</w:t>
      </w:r>
      <w:r>
        <w:rPr>
          <w:rFonts w:ascii="David" w:hAnsi="David" w:hint="cs"/>
          <w:rtl/>
        </w:rPr>
        <w:t>"</w:t>
      </w:r>
      <w:r>
        <w:rPr>
          <w:rFonts w:ascii="David" w:hAnsi="David"/>
          <w:rtl/>
        </w:rPr>
        <w:t xml:space="preserve">ג, משקל אלקטרוני ושקיות חלוקה ונקבע שהמתחם נע בין 6 חודשי מאסר בעבודות שירות ל- 20 חודשי מאסר בפועל. על הנאשם הוטלו 9 חודשי מאסר בפועל ועונשים נלווים. ערכאת הערעור קבעה שאין מדובר בעונש החורג מהראוי; </w:t>
      </w:r>
      <w:hyperlink r:id="rId26" w:history="1">
        <w:r w:rsidR="00583395" w:rsidRPr="00583395">
          <w:rPr>
            <w:rFonts w:ascii="David" w:hAnsi="David"/>
            <w:color w:val="0000FF"/>
            <w:u w:val="single"/>
            <w:rtl/>
          </w:rPr>
          <w:t>ת"פ 44550-10-20</w:t>
        </w:r>
      </w:hyperlink>
      <w:r>
        <w:rPr>
          <w:rFonts w:ascii="David" w:hAnsi="David"/>
          <w:rtl/>
        </w:rPr>
        <w:t xml:space="preserve"> </w:t>
      </w:r>
      <w:r>
        <w:rPr>
          <w:rFonts w:ascii="David" w:hAnsi="David"/>
          <w:b/>
          <w:bCs/>
          <w:rtl/>
        </w:rPr>
        <w:t>מדינת ישראל נ' הייסם אלגילאוי</w:t>
      </w:r>
      <w:r>
        <w:rPr>
          <w:rFonts w:ascii="David" w:hAnsi="David"/>
          <w:rtl/>
        </w:rPr>
        <w:t xml:space="preserve"> (5.12.2022), בו הורשע נאשם בהחזקת 1,493 גרם קנב</w:t>
      </w:r>
      <w:r>
        <w:rPr>
          <w:rFonts w:ascii="David" w:hAnsi="David" w:hint="cs"/>
          <w:rtl/>
        </w:rPr>
        <w:t>י</w:t>
      </w:r>
      <w:r>
        <w:rPr>
          <w:rFonts w:ascii="David" w:hAnsi="David"/>
          <w:rtl/>
        </w:rPr>
        <w:t xml:space="preserve">ס ונידון לארבעה חודשי עבודות שירות ועונשים נלווים. נקבע מתחם הנע בין  מספר חודשי מאסר בעבודות שירות ועד 18 חודשי מאסר בפועל; </w:t>
      </w:r>
      <w:hyperlink r:id="rId27" w:history="1">
        <w:r w:rsidR="00583395" w:rsidRPr="00583395">
          <w:rPr>
            <w:rFonts w:ascii="David" w:hAnsi="David"/>
            <w:color w:val="0000FF"/>
            <w:u w:val="single"/>
            <w:rtl/>
          </w:rPr>
          <w:t>ת"פ 63029-12-20</w:t>
        </w:r>
      </w:hyperlink>
      <w:r>
        <w:rPr>
          <w:rFonts w:ascii="David" w:hAnsi="David"/>
          <w:rtl/>
        </w:rPr>
        <w:t xml:space="preserve"> </w:t>
      </w:r>
      <w:r>
        <w:rPr>
          <w:rFonts w:ascii="David" w:hAnsi="David"/>
          <w:b/>
          <w:bCs/>
          <w:rtl/>
        </w:rPr>
        <w:t>מדינת ישראל נ' דוד שליף</w:t>
      </w:r>
      <w:r>
        <w:rPr>
          <w:rFonts w:ascii="David" w:hAnsi="David"/>
          <w:rtl/>
        </w:rPr>
        <w:t xml:space="preserve"> (8.4.2021), בו נידון עניינו של נאשם שהחזיק </w:t>
      </w:r>
      <w:r>
        <w:rPr>
          <w:rFonts w:ascii="David" w:hAnsi="David" w:hint="cs"/>
          <w:rtl/>
        </w:rPr>
        <w:t xml:space="preserve">סם מסוג </w:t>
      </w:r>
      <w:r>
        <w:rPr>
          <w:rFonts w:ascii="David" w:hAnsi="David"/>
          <w:rtl/>
        </w:rPr>
        <w:t>קנב</w:t>
      </w:r>
      <w:r>
        <w:rPr>
          <w:rFonts w:ascii="David" w:hAnsi="David" w:hint="cs"/>
          <w:rtl/>
        </w:rPr>
        <w:t>י</w:t>
      </w:r>
      <w:r>
        <w:rPr>
          <w:rFonts w:ascii="David" w:hAnsi="David"/>
          <w:rtl/>
        </w:rPr>
        <w:t>ס במשקל של 1,033.6 גרם נטו וחשיש במשקל כולל של 1,125.5 גרם נטו. לנאשם היה עבר בעבירות סמים והוטלו עליו תשעה חודשי מאסר בפועל ועונשים נלווים</w:t>
      </w:r>
      <w:r>
        <w:rPr>
          <w:rFonts w:ascii="David" w:hAnsi="David" w:hint="cs"/>
          <w:rtl/>
        </w:rPr>
        <w:t>.</w:t>
      </w:r>
    </w:p>
    <w:p w14:paraId="6C44D5DA" w14:textId="77777777" w:rsidR="00FC7DC5" w:rsidRDefault="00FC7DC5" w:rsidP="00FC7DC5">
      <w:pPr>
        <w:contextualSpacing/>
        <w:jc w:val="both"/>
        <w:rPr>
          <w:rFonts w:ascii="David" w:hAnsi="David"/>
          <w:rtl/>
        </w:rPr>
      </w:pPr>
    </w:p>
    <w:p w14:paraId="27CD00C9" w14:textId="77777777" w:rsidR="00FC7DC5" w:rsidRDefault="00FC7DC5" w:rsidP="00FC7DC5">
      <w:pPr>
        <w:numPr>
          <w:ilvl w:val="0"/>
          <w:numId w:val="1"/>
        </w:numPr>
        <w:spacing w:line="360" w:lineRule="auto"/>
        <w:contextualSpacing/>
        <w:jc w:val="both"/>
        <w:rPr>
          <w:rFonts w:ascii="David" w:hAnsi="David"/>
        </w:rPr>
      </w:pPr>
      <w:r w:rsidRPr="004932B9">
        <w:rPr>
          <w:rFonts w:ascii="David" w:hAnsi="David"/>
          <w:rtl/>
        </w:rPr>
        <w:t xml:space="preserve">לאור כך, אני בדעה כי מתחם הענישה ההולם את העבירות </w:t>
      </w:r>
      <w:r>
        <w:rPr>
          <w:rFonts w:ascii="David" w:hAnsi="David" w:hint="cs"/>
          <w:rtl/>
        </w:rPr>
        <w:t xml:space="preserve">שעבר הנאשם, המהוות אירוע אחד, נע בין 15-34 חודשי מאסר בצירוף ענישה נלוות. </w:t>
      </w:r>
    </w:p>
    <w:p w14:paraId="7EA3EAC5" w14:textId="77777777" w:rsidR="00FC7DC5" w:rsidRPr="00525820" w:rsidRDefault="00FC7DC5" w:rsidP="00FC7DC5">
      <w:pPr>
        <w:spacing w:line="360" w:lineRule="auto"/>
        <w:contextualSpacing/>
        <w:jc w:val="both"/>
        <w:rPr>
          <w:rFonts w:ascii="David" w:hAnsi="David"/>
          <w:rtl/>
        </w:rPr>
      </w:pPr>
    </w:p>
    <w:p w14:paraId="717279E8" w14:textId="77777777" w:rsidR="00FC7DC5" w:rsidRDefault="00FC7DC5" w:rsidP="00FC7DC5">
      <w:pPr>
        <w:spacing w:line="360" w:lineRule="auto"/>
        <w:contextualSpacing/>
        <w:jc w:val="both"/>
        <w:rPr>
          <w:rFonts w:ascii="David" w:hAnsi="David"/>
          <w:b/>
          <w:bCs/>
          <w:u w:val="single"/>
          <w:rtl/>
        </w:rPr>
      </w:pPr>
      <w:r>
        <w:rPr>
          <w:rFonts w:ascii="David" w:hAnsi="David" w:hint="cs"/>
          <w:b/>
          <w:bCs/>
          <w:u w:val="single"/>
          <w:rtl/>
        </w:rPr>
        <w:t>קביעת עונשו של הנאשם</w:t>
      </w:r>
    </w:p>
    <w:p w14:paraId="4FBB9A50" w14:textId="77777777" w:rsidR="00FC7DC5" w:rsidRDefault="00FC7DC5" w:rsidP="00FC7DC5">
      <w:pPr>
        <w:spacing w:line="360" w:lineRule="auto"/>
        <w:contextualSpacing/>
        <w:jc w:val="both"/>
        <w:rPr>
          <w:rFonts w:ascii="David" w:hAnsi="David"/>
          <w:b/>
          <w:bCs/>
          <w:u w:val="single"/>
          <w:rtl/>
        </w:rPr>
      </w:pPr>
    </w:p>
    <w:p w14:paraId="6B1BD197" w14:textId="77777777" w:rsidR="00FC7DC5" w:rsidRDefault="00FC7DC5" w:rsidP="00FC7DC5">
      <w:pPr>
        <w:pStyle w:val="a9"/>
        <w:numPr>
          <w:ilvl w:val="0"/>
          <w:numId w:val="1"/>
        </w:numPr>
        <w:spacing w:line="360" w:lineRule="auto"/>
        <w:jc w:val="both"/>
        <w:rPr>
          <w:rFonts w:ascii="David" w:hAnsi="David"/>
        </w:rPr>
      </w:pPr>
      <w:r>
        <w:rPr>
          <w:rtl/>
        </w:rPr>
        <w:t>קביעת עונשו של הנאשם מעמתת בין שני שיקולי</w:t>
      </w:r>
      <w:r>
        <w:rPr>
          <w:rFonts w:hint="cs"/>
          <w:rtl/>
        </w:rPr>
        <w:t xml:space="preserve"> ענישה שונים</w:t>
      </w:r>
      <w:r>
        <w:rPr>
          <w:rtl/>
        </w:rPr>
        <w:t xml:space="preserve"> – הלימה ושיקום. </w:t>
      </w:r>
      <w:r>
        <w:rPr>
          <w:rFonts w:hint="cs"/>
          <w:rtl/>
        </w:rPr>
        <w:t xml:space="preserve">העבירות שעבר </w:t>
      </w:r>
      <w:r>
        <w:rPr>
          <w:rtl/>
        </w:rPr>
        <w:t>הנאשם חמור</w:t>
      </w:r>
      <w:r>
        <w:rPr>
          <w:rFonts w:hint="cs"/>
          <w:rtl/>
        </w:rPr>
        <w:t>ות</w:t>
      </w:r>
      <w:r>
        <w:rPr>
          <w:rtl/>
        </w:rPr>
        <w:t xml:space="preserve"> וככלל ראוי</w:t>
      </w:r>
      <w:r>
        <w:rPr>
          <w:rFonts w:hint="cs"/>
          <w:rtl/>
        </w:rPr>
        <w:t xml:space="preserve">ות </w:t>
      </w:r>
      <w:r>
        <w:rPr>
          <w:rtl/>
        </w:rPr>
        <w:t xml:space="preserve">לתגובה עונשית הולמת. </w:t>
      </w:r>
      <w:r>
        <w:rPr>
          <w:rFonts w:hint="cs"/>
          <w:rtl/>
        </w:rPr>
        <w:t xml:space="preserve">הדברים יפים כמובן על רקע העבר הפלילי המכביד. עם זאת, במקרה זה דעתי היא </w:t>
      </w:r>
      <w:r>
        <w:rPr>
          <w:rFonts w:ascii="David" w:hAnsi="David" w:hint="cs"/>
          <w:rtl/>
        </w:rPr>
        <w:t xml:space="preserve">שהוכחו סיכויי שיקום ממשיים באופן המצדיק חריגה ממתחם הענישה ובכל מקרה עניינו של הנאשם מצדיק שלא להטיל עליו עונש מאסר בכליאה. אנמק מסקנתי להלן. </w:t>
      </w:r>
    </w:p>
    <w:p w14:paraId="25448897" w14:textId="77777777" w:rsidR="00FC7DC5" w:rsidRDefault="00FC7DC5" w:rsidP="00FC7DC5">
      <w:pPr>
        <w:pStyle w:val="a9"/>
        <w:ind w:left="0"/>
        <w:jc w:val="both"/>
        <w:rPr>
          <w:rFonts w:ascii="David" w:hAnsi="David"/>
        </w:rPr>
      </w:pPr>
    </w:p>
    <w:p w14:paraId="5138D0B6" w14:textId="77777777" w:rsidR="00FC7DC5" w:rsidRDefault="00FC7DC5" w:rsidP="00FC7DC5">
      <w:pPr>
        <w:pStyle w:val="a9"/>
        <w:numPr>
          <w:ilvl w:val="0"/>
          <w:numId w:val="1"/>
        </w:numPr>
        <w:spacing w:line="360" w:lineRule="auto"/>
        <w:jc w:val="both"/>
        <w:rPr>
          <w:rFonts w:ascii="David" w:hAnsi="David"/>
        </w:rPr>
      </w:pPr>
      <w:r w:rsidRPr="00321DE0">
        <w:rPr>
          <w:rFonts w:ascii="David" w:hAnsi="David"/>
          <w:rtl/>
        </w:rPr>
        <w:t xml:space="preserve">כידוע, בהתאם </w:t>
      </w:r>
      <w:hyperlink r:id="rId28" w:history="1">
        <w:r w:rsidR="007D4053" w:rsidRPr="007D4053">
          <w:rPr>
            <w:rStyle w:val="Hyperlink"/>
            <w:rFonts w:ascii="David" w:hAnsi="David"/>
            <w:rtl/>
          </w:rPr>
          <w:t>לסעיף 40ד'</w:t>
        </w:r>
      </w:hyperlink>
      <w:r w:rsidRPr="00321DE0">
        <w:rPr>
          <w:rFonts w:ascii="David" w:hAnsi="David"/>
          <w:rtl/>
        </w:rPr>
        <w:t xml:space="preserve"> ל</w:t>
      </w:r>
      <w:hyperlink r:id="rId29" w:history="1">
        <w:r w:rsidR="00583395" w:rsidRPr="00583395">
          <w:rPr>
            <w:rFonts w:ascii="David" w:hAnsi="David"/>
            <w:color w:val="0000FF"/>
            <w:u w:val="single"/>
            <w:rtl/>
          </w:rPr>
          <w:t>חוק העונשין</w:t>
        </w:r>
      </w:hyperlink>
      <w:r w:rsidRPr="00321DE0">
        <w:rPr>
          <w:rFonts w:ascii="David" w:hAnsi="David"/>
          <w:rtl/>
        </w:rPr>
        <w:t xml:space="preserve"> רשאי בית המשפט לחרוג לקולה ממתחם הענישה שקבע, אם מצא כי </w:t>
      </w:r>
      <w:r w:rsidRPr="00321DE0">
        <w:rPr>
          <w:rFonts w:ascii="Miriam" w:hAnsi="Miriam" w:cs="Miriam"/>
          <w:rtl/>
        </w:rPr>
        <w:t>"הנאשם השתקם או כי יש סיכוי של ממש שישתקם"</w:t>
      </w:r>
      <w:r w:rsidRPr="00321DE0">
        <w:rPr>
          <w:rFonts w:ascii="David" w:hAnsi="David"/>
          <w:rtl/>
        </w:rPr>
        <w:t xml:space="preserve">. בעניין זה נקבע כי </w:t>
      </w:r>
      <w:r w:rsidRPr="00321DE0">
        <w:rPr>
          <w:rFonts w:ascii="Miriam" w:hAnsi="Miriam" w:cs="Miriam"/>
          <w:rtl/>
        </w:rPr>
        <w:t>"על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w:t>
      </w:r>
      <w:r w:rsidRPr="00321DE0">
        <w:rPr>
          <w:rFonts w:ascii="David" w:hAnsi="David"/>
          <w:rtl/>
        </w:rPr>
        <w:t xml:space="preserve"> (</w:t>
      </w:r>
      <w:hyperlink r:id="rId30" w:history="1">
        <w:r w:rsidR="00583395" w:rsidRPr="00583395">
          <w:rPr>
            <w:rFonts w:ascii="David" w:hAnsi="David"/>
            <w:color w:val="0000FF"/>
            <w:u w:val="single"/>
            <w:rtl/>
          </w:rPr>
          <w:t>רע"פ 7683/13</w:t>
        </w:r>
      </w:hyperlink>
      <w:r w:rsidRPr="00321DE0">
        <w:rPr>
          <w:rFonts w:ascii="David" w:hAnsi="David"/>
          <w:rtl/>
        </w:rPr>
        <w:t xml:space="preserve"> </w:t>
      </w:r>
      <w:r w:rsidRPr="00321DE0">
        <w:rPr>
          <w:rFonts w:ascii="David" w:hAnsi="David"/>
          <w:b/>
          <w:bCs/>
          <w:rtl/>
        </w:rPr>
        <w:t>דוד פרלמן נ' מדינת ישראל</w:t>
      </w:r>
      <w:r w:rsidRPr="00321DE0">
        <w:rPr>
          <w:rFonts w:ascii="David" w:hAnsi="David"/>
          <w:rtl/>
        </w:rPr>
        <w:t xml:space="preserve"> (23.2.2014)). בעניין זה נקבע עוד כי</w:t>
      </w:r>
      <w:r w:rsidRPr="00321DE0">
        <w:rPr>
          <w:rFonts w:ascii="David" w:hAnsi="David" w:hint="cs"/>
          <w:rtl/>
        </w:rPr>
        <w:t xml:space="preserve"> </w:t>
      </w:r>
      <w:r w:rsidRPr="00321DE0">
        <w:rPr>
          <w:rFonts w:ascii="Miriam" w:hAnsi="Miriam" w:cs="Miriam"/>
          <w:rtl/>
        </w:rPr>
        <w:t>"שילוב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סעיף 40ד(א))</w:t>
      </w:r>
      <w:r w:rsidRPr="00321DE0">
        <w:rPr>
          <w:rFonts w:ascii="David" w:hAnsi="David"/>
          <w:rtl/>
        </w:rPr>
        <w:t xml:space="preserve"> (</w:t>
      </w:r>
      <w:hyperlink r:id="rId31" w:history="1">
        <w:r w:rsidR="00583395" w:rsidRPr="00583395">
          <w:rPr>
            <w:rFonts w:ascii="David" w:hAnsi="David"/>
            <w:color w:val="0000FF"/>
            <w:u w:val="single"/>
            <w:rtl/>
          </w:rPr>
          <w:t>ע"פ 6637/17</w:t>
        </w:r>
      </w:hyperlink>
      <w:r w:rsidRPr="00321DE0">
        <w:rPr>
          <w:rFonts w:ascii="David" w:hAnsi="David"/>
          <w:rtl/>
        </w:rPr>
        <w:t xml:space="preserve"> </w:t>
      </w:r>
      <w:r w:rsidRPr="00321DE0">
        <w:rPr>
          <w:rFonts w:ascii="David" w:hAnsi="David"/>
          <w:b/>
          <w:bCs/>
          <w:rtl/>
        </w:rPr>
        <w:t>אליזבט קרינדל נ' מדינת ישראל</w:t>
      </w:r>
      <w:r w:rsidRPr="00321DE0">
        <w:rPr>
          <w:rFonts w:ascii="David" w:hAnsi="David"/>
          <w:rtl/>
        </w:rPr>
        <w:t xml:space="preserve"> (18.4.2018); להלן – </w:t>
      </w:r>
      <w:r w:rsidRPr="00321DE0">
        <w:rPr>
          <w:rFonts w:ascii="David" w:hAnsi="David"/>
          <w:b/>
          <w:bCs/>
          <w:rtl/>
        </w:rPr>
        <w:t>עניין קרינדל</w:t>
      </w:r>
      <w:r w:rsidRPr="00321DE0">
        <w:rPr>
          <w:rFonts w:ascii="David" w:hAnsi="David"/>
          <w:rtl/>
        </w:rPr>
        <w:t xml:space="preserve">). עם זאת, ברי שבצד שיקולי השיקום אין לזנוח כליל את שיקול ההלימה, שכן </w:t>
      </w:r>
      <w:r w:rsidRPr="00321DE0">
        <w:rPr>
          <w:rFonts w:ascii="Miriam" w:hAnsi="Miriam" w:cs="Miriam"/>
          <w:rtl/>
        </w:rPr>
        <w:t>"לא מתפוגגים מאליהם שיקולי ההלימה גם כאשר חלים שיקולי השיקום. אולם, יש להקפיד על כך שהבחירה בעונש לא תפגע באופן ממשי בסיכויי השיקום"</w:t>
      </w:r>
      <w:r w:rsidRPr="00321DE0">
        <w:rPr>
          <w:rFonts w:ascii="David" w:hAnsi="David"/>
          <w:rtl/>
        </w:rPr>
        <w:t xml:space="preserve"> (עניין </w:t>
      </w:r>
      <w:r w:rsidRPr="00321DE0">
        <w:rPr>
          <w:rFonts w:ascii="David" w:hAnsi="David"/>
          <w:b/>
          <w:bCs/>
          <w:rtl/>
        </w:rPr>
        <w:t>קרינדל</w:t>
      </w:r>
      <w:r w:rsidRPr="00321DE0">
        <w:rPr>
          <w:rFonts w:ascii="David" w:hAnsi="David"/>
          <w:rtl/>
        </w:rPr>
        <w:t>; וראו גם אורן גזל-</w:t>
      </w:r>
      <w:hyperlink r:id="rId32" w:history="1">
        <w:r w:rsidR="00583395" w:rsidRPr="00583395">
          <w:rPr>
            <w:rFonts w:ascii="David" w:hAnsi="David"/>
            <w:color w:val="0000FF"/>
            <w:u w:val="single"/>
            <w:rtl/>
          </w:rPr>
          <w:t>אייל, חריגה ממתחם העונש ההולם,</w:t>
        </w:r>
      </w:hyperlink>
      <w:r w:rsidRPr="00321DE0">
        <w:rPr>
          <w:rFonts w:ascii="David" w:hAnsi="David"/>
          <w:b/>
          <w:bCs/>
          <w:rtl/>
        </w:rPr>
        <w:t xml:space="preserve"> </w:t>
      </w:r>
      <w:r w:rsidRPr="00321DE0">
        <w:rPr>
          <w:rFonts w:ascii="David" w:hAnsi="David"/>
          <w:rtl/>
        </w:rPr>
        <w:t xml:space="preserve">ספר דורית ביניש 539, 550; </w:t>
      </w:r>
      <w:hyperlink r:id="rId33" w:history="1">
        <w:r w:rsidR="00583395" w:rsidRPr="00583395">
          <w:rPr>
            <w:rFonts w:ascii="David" w:hAnsi="David"/>
            <w:color w:val="0000FF"/>
            <w:u w:val="single"/>
            <w:rtl/>
          </w:rPr>
          <w:t>ע"פ 5718/16</w:t>
        </w:r>
      </w:hyperlink>
      <w:r w:rsidRPr="00321DE0">
        <w:rPr>
          <w:rFonts w:ascii="David" w:hAnsi="David"/>
          <w:rtl/>
        </w:rPr>
        <w:t xml:space="preserve"> </w:t>
      </w:r>
      <w:r w:rsidRPr="00321DE0">
        <w:rPr>
          <w:rFonts w:ascii="David" w:hAnsi="David"/>
          <w:b/>
          <w:bCs/>
          <w:rtl/>
        </w:rPr>
        <w:t>זהבי נ' מדינת ישראל</w:t>
      </w:r>
      <w:r w:rsidRPr="00321DE0">
        <w:rPr>
          <w:rFonts w:ascii="David" w:hAnsi="David"/>
          <w:rtl/>
        </w:rPr>
        <w:t xml:space="preserve"> (21.11.2016)).</w:t>
      </w:r>
    </w:p>
    <w:p w14:paraId="0BABB761" w14:textId="77777777" w:rsidR="00FC7DC5" w:rsidRPr="00321DE0" w:rsidRDefault="00FC7DC5" w:rsidP="00FC7DC5">
      <w:pPr>
        <w:pStyle w:val="a9"/>
        <w:rPr>
          <w:rFonts w:ascii="David" w:hAnsi="David"/>
          <w:rtl/>
        </w:rPr>
      </w:pPr>
    </w:p>
    <w:p w14:paraId="55A6AEDF" w14:textId="77777777" w:rsidR="00FC7DC5" w:rsidRDefault="00FC7DC5" w:rsidP="00FC7DC5">
      <w:pPr>
        <w:pStyle w:val="a9"/>
        <w:numPr>
          <w:ilvl w:val="0"/>
          <w:numId w:val="1"/>
        </w:numPr>
        <w:spacing w:line="360" w:lineRule="auto"/>
        <w:jc w:val="both"/>
        <w:rPr>
          <w:rFonts w:ascii="David" w:hAnsi="David"/>
        </w:rPr>
      </w:pPr>
      <w:r w:rsidRPr="00FB183E">
        <w:rPr>
          <w:rFonts w:ascii="David" w:hAnsi="David"/>
          <w:rtl/>
        </w:rPr>
        <w:t>יישום דברים אלו על עניינ</w:t>
      </w:r>
      <w:r>
        <w:rPr>
          <w:rFonts w:ascii="David" w:hAnsi="David" w:hint="cs"/>
          <w:rtl/>
        </w:rPr>
        <w:t>נ</w:t>
      </w:r>
      <w:r w:rsidRPr="00FB183E">
        <w:rPr>
          <w:rFonts w:ascii="David" w:hAnsi="David"/>
          <w:rtl/>
        </w:rPr>
        <w:t>ו מביא למסקנה לפיה הוכחו סיכויי שיקום ממשיים המצדיקים חריגה ממתחם הענישה</w:t>
      </w:r>
      <w:r w:rsidRPr="00FB183E">
        <w:rPr>
          <w:rFonts w:ascii="David" w:hAnsi="David" w:hint="cs"/>
          <w:rtl/>
        </w:rPr>
        <w:t xml:space="preserve"> ובכל מקרה מצדיקים להימנע מעונש מאסר בכליאה</w:t>
      </w:r>
      <w:r w:rsidRPr="00FB183E">
        <w:rPr>
          <w:rFonts w:ascii="David" w:hAnsi="David"/>
          <w:rtl/>
        </w:rPr>
        <w:t>. הנאשם</w:t>
      </w:r>
      <w:r w:rsidRPr="00FB183E">
        <w:rPr>
          <w:rFonts w:ascii="David" w:hAnsi="David" w:hint="cs"/>
          <w:rtl/>
        </w:rPr>
        <w:t xml:space="preserve"> אינו צעיר, הוא סב לנכדים ולאחרונה עבר ניתוח קשה. אכן, עברו הפלילי מכביד ואולם העבירה האחרונה שעבר היא משנת 2010 (החזקת סכין) ו</w:t>
      </w:r>
      <w:r>
        <w:rPr>
          <w:rFonts w:ascii="David" w:hAnsi="David" w:hint="cs"/>
          <w:rtl/>
        </w:rPr>
        <w:t>ה</w:t>
      </w:r>
      <w:r w:rsidRPr="00FB183E">
        <w:rPr>
          <w:rFonts w:ascii="David" w:hAnsi="David" w:hint="cs"/>
          <w:rtl/>
        </w:rPr>
        <w:t>מאסר האחרון היה בשנת 1993. דומה אפוא שהנאשם הצליח</w:t>
      </w:r>
      <w:r>
        <w:rPr>
          <w:rFonts w:ascii="David" w:hAnsi="David" w:hint="cs"/>
          <w:rtl/>
        </w:rPr>
        <w:t xml:space="preserve"> לקיים אורח חיים תקין יחסית שנים</w:t>
      </w:r>
      <w:r w:rsidRPr="00FB183E">
        <w:rPr>
          <w:rFonts w:ascii="David" w:hAnsi="David" w:hint="cs"/>
          <w:rtl/>
        </w:rPr>
        <w:t xml:space="preserve"> ארוכות ו</w:t>
      </w:r>
      <w:r>
        <w:rPr>
          <w:rFonts w:ascii="David" w:hAnsi="David" w:hint="cs"/>
          <w:rtl/>
        </w:rPr>
        <w:t xml:space="preserve">כי </w:t>
      </w:r>
      <w:r w:rsidRPr="00FB183E">
        <w:rPr>
          <w:rFonts w:ascii="David" w:hAnsi="David" w:hint="cs"/>
          <w:rtl/>
        </w:rPr>
        <w:t xml:space="preserve">עבירות אלו אינן מעידות בהכרח על חזרה לחיים עברייניים ובכל מקרה, כפי שמציין שירות המבחן, ניתן להפחית את הסיכון להישנות באמצעות טיפול. בעניין אחרון זה אציין ששירות המבחן התרשם שהנאשם מגלה מוטיבציה ממשית </w:t>
      </w:r>
      <w:r>
        <w:rPr>
          <w:rFonts w:ascii="David" w:hAnsi="David" w:hint="cs"/>
          <w:rtl/>
        </w:rPr>
        <w:t xml:space="preserve">לשינוי, נתרם בצורה ניכרת מההליך הטיפולי ותורם לקבוצה. כן, לא נפתחו נגדו תיקים נוספים. כל אלו מלמדים על סיכויי שיקום ממשיים המצדיקים הקלה עונשית אשר תאפשר את המשך ההליך הטיפולי וכידוע עונש מאסר בכליאה אינו מאפשר שילוב בהליך טיפולי. </w:t>
      </w:r>
    </w:p>
    <w:p w14:paraId="768F8869" w14:textId="77777777" w:rsidR="00FC7DC5" w:rsidRPr="00F75559" w:rsidRDefault="00FC7DC5" w:rsidP="00FC7DC5">
      <w:pPr>
        <w:pStyle w:val="a9"/>
        <w:rPr>
          <w:rFonts w:ascii="David" w:hAnsi="David"/>
          <w:rtl/>
        </w:rPr>
      </w:pPr>
    </w:p>
    <w:p w14:paraId="7B711775" w14:textId="77777777" w:rsidR="00FC7DC5" w:rsidRPr="00F75559" w:rsidRDefault="00FC7DC5" w:rsidP="00FC7DC5">
      <w:pPr>
        <w:pStyle w:val="a9"/>
        <w:numPr>
          <w:ilvl w:val="0"/>
          <w:numId w:val="1"/>
        </w:numPr>
        <w:spacing w:line="360" w:lineRule="auto"/>
        <w:jc w:val="both"/>
        <w:rPr>
          <w:rFonts w:ascii="David" w:hAnsi="David"/>
        </w:rPr>
      </w:pPr>
      <w:r w:rsidRPr="00F75559">
        <w:rPr>
          <w:rFonts w:ascii="David" w:hAnsi="David" w:hint="cs"/>
          <w:rtl/>
        </w:rPr>
        <w:t>מסקנת שירות המבחן מקובלת עלי אפוא</w:t>
      </w:r>
      <w:r>
        <w:rPr>
          <w:rFonts w:ascii="David" w:hAnsi="David" w:hint="cs"/>
          <w:rtl/>
        </w:rPr>
        <w:t xml:space="preserve"> שכן יש בה להגשים נכונה את תכליות הענישה במקרה זה</w:t>
      </w:r>
      <w:r w:rsidRPr="00F75559">
        <w:rPr>
          <w:rFonts w:ascii="David" w:hAnsi="David" w:hint="cs"/>
          <w:rtl/>
        </w:rPr>
        <w:t xml:space="preserve">. כידוע, </w:t>
      </w:r>
      <w:r>
        <w:rPr>
          <w:rtl/>
        </w:rPr>
        <w:t>שירות המבחן הוא הגוף המקצועי האמון על שיקום נאשמים ועל הערכת הסיכויים לכך. קצין המבחן משמש כזרועו הארוכה של בית המשפט לעניין זה, ועל אף שאין הכרח לאמץ את המלצתו, ברי כי להמלצת</w:t>
      </w:r>
      <w:r>
        <w:rPr>
          <w:rFonts w:hint="cs"/>
          <w:rtl/>
        </w:rPr>
        <w:t>ו</w:t>
      </w:r>
      <w:r>
        <w:rPr>
          <w:rtl/>
        </w:rPr>
        <w:t xml:space="preserve"> משקל ממשי בבוא בית המשפט לגזור את דינו של נאשם (</w:t>
      </w:r>
      <w:hyperlink r:id="rId34" w:history="1">
        <w:r w:rsidR="00583395" w:rsidRPr="00583395">
          <w:rPr>
            <w:color w:val="0000FF"/>
            <w:u w:val="single"/>
            <w:rtl/>
          </w:rPr>
          <w:t>ע"פ 3472/11</w:t>
        </w:r>
      </w:hyperlink>
      <w:r>
        <w:rPr>
          <w:rtl/>
        </w:rPr>
        <w:t xml:space="preserve"> </w:t>
      </w:r>
      <w:r w:rsidRPr="00F75559">
        <w:rPr>
          <w:rFonts w:hint="cs"/>
          <w:b/>
          <w:bCs/>
          <w:rtl/>
        </w:rPr>
        <w:t>פלוני נ' מדינת ישראל</w:t>
      </w:r>
      <w:r>
        <w:rPr>
          <w:rFonts w:hint="cs"/>
          <w:rtl/>
        </w:rPr>
        <w:t xml:space="preserve"> (3.9.2012)).</w:t>
      </w:r>
      <w:r w:rsidRPr="00F75559">
        <w:rPr>
          <w:rFonts w:ascii="David" w:hAnsi="David" w:hint="cs"/>
          <w:rtl/>
        </w:rPr>
        <w:t xml:space="preserve"> עם זאת, לא אאמץ את המלצתו במלואה, אלא יוטל על הנאשם עונש מאסר קצר לנשיאה </w:t>
      </w:r>
      <w:r>
        <w:rPr>
          <w:rFonts w:ascii="David" w:hAnsi="David" w:hint="cs"/>
          <w:rtl/>
        </w:rPr>
        <w:t>בעבודות שירות על מנת ליצור תמהיל</w:t>
      </w:r>
      <w:r w:rsidRPr="00F75559">
        <w:rPr>
          <w:rFonts w:ascii="David" w:hAnsi="David" w:hint="cs"/>
          <w:rtl/>
        </w:rPr>
        <w:t xml:space="preserve"> עונשי שיגשים את שיקולי </w:t>
      </w:r>
      <w:r>
        <w:rPr>
          <w:rFonts w:ascii="David" w:hAnsi="David" w:hint="cs"/>
          <w:rtl/>
        </w:rPr>
        <w:t xml:space="preserve">הגמול וההתרעה, </w:t>
      </w:r>
      <w:r w:rsidRPr="00F75559">
        <w:rPr>
          <w:rFonts w:ascii="David" w:hAnsi="David" w:hint="cs"/>
          <w:rtl/>
        </w:rPr>
        <w:t xml:space="preserve">אך לא יסכל את ההליך הטיפולי. </w:t>
      </w:r>
      <w:r>
        <w:rPr>
          <w:rFonts w:ascii="David" w:hAnsi="David" w:hint="cs"/>
          <w:rtl/>
        </w:rPr>
        <w:t>אציין עוד שאין בכוונתי לנכות את ימי המעצר אך אביא בחשבון את תקופת המעצר באיזוק וכן את התקופה בה שהה הנאשם בתנאים מגבילים. כן אדג</w:t>
      </w:r>
      <w:r w:rsidRPr="00F75559">
        <w:rPr>
          <w:rFonts w:ascii="David" w:hAnsi="David" w:hint="cs"/>
          <w:rtl/>
        </w:rPr>
        <w:t xml:space="preserve">יש </w:t>
      </w:r>
      <w:r>
        <w:rPr>
          <w:rtl/>
        </w:rPr>
        <w:t>שהנאשם אינו מסיים את ההליך כעת וככל שלא ישתף פעולה עם שירות המבחן, ובוודאי אם יעבור עבירה נוספת, יחודש ההליך נגדו והוא יישא בעונש ההולם את מעשיו (</w:t>
      </w:r>
      <w:hyperlink r:id="rId35" w:history="1">
        <w:r w:rsidR="00583395" w:rsidRPr="00583395">
          <w:rPr>
            <w:color w:val="0000FF"/>
            <w:u w:val="single"/>
            <w:rtl/>
          </w:rPr>
          <w:t>עפ"ג 39953-11-13</w:t>
        </w:r>
      </w:hyperlink>
      <w:r>
        <w:rPr>
          <w:rtl/>
        </w:rPr>
        <w:t xml:space="preserve"> </w:t>
      </w:r>
      <w:r w:rsidRPr="00F75559">
        <w:rPr>
          <w:rFonts w:hint="cs"/>
          <w:b/>
          <w:bCs/>
          <w:rtl/>
        </w:rPr>
        <w:t>סבח נ' מדינת ישראל</w:t>
      </w:r>
      <w:r>
        <w:rPr>
          <w:rFonts w:hint="cs"/>
          <w:rtl/>
        </w:rPr>
        <w:t xml:space="preserve"> (23.1.2014)). </w:t>
      </w:r>
    </w:p>
    <w:p w14:paraId="3C9DD253" w14:textId="77777777" w:rsidR="00FC7DC5" w:rsidRDefault="00FC7DC5" w:rsidP="00FC7DC5">
      <w:pPr>
        <w:pStyle w:val="a9"/>
        <w:ind w:left="0"/>
        <w:jc w:val="both"/>
        <w:rPr>
          <w:rFonts w:ascii="David" w:hAnsi="David"/>
          <w:rtl/>
        </w:rPr>
      </w:pPr>
    </w:p>
    <w:p w14:paraId="0D9A8682" w14:textId="77777777" w:rsidR="00FC7DC5" w:rsidRDefault="00FC7DC5" w:rsidP="00FC7DC5">
      <w:pPr>
        <w:pStyle w:val="a9"/>
        <w:ind w:left="0"/>
        <w:jc w:val="both"/>
        <w:rPr>
          <w:rFonts w:ascii="David" w:hAnsi="David"/>
          <w:rtl/>
        </w:rPr>
      </w:pPr>
    </w:p>
    <w:p w14:paraId="7C26E038" w14:textId="77777777" w:rsidR="00FC7DC5" w:rsidRDefault="00FC7DC5" w:rsidP="00FC7DC5">
      <w:pPr>
        <w:pStyle w:val="a9"/>
        <w:numPr>
          <w:ilvl w:val="0"/>
          <w:numId w:val="1"/>
        </w:numPr>
        <w:spacing w:before="120" w:after="120" w:line="360" w:lineRule="auto"/>
        <w:jc w:val="both"/>
      </w:pPr>
      <w:r>
        <w:rPr>
          <w:rtl/>
        </w:rPr>
        <w:t>סיכומו של דבר, לאחר שבחנתי את מכלול השיקולים, הן לקולה והן לחומרה, אני מטיל על הנאשם את העונשים הבאים:</w:t>
      </w:r>
    </w:p>
    <w:p w14:paraId="7A74D0FB" w14:textId="77777777" w:rsidR="00FC7DC5" w:rsidRDefault="00FC7DC5" w:rsidP="00FC7DC5">
      <w:pPr>
        <w:pStyle w:val="1"/>
        <w:numPr>
          <w:ilvl w:val="0"/>
          <w:numId w:val="2"/>
        </w:numPr>
        <w:spacing w:before="120" w:after="120" w:line="360" w:lineRule="auto"/>
        <w:jc w:val="both"/>
        <w:rPr>
          <w:rFonts w:cs="David"/>
        </w:rPr>
      </w:pPr>
      <w:r w:rsidRPr="0042456A">
        <w:rPr>
          <w:rFonts w:cs="David" w:hint="cs"/>
          <w:rtl/>
        </w:rPr>
        <w:t>4</w:t>
      </w:r>
      <w:r w:rsidRPr="0042456A">
        <w:rPr>
          <w:rFonts w:cs="David"/>
          <w:rtl/>
        </w:rPr>
        <w:t xml:space="preserve"> חודשי מאסר. הנאשם יישא בעונש זה בעבודות שירות בהתאם לחוות דעת הממונה</w:t>
      </w:r>
      <w:r w:rsidRPr="00006B8F">
        <w:rPr>
          <w:rFonts w:cs="David"/>
          <w:rtl/>
        </w:rPr>
        <w:t xml:space="preserve"> </w:t>
      </w:r>
      <w:r w:rsidRPr="00006B8F">
        <w:rPr>
          <w:rFonts w:cs="David" w:hint="cs"/>
          <w:rtl/>
        </w:rPr>
        <w:t xml:space="preserve">החל </w:t>
      </w:r>
      <w:r w:rsidRPr="00006B8F">
        <w:rPr>
          <w:rFonts w:cs="David"/>
          <w:rtl/>
        </w:rPr>
        <w:t xml:space="preserve">מיום </w:t>
      </w:r>
      <w:r>
        <w:rPr>
          <w:rFonts w:cs="David" w:hint="cs"/>
          <w:rtl/>
        </w:rPr>
        <w:t>9</w:t>
      </w:r>
      <w:r w:rsidRPr="00006B8F">
        <w:rPr>
          <w:rFonts w:cs="David" w:hint="cs"/>
          <w:rtl/>
        </w:rPr>
        <w:t>.</w:t>
      </w:r>
      <w:r>
        <w:rPr>
          <w:rFonts w:cs="David" w:hint="cs"/>
          <w:rtl/>
        </w:rPr>
        <w:t>1</w:t>
      </w:r>
      <w:r w:rsidRPr="00006B8F">
        <w:rPr>
          <w:rFonts w:cs="David" w:hint="cs"/>
          <w:rtl/>
        </w:rPr>
        <w:t>.24</w:t>
      </w:r>
      <w:r w:rsidRPr="00006B8F">
        <w:rPr>
          <w:rFonts w:cs="David"/>
          <w:rtl/>
        </w:rPr>
        <w:t xml:space="preserve">. ביום זה יתייצב הנאשם במשרדי הממונה </w:t>
      </w:r>
      <w:r w:rsidRPr="00006B8F">
        <w:rPr>
          <w:rFonts w:cs="David" w:hint="cs"/>
          <w:rtl/>
        </w:rPr>
        <w:t xml:space="preserve">ביחידת ברקאי </w:t>
      </w:r>
      <w:r w:rsidRPr="00006B8F">
        <w:rPr>
          <w:rFonts w:cs="David"/>
          <w:rtl/>
        </w:rPr>
        <w:t>–</w:t>
      </w:r>
      <w:r w:rsidRPr="00006B8F">
        <w:rPr>
          <w:rFonts w:cs="David" w:hint="cs"/>
          <w:rtl/>
        </w:rPr>
        <w:t xml:space="preserve"> שלוחת צפון - כלא מגידו. </w:t>
      </w:r>
      <w:r w:rsidRPr="00006B8F">
        <w:rPr>
          <w:rFonts w:cs="David"/>
          <w:rtl/>
        </w:rPr>
        <w:t xml:space="preserve"> מובהר לנאשם כי עליו לבצע את העבודות לשביעות רצון הממונה וכי אם לא יעשה כן ניתן יהיה להפקיע את העבודות מנהלית והוא יאלץ לשאת ביתרת התקופה בבי</w:t>
      </w:r>
      <w:r>
        <w:rPr>
          <w:rFonts w:cs="David" w:hint="cs"/>
          <w:rtl/>
        </w:rPr>
        <w:t>ת</w:t>
      </w:r>
      <w:r w:rsidRPr="00006B8F">
        <w:rPr>
          <w:rFonts w:cs="David"/>
          <w:rtl/>
        </w:rPr>
        <w:t xml:space="preserve"> מאסר.</w:t>
      </w:r>
    </w:p>
    <w:p w14:paraId="6E822B23" w14:textId="77777777" w:rsidR="00FC7DC5" w:rsidRPr="00006B8F" w:rsidRDefault="00FC7DC5" w:rsidP="00FC7DC5">
      <w:pPr>
        <w:pStyle w:val="1"/>
        <w:spacing w:before="120" w:after="120"/>
        <w:ind w:left="1440"/>
        <w:jc w:val="both"/>
        <w:rPr>
          <w:rFonts w:cs="David"/>
          <w:rtl/>
        </w:rPr>
      </w:pPr>
    </w:p>
    <w:p w14:paraId="12BDC498" w14:textId="77777777" w:rsidR="00FC7DC5" w:rsidRDefault="00FC7DC5" w:rsidP="00FC7DC5">
      <w:pPr>
        <w:pStyle w:val="1"/>
        <w:numPr>
          <w:ilvl w:val="0"/>
          <w:numId w:val="2"/>
        </w:numPr>
        <w:spacing w:line="360" w:lineRule="auto"/>
        <w:jc w:val="both"/>
        <w:rPr>
          <w:rFonts w:cs="David"/>
        </w:rPr>
      </w:pPr>
      <w:r>
        <w:rPr>
          <w:rFonts w:cs="David"/>
          <w:rtl/>
        </w:rPr>
        <w:t>מאסר על תנאי לתקופה של 6 חודשים והתנאי הוא שהנאשם לא יעבור במשך 3 שנים  כל עבירה על פקודת הסמים</w:t>
      </w:r>
      <w:r>
        <w:rPr>
          <w:rFonts w:cs="David" w:hint="cs"/>
          <w:rtl/>
        </w:rPr>
        <w:t xml:space="preserve"> שהיא פשע</w:t>
      </w:r>
      <w:r>
        <w:rPr>
          <w:rFonts w:cs="David"/>
          <w:rtl/>
        </w:rPr>
        <w:t xml:space="preserve">. </w:t>
      </w:r>
    </w:p>
    <w:p w14:paraId="152BBDD5" w14:textId="77777777" w:rsidR="00FC7DC5" w:rsidRDefault="00FC7DC5" w:rsidP="00FC7DC5">
      <w:pPr>
        <w:pStyle w:val="a9"/>
        <w:rPr>
          <w:rtl/>
        </w:rPr>
      </w:pPr>
    </w:p>
    <w:p w14:paraId="4A1E5A36" w14:textId="77777777" w:rsidR="00FC7DC5" w:rsidRPr="0042456A" w:rsidRDefault="00FC7DC5" w:rsidP="00FC7DC5">
      <w:pPr>
        <w:numPr>
          <w:ilvl w:val="0"/>
          <w:numId w:val="2"/>
        </w:numPr>
        <w:spacing w:line="360" w:lineRule="auto"/>
        <w:contextualSpacing/>
        <w:jc w:val="both"/>
        <w:rPr>
          <w:rFonts w:ascii="Calibri" w:hAnsi="Calibri"/>
        </w:rPr>
      </w:pPr>
      <w:r w:rsidRPr="0042456A">
        <w:rPr>
          <w:rFonts w:ascii="Calibri" w:hAnsi="Calibri"/>
          <w:rtl/>
        </w:rPr>
        <w:t xml:space="preserve">אני מעמיד את הנאשם בפיקוח שירות המבחן למשך 18 חודשים. </w:t>
      </w:r>
    </w:p>
    <w:p w14:paraId="0977AE8D" w14:textId="77777777" w:rsidR="00FC7DC5" w:rsidRDefault="00FC7DC5" w:rsidP="00FC7DC5">
      <w:pPr>
        <w:spacing w:line="360" w:lineRule="auto"/>
        <w:ind w:left="1440"/>
        <w:contextualSpacing/>
        <w:jc w:val="both"/>
        <w:rPr>
          <w:rFonts w:ascii="Calibri" w:hAnsi="Calibri"/>
        </w:rPr>
      </w:pPr>
      <w:r>
        <w:rPr>
          <w:rFonts w:ascii="Calibri" w:hAnsi="Calibri"/>
          <w:rtl/>
        </w:rPr>
        <w:t>הוסבר לנאשם שעליו לקיים את הוראות שירות המבחן וכי הפרה של צו הפיקוח עלולה להוביל להפקעתו ולהטלת עונשים נוספים.</w:t>
      </w:r>
    </w:p>
    <w:p w14:paraId="4F6FFE09" w14:textId="77777777" w:rsidR="00FC7DC5" w:rsidRPr="00006B8F" w:rsidRDefault="00FC7DC5" w:rsidP="00FC7DC5">
      <w:pPr>
        <w:pStyle w:val="1"/>
        <w:numPr>
          <w:ilvl w:val="0"/>
          <w:numId w:val="2"/>
        </w:numPr>
        <w:spacing w:before="120" w:after="120" w:line="360" w:lineRule="auto"/>
        <w:jc w:val="both"/>
        <w:rPr>
          <w:rFonts w:cs="David"/>
          <w:rtl/>
        </w:rPr>
      </w:pPr>
      <w:r w:rsidRPr="00006B8F">
        <w:rPr>
          <w:rFonts w:cs="David"/>
          <w:rtl/>
        </w:rPr>
        <w:t xml:space="preserve">קנס בסך </w:t>
      </w:r>
      <w:r w:rsidRPr="00006B8F">
        <w:rPr>
          <w:rFonts w:cs="David" w:hint="cs"/>
          <w:rtl/>
        </w:rPr>
        <w:t>3,500</w:t>
      </w:r>
      <w:r w:rsidRPr="00006B8F">
        <w:rPr>
          <w:rFonts w:cs="David"/>
          <w:rtl/>
        </w:rPr>
        <w:t xml:space="preserve"> ₪</w:t>
      </w:r>
      <w:r w:rsidRPr="00006B8F">
        <w:rPr>
          <w:rFonts w:cs="David" w:hint="cs"/>
          <w:rtl/>
        </w:rPr>
        <w:t xml:space="preserve">. </w:t>
      </w:r>
      <w:r w:rsidRPr="00006B8F">
        <w:rPr>
          <w:rFonts w:cs="David"/>
          <w:rtl/>
        </w:rPr>
        <w:t xml:space="preserve">הקנס ישולם ב- </w:t>
      </w:r>
      <w:r w:rsidRPr="00006B8F">
        <w:rPr>
          <w:rFonts w:cs="David" w:hint="cs"/>
          <w:rtl/>
        </w:rPr>
        <w:t>7</w:t>
      </w:r>
      <w:r w:rsidRPr="00006B8F">
        <w:rPr>
          <w:rFonts w:cs="David"/>
          <w:rtl/>
        </w:rPr>
        <w:t xml:space="preserve"> תשלומים חודשיים רצופים ושווים החל מיום </w:t>
      </w:r>
      <w:r w:rsidRPr="00006B8F">
        <w:rPr>
          <w:rFonts w:cs="David" w:hint="cs"/>
          <w:rtl/>
        </w:rPr>
        <w:t xml:space="preserve">01.04.2024. ובכל 1 לחודש שלאחריו. </w:t>
      </w:r>
      <w:r w:rsidRPr="00006B8F">
        <w:rPr>
          <w:rFonts w:cs="David"/>
          <w:rtl/>
        </w:rPr>
        <w:t xml:space="preserve">היה </w:t>
      </w:r>
      <w:r>
        <w:rPr>
          <w:rFonts w:cs="David" w:hint="cs"/>
          <w:rtl/>
        </w:rPr>
        <w:t xml:space="preserve">ותשלום אחד או יותר לא ישולם במועדו, </w:t>
      </w:r>
      <w:r w:rsidRPr="00006B8F">
        <w:rPr>
          <w:rFonts w:cs="David"/>
          <w:rtl/>
        </w:rPr>
        <w:t>תעמוד יתרת הקנס לתשלום מידי.</w:t>
      </w:r>
    </w:p>
    <w:p w14:paraId="16717C8F" w14:textId="77777777" w:rsidR="00FC7DC5" w:rsidRDefault="00FC7DC5" w:rsidP="00FC7DC5">
      <w:pPr>
        <w:spacing w:before="120" w:after="120" w:line="360" w:lineRule="auto"/>
        <w:ind w:left="1440"/>
        <w:contextualSpacing/>
        <w:jc w:val="both"/>
        <w:rPr>
          <w:b/>
          <w:bCs/>
          <w:u w:val="single"/>
          <w:rtl/>
        </w:rPr>
      </w:pPr>
      <w:r>
        <w:rPr>
          <w:b/>
          <w:bCs/>
          <w:u w:val="single"/>
          <w:rtl/>
        </w:rPr>
        <w:t xml:space="preserve">בחלוף תקופת הערעור, ניתן להשמיד את המוצגים - סמים. </w:t>
      </w:r>
    </w:p>
    <w:p w14:paraId="1AC432E6" w14:textId="77777777" w:rsidR="00FC7DC5" w:rsidRDefault="00583395" w:rsidP="00FC7DC5">
      <w:pPr>
        <w:spacing w:before="120" w:after="120" w:line="360" w:lineRule="auto"/>
        <w:ind w:left="1440"/>
        <w:contextualSpacing/>
        <w:jc w:val="both"/>
        <w:rPr>
          <w:b/>
          <w:bCs/>
          <w:u w:val="single"/>
          <w:rtl/>
        </w:rPr>
      </w:pPr>
      <w:r w:rsidRPr="00583395">
        <w:rPr>
          <w:b/>
          <w:bCs/>
          <w:color w:val="FFFFFF"/>
          <w:sz w:val="2"/>
          <w:szCs w:val="2"/>
          <w:u w:val="single"/>
          <w:rtl/>
        </w:rPr>
        <w:t>5129371</w:t>
      </w:r>
      <w:r w:rsidR="00FC7DC5">
        <w:rPr>
          <w:b/>
          <w:bCs/>
          <w:u w:val="single"/>
          <w:rtl/>
        </w:rPr>
        <w:t>המזכירות: להמציא את גזר הדין לממונה על עבודות השירות וכן לשירות המבחן.</w:t>
      </w:r>
    </w:p>
    <w:p w14:paraId="73E156D3" w14:textId="77777777" w:rsidR="00FC7DC5" w:rsidRDefault="00583395" w:rsidP="00FC7DC5">
      <w:pPr>
        <w:spacing w:before="120" w:after="120" w:line="360" w:lineRule="auto"/>
        <w:ind w:left="1440"/>
        <w:contextualSpacing/>
        <w:jc w:val="both"/>
        <w:rPr>
          <w:b/>
          <w:bCs/>
          <w:u w:val="single"/>
        </w:rPr>
      </w:pPr>
      <w:r w:rsidRPr="00583395">
        <w:rPr>
          <w:b/>
          <w:bCs/>
          <w:color w:val="FFFFFF"/>
          <w:sz w:val="2"/>
          <w:szCs w:val="2"/>
          <w:u w:val="single"/>
          <w:rtl/>
        </w:rPr>
        <w:t>54678313</w:t>
      </w:r>
      <w:r w:rsidR="00FC7DC5">
        <w:rPr>
          <w:rFonts w:hint="cs"/>
          <w:b/>
          <w:bCs/>
          <w:u w:val="single"/>
          <w:rtl/>
        </w:rPr>
        <w:t xml:space="preserve">הודעה </w:t>
      </w:r>
      <w:r w:rsidR="00FC7DC5">
        <w:rPr>
          <w:b/>
          <w:bCs/>
          <w:u w:val="single"/>
          <w:rtl/>
        </w:rPr>
        <w:t xml:space="preserve">זכות ערעור תוך 45 יום </w:t>
      </w:r>
    </w:p>
    <w:p w14:paraId="26CCE27A" w14:textId="77777777" w:rsidR="00FC7DC5" w:rsidRPr="00006B8F" w:rsidRDefault="00FC7DC5" w:rsidP="00FC7DC5">
      <w:pPr>
        <w:rPr>
          <w:rFonts w:ascii="David" w:hAnsi="David"/>
          <w:rtl/>
        </w:rPr>
      </w:pPr>
    </w:p>
    <w:p w14:paraId="1D1925AF" w14:textId="77777777" w:rsidR="00FC7DC5" w:rsidRPr="00006B8F" w:rsidRDefault="00583395" w:rsidP="00FC7DC5">
      <w:pPr>
        <w:rPr>
          <w:rFonts w:ascii="David" w:hAnsi="David"/>
          <w:rtl/>
        </w:rPr>
      </w:pPr>
      <w:bookmarkStart w:id="9" w:name="Nitan"/>
      <w:r>
        <w:rPr>
          <w:rFonts w:ascii="David" w:hAnsi="David"/>
          <w:rtl/>
        </w:rPr>
        <w:t xml:space="preserve">ניתן היום,  י"ג טבת תשפ"ד, 25 דצמבר 2023, בהעדר הצדדים. </w:t>
      </w:r>
      <w:bookmarkEnd w:id="9"/>
    </w:p>
    <w:p w14:paraId="68C7695D" w14:textId="77777777" w:rsidR="00FC7DC5" w:rsidRPr="00006B8F" w:rsidRDefault="00FC7DC5" w:rsidP="00583395">
      <w:pPr>
        <w:jc w:val="center"/>
      </w:pPr>
      <w:r w:rsidRPr="00006B8F">
        <w:rPr>
          <w:rFonts w:ascii="David" w:hAnsi="David"/>
          <w:rtl/>
        </w:rPr>
        <w:t xml:space="preserve">   </w:t>
      </w:r>
      <w:r w:rsidRPr="00006B8F">
        <w:rPr>
          <w:rFonts w:ascii="David" w:hAnsi="David"/>
          <w:rtl/>
        </w:rPr>
        <w:tab/>
      </w:r>
      <w:r w:rsidRPr="00006B8F">
        <w:rPr>
          <w:rFonts w:ascii="David" w:hAnsi="David"/>
          <w:rtl/>
        </w:rPr>
        <w:tab/>
      </w:r>
      <w:r w:rsidRPr="00006B8F">
        <w:rPr>
          <w:rFonts w:ascii="David" w:hAnsi="David"/>
          <w:rtl/>
        </w:rPr>
        <w:tab/>
      </w:r>
      <w:r w:rsidRPr="00006B8F">
        <w:rPr>
          <w:rFonts w:ascii="David" w:hAnsi="David"/>
          <w:rtl/>
        </w:rPr>
        <w:tab/>
      </w:r>
      <w:r w:rsidRPr="00006B8F">
        <w:rPr>
          <w:rFonts w:ascii="David" w:hAnsi="David"/>
          <w:rtl/>
        </w:rPr>
        <w:tab/>
      </w:r>
    </w:p>
    <w:p w14:paraId="4521F6DE" w14:textId="77777777" w:rsidR="00FC7DC5" w:rsidRPr="00006B8F" w:rsidRDefault="00FC7DC5" w:rsidP="00FC7DC5">
      <w:pPr>
        <w:jc w:val="center"/>
        <w:rPr>
          <w:rFonts w:ascii="David" w:hAnsi="David"/>
          <w:rtl/>
        </w:rPr>
      </w:pPr>
    </w:p>
    <w:p w14:paraId="43087392" w14:textId="77777777" w:rsidR="003D28E8" w:rsidRPr="00583395" w:rsidRDefault="003D28E8" w:rsidP="00583395">
      <w:pPr>
        <w:keepNext/>
        <w:rPr>
          <w:rFonts w:ascii="David" w:hAnsi="David"/>
          <w:color w:val="000000"/>
          <w:sz w:val="22"/>
          <w:szCs w:val="22"/>
          <w:rtl/>
        </w:rPr>
      </w:pPr>
    </w:p>
    <w:p w14:paraId="36468879" w14:textId="77777777" w:rsidR="00583395" w:rsidRPr="00583395" w:rsidRDefault="00583395" w:rsidP="00583395">
      <w:pPr>
        <w:keepNext/>
        <w:rPr>
          <w:rFonts w:ascii="David" w:hAnsi="David"/>
          <w:color w:val="000000"/>
          <w:sz w:val="22"/>
          <w:szCs w:val="22"/>
          <w:rtl/>
        </w:rPr>
      </w:pPr>
      <w:r w:rsidRPr="00583395">
        <w:rPr>
          <w:rFonts w:ascii="David" w:hAnsi="David"/>
          <w:color w:val="000000"/>
          <w:sz w:val="22"/>
          <w:szCs w:val="22"/>
          <w:rtl/>
        </w:rPr>
        <w:t>יוסי טורס 54678313</w:t>
      </w:r>
    </w:p>
    <w:p w14:paraId="4AEE5B07" w14:textId="77777777" w:rsidR="00583395" w:rsidRDefault="00583395" w:rsidP="00583395">
      <w:r w:rsidRPr="00583395">
        <w:rPr>
          <w:color w:val="000000"/>
          <w:rtl/>
        </w:rPr>
        <w:t>נוסח מסמך זה כפוף לשינויי ניסוח ועריכה</w:t>
      </w:r>
    </w:p>
    <w:p w14:paraId="352709EA" w14:textId="77777777" w:rsidR="00583395" w:rsidRDefault="00583395" w:rsidP="00583395">
      <w:pPr>
        <w:rPr>
          <w:rtl/>
        </w:rPr>
      </w:pPr>
    </w:p>
    <w:p w14:paraId="35B41ED7" w14:textId="77777777" w:rsidR="00583395" w:rsidRDefault="00583395" w:rsidP="00583395">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5A0FE6DC" w14:textId="77777777" w:rsidR="00583395" w:rsidRPr="00583395" w:rsidRDefault="00583395" w:rsidP="00583395">
      <w:pPr>
        <w:jc w:val="center"/>
        <w:rPr>
          <w:color w:val="0000FF"/>
          <w:u w:val="single"/>
        </w:rPr>
      </w:pPr>
    </w:p>
    <w:sectPr w:rsidR="00583395" w:rsidRPr="00583395" w:rsidSect="00583395">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5BBA9" w14:textId="77777777" w:rsidR="0065154F" w:rsidRDefault="0065154F" w:rsidP="001F2868">
      <w:r>
        <w:separator/>
      </w:r>
    </w:p>
  </w:endnote>
  <w:endnote w:type="continuationSeparator" w:id="0">
    <w:p w14:paraId="59B219A9" w14:textId="77777777" w:rsidR="0065154F" w:rsidRDefault="0065154F" w:rsidP="001F2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9BC56" w14:textId="77777777" w:rsidR="00583395" w:rsidRDefault="00583395" w:rsidP="0058339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DB021D" w14:textId="77777777" w:rsidR="00FC07B4" w:rsidRPr="00583395" w:rsidRDefault="00583395" w:rsidP="0058339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9B788" w14:textId="77777777" w:rsidR="00583395" w:rsidRDefault="00583395" w:rsidP="0058339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77E9">
      <w:rPr>
        <w:rFonts w:ascii="FrankRuehl" w:hAnsi="FrankRuehl" w:cs="FrankRuehl"/>
        <w:noProof/>
        <w:rtl/>
      </w:rPr>
      <w:t>1</w:t>
    </w:r>
    <w:r>
      <w:rPr>
        <w:rFonts w:ascii="FrankRuehl" w:hAnsi="FrankRuehl" w:cs="FrankRuehl"/>
        <w:rtl/>
      </w:rPr>
      <w:fldChar w:fldCharType="end"/>
    </w:r>
  </w:p>
  <w:p w14:paraId="5722AE27" w14:textId="77777777" w:rsidR="00FC07B4" w:rsidRPr="00583395" w:rsidRDefault="00583395" w:rsidP="0058339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DF72C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394CF" w14:textId="77777777" w:rsidR="0065154F" w:rsidRDefault="0065154F" w:rsidP="001F2868">
      <w:r>
        <w:separator/>
      </w:r>
    </w:p>
  </w:footnote>
  <w:footnote w:type="continuationSeparator" w:id="0">
    <w:p w14:paraId="54204923" w14:textId="77777777" w:rsidR="0065154F" w:rsidRDefault="0065154F" w:rsidP="001F2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27CA" w14:textId="77777777" w:rsidR="00583395" w:rsidRPr="00583395" w:rsidRDefault="00583395" w:rsidP="0058339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9649-10-22</w:t>
    </w:r>
    <w:r>
      <w:rPr>
        <w:rFonts w:ascii="David" w:hAnsi="David"/>
        <w:color w:val="000000"/>
        <w:sz w:val="22"/>
        <w:szCs w:val="22"/>
        <w:rtl/>
      </w:rPr>
      <w:tab/>
      <w:t xml:space="preserve"> מדינת ישראל נ' יעקב פחימה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C7968" w14:textId="77777777" w:rsidR="00583395" w:rsidRPr="00583395" w:rsidRDefault="00583395" w:rsidP="0058339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9649-10-22</w:t>
    </w:r>
    <w:r>
      <w:rPr>
        <w:rFonts w:ascii="David" w:hAnsi="David"/>
        <w:color w:val="000000"/>
        <w:sz w:val="22"/>
        <w:szCs w:val="22"/>
        <w:rtl/>
      </w:rPr>
      <w:tab/>
      <w:t xml:space="preserve"> מדינת ישראל נ' יעקב פחימה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544"/>
    <w:multiLevelType w:val="hybridMultilevel"/>
    <w:tmpl w:val="CA5CDC5E"/>
    <w:lvl w:ilvl="0" w:tplc="43AEC4C6">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E1EE1"/>
    <w:multiLevelType w:val="hybridMultilevel"/>
    <w:tmpl w:val="B21C6BE8"/>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791896230">
    <w:abstractNumId w:val="0"/>
  </w:num>
  <w:num w:numId="2" w16cid:durableId="1779762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7DC5"/>
    <w:rsid w:val="0002218E"/>
    <w:rsid w:val="000377E9"/>
    <w:rsid w:val="00192C77"/>
    <w:rsid w:val="0019504C"/>
    <w:rsid w:val="001F2868"/>
    <w:rsid w:val="003D28E8"/>
    <w:rsid w:val="003E6FEE"/>
    <w:rsid w:val="00400255"/>
    <w:rsid w:val="00583395"/>
    <w:rsid w:val="0065154F"/>
    <w:rsid w:val="006777CE"/>
    <w:rsid w:val="007D4053"/>
    <w:rsid w:val="00AC2DAA"/>
    <w:rsid w:val="00E95426"/>
    <w:rsid w:val="00FC07B4"/>
    <w:rsid w:val="00FC7D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02B782"/>
  <w15:chartTrackingRefBased/>
  <w15:docId w15:val="{7C1AFE19-431B-475A-8C98-07C3E79F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7D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7DC5"/>
    <w:pPr>
      <w:tabs>
        <w:tab w:val="center" w:pos="4153"/>
        <w:tab w:val="right" w:pos="8306"/>
      </w:tabs>
    </w:pPr>
  </w:style>
  <w:style w:type="character" w:customStyle="1" w:styleId="a4">
    <w:name w:val="כותרת עליונה תו"/>
    <w:link w:val="a3"/>
    <w:rsid w:val="00FC7DC5"/>
    <w:rPr>
      <w:rFonts w:ascii="Times New Roman" w:eastAsia="Times New Roman" w:hAnsi="Times New Roman" w:cs="David"/>
      <w:sz w:val="24"/>
      <w:szCs w:val="24"/>
    </w:rPr>
  </w:style>
  <w:style w:type="paragraph" w:styleId="a5">
    <w:name w:val="footer"/>
    <w:basedOn w:val="a"/>
    <w:link w:val="a6"/>
    <w:rsid w:val="00FC7DC5"/>
    <w:pPr>
      <w:tabs>
        <w:tab w:val="center" w:pos="4153"/>
        <w:tab w:val="right" w:pos="8306"/>
      </w:tabs>
    </w:pPr>
  </w:style>
  <w:style w:type="character" w:customStyle="1" w:styleId="a6">
    <w:name w:val="כותרת תחתונה תו"/>
    <w:link w:val="a5"/>
    <w:rsid w:val="00FC7DC5"/>
    <w:rPr>
      <w:rFonts w:ascii="Times New Roman" w:eastAsia="Times New Roman" w:hAnsi="Times New Roman" w:cs="David"/>
      <w:sz w:val="24"/>
      <w:szCs w:val="24"/>
    </w:rPr>
  </w:style>
  <w:style w:type="table" w:styleId="a7">
    <w:name w:val="Table Grid"/>
    <w:basedOn w:val="a1"/>
    <w:rsid w:val="00FC7D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C7DC5"/>
  </w:style>
  <w:style w:type="paragraph" w:styleId="a9">
    <w:name w:val="List Paragraph"/>
    <w:basedOn w:val="a"/>
    <w:qFormat/>
    <w:rsid w:val="00FC7DC5"/>
    <w:pPr>
      <w:ind w:left="720"/>
      <w:contextualSpacing/>
    </w:pPr>
  </w:style>
  <w:style w:type="character" w:styleId="Hyperlink">
    <w:name w:val="Hyperlink"/>
    <w:rsid w:val="00FC7DC5"/>
    <w:rPr>
      <w:color w:val="0000FF"/>
      <w:u w:val="single"/>
    </w:rPr>
  </w:style>
  <w:style w:type="paragraph" w:customStyle="1" w:styleId="1">
    <w:name w:val="פיסקת רשימה1"/>
    <w:basedOn w:val="a"/>
    <w:rsid w:val="00FC7DC5"/>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3827604" TargetMode="External"/><Relationship Id="rId26" Type="http://schemas.openxmlformats.org/officeDocument/2006/relationships/hyperlink" Target="http://www.nevo.co.il/case/27092586" TargetMode="External"/><Relationship Id="rId39" Type="http://schemas.openxmlformats.org/officeDocument/2006/relationships/footer" Target="footer1.xml"/><Relationship Id="rId21" Type="http://schemas.openxmlformats.org/officeDocument/2006/relationships/hyperlink" Target="http://www.nevo.co.il/case/17947582" TargetMode="External"/><Relationship Id="rId34" Type="http://schemas.openxmlformats.org/officeDocument/2006/relationships/hyperlink" Target="http://www.nevo.co.il/case/6244964"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3093721" TargetMode="External"/><Relationship Id="rId20" Type="http://schemas.openxmlformats.org/officeDocument/2006/relationships/hyperlink" Target="http://www.nevo.co.il/case/23751286" TargetMode="External"/><Relationship Id="rId29" Type="http://schemas.openxmlformats.org/officeDocument/2006/relationships/hyperlink" Target="http://www.nevo.co.il/law/7030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8190928" TargetMode="External"/><Relationship Id="rId32" Type="http://schemas.openxmlformats.org/officeDocument/2006/relationships/hyperlink" Target="http://www.nevo.co.il/safrut/book/30035"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17954235" TargetMode="External"/><Relationship Id="rId23" Type="http://schemas.openxmlformats.org/officeDocument/2006/relationships/hyperlink" Target="http://www.nevo.co.il/case/27361147" TargetMode="External"/><Relationship Id="rId28" Type="http://schemas.openxmlformats.org/officeDocument/2006/relationships/hyperlink" Target="http://www.nevo.co.il/law/70301/40d"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0956295" TargetMode="External"/><Relationship Id="rId31" Type="http://schemas.openxmlformats.org/officeDocument/2006/relationships/hyperlink" Target="http://www.nevo.co.il/case/2293850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367963" TargetMode="External"/><Relationship Id="rId27" Type="http://schemas.openxmlformats.org/officeDocument/2006/relationships/hyperlink" Target="http://www.nevo.co.il/case/27274743" TargetMode="External"/><Relationship Id="rId30" Type="http://schemas.openxmlformats.org/officeDocument/2006/relationships/hyperlink" Target="http://www.nevo.co.il/case/10459128" TargetMode="External"/><Relationship Id="rId35" Type="http://schemas.openxmlformats.org/officeDocument/2006/relationships/hyperlink" Target="http://www.nevo.co.il/case/10520794"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case/28803029" TargetMode="External"/><Relationship Id="rId17" Type="http://schemas.openxmlformats.org/officeDocument/2006/relationships/hyperlink" Target="http://www.nevo.co.il/case/26991436" TargetMode="External"/><Relationship Id="rId25" Type="http://schemas.openxmlformats.org/officeDocument/2006/relationships/hyperlink" Target="http://www.nevo.co.il/case/26349587" TargetMode="External"/><Relationship Id="rId33" Type="http://schemas.openxmlformats.org/officeDocument/2006/relationships/hyperlink" Target="http://www.nevo.co.il/case/21477475"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2330</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13958</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3997809</vt:i4>
      </vt:variant>
      <vt:variant>
        <vt:i4>87</vt:i4>
      </vt:variant>
      <vt:variant>
        <vt:i4>0</vt:i4>
      </vt:variant>
      <vt:variant>
        <vt:i4>5</vt:i4>
      </vt:variant>
      <vt:variant>
        <vt:lpwstr>http://www.nevo.co.il/case/10520794</vt:lpwstr>
      </vt:variant>
      <vt:variant>
        <vt:lpwstr/>
      </vt:variant>
      <vt:variant>
        <vt:i4>4128884</vt:i4>
      </vt:variant>
      <vt:variant>
        <vt:i4>84</vt:i4>
      </vt:variant>
      <vt:variant>
        <vt:i4>0</vt:i4>
      </vt:variant>
      <vt:variant>
        <vt:i4>5</vt:i4>
      </vt:variant>
      <vt:variant>
        <vt:lpwstr>http://www.nevo.co.il/case/6244964</vt:lpwstr>
      </vt:variant>
      <vt:variant>
        <vt:lpwstr/>
      </vt:variant>
      <vt:variant>
        <vt:i4>3539062</vt:i4>
      </vt:variant>
      <vt:variant>
        <vt:i4>81</vt:i4>
      </vt:variant>
      <vt:variant>
        <vt:i4>0</vt:i4>
      </vt:variant>
      <vt:variant>
        <vt:i4>5</vt:i4>
      </vt:variant>
      <vt:variant>
        <vt:lpwstr>http://www.nevo.co.il/case/21477475</vt:lpwstr>
      </vt:variant>
      <vt:variant>
        <vt:lpwstr/>
      </vt:variant>
      <vt:variant>
        <vt:i4>7471155</vt:i4>
      </vt:variant>
      <vt:variant>
        <vt:i4>78</vt:i4>
      </vt:variant>
      <vt:variant>
        <vt:i4>0</vt:i4>
      </vt:variant>
      <vt:variant>
        <vt:i4>5</vt:i4>
      </vt:variant>
      <vt:variant>
        <vt:lpwstr>http://www.nevo.co.il/safrut/book/30035</vt:lpwstr>
      </vt:variant>
      <vt:variant>
        <vt:lpwstr/>
      </vt:variant>
      <vt:variant>
        <vt:i4>3342448</vt:i4>
      </vt:variant>
      <vt:variant>
        <vt:i4>75</vt:i4>
      </vt:variant>
      <vt:variant>
        <vt:i4>0</vt:i4>
      </vt:variant>
      <vt:variant>
        <vt:i4>5</vt:i4>
      </vt:variant>
      <vt:variant>
        <vt:lpwstr>http://www.nevo.co.il/case/22938500</vt:lpwstr>
      </vt:variant>
      <vt:variant>
        <vt:lpwstr/>
      </vt:variant>
      <vt:variant>
        <vt:i4>4063344</vt:i4>
      </vt:variant>
      <vt:variant>
        <vt:i4>72</vt:i4>
      </vt:variant>
      <vt:variant>
        <vt:i4>0</vt:i4>
      </vt:variant>
      <vt:variant>
        <vt:i4>5</vt:i4>
      </vt:variant>
      <vt:variant>
        <vt:lpwstr>http://www.nevo.co.il/case/10459128</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3145843</vt:i4>
      </vt:variant>
      <vt:variant>
        <vt:i4>63</vt:i4>
      </vt:variant>
      <vt:variant>
        <vt:i4>0</vt:i4>
      </vt:variant>
      <vt:variant>
        <vt:i4>5</vt:i4>
      </vt:variant>
      <vt:variant>
        <vt:lpwstr>http://www.nevo.co.il/case/27274743</vt:lpwstr>
      </vt:variant>
      <vt:variant>
        <vt:lpwstr/>
      </vt:variant>
      <vt:variant>
        <vt:i4>3670143</vt:i4>
      </vt:variant>
      <vt:variant>
        <vt:i4>60</vt:i4>
      </vt:variant>
      <vt:variant>
        <vt:i4>0</vt:i4>
      </vt:variant>
      <vt:variant>
        <vt:i4>5</vt:i4>
      </vt:variant>
      <vt:variant>
        <vt:lpwstr>http://www.nevo.co.il/case/27092586</vt:lpwstr>
      </vt:variant>
      <vt:variant>
        <vt:lpwstr/>
      </vt:variant>
      <vt:variant>
        <vt:i4>3145843</vt:i4>
      </vt:variant>
      <vt:variant>
        <vt:i4>57</vt:i4>
      </vt:variant>
      <vt:variant>
        <vt:i4>0</vt:i4>
      </vt:variant>
      <vt:variant>
        <vt:i4>5</vt:i4>
      </vt:variant>
      <vt:variant>
        <vt:lpwstr>http://www.nevo.co.il/case/26349587</vt:lpwstr>
      </vt:variant>
      <vt:variant>
        <vt:lpwstr/>
      </vt:variant>
      <vt:variant>
        <vt:i4>3211388</vt:i4>
      </vt:variant>
      <vt:variant>
        <vt:i4>54</vt:i4>
      </vt:variant>
      <vt:variant>
        <vt:i4>0</vt:i4>
      </vt:variant>
      <vt:variant>
        <vt:i4>5</vt:i4>
      </vt:variant>
      <vt:variant>
        <vt:lpwstr>http://www.nevo.co.il/case/28190928</vt:lpwstr>
      </vt:variant>
      <vt:variant>
        <vt:lpwstr/>
      </vt:variant>
      <vt:variant>
        <vt:i4>3407988</vt:i4>
      </vt:variant>
      <vt:variant>
        <vt:i4>51</vt:i4>
      </vt:variant>
      <vt:variant>
        <vt:i4>0</vt:i4>
      </vt:variant>
      <vt:variant>
        <vt:i4>5</vt:i4>
      </vt:variant>
      <vt:variant>
        <vt:lpwstr>http://www.nevo.co.il/case/27361147</vt:lpwstr>
      </vt:variant>
      <vt:variant>
        <vt:lpwstr/>
      </vt:variant>
      <vt:variant>
        <vt:i4>3145854</vt:i4>
      </vt:variant>
      <vt:variant>
        <vt:i4>48</vt:i4>
      </vt:variant>
      <vt:variant>
        <vt:i4>0</vt:i4>
      </vt:variant>
      <vt:variant>
        <vt:i4>5</vt:i4>
      </vt:variant>
      <vt:variant>
        <vt:lpwstr>http://www.nevo.co.il/case/25367963</vt:lpwstr>
      </vt:variant>
      <vt:variant>
        <vt:lpwstr/>
      </vt:variant>
      <vt:variant>
        <vt:i4>3604594</vt:i4>
      </vt:variant>
      <vt:variant>
        <vt:i4>45</vt:i4>
      </vt:variant>
      <vt:variant>
        <vt:i4>0</vt:i4>
      </vt:variant>
      <vt:variant>
        <vt:i4>5</vt:i4>
      </vt:variant>
      <vt:variant>
        <vt:lpwstr>http://www.nevo.co.il/case/17947582</vt:lpwstr>
      </vt:variant>
      <vt:variant>
        <vt:lpwstr/>
      </vt:variant>
      <vt:variant>
        <vt:i4>3932272</vt:i4>
      </vt:variant>
      <vt:variant>
        <vt:i4>42</vt:i4>
      </vt:variant>
      <vt:variant>
        <vt:i4>0</vt:i4>
      </vt:variant>
      <vt:variant>
        <vt:i4>5</vt:i4>
      </vt:variant>
      <vt:variant>
        <vt:lpwstr>http://www.nevo.co.il/case/23751286</vt:lpwstr>
      </vt:variant>
      <vt:variant>
        <vt:lpwstr/>
      </vt:variant>
      <vt:variant>
        <vt:i4>3407987</vt:i4>
      </vt:variant>
      <vt:variant>
        <vt:i4>39</vt:i4>
      </vt:variant>
      <vt:variant>
        <vt:i4>0</vt:i4>
      </vt:variant>
      <vt:variant>
        <vt:i4>5</vt:i4>
      </vt:variant>
      <vt:variant>
        <vt:lpwstr>http://www.nevo.co.il/case/20956295</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3735679</vt:i4>
      </vt:variant>
      <vt:variant>
        <vt:i4>33</vt:i4>
      </vt:variant>
      <vt:variant>
        <vt:i4>0</vt:i4>
      </vt:variant>
      <vt:variant>
        <vt:i4>5</vt:i4>
      </vt:variant>
      <vt:variant>
        <vt:lpwstr>http://www.nevo.co.il/case/26991436</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4128884</vt:i4>
      </vt:variant>
      <vt:variant>
        <vt:i4>27</vt:i4>
      </vt:variant>
      <vt:variant>
        <vt:i4>0</vt:i4>
      </vt:variant>
      <vt:variant>
        <vt:i4>5</vt:i4>
      </vt:variant>
      <vt:variant>
        <vt:lpwstr>http://www.nevo.co.il/case/17954235</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3866748</vt:i4>
      </vt:variant>
      <vt:variant>
        <vt:i4>18</vt:i4>
      </vt:variant>
      <vt:variant>
        <vt:i4>0</vt:i4>
      </vt:variant>
      <vt:variant>
        <vt:i4>5</vt:i4>
      </vt:variant>
      <vt:variant>
        <vt:lpwstr>http://www.nevo.co.il/case/28803029</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2025-04-23T01:37:00Z</dcterms:created>
  <dcterms:modified xsi:type="dcterms:W3CDTF">2025-04-23T01:37:00Z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9649</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יעקב פחימה</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20231225</vt:lpwstr>
  </property>
  <property fmtid="{D5CDD505-2E9C-101B-9397-08002B2CF9AE}" pid="13" name="TYPE_N_DATE">
    <vt:lpwstr>38020231225</vt:lpwstr>
  </property>
  <property fmtid="{D5CDD505-2E9C-101B-9397-08002B2CF9AE}" pid="14" name="WORDNUMPAGES">
    <vt:lpwstr>6</vt:lpwstr>
  </property>
  <property fmtid="{D5CDD505-2E9C-101B-9397-08002B2CF9AE}" pid="15" name="TYPE_ABS_DATE">
    <vt:lpwstr>380020231225</vt:lpwstr>
  </property>
  <property fmtid="{D5CDD505-2E9C-101B-9397-08002B2CF9AE}" pid="16" name="ISABSTRACT">
    <vt:lpwstr>Y</vt:lpwstr>
  </property>
  <property fmtid="{D5CDD505-2E9C-101B-9397-08002B2CF9AE}" pid="17" name="CASESLISTTMP1">
    <vt:lpwstr>28803029;17954235;13093721;26991436;23827604;20956295;23751286;17947582;25367963;27361147;28190928;26349587;27092586;27274743;10459128;22938500;21477475;6244964;10520794</vt:lpwstr>
  </property>
  <property fmtid="{D5CDD505-2E9C-101B-9397-08002B2CF9AE}" pid="18" name="BOOKLISTTMP1">
    <vt:lpwstr>30035</vt:lpwstr>
  </property>
  <property fmtid="{D5CDD505-2E9C-101B-9397-08002B2CF9AE}" pid="19" name="LAWLISTTMP1">
    <vt:lpwstr>4216/007.a;007.c</vt:lpwstr>
  </property>
  <property fmtid="{D5CDD505-2E9C-101B-9397-08002B2CF9AE}" pid="20" name="LAWLISTTMP2">
    <vt:lpwstr>70301/040d</vt:lpwstr>
  </property>
</Properties>
</file>