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6"/>
        <w:gridCol w:w="3666"/>
        <w:gridCol w:w="99"/>
      </w:tblGrid>
      <w:tr w:rsidR="00E32991" w:rsidRPr="00E43147" w14:paraId="1AE3BA9F" w14:textId="77777777" w:rsidTr="00C44976">
        <w:trPr>
          <w:gridAfter w:val="1"/>
          <w:wAfter w:w="99" w:type="dxa"/>
          <w:trHeight w:hRule="exact" w:val="418"/>
          <w:jc w:val="center"/>
        </w:trPr>
        <w:tc>
          <w:tcPr>
            <w:tcW w:w="8721" w:type="dxa"/>
            <w:gridSpan w:val="4"/>
          </w:tcPr>
          <w:p w14:paraId="6C232232" w14:textId="77777777" w:rsidR="00E32991" w:rsidRPr="00E43147" w:rsidRDefault="00E32991" w:rsidP="006652F3">
            <w:pPr>
              <w:pStyle w:val="a3"/>
              <w:jc w:val="center"/>
              <w:rPr>
                <w:rFonts w:ascii="Tahoma" w:hAnsi="Tahoma" w:cs="Tahoma"/>
                <w:color w:val="000080"/>
                <w:rtl/>
              </w:rPr>
            </w:pPr>
            <w:bookmarkStart w:id="0" w:name="FirstLawyer"/>
            <w:bookmarkStart w:id="1" w:name="LastJudge"/>
            <w:r w:rsidRPr="00E43147">
              <w:rPr>
                <w:rFonts w:ascii="Tahoma" w:hAnsi="Tahoma" w:cs="Tahoma"/>
                <w:b/>
                <w:bCs/>
                <w:color w:val="000080"/>
                <w:rtl/>
              </w:rPr>
              <w:t>בית משפט השלום בראשון לציון</w:t>
            </w:r>
          </w:p>
        </w:tc>
      </w:tr>
      <w:tr w:rsidR="00E32991" w:rsidRPr="00E43147" w14:paraId="0A50685C" w14:textId="77777777" w:rsidTr="00C44976">
        <w:trPr>
          <w:gridAfter w:val="1"/>
          <w:wAfter w:w="99" w:type="dxa"/>
          <w:trHeight w:val="337"/>
          <w:jc w:val="center"/>
        </w:trPr>
        <w:tc>
          <w:tcPr>
            <w:tcW w:w="5055" w:type="dxa"/>
            <w:gridSpan w:val="3"/>
          </w:tcPr>
          <w:p w14:paraId="2D7B3350" w14:textId="77777777" w:rsidR="00E32991" w:rsidRPr="00E43147" w:rsidRDefault="00E32991" w:rsidP="006652F3">
            <w:pPr>
              <w:rPr>
                <w:rFonts w:cs="FrankRuehl"/>
                <w:sz w:val="28"/>
                <w:szCs w:val="28"/>
                <w:rtl/>
              </w:rPr>
            </w:pPr>
            <w:r w:rsidRPr="00E43147">
              <w:rPr>
                <w:rFonts w:cs="FrankRuehl"/>
                <w:sz w:val="28"/>
                <w:szCs w:val="28"/>
                <w:rtl/>
              </w:rPr>
              <w:t>ת"פ</w:t>
            </w:r>
            <w:r w:rsidRPr="00E43147">
              <w:rPr>
                <w:rFonts w:cs="FrankRuehl" w:hint="cs"/>
                <w:sz w:val="28"/>
                <w:szCs w:val="28"/>
                <w:rtl/>
              </w:rPr>
              <w:t xml:space="preserve"> </w:t>
            </w:r>
            <w:r w:rsidRPr="00E43147">
              <w:rPr>
                <w:rFonts w:cs="FrankRuehl"/>
                <w:sz w:val="28"/>
                <w:szCs w:val="28"/>
                <w:rtl/>
              </w:rPr>
              <w:t>2816-11-22</w:t>
            </w:r>
            <w:r w:rsidRPr="00E43147">
              <w:rPr>
                <w:rFonts w:cs="FrankRuehl" w:hint="cs"/>
                <w:sz w:val="28"/>
                <w:szCs w:val="28"/>
                <w:rtl/>
              </w:rPr>
              <w:t xml:space="preserve"> </w:t>
            </w:r>
            <w:r w:rsidRPr="00E43147">
              <w:rPr>
                <w:rFonts w:cs="FrankRuehl"/>
                <w:sz w:val="28"/>
                <w:szCs w:val="28"/>
                <w:rtl/>
              </w:rPr>
              <w:t>מדינת ישראל נ' אלקרעאן</w:t>
            </w:r>
          </w:p>
          <w:p w14:paraId="6A6C5DD3" w14:textId="77777777" w:rsidR="00E32991" w:rsidRPr="00E43147" w:rsidRDefault="00E32991" w:rsidP="006652F3">
            <w:pPr>
              <w:pStyle w:val="a3"/>
              <w:rPr>
                <w:rFonts w:cs="FrankRuehl"/>
                <w:sz w:val="28"/>
                <w:szCs w:val="28"/>
                <w:rtl/>
              </w:rPr>
            </w:pPr>
          </w:p>
        </w:tc>
        <w:tc>
          <w:tcPr>
            <w:tcW w:w="3666" w:type="dxa"/>
          </w:tcPr>
          <w:p w14:paraId="5A5858B8" w14:textId="77777777" w:rsidR="00E32991" w:rsidRPr="00E43147" w:rsidRDefault="00E32991" w:rsidP="006652F3">
            <w:pPr>
              <w:pStyle w:val="a3"/>
              <w:jc w:val="right"/>
              <w:rPr>
                <w:rFonts w:cs="FrankRuehl"/>
                <w:sz w:val="28"/>
                <w:szCs w:val="28"/>
                <w:rtl/>
              </w:rPr>
            </w:pPr>
          </w:p>
        </w:tc>
      </w:tr>
      <w:tr w:rsidR="00E32991" w:rsidRPr="00E43147" w14:paraId="7EA223B9" w14:textId="77777777" w:rsidTr="00C449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C038E9" w14:textId="77777777" w:rsidR="00E32991" w:rsidRPr="00E43147" w:rsidRDefault="00E32991" w:rsidP="00E32991">
            <w:pPr>
              <w:spacing w:line="360" w:lineRule="auto"/>
              <w:jc w:val="both"/>
              <w:rPr>
                <w:rFonts w:ascii="David" w:hAnsi="David"/>
                <w:sz w:val="26"/>
                <w:szCs w:val="26"/>
              </w:rPr>
            </w:pPr>
            <w:r w:rsidRPr="00E43147">
              <w:rPr>
                <w:rFonts w:hint="cs"/>
                <w:rtl/>
              </w:rPr>
              <w:t xml:space="preserve"> </w:t>
            </w:r>
            <w:r w:rsidRPr="00E4314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E5411EB" w14:textId="77777777" w:rsidR="00E32991" w:rsidRPr="00E43147" w:rsidRDefault="00E32991" w:rsidP="00E32991">
            <w:pPr>
              <w:spacing w:line="360" w:lineRule="auto"/>
              <w:rPr>
                <w:rFonts w:ascii="David" w:hAnsi="David"/>
                <w:sz w:val="26"/>
                <w:szCs w:val="26"/>
                <w:rtl/>
              </w:rPr>
            </w:pPr>
            <w:r w:rsidRPr="00E43147">
              <w:rPr>
                <w:rFonts w:ascii="David" w:hAnsi="David"/>
                <w:b/>
                <w:bCs/>
                <w:sz w:val="26"/>
                <w:szCs w:val="26"/>
                <w:rtl/>
              </w:rPr>
              <w:t>כבוד ה</w:t>
            </w:r>
            <w:r w:rsidRPr="00E43147">
              <w:rPr>
                <w:rFonts w:ascii="David" w:hAnsi="David" w:hint="cs"/>
                <w:b/>
                <w:bCs/>
                <w:sz w:val="26"/>
                <w:szCs w:val="26"/>
                <w:rtl/>
              </w:rPr>
              <w:t>שופטת הבכירה,</w:t>
            </w:r>
            <w:r w:rsidRPr="00E43147">
              <w:rPr>
                <w:rFonts w:ascii="David" w:hAnsi="David"/>
                <w:b/>
                <w:bCs/>
                <w:sz w:val="26"/>
                <w:szCs w:val="26"/>
                <w:rtl/>
              </w:rPr>
              <w:t xml:space="preserve"> טל אוסטפלד נאוי</w:t>
            </w:r>
          </w:p>
          <w:p w14:paraId="2A4044F5" w14:textId="77777777" w:rsidR="00E32991" w:rsidRPr="00E43147" w:rsidRDefault="00E32991" w:rsidP="00E32991">
            <w:pPr>
              <w:spacing w:line="360" w:lineRule="auto"/>
              <w:jc w:val="both"/>
              <w:rPr>
                <w:rFonts w:ascii="David" w:hAnsi="David"/>
                <w:sz w:val="26"/>
                <w:szCs w:val="26"/>
              </w:rPr>
            </w:pPr>
          </w:p>
        </w:tc>
      </w:tr>
      <w:tr w:rsidR="00E32991" w:rsidRPr="00E43147" w14:paraId="21CD91F3" w14:textId="77777777" w:rsidTr="00C449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415D4E" w14:textId="77777777" w:rsidR="00E32991" w:rsidRPr="00E43147" w:rsidRDefault="00E32991" w:rsidP="00E32991">
            <w:pPr>
              <w:spacing w:line="360" w:lineRule="auto"/>
              <w:jc w:val="both"/>
              <w:rPr>
                <w:rFonts w:ascii="David" w:hAnsi="David"/>
                <w:sz w:val="26"/>
                <w:szCs w:val="26"/>
              </w:rPr>
            </w:pPr>
            <w:bookmarkStart w:id="2" w:name="FirstAppellant"/>
          </w:p>
        </w:tc>
        <w:tc>
          <w:tcPr>
            <w:tcW w:w="4126" w:type="dxa"/>
            <w:tcBorders>
              <w:top w:val="nil"/>
              <w:left w:val="nil"/>
              <w:bottom w:val="nil"/>
              <w:right w:val="nil"/>
            </w:tcBorders>
            <w:shd w:val="clear" w:color="auto" w:fill="auto"/>
          </w:tcPr>
          <w:p w14:paraId="3FA53ECB" w14:textId="77777777" w:rsidR="00E32991" w:rsidRPr="00E43147" w:rsidRDefault="00E32991" w:rsidP="00E32991">
            <w:pPr>
              <w:spacing w:line="360" w:lineRule="auto"/>
              <w:rPr>
                <w:rFonts w:ascii="David" w:hAnsi="David"/>
                <w:sz w:val="26"/>
                <w:szCs w:val="26"/>
                <w:rtl/>
              </w:rPr>
            </w:pPr>
            <w:r w:rsidRPr="00E43147">
              <w:rPr>
                <w:rFonts w:ascii="David" w:hAnsi="David"/>
                <w:sz w:val="26"/>
                <w:szCs w:val="26"/>
                <w:rtl/>
              </w:rPr>
              <w:t>המאשימה</w:t>
            </w:r>
          </w:p>
        </w:tc>
        <w:tc>
          <w:tcPr>
            <w:tcW w:w="3771" w:type="dxa"/>
            <w:gridSpan w:val="3"/>
            <w:tcBorders>
              <w:top w:val="nil"/>
              <w:left w:val="nil"/>
              <w:bottom w:val="nil"/>
              <w:right w:val="nil"/>
            </w:tcBorders>
            <w:shd w:val="clear" w:color="auto" w:fill="auto"/>
          </w:tcPr>
          <w:p w14:paraId="4166DA32" w14:textId="77777777" w:rsidR="00E32991" w:rsidRPr="00E43147" w:rsidRDefault="00E32991" w:rsidP="00E32991">
            <w:pPr>
              <w:spacing w:line="360" w:lineRule="auto"/>
              <w:rPr>
                <w:rFonts w:ascii="David" w:hAnsi="David"/>
                <w:sz w:val="26"/>
                <w:szCs w:val="26"/>
              </w:rPr>
            </w:pPr>
            <w:r w:rsidRPr="00E43147">
              <w:rPr>
                <w:rFonts w:ascii="David" w:hAnsi="David"/>
                <w:sz w:val="26"/>
                <w:szCs w:val="26"/>
                <w:rtl/>
              </w:rPr>
              <w:t>מדינת ישראל</w:t>
            </w:r>
            <w:r w:rsidRPr="00E43147">
              <w:rPr>
                <w:rFonts w:ascii="David" w:hAnsi="David"/>
                <w:sz w:val="26"/>
                <w:szCs w:val="26"/>
                <w:rtl/>
              </w:rPr>
              <w:br/>
            </w:r>
            <w:r w:rsidRPr="00E43147">
              <w:rPr>
                <w:rFonts w:ascii="David" w:hAnsi="David" w:hint="cs"/>
                <w:sz w:val="26"/>
                <w:szCs w:val="26"/>
                <w:rtl/>
              </w:rPr>
              <w:t>באמצעות שלוחת תביעות ראשון לציון</w:t>
            </w:r>
          </w:p>
        </w:tc>
      </w:tr>
      <w:bookmarkEnd w:id="2"/>
      <w:tr w:rsidR="00E32991" w:rsidRPr="00E43147" w14:paraId="22032804" w14:textId="77777777" w:rsidTr="00C449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64CC53" w14:textId="77777777" w:rsidR="00E32991" w:rsidRPr="00E43147" w:rsidRDefault="00E32991" w:rsidP="00E32991">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43FF7D12" w14:textId="77777777" w:rsidR="00E32991" w:rsidRPr="00E43147" w:rsidRDefault="00E32991" w:rsidP="00E32991">
            <w:pPr>
              <w:spacing w:line="360" w:lineRule="auto"/>
              <w:jc w:val="center"/>
              <w:rPr>
                <w:rFonts w:ascii="David" w:hAnsi="David"/>
                <w:b/>
                <w:bCs/>
                <w:sz w:val="26"/>
                <w:szCs w:val="26"/>
                <w:rtl/>
              </w:rPr>
            </w:pPr>
          </w:p>
          <w:p w14:paraId="3B6DEB1D" w14:textId="77777777" w:rsidR="00E32991" w:rsidRPr="00E43147" w:rsidRDefault="00E32991" w:rsidP="00E32991">
            <w:pPr>
              <w:spacing w:line="360" w:lineRule="auto"/>
              <w:jc w:val="center"/>
              <w:rPr>
                <w:rFonts w:ascii="David" w:hAnsi="David"/>
                <w:b/>
                <w:bCs/>
                <w:sz w:val="26"/>
                <w:szCs w:val="26"/>
                <w:rtl/>
              </w:rPr>
            </w:pPr>
            <w:r w:rsidRPr="00E43147">
              <w:rPr>
                <w:rFonts w:ascii="David" w:hAnsi="David"/>
                <w:b/>
                <w:bCs/>
                <w:sz w:val="26"/>
                <w:szCs w:val="26"/>
                <w:rtl/>
              </w:rPr>
              <w:t>נגד</w:t>
            </w:r>
          </w:p>
          <w:p w14:paraId="02E18DA2" w14:textId="77777777" w:rsidR="00E32991" w:rsidRPr="00E43147" w:rsidRDefault="00E32991" w:rsidP="00E32991">
            <w:pPr>
              <w:spacing w:line="360" w:lineRule="auto"/>
              <w:jc w:val="both"/>
              <w:rPr>
                <w:rFonts w:ascii="David" w:hAnsi="David"/>
                <w:sz w:val="26"/>
                <w:szCs w:val="26"/>
              </w:rPr>
            </w:pPr>
          </w:p>
        </w:tc>
      </w:tr>
      <w:tr w:rsidR="00E32991" w:rsidRPr="00E43147" w14:paraId="19954B0A" w14:textId="77777777" w:rsidTr="00C449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22E2B7" w14:textId="77777777" w:rsidR="00E32991" w:rsidRPr="00E43147" w:rsidRDefault="00E32991" w:rsidP="00E32991">
            <w:pPr>
              <w:spacing w:line="360" w:lineRule="auto"/>
              <w:rPr>
                <w:rFonts w:ascii="David" w:hAnsi="David"/>
                <w:sz w:val="26"/>
                <w:szCs w:val="26"/>
                <w:rtl/>
              </w:rPr>
            </w:pPr>
          </w:p>
        </w:tc>
        <w:tc>
          <w:tcPr>
            <w:tcW w:w="4126" w:type="dxa"/>
            <w:tcBorders>
              <w:top w:val="nil"/>
              <w:left w:val="nil"/>
              <w:bottom w:val="nil"/>
              <w:right w:val="nil"/>
            </w:tcBorders>
            <w:shd w:val="clear" w:color="auto" w:fill="auto"/>
          </w:tcPr>
          <w:p w14:paraId="4B607F57" w14:textId="77777777" w:rsidR="00E32991" w:rsidRPr="00E43147" w:rsidRDefault="00E32991" w:rsidP="00E32991">
            <w:pPr>
              <w:spacing w:line="360" w:lineRule="auto"/>
              <w:rPr>
                <w:rFonts w:ascii="David" w:hAnsi="David"/>
                <w:sz w:val="26"/>
                <w:szCs w:val="26"/>
                <w:rtl/>
              </w:rPr>
            </w:pPr>
            <w:r w:rsidRPr="00E43147">
              <w:rPr>
                <w:rFonts w:ascii="David" w:hAnsi="David"/>
                <w:sz w:val="26"/>
                <w:szCs w:val="26"/>
                <w:rtl/>
              </w:rPr>
              <w:t>הנאשם</w:t>
            </w:r>
          </w:p>
        </w:tc>
        <w:tc>
          <w:tcPr>
            <w:tcW w:w="3771" w:type="dxa"/>
            <w:gridSpan w:val="3"/>
            <w:tcBorders>
              <w:top w:val="nil"/>
              <w:left w:val="nil"/>
              <w:bottom w:val="nil"/>
              <w:right w:val="nil"/>
            </w:tcBorders>
            <w:shd w:val="clear" w:color="auto" w:fill="auto"/>
          </w:tcPr>
          <w:p w14:paraId="500205FF" w14:textId="77777777" w:rsidR="00E32991" w:rsidRPr="00E43147" w:rsidRDefault="00E32991" w:rsidP="00E32991">
            <w:pPr>
              <w:spacing w:line="360" w:lineRule="auto"/>
            </w:pPr>
            <w:r w:rsidRPr="00E43147">
              <w:rPr>
                <w:rFonts w:ascii="David" w:hAnsi="David"/>
                <w:sz w:val="26"/>
                <w:szCs w:val="26"/>
                <w:rtl/>
              </w:rPr>
              <w:t>אחמד אלקרעאן</w:t>
            </w:r>
            <w:r w:rsidRPr="00E43147">
              <w:rPr>
                <w:rFonts w:ascii="David" w:hAnsi="David"/>
                <w:sz w:val="26"/>
                <w:szCs w:val="26"/>
                <w:rtl/>
              </w:rPr>
              <w:br/>
            </w:r>
            <w:r w:rsidRPr="00E43147">
              <w:rPr>
                <w:rFonts w:ascii="David" w:hAnsi="David" w:hint="cs"/>
                <w:sz w:val="26"/>
                <w:szCs w:val="26"/>
                <w:rtl/>
              </w:rPr>
              <w:t>ע"י ב"כ עו"ד שי נודל</w:t>
            </w:r>
          </w:p>
          <w:p w14:paraId="78ACD5DC" w14:textId="77777777" w:rsidR="00E32991" w:rsidRPr="00E43147" w:rsidRDefault="00E32991" w:rsidP="00E32991">
            <w:pPr>
              <w:spacing w:line="360" w:lineRule="auto"/>
              <w:rPr>
                <w:rFonts w:ascii="David" w:hAnsi="David"/>
                <w:sz w:val="26"/>
                <w:szCs w:val="26"/>
              </w:rPr>
            </w:pPr>
          </w:p>
        </w:tc>
      </w:tr>
    </w:tbl>
    <w:p w14:paraId="0F6C8AB0" w14:textId="77777777" w:rsidR="00E43147" w:rsidRPr="00E43147" w:rsidRDefault="00E43147" w:rsidP="00E43147">
      <w:pPr>
        <w:spacing w:before="120" w:after="120" w:line="240" w:lineRule="exact"/>
        <w:ind w:left="283" w:hanging="283"/>
        <w:jc w:val="both"/>
        <w:rPr>
          <w:rFonts w:ascii="FrankRuehl" w:hAnsi="FrankRuehl" w:cs="FrankRuehl"/>
          <w:rtl/>
        </w:rPr>
      </w:pPr>
    </w:p>
    <w:p w14:paraId="5211436D" w14:textId="77777777" w:rsidR="00E43147" w:rsidRPr="00E43147" w:rsidRDefault="00E43147" w:rsidP="00E43147">
      <w:pPr>
        <w:rPr>
          <w:rtl/>
        </w:rPr>
      </w:pPr>
    </w:p>
    <w:p w14:paraId="7B547CFE" w14:textId="77777777" w:rsidR="00C44976" w:rsidRPr="00C44976" w:rsidRDefault="00C44976" w:rsidP="00C44976">
      <w:pPr>
        <w:spacing w:before="120" w:after="120" w:line="240" w:lineRule="exact"/>
        <w:ind w:left="283" w:hanging="283"/>
        <w:jc w:val="both"/>
        <w:rPr>
          <w:rFonts w:ascii="FrankRuehl" w:hAnsi="FrankRuehl" w:cs="FrankRuehl"/>
          <w:rtl/>
        </w:rPr>
      </w:pPr>
    </w:p>
    <w:p w14:paraId="734C18A7" w14:textId="77777777" w:rsidR="00743131" w:rsidRPr="00743131" w:rsidRDefault="00743131" w:rsidP="00743131">
      <w:pPr>
        <w:spacing w:before="120" w:after="120" w:line="240" w:lineRule="exact"/>
        <w:ind w:left="283" w:hanging="283"/>
        <w:jc w:val="both"/>
        <w:rPr>
          <w:rFonts w:ascii="FrankRuehl" w:hAnsi="FrankRuehl" w:cs="FrankRuehl"/>
          <w:rtl/>
        </w:rPr>
      </w:pPr>
    </w:p>
    <w:p w14:paraId="495AAC96" w14:textId="77777777" w:rsidR="008A619E" w:rsidRDefault="008A619E" w:rsidP="008A619E">
      <w:pPr>
        <w:rPr>
          <w:rtl/>
        </w:rPr>
      </w:pPr>
      <w:bookmarkStart w:id="3" w:name="LawTable"/>
      <w:bookmarkEnd w:id="3"/>
    </w:p>
    <w:p w14:paraId="369BE251" w14:textId="77777777" w:rsidR="008A619E" w:rsidRPr="008A619E" w:rsidRDefault="008A619E" w:rsidP="008A619E">
      <w:pPr>
        <w:spacing w:before="120" w:after="120" w:line="240" w:lineRule="exact"/>
        <w:ind w:left="283" w:hanging="283"/>
        <w:jc w:val="both"/>
        <w:rPr>
          <w:rFonts w:ascii="FrankRuehl" w:hAnsi="FrankRuehl" w:cs="FrankRuehl"/>
          <w:rtl/>
        </w:rPr>
      </w:pPr>
    </w:p>
    <w:p w14:paraId="1545FF84" w14:textId="77777777" w:rsidR="008A619E" w:rsidRPr="008A619E" w:rsidRDefault="008A619E" w:rsidP="008A619E">
      <w:pPr>
        <w:spacing w:before="120" w:after="120" w:line="240" w:lineRule="exact"/>
        <w:ind w:left="283" w:hanging="283"/>
        <w:jc w:val="both"/>
        <w:rPr>
          <w:rFonts w:ascii="FrankRuehl" w:hAnsi="FrankRuehl" w:cs="FrankRuehl"/>
          <w:rtl/>
        </w:rPr>
      </w:pPr>
    </w:p>
    <w:p w14:paraId="3968265F" w14:textId="77777777" w:rsidR="008A619E" w:rsidRPr="008A619E" w:rsidRDefault="008A619E" w:rsidP="008A619E">
      <w:pPr>
        <w:spacing w:before="120" w:after="120" w:line="240" w:lineRule="exact"/>
        <w:ind w:left="283" w:hanging="283"/>
        <w:jc w:val="both"/>
        <w:rPr>
          <w:rFonts w:ascii="FrankRuehl" w:hAnsi="FrankRuehl" w:cs="FrankRuehl"/>
          <w:rtl/>
        </w:rPr>
      </w:pPr>
      <w:r w:rsidRPr="008A619E">
        <w:rPr>
          <w:rFonts w:ascii="FrankRuehl" w:hAnsi="FrankRuehl" w:cs="FrankRuehl"/>
          <w:rtl/>
        </w:rPr>
        <w:t xml:space="preserve">חקיקה שאוזכרה: </w:t>
      </w:r>
    </w:p>
    <w:p w14:paraId="6B94E5EC" w14:textId="77777777" w:rsidR="008A619E" w:rsidRPr="008A619E" w:rsidRDefault="008A619E" w:rsidP="008A619E">
      <w:pPr>
        <w:spacing w:before="120" w:after="120" w:line="240" w:lineRule="exact"/>
        <w:ind w:left="283" w:hanging="283"/>
        <w:jc w:val="both"/>
        <w:rPr>
          <w:rFonts w:ascii="FrankRuehl" w:hAnsi="FrankRuehl" w:cs="FrankRuehl"/>
          <w:rtl/>
        </w:rPr>
      </w:pPr>
      <w:hyperlink r:id="rId7" w:history="1">
        <w:r w:rsidRPr="008A619E">
          <w:rPr>
            <w:rFonts w:ascii="FrankRuehl" w:hAnsi="FrankRuehl" w:cs="FrankRuehl"/>
            <w:color w:val="0000FF"/>
            <w:rtl/>
          </w:rPr>
          <w:t>פקודת הסמים המסוכנים [נוסח חדש], תשל"ג-1973</w:t>
        </w:r>
      </w:hyperlink>
      <w:r w:rsidRPr="008A619E">
        <w:rPr>
          <w:rFonts w:ascii="FrankRuehl" w:hAnsi="FrankRuehl" w:cs="FrankRuehl"/>
          <w:rtl/>
        </w:rPr>
        <w:t xml:space="preserve">: סע'  </w:t>
      </w:r>
      <w:hyperlink r:id="rId8" w:history="1">
        <w:r w:rsidRPr="008A619E">
          <w:rPr>
            <w:rFonts w:ascii="FrankRuehl" w:hAnsi="FrankRuehl" w:cs="FrankRuehl"/>
            <w:color w:val="0000FF"/>
            <w:rtl/>
          </w:rPr>
          <w:t>7(א)</w:t>
        </w:r>
      </w:hyperlink>
      <w:r w:rsidRPr="008A619E">
        <w:rPr>
          <w:rFonts w:ascii="FrankRuehl" w:hAnsi="FrankRuehl" w:cs="FrankRuehl"/>
          <w:rtl/>
        </w:rPr>
        <w:t xml:space="preserve">, </w:t>
      </w:r>
      <w:hyperlink r:id="rId9" w:history="1">
        <w:r w:rsidRPr="008A619E">
          <w:rPr>
            <w:rFonts w:ascii="FrankRuehl" w:hAnsi="FrankRuehl" w:cs="FrankRuehl"/>
            <w:color w:val="0000FF"/>
            <w:rtl/>
          </w:rPr>
          <w:t>7(ג)</w:t>
        </w:r>
      </w:hyperlink>
    </w:p>
    <w:p w14:paraId="4A457FA7" w14:textId="77777777" w:rsidR="008A619E" w:rsidRPr="008A619E" w:rsidRDefault="008A619E" w:rsidP="008A619E">
      <w:pPr>
        <w:rPr>
          <w:rtl/>
        </w:rPr>
      </w:pPr>
      <w:bookmarkStart w:id="4" w:name="LawTable_End"/>
      <w:bookmarkEnd w:id="4"/>
    </w:p>
    <w:p w14:paraId="673EF951" w14:textId="77777777" w:rsidR="00E43147" w:rsidRPr="00743131" w:rsidRDefault="00E43147" w:rsidP="007431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2991" w14:paraId="50C141A3" w14:textId="77777777" w:rsidTr="00E32991">
        <w:trPr>
          <w:trHeight w:val="355"/>
          <w:jc w:val="center"/>
        </w:trPr>
        <w:tc>
          <w:tcPr>
            <w:tcW w:w="8820" w:type="dxa"/>
            <w:tcBorders>
              <w:top w:val="nil"/>
              <w:left w:val="nil"/>
              <w:bottom w:val="nil"/>
              <w:right w:val="nil"/>
            </w:tcBorders>
            <w:shd w:val="clear" w:color="auto" w:fill="auto"/>
          </w:tcPr>
          <w:p w14:paraId="75EF757C" w14:textId="77777777" w:rsidR="00E43147" w:rsidRPr="00E43147" w:rsidRDefault="00E43147" w:rsidP="00E43147">
            <w:pPr>
              <w:spacing w:line="360" w:lineRule="auto"/>
              <w:jc w:val="center"/>
              <w:rPr>
                <w:rFonts w:ascii="David" w:hAnsi="David"/>
                <w:b/>
                <w:bCs/>
                <w:sz w:val="32"/>
                <w:szCs w:val="32"/>
                <w:u w:val="single"/>
                <w:rtl/>
              </w:rPr>
            </w:pPr>
            <w:bookmarkStart w:id="5" w:name="PsakDin" w:colFirst="0" w:colLast="0"/>
            <w:bookmarkEnd w:id="0"/>
            <w:bookmarkEnd w:id="1"/>
            <w:r w:rsidRPr="00E43147">
              <w:rPr>
                <w:rFonts w:ascii="David" w:hAnsi="David"/>
                <w:b/>
                <w:bCs/>
                <w:sz w:val="32"/>
                <w:szCs w:val="32"/>
                <w:u w:val="single"/>
                <w:rtl/>
              </w:rPr>
              <w:t>גזר דין</w:t>
            </w:r>
          </w:p>
          <w:p w14:paraId="7E7B06CF" w14:textId="77777777" w:rsidR="00E32991" w:rsidRPr="00E43147" w:rsidRDefault="00E32991" w:rsidP="00E43147">
            <w:pPr>
              <w:spacing w:line="360" w:lineRule="auto"/>
              <w:jc w:val="center"/>
              <w:rPr>
                <w:rFonts w:ascii="David" w:hAnsi="David"/>
                <w:bCs/>
                <w:sz w:val="32"/>
                <w:szCs w:val="32"/>
                <w:u w:val="single"/>
                <w:rtl/>
              </w:rPr>
            </w:pPr>
          </w:p>
        </w:tc>
      </w:tr>
      <w:bookmarkEnd w:id="5"/>
    </w:tbl>
    <w:p w14:paraId="20FFEF98" w14:textId="77777777" w:rsidR="00E32991" w:rsidRPr="002B7D23" w:rsidRDefault="00E32991" w:rsidP="00E32991">
      <w:pPr>
        <w:spacing w:line="360" w:lineRule="auto"/>
        <w:rPr>
          <w:rFonts w:ascii="David" w:hAnsi="David"/>
          <w:sz w:val="26"/>
          <w:szCs w:val="26"/>
          <w:rtl/>
        </w:rPr>
      </w:pPr>
    </w:p>
    <w:p w14:paraId="15976AD8" w14:textId="77777777" w:rsidR="00E32991" w:rsidRDefault="00E32991" w:rsidP="00E32991">
      <w:pPr>
        <w:spacing w:line="360" w:lineRule="auto"/>
        <w:ind w:firstLine="360"/>
        <w:jc w:val="both"/>
        <w:rPr>
          <w:b/>
          <w:bCs/>
          <w:u w:val="single"/>
          <w:rtl/>
        </w:rPr>
      </w:pPr>
      <w:r>
        <w:rPr>
          <w:b/>
          <w:bCs/>
          <w:u w:val="single"/>
          <w:rtl/>
        </w:rPr>
        <w:t>עובדות כתב האישום</w:t>
      </w:r>
    </w:p>
    <w:p w14:paraId="6CEAA507" w14:textId="77777777" w:rsidR="00E32991" w:rsidRDefault="00E32991" w:rsidP="00E32991">
      <w:pPr>
        <w:pStyle w:val="a9"/>
        <w:numPr>
          <w:ilvl w:val="0"/>
          <w:numId w:val="1"/>
        </w:numPr>
        <w:bidi/>
        <w:jc w:val="both"/>
        <w:rPr>
          <w:rtl/>
        </w:rPr>
      </w:pPr>
      <w:bookmarkStart w:id="6" w:name="ABSTRACT_START"/>
      <w:bookmarkEnd w:id="6"/>
      <w:r>
        <w:rPr>
          <w:rtl/>
        </w:rPr>
        <w:t xml:space="preserve">הנאשם הורשע על פי הודאתו, בעובדות כתב האישום, בביצוע עבירה של </w:t>
      </w:r>
      <w:r>
        <w:rPr>
          <w:b/>
          <w:bCs/>
          <w:rtl/>
        </w:rPr>
        <w:t>החזקת סם שלא לצריכה עצמית</w:t>
      </w:r>
      <w:r>
        <w:rPr>
          <w:rtl/>
        </w:rPr>
        <w:t xml:space="preserve"> - עבירה לפי </w:t>
      </w:r>
      <w:hyperlink r:id="rId10" w:history="1">
        <w:r w:rsidR="00C44976" w:rsidRPr="00C44976">
          <w:rPr>
            <w:rStyle w:val="Hyperlink"/>
            <w:rtl/>
          </w:rPr>
          <w:t>סעיפים 7(א)</w:t>
        </w:r>
      </w:hyperlink>
      <w:r>
        <w:rPr>
          <w:rtl/>
        </w:rPr>
        <w:t xml:space="preserve"> ו- </w:t>
      </w:r>
      <w:hyperlink r:id="rId11" w:history="1">
        <w:r w:rsidR="00C44976" w:rsidRPr="00C44976">
          <w:rPr>
            <w:rStyle w:val="Hyperlink"/>
            <w:rtl/>
          </w:rPr>
          <w:t>7(ג)</w:t>
        </w:r>
      </w:hyperlink>
      <w:r>
        <w:rPr>
          <w:rtl/>
        </w:rPr>
        <w:t xml:space="preserve"> רישא ל</w:t>
      </w:r>
      <w:hyperlink r:id="rId12" w:history="1">
        <w:r w:rsidR="00E43147" w:rsidRPr="00E43147">
          <w:rPr>
            <w:rFonts w:hint="cs"/>
            <w:color w:val="0000FF"/>
            <w:u w:val="single"/>
            <w:rtl/>
          </w:rPr>
          <w:t>פקודת</w:t>
        </w:r>
        <w:r w:rsidR="00E43147" w:rsidRPr="00E43147">
          <w:rPr>
            <w:color w:val="0000FF"/>
            <w:u w:val="single"/>
            <w:rtl/>
          </w:rPr>
          <w:t xml:space="preserve"> </w:t>
        </w:r>
        <w:r w:rsidR="00E43147" w:rsidRPr="00E43147">
          <w:rPr>
            <w:rFonts w:hint="cs"/>
            <w:color w:val="0000FF"/>
            <w:u w:val="single"/>
            <w:rtl/>
          </w:rPr>
          <w:t>הסמים</w:t>
        </w:r>
        <w:r w:rsidR="00E43147" w:rsidRPr="00E43147">
          <w:rPr>
            <w:color w:val="0000FF"/>
            <w:u w:val="single"/>
            <w:rtl/>
          </w:rPr>
          <w:t xml:space="preserve"> </w:t>
        </w:r>
        <w:r w:rsidR="00E43147" w:rsidRPr="00E43147">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p>
    <w:p w14:paraId="00C9DF1B" w14:textId="77777777" w:rsidR="00E32991" w:rsidRDefault="00E32991" w:rsidP="00E32991">
      <w:pPr>
        <w:spacing w:line="360" w:lineRule="auto"/>
        <w:jc w:val="both"/>
        <w:rPr>
          <w:rtl/>
        </w:rPr>
      </w:pPr>
      <w:bookmarkStart w:id="7" w:name="ABSTRACT_END"/>
      <w:bookmarkEnd w:id="7"/>
    </w:p>
    <w:p w14:paraId="5B80AF1A" w14:textId="77777777" w:rsidR="00E32991" w:rsidRDefault="00E32991" w:rsidP="00E32991">
      <w:pPr>
        <w:pStyle w:val="a9"/>
        <w:numPr>
          <w:ilvl w:val="0"/>
          <w:numId w:val="1"/>
        </w:numPr>
        <w:bidi/>
        <w:jc w:val="both"/>
        <w:rPr>
          <w:rtl/>
        </w:rPr>
      </w:pPr>
      <w:r>
        <w:rPr>
          <w:rtl/>
        </w:rPr>
        <w:lastRenderedPageBreak/>
        <w:t xml:space="preserve">על פי עובדות כתב האישום, ביום 24.10.22 בשעה 19:00 או בסמוך לכך, הגיע הנאשם לבדו ברכב לשער כניסת העובדים בנתב"ג. בתא המטען ברכב, החזיק הנאשם בסם מסוכן מסוג קנבוס במשקל כולל של 4.96 ק"ג נטו שלא לצריכה עצמית, כשהוא מחולק לשתי שקיות. </w:t>
      </w:r>
    </w:p>
    <w:p w14:paraId="72CA5D4C" w14:textId="77777777" w:rsidR="00E32991" w:rsidRDefault="00E32991" w:rsidP="00E32991">
      <w:pPr>
        <w:spacing w:line="360" w:lineRule="auto"/>
        <w:jc w:val="both"/>
        <w:rPr>
          <w:rtl/>
        </w:rPr>
      </w:pPr>
    </w:p>
    <w:p w14:paraId="586A24A5" w14:textId="77777777" w:rsidR="00E32991" w:rsidRDefault="00E32991" w:rsidP="00E32991">
      <w:pPr>
        <w:spacing w:line="360" w:lineRule="auto"/>
        <w:ind w:firstLine="360"/>
        <w:jc w:val="both"/>
        <w:rPr>
          <w:b/>
          <w:bCs/>
          <w:u w:val="single"/>
          <w:rtl/>
        </w:rPr>
      </w:pPr>
      <w:r>
        <w:rPr>
          <w:b/>
          <w:bCs/>
          <w:u w:val="single"/>
          <w:rtl/>
        </w:rPr>
        <w:t>רישום בפלילים</w:t>
      </w:r>
    </w:p>
    <w:p w14:paraId="7B0CA77A" w14:textId="77777777" w:rsidR="00E32991" w:rsidRDefault="00E32991" w:rsidP="00E32991">
      <w:pPr>
        <w:pStyle w:val="a9"/>
        <w:numPr>
          <w:ilvl w:val="0"/>
          <w:numId w:val="1"/>
        </w:numPr>
        <w:bidi/>
        <w:jc w:val="both"/>
        <w:rPr>
          <w:rtl/>
        </w:rPr>
      </w:pPr>
      <w:r>
        <w:rPr>
          <w:rtl/>
        </w:rPr>
        <w:t>אין לחובת הנאשם הרשעות קודמות בפלילים.</w:t>
      </w:r>
    </w:p>
    <w:p w14:paraId="2F81F5D9" w14:textId="77777777" w:rsidR="00E32991" w:rsidRDefault="00E32991" w:rsidP="00E32991">
      <w:pPr>
        <w:spacing w:line="360" w:lineRule="auto"/>
        <w:jc w:val="both"/>
        <w:rPr>
          <w:rtl/>
        </w:rPr>
      </w:pPr>
    </w:p>
    <w:p w14:paraId="27C1497E" w14:textId="77777777" w:rsidR="00E32991" w:rsidRDefault="00E32991" w:rsidP="00E32991">
      <w:pPr>
        <w:spacing w:line="360" w:lineRule="auto"/>
        <w:ind w:firstLine="360"/>
        <w:jc w:val="both"/>
        <w:rPr>
          <w:b/>
          <w:bCs/>
          <w:u w:val="single"/>
          <w:rtl/>
        </w:rPr>
      </w:pPr>
      <w:r>
        <w:rPr>
          <w:b/>
          <w:bCs/>
          <w:u w:val="single"/>
          <w:rtl/>
        </w:rPr>
        <w:t>הסכמות הצדדים</w:t>
      </w:r>
    </w:p>
    <w:p w14:paraId="3D2D4170" w14:textId="77777777" w:rsidR="00E32991" w:rsidRDefault="00E32991" w:rsidP="00E32991">
      <w:pPr>
        <w:pStyle w:val="a9"/>
        <w:numPr>
          <w:ilvl w:val="0"/>
          <w:numId w:val="1"/>
        </w:numPr>
        <w:bidi/>
        <w:jc w:val="both"/>
        <w:rPr>
          <w:rtl/>
        </w:rPr>
      </w:pPr>
      <w:r>
        <w:rPr>
          <w:rtl/>
        </w:rPr>
        <w:t xml:space="preserve">בין הצדדים גובשה הסכמה לפיה הנאשם יופנה לשירות המבחן שיערוך תסקיר בעניינו. לא גובשו הסכמות עונשיות. </w:t>
      </w:r>
    </w:p>
    <w:p w14:paraId="0C34374A" w14:textId="77777777" w:rsidR="00E32991" w:rsidRDefault="00E32991" w:rsidP="00E32991">
      <w:pPr>
        <w:spacing w:line="360" w:lineRule="auto"/>
        <w:ind w:left="720"/>
        <w:contextualSpacing/>
        <w:jc w:val="both"/>
        <w:rPr>
          <w:rtl/>
        </w:rPr>
      </w:pPr>
      <w:r>
        <w:rPr>
          <w:rtl/>
        </w:rPr>
        <w:t xml:space="preserve">לאחר שנשמעו טיעוני הצדדים לעונש, הופנה הנאשם לממונה על עבודות השירות,  לבחינת כשירותו לבצע עבודות שירות. </w:t>
      </w:r>
    </w:p>
    <w:p w14:paraId="4A39BDF1" w14:textId="77777777" w:rsidR="00E32991" w:rsidRDefault="00E32991" w:rsidP="00E32991">
      <w:pPr>
        <w:spacing w:line="360" w:lineRule="auto"/>
        <w:ind w:firstLine="360"/>
        <w:jc w:val="both"/>
        <w:rPr>
          <w:b/>
          <w:bCs/>
          <w:u w:val="single"/>
          <w:rtl/>
        </w:rPr>
      </w:pPr>
      <w:r>
        <w:rPr>
          <w:b/>
          <w:bCs/>
          <w:u w:val="single"/>
          <w:rtl/>
        </w:rPr>
        <w:t xml:space="preserve">תסקירי שירות המבחן  </w:t>
      </w:r>
    </w:p>
    <w:p w14:paraId="243898E6" w14:textId="77777777" w:rsidR="00E32991" w:rsidRDefault="00E32991" w:rsidP="00E32991">
      <w:pPr>
        <w:spacing w:line="360" w:lineRule="auto"/>
        <w:ind w:firstLine="360"/>
        <w:jc w:val="both"/>
        <w:rPr>
          <w:rtl/>
        </w:rPr>
      </w:pPr>
      <w:r>
        <w:rPr>
          <w:rtl/>
        </w:rPr>
        <w:t xml:space="preserve">בעניינו של הנאשם הוגשו שני תסקירים מפורטים.  </w:t>
      </w:r>
    </w:p>
    <w:p w14:paraId="2A4E7AEF" w14:textId="77777777" w:rsidR="00E32991" w:rsidRDefault="00E32991" w:rsidP="00E32991">
      <w:pPr>
        <w:pStyle w:val="a9"/>
        <w:numPr>
          <w:ilvl w:val="0"/>
          <w:numId w:val="1"/>
        </w:numPr>
        <w:bidi/>
        <w:jc w:val="both"/>
        <w:rPr>
          <w:rtl/>
        </w:rPr>
      </w:pPr>
      <w:r>
        <w:rPr>
          <w:u w:val="single"/>
          <w:rtl/>
        </w:rPr>
        <w:t>מהתסקיר הראשון</w:t>
      </w:r>
      <w:r>
        <w:rPr>
          <w:rtl/>
        </w:rPr>
        <w:t xml:space="preserve"> מיום 6.7.23, עלה כי הנאשם כבן 21, רווק ומתגורר יחד עם סבו בעיר רהט. כיום, עובד בבית אריזה ונמצא בתנאים מגבילים. </w:t>
      </w:r>
    </w:p>
    <w:p w14:paraId="1FCEF253" w14:textId="77777777" w:rsidR="00E32991" w:rsidRDefault="00E32991" w:rsidP="00E32991">
      <w:pPr>
        <w:pStyle w:val="a9"/>
        <w:bidi/>
        <w:jc w:val="both"/>
      </w:pPr>
      <w:r>
        <w:rPr>
          <w:rtl/>
        </w:rPr>
        <w:t xml:space="preserve">הנאשם שלל קשיים משמעתיים, חברתיים או לימודיים במסגרת החינוכית ושיתף כי משבר משפחתי הקשה עליו לסיים את לימודיו התיכוניים כמתוכנן. </w:t>
      </w:r>
    </w:p>
    <w:p w14:paraId="61332946" w14:textId="77777777" w:rsidR="00E32991" w:rsidRDefault="00E32991" w:rsidP="00E32991">
      <w:pPr>
        <w:spacing w:line="360" w:lineRule="auto"/>
        <w:ind w:left="720"/>
        <w:contextualSpacing/>
        <w:jc w:val="both"/>
        <w:rPr>
          <w:rtl/>
        </w:rPr>
      </w:pPr>
      <w:r>
        <w:rPr>
          <w:rtl/>
        </w:rPr>
        <w:t xml:space="preserve">לאחר שפרש מלימודים, השתלב הנאשם במעגל התעסוקה, עבד בחקלאות משך חצי שנה,  יחד עם סבתו, הוציא רישיון נהיגה על מלגזה ולאחר מכן עבד משך שנתיים במפעל אריזת תפוחי אדמה, כאשר כיום עובד בבית אריזה. לאחר מות אביו, ניתק הנאשם הקשר עם אמו בשל נישואיה השניים, וגדל בבית סבו. </w:t>
      </w:r>
    </w:p>
    <w:p w14:paraId="02C35B71" w14:textId="77777777" w:rsidR="00E32991" w:rsidRDefault="00E32991" w:rsidP="00E32991">
      <w:pPr>
        <w:spacing w:line="360" w:lineRule="auto"/>
        <w:jc w:val="both"/>
        <w:rPr>
          <w:rtl/>
        </w:rPr>
      </w:pPr>
    </w:p>
    <w:p w14:paraId="1B97BEF1" w14:textId="77777777" w:rsidR="00E32991" w:rsidRDefault="00E32991" w:rsidP="00E32991">
      <w:pPr>
        <w:spacing w:line="360" w:lineRule="auto"/>
        <w:ind w:left="720"/>
        <w:contextualSpacing/>
        <w:jc w:val="both"/>
        <w:rPr>
          <w:rtl/>
        </w:rPr>
      </w:pPr>
      <w:r>
        <w:rPr>
          <w:rtl/>
        </w:rPr>
        <w:t xml:space="preserve">הנאשם מסר כי הוא נמצא במערכת יחסית זוגית מזה ארבע שנים ועתיד למסד את הקשר בסיום ההליך הפלילי. באשר לעבירה בה הורשע, ציין הנאשם כי הבחין בשקיות מאחורי ביתו, לא ידע מה תכולתן, והחליט להכניסן לרכבו. הנאשם שלל שימוש בחומרים ממכרים, ובדיקות השתן שביצע אימתו זאת. </w:t>
      </w:r>
    </w:p>
    <w:p w14:paraId="2784E292" w14:textId="77777777" w:rsidR="00E32991" w:rsidRDefault="00E32991" w:rsidP="00E32991">
      <w:pPr>
        <w:spacing w:line="360" w:lineRule="auto"/>
        <w:jc w:val="both"/>
        <w:rPr>
          <w:rtl/>
        </w:rPr>
      </w:pPr>
    </w:p>
    <w:p w14:paraId="2FF4BC4E" w14:textId="77777777" w:rsidR="00E32991" w:rsidRDefault="00E32991" w:rsidP="00E32991">
      <w:pPr>
        <w:spacing w:line="360" w:lineRule="auto"/>
        <w:ind w:left="720"/>
        <w:contextualSpacing/>
        <w:jc w:val="both"/>
        <w:rPr>
          <w:rtl/>
        </w:rPr>
      </w:pPr>
      <w:r>
        <w:rPr>
          <w:rtl/>
        </w:rPr>
        <w:t>שירות המבחן התרשם כי הנאשם נוטל אחריות למעשיו, למרות הקושי לבחון השפעות המעשים, ההליך הפלילי מהווה גורם מרתיע והמליץ כי הנאשם ישולב בטיפול קבוצתי במסגרת צו מבחן, לצד עונש מאסר שירוצה בדרך של עבודות שירות.</w:t>
      </w:r>
    </w:p>
    <w:p w14:paraId="5AE8B7D4" w14:textId="77777777" w:rsidR="00E32991" w:rsidRDefault="00E32991" w:rsidP="00E32991">
      <w:pPr>
        <w:spacing w:line="360" w:lineRule="auto"/>
        <w:jc w:val="both"/>
        <w:rPr>
          <w:rtl/>
        </w:rPr>
      </w:pPr>
    </w:p>
    <w:p w14:paraId="2CE12266" w14:textId="77777777" w:rsidR="00E32991" w:rsidRDefault="00E32991" w:rsidP="00E32991">
      <w:pPr>
        <w:pStyle w:val="a9"/>
        <w:numPr>
          <w:ilvl w:val="0"/>
          <w:numId w:val="1"/>
        </w:numPr>
        <w:bidi/>
        <w:jc w:val="both"/>
        <w:rPr>
          <w:rtl/>
        </w:rPr>
      </w:pPr>
      <w:r>
        <w:rPr>
          <w:u w:val="single"/>
          <w:rtl/>
        </w:rPr>
        <w:lastRenderedPageBreak/>
        <w:t>בתסקיר השני</w:t>
      </w:r>
      <w:r>
        <w:rPr>
          <w:rtl/>
        </w:rPr>
        <w:t xml:space="preserve"> מיום 10.10.23, עדכן שירות המבחן כי ביום 27.9.23 שולב הנאשם בקבוצה טיפולית והתייצב בקביעות למפגשים הקבוצתיים. ניכר, כי הנאשם מעוניין לערוך שינוי בהתנהלותו אך מתקשה להתייחס לדפוסיו המכשילים, ונוטה לצמצם את חלקיו הבעייתיים. </w:t>
      </w:r>
    </w:p>
    <w:p w14:paraId="53F1697D" w14:textId="77777777" w:rsidR="00E32991" w:rsidRDefault="00E32991" w:rsidP="00E32991">
      <w:pPr>
        <w:pStyle w:val="a9"/>
        <w:bidi/>
        <w:jc w:val="both"/>
      </w:pPr>
      <w:r>
        <w:rPr>
          <w:rtl/>
        </w:rPr>
        <w:t xml:space="preserve">שירות המבחן התרשם כי הנאשם נוטל אחריות על מעשיו, מבין את חומרתם ומכיר בפגיעה הרחבה שעלולה הייתה להתרחש. נראה כי החסכים הרגשיים שחש השפיעו על הנאשם ועל אופן קבלת החלטות במהלך חייו וכעת הנאשם מעוניין להחזיר שליטה על חייו ולחזור למסלול החיים התקין, דבר המתבטא בתעסוקה יצרנית ויציבה והימנעות מפלילים מאז ביצוע העבירה ועד היום. </w:t>
      </w:r>
    </w:p>
    <w:p w14:paraId="6F68B05B" w14:textId="77777777" w:rsidR="00E32991" w:rsidRDefault="00E32991" w:rsidP="00E32991">
      <w:pPr>
        <w:spacing w:line="360" w:lineRule="auto"/>
        <w:ind w:left="720"/>
        <w:contextualSpacing/>
        <w:jc w:val="both"/>
        <w:rPr>
          <w:rtl/>
        </w:rPr>
      </w:pPr>
      <w:r>
        <w:rPr>
          <w:rtl/>
        </w:rPr>
        <w:t xml:space="preserve">על כן, המליץ שירות המבחן על הטלת צו מבחן לשנה, וענישה שיקומית במסגרת צו של"צ בהיקף של 340 שעות. </w:t>
      </w:r>
    </w:p>
    <w:p w14:paraId="1E428BFF" w14:textId="77777777" w:rsidR="00E32991" w:rsidRDefault="00E32991" w:rsidP="00E32991">
      <w:pPr>
        <w:spacing w:line="360" w:lineRule="auto"/>
        <w:jc w:val="both"/>
        <w:rPr>
          <w:b/>
          <w:bCs/>
          <w:u w:val="single"/>
          <w:rtl/>
        </w:rPr>
      </w:pPr>
    </w:p>
    <w:p w14:paraId="7A016FB4" w14:textId="77777777" w:rsidR="00E32991" w:rsidRDefault="00E32991" w:rsidP="00E32991">
      <w:pPr>
        <w:spacing w:line="360" w:lineRule="auto"/>
        <w:jc w:val="both"/>
        <w:rPr>
          <w:b/>
          <w:bCs/>
          <w:u w:val="single"/>
          <w:rtl/>
        </w:rPr>
      </w:pPr>
    </w:p>
    <w:p w14:paraId="242743D4" w14:textId="77777777" w:rsidR="00E32991" w:rsidRDefault="00E32991" w:rsidP="00E32991">
      <w:pPr>
        <w:spacing w:line="360" w:lineRule="auto"/>
        <w:jc w:val="both"/>
        <w:rPr>
          <w:b/>
          <w:bCs/>
          <w:u w:val="single"/>
          <w:rtl/>
        </w:rPr>
      </w:pPr>
    </w:p>
    <w:p w14:paraId="1161E42D" w14:textId="77777777" w:rsidR="00E32991" w:rsidRDefault="00E32991" w:rsidP="00E32991">
      <w:pPr>
        <w:spacing w:line="360" w:lineRule="auto"/>
        <w:ind w:firstLine="360"/>
        <w:jc w:val="both"/>
        <w:rPr>
          <w:b/>
          <w:bCs/>
          <w:u w:val="single"/>
          <w:rtl/>
        </w:rPr>
      </w:pPr>
      <w:r>
        <w:rPr>
          <w:b/>
          <w:bCs/>
          <w:u w:val="single"/>
          <w:rtl/>
        </w:rPr>
        <w:t>טיעוני הצדדים לעונש</w:t>
      </w:r>
    </w:p>
    <w:p w14:paraId="737B42C0" w14:textId="77777777" w:rsidR="00E32991" w:rsidRDefault="00E32991" w:rsidP="00E32991">
      <w:pPr>
        <w:pStyle w:val="a9"/>
        <w:numPr>
          <w:ilvl w:val="0"/>
          <w:numId w:val="1"/>
        </w:numPr>
        <w:bidi/>
        <w:jc w:val="both"/>
        <w:rPr>
          <w:rtl/>
        </w:rPr>
      </w:pPr>
      <w:r>
        <w:rPr>
          <w:rtl/>
        </w:rPr>
        <w:t xml:space="preserve">במסגרת טיעוניה עמדה המאשימה על הערכים המוגנים שנפגעו וביניהם בריאות הציבור בגוף ובנפש, בביטחון הציבור ושלומו וכן הנזקים החברתיים הישירים והעקיפים שנגרמים כתוצאה מהסמים. </w:t>
      </w:r>
    </w:p>
    <w:p w14:paraId="5ABCA6A0" w14:textId="77777777" w:rsidR="00E32991" w:rsidRDefault="00E32991" w:rsidP="00E32991">
      <w:pPr>
        <w:pStyle w:val="a9"/>
        <w:bidi/>
        <w:jc w:val="both"/>
      </w:pPr>
      <w:r>
        <w:rPr>
          <w:rtl/>
        </w:rPr>
        <w:t xml:space="preserve">המאשימה ציינה כי כאן, הפגיעה בערכים המוגנים היא גבוהה בשים לב לכך שהנאשם החזיק כמות סם במשקל של כ-5 ק"ג- כמות שהיא פי 300 מהכמות המותרת בחוק. עוד, ציננה המאשימה כי הסמים הוחזקו בשתי שקיות, כל כן ברור שנועדו להפצה לאזרחים וניתן להכין מכמות זו מאות מנות סם. המאשימה עתרה להעמיד את מתחם הענישה ההולם בין 14 חודשי מאסר ל-24 חודשים, והגישה פסיקה לתמיכה בעתירתה זו. </w:t>
      </w:r>
    </w:p>
    <w:p w14:paraId="1251311A" w14:textId="77777777" w:rsidR="00E32991" w:rsidRDefault="00E32991" w:rsidP="00E32991">
      <w:pPr>
        <w:spacing w:line="360" w:lineRule="auto"/>
        <w:jc w:val="both"/>
        <w:rPr>
          <w:rtl/>
        </w:rPr>
      </w:pPr>
    </w:p>
    <w:p w14:paraId="4FD57847" w14:textId="77777777" w:rsidR="00E32991" w:rsidRDefault="00E32991" w:rsidP="00E32991">
      <w:pPr>
        <w:spacing w:line="360" w:lineRule="auto"/>
        <w:ind w:left="720"/>
        <w:contextualSpacing/>
        <w:jc w:val="both"/>
        <w:rPr>
          <w:rtl/>
        </w:rPr>
      </w:pPr>
      <w:r>
        <w:rPr>
          <w:rtl/>
        </w:rPr>
        <w:t xml:space="preserve">המאשימה התייחסה להמלצת שירות המבחן וציינה כי מאז פרוץ המלחמה לא התקיימו מפגשים טיפוליים כך שהנאשם, ככל הנראה, השתתף בשני מפגשים בלבד ואין הצדקה לסטות ממתחם הענישה ההולם. </w:t>
      </w:r>
    </w:p>
    <w:p w14:paraId="4B7420B9" w14:textId="77777777" w:rsidR="00E32991" w:rsidRDefault="00E32991" w:rsidP="00E32991">
      <w:pPr>
        <w:spacing w:line="360" w:lineRule="auto"/>
        <w:ind w:left="720"/>
        <w:contextualSpacing/>
        <w:jc w:val="both"/>
        <w:rPr>
          <w:rtl/>
        </w:rPr>
      </w:pPr>
      <w:r>
        <w:rPr>
          <w:rtl/>
        </w:rPr>
        <w:t>לאחר ששקלה המאשימה את מכלול השיקולים, עתרה לגזור על הנאשם עונש מאסר למשך  14 חודשים, מאסר על תנאי, קנס, פסילת רישיון נהיגה בפועל ופסילת רישיון נהיגה על תנאי.</w:t>
      </w:r>
    </w:p>
    <w:p w14:paraId="41182662" w14:textId="77777777" w:rsidR="00E32991" w:rsidRDefault="00E32991" w:rsidP="00E32991">
      <w:pPr>
        <w:spacing w:line="360" w:lineRule="auto"/>
        <w:jc w:val="both"/>
      </w:pPr>
    </w:p>
    <w:p w14:paraId="56855AE3" w14:textId="77777777" w:rsidR="00E32991" w:rsidRDefault="00E32991" w:rsidP="00E32991">
      <w:pPr>
        <w:pStyle w:val="a9"/>
        <w:numPr>
          <w:ilvl w:val="0"/>
          <w:numId w:val="1"/>
        </w:numPr>
        <w:bidi/>
        <w:jc w:val="both"/>
        <w:rPr>
          <w:rtl/>
        </w:rPr>
      </w:pPr>
      <w:r>
        <w:rPr>
          <w:rtl/>
        </w:rPr>
        <w:t xml:space="preserve">ההגנה עמדה על נסיבות חייו של הנאשם, העובדה כי עד למעצרו ניהל אורח חיים תקין, הוא הודה בביצוע העבירה, לקח אחריות והביע חרטה. לטענת ההגנה, אין מדובר בצרכן סמים, כאשר אומנם שולב בהליך טיפולי בחודש ספטמבר אך נפגש מאז ביצוע העברה, מעת לעת, עם שירות המבחן. במסגרת ההליך הטיפולי הנאשם התייצב בטיפול אופן רציף, משתתף בקבוצה ושירות המבחן התרשם כי מדובר במי אשר מעוניין לערוך שינוי בחייו וההליך המשפטי מרתיע אותו. </w:t>
      </w:r>
    </w:p>
    <w:p w14:paraId="54FC95C6" w14:textId="77777777" w:rsidR="00E32991" w:rsidRDefault="00E32991" w:rsidP="00E32991">
      <w:pPr>
        <w:spacing w:line="360" w:lineRule="auto"/>
        <w:ind w:left="720"/>
        <w:contextualSpacing/>
        <w:jc w:val="both"/>
        <w:rPr>
          <w:rtl/>
        </w:rPr>
      </w:pPr>
      <w:r>
        <w:rPr>
          <w:rtl/>
        </w:rPr>
        <w:t xml:space="preserve">ההגנה הדגישה את גילו של הנאשם והעובדה כי מדובר במי שביצע את העבירות בהיותו כבן 20 וכי הוא עורך מאמצים להשתקם. ההגנה ביקשה כי בית המשפט ייתן לו את ההזדמנות להוכיח שניתן לתת בו אמון. </w:t>
      </w:r>
    </w:p>
    <w:p w14:paraId="790AA890" w14:textId="77777777" w:rsidR="00E32991" w:rsidRDefault="00E32991" w:rsidP="00E32991">
      <w:pPr>
        <w:spacing w:line="360" w:lineRule="auto"/>
        <w:jc w:val="both"/>
        <w:rPr>
          <w:rtl/>
        </w:rPr>
      </w:pPr>
    </w:p>
    <w:p w14:paraId="28F1A223" w14:textId="77777777" w:rsidR="00E32991" w:rsidRDefault="00E32991" w:rsidP="00E32991">
      <w:pPr>
        <w:pStyle w:val="a9"/>
        <w:numPr>
          <w:ilvl w:val="0"/>
          <w:numId w:val="1"/>
        </w:numPr>
        <w:bidi/>
        <w:jc w:val="both"/>
        <w:rPr>
          <w:rtl/>
        </w:rPr>
      </w:pPr>
      <w:r>
        <w:rPr>
          <w:rtl/>
        </w:rPr>
        <w:t xml:space="preserve">הנאשם ציין כי הוא מתחרט על מעשיו. </w:t>
      </w:r>
    </w:p>
    <w:p w14:paraId="58E5DC13" w14:textId="77777777" w:rsidR="00E32991" w:rsidRDefault="00E32991" w:rsidP="00E32991">
      <w:pPr>
        <w:spacing w:line="360" w:lineRule="auto"/>
        <w:jc w:val="both"/>
        <w:rPr>
          <w:rtl/>
        </w:rPr>
      </w:pPr>
    </w:p>
    <w:p w14:paraId="0538AA0F" w14:textId="77777777" w:rsidR="00E32991" w:rsidRDefault="00E32991" w:rsidP="00E32991">
      <w:pPr>
        <w:spacing w:line="360" w:lineRule="auto"/>
        <w:ind w:firstLine="360"/>
        <w:jc w:val="both"/>
        <w:rPr>
          <w:b/>
          <w:bCs/>
          <w:u w:val="single"/>
          <w:rtl/>
        </w:rPr>
      </w:pPr>
      <w:r>
        <w:rPr>
          <w:b/>
          <w:bCs/>
          <w:u w:val="single"/>
          <w:rtl/>
        </w:rPr>
        <w:t>דיון והכרעה</w:t>
      </w:r>
    </w:p>
    <w:p w14:paraId="69E0BD2A" w14:textId="77777777" w:rsidR="00E32991" w:rsidRDefault="00E32991" w:rsidP="00E32991">
      <w:pPr>
        <w:pStyle w:val="a9"/>
        <w:numPr>
          <w:ilvl w:val="0"/>
          <w:numId w:val="1"/>
        </w:numPr>
        <w:bidi/>
        <w:jc w:val="both"/>
        <w:rPr>
          <w:rtl/>
        </w:rPr>
      </w:pPr>
      <w:r>
        <w:rPr>
          <w:rtl/>
        </w:rPr>
        <w:t>המעשים המיוחסים לנאשם, חמורים ופוגעים בבריאות הציבור, בסדר הציבורי וביכולת הסדרת השימוש בקנבוס רפואי ברישיון. החזקת הסמים בכמות גדולה, עשויה להוות פתח ליצירת סביבה עבריינית וליצירת מגוון בעיות חברתיות קשות, כגון התמכרות וירידה בתפקודה הפיזי והמנטלי של החברה. יפים לעניין זה דברי כב' השופט הנדל ב</w:t>
      </w:r>
      <w:hyperlink r:id="rId13" w:history="1">
        <w:r w:rsidR="00E43147" w:rsidRPr="00E43147">
          <w:rPr>
            <w:rFonts w:hint="cs"/>
            <w:color w:val="0000FF"/>
            <w:u w:val="single"/>
            <w:rtl/>
          </w:rPr>
          <w:t>ע</w:t>
        </w:r>
        <w:r w:rsidR="00E43147" w:rsidRPr="00E43147">
          <w:rPr>
            <w:color w:val="0000FF"/>
            <w:u w:val="single"/>
            <w:rtl/>
          </w:rPr>
          <w:t>"</w:t>
        </w:r>
        <w:r w:rsidR="00E43147" w:rsidRPr="00E43147">
          <w:rPr>
            <w:rFonts w:hint="cs"/>
            <w:color w:val="0000FF"/>
            <w:u w:val="single"/>
            <w:rtl/>
          </w:rPr>
          <w:t>פ</w:t>
        </w:r>
        <w:r w:rsidR="00E43147" w:rsidRPr="00E43147">
          <w:rPr>
            <w:color w:val="0000FF"/>
            <w:u w:val="single"/>
            <w:rtl/>
          </w:rPr>
          <w:t xml:space="preserve"> 972/11</w:t>
        </w:r>
      </w:hyperlink>
      <w:r>
        <w:rPr>
          <w:rtl/>
        </w:rPr>
        <w:t xml:space="preserve"> </w:t>
      </w:r>
      <w:r>
        <w:rPr>
          <w:b/>
          <w:bCs/>
          <w:rtl/>
        </w:rPr>
        <w:t>מדינת ישראל נ' יניב יונה</w:t>
      </w:r>
      <w:r>
        <w:rPr>
          <w:rtl/>
        </w:rPr>
        <w:t>:</w:t>
      </w:r>
    </w:p>
    <w:p w14:paraId="6DC5EB8B" w14:textId="77777777" w:rsidR="00E32991" w:rsidRDefault="00E32991" w:rsidP="00E32991">
      <w:pPr>
        <w:spacing w:line="360" w:lineRule="auto"/>
        <w:ind w:left="1304" w:right="737"/>
        <w:contextualSpacing/>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5CEA13ED" w14:textId="77777777" w:rsidR="00E32991" w:rsidRDefault="00E32991" w:rsidP="00E32991">
      <w:pPr>
        <w:spacing w:line="360" w:lineRule="auto"/>
        <w:jc w:val="both"/>
        <w:rPr>
          <w:b/>
          <w:bCs/>
          <w:rtl/>
        </w:rPr>
      </w:pPr>
    </w:p>
    <w:p w14:paraId="1B0B629C" w14:textId="77777777" w:rsidR="00E32991" w:rsidRDefault="00E32991" w:rsidP="00E32991">
      <w:pPr>
        <w:pStyle w:val="a9"/>
        <w:numPr>
          <w:ilvl w:val="0"/>
          <w:numId w:val="1"/>
        </w:numPr>
        <w:bidi/>
        <w:spacing w:after="0"/>
        <w:jc w:val="both"/>
        <w:rPr>
          <w:rFonts w:ascii="David" w:eastAsia="Times New Roman" w:hAnsi="David"/>
          <w:sz w:val="24"/>
          <w:rtl/>
        </w:rPr>
      </w:pPr>
      <w:r>
        <w:rPr>
          <w:rFonts w:ascii="David" w:eastAsia="Times New Roman" w:hAnsi="David"/>
          <w:sz w:val="24"/>
          <w:rtl/>
        </w:rPr>
        <w:t>עוד יש להזכיר את שנאמר ב</w:t>
      </w:r>
      <w:hyperlink r:id="rId14" w:history="1">
        <w:r w:rsidR="00E43147" w:rsidRPr="00E43147">
          <w:rPr>
            <w:rFonts w:ascii="David" w:eastAsia="Times New Roman" w:hAnsi="David"/>
            <w:b/>
            <w:color w:val="0000FF"/>
            <w:sz w:val="24"/>
            <w:u w:val="single"/>
            <w:rtl/>
          </w:rPr>
          <w:t>ע"פ 5807/17</w:t>
        </w:r>
      </w:hyperlink>
      <w:r>
        <w:rPr>
          <w:rFonts w:ascii="David" w:eastAsia="Times New Roman" w:hAnsi="David"/>
          <w:b/>
          <w:sz w:val="24"/>
          <w:rtl/>
        </w:rPr>
        <w:t xml:space="preserve"> </w:t>
      </w:r>
      <w:r>
        <w:rPr>
          <w:rFonts w:ascii="David" w:eastAsia="Times New Roman" w:hAnsi="David"/>
          <w:bCs/>
          <w:sz w:val="24"/>
          <w:rtl/>
        </w:rPr>
        <w:t>משה דרחי נ' מ"י</w:t>
      </w:r>
      <w:r>
        <w:rPr>
          <w:rFonts w:ascii="David" w:eastAsia="Times New Roman" w:hAnsi="David"/>
          <w:b/>
          <w:sz w:val="24"/>
          <w:rtl/>
        </w:rPr>
        <w:t xml:space="preserve"> ( 18.6.18):</w:t>
      </w:r>
    </w:p>
    <w:p w14:paraId="1ED2C9A6" w14:textId="77777777" w:rsidR="00E32991" w:rsidRDefault="00E32991" w:rsidP="00E32991">
      <w:pPr>
        <w:spacing w:line="360" w:lineRule="auto"/>
        <w:ind w:left="1304" w:right="737"/>
        <w:contextualSpacing/>
        <w:jc w:val="both"/>
        <w:rPr>
          <w:rFonts w:ascii="David" w:hAnsi="David"/>
          <w:b/>
          <w:rtl/>
        </w:rPr>
      </w:pPr>
      <w:r>
        <w:rPr>
          <w:rFonts w:ascii="David" w:hAnsi="David"/>
          <w:b/>
          <w:rtl/>
        </w:rPr>
        <w:t>"</w:t>
      </w:r>
      <w:r>
        <w:rPr>
          <w:rFonts w:ascii="David" w:hAnsi="David"/>
          <w:bCs/>
          <w:rtl/>
        </w:rPr>
        <w:t>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Fonts w:ascii="David" w:hAnsi="David"/>
          <w:b/>
          <w:rtl/>
        </w:rPr>
        <w:t>.</w:t>
      </w:r>
    </w:p>
    <w:p w14:paraId="178EAA04" w14:textId="77777777" w:rsidR="00E32991" w:rsidRDefault="00E32991" w:rsidP="00E32991">
      <w:pPr>
        <w:spacing w:line="360" w:lineRule="auto"/>
        <w:contextualSpacing/>
        <w:jc w:val="both"/>
        <w:rPr>
          <w:rFonts w:ascii="David" w:hAnsi="David"/>
          <w:b/>
          <w:rtl/>
        </w:rPr>
      </w:pPr>
    </w:p>
    <w:p w14:paraId="571D2495" w14:textId="77777777" w:rsidR="00E32991" w:rsidRDefault="00E32991" w:rsidP="00E32991">
      <w:pPr>
        <w:pStyle w:val="a9"/>
        <w:numPr>
          <w:ilvl w:val="0"/>
          <w:numId w:val="1"/>
        </w:numPr>
        <w:bidi/>
        <w:jc w:val="both"/>
        <w:rPr>
          <w:b/>
          <w:rtl/>
        </w:rPr>
      </w:pPr>
      <w:r>
        <w:rPr>
          <w:b/>
          <w:rtl/>
        </w:rPr>
        <w:t>הנאשם, כאמור, הורשע בכך שהחזיק ברכבו סם מסוכן מסוג קנבוס במשקל כולל של 4.96 ק"ג, המחולק לשתי שקיות. מדובר בכמות גבוהה העולה על פי 330 מהכמות המותרת על פי חוק.</w:t>
      </w:r>
    </w:p>
    <w:p w14:paraId="14114CC3" w14:textId="77777777" w:rsidR="00E32991" w:rsidRDefault="00E32991" w:rsidP="00E32991">
      <w:pPr>
        <w:spacing w:line="360" w:lineRule="auto"/>
        <w:jc w:val="both"/>
        <w:rPr>
          <w:rtl/>
        </w:rPr>
      </w:pPr>
    </w:p>
    <w:p w14:paraId="76BA8624" w14:textId="77777777" w:rsidR="00E32991" w:rsidRDefault="00E32991" w:rsidP="00E32991">
      <w:pPr>
        <w:pStyle w:val="a9"/>
        <w:numPr>
          <w:ilvl w:val="0"/>
          <w:numId w:val="1"/>
        </w:numPr>
        <w:bidi/>
        <w:jc w:val="both"/>
        <w:rPr>
          <w:sz w:val="24"/>
        </w:rPr>
      </w:pPr>
      <w:r>
        <w:rPr>
          <w:sz w:val="24"/>
          <w:rtl/>
        </w:rPr>
        <w:t>עיינתי בפסיקה שהוצגה על ידי הצדדים ובפסיקה נוספת. מדיניות הענישה הנהוגה בעבירה בה הורשע הנאשם רחבה ונסמכת על חומרת המעשים וכלל הנסיבות</w:t>
      </w:r>
      <w:r>
        <w:rPr>
          <w:rtl/>
        </w:rPr>
        <w:t xml:space="preserve">. </w:t>
      </w:r>
      <w:r>
        <w:rPr>
          <w:sz w:val="24"/>
          <w:rtl/>
        </w:rPr>
        <w:t xml:space="preserve">מטבע הדברים, קשה להצביע על מקרים בעלי מאפיינים זהים לזה שלפני, ובעניינו של כל נאשם מתבררות נסיבות שונות של עושה ושל מעשה. כך, שלא ניתן להקיש על העונש הראוי באופן ישיר מהחלטה זו או אחרת. </w:t>
      </w:r>
    </w:p>
    <w:p w14:paraId="6CB900D8" w14:textId="77777777" w:rsidR="00E32991" w:rsidRDefault="00E32991" w:rsidP="00E32991">
      <w:pPr>
        <w:pStyle w:val="a9"/>
        <w:bidi/>
        <w:jc w:val="both"/>
        <w:rPr>
          <w:sz w:val="24"/>
          <w:rtl/>
        </w:rPr>
      </w:pPr>
    </w:p>
    <w:p w14:paraId="106262B8" w14:textId="77777777" w:rsidR="00E32991" w:rsidRDefault="00E32991" w:rsidP="00E32991">
      <w:pPr>
        <w:pStyle w:val="a9"/>
        <w:numPr>
          <w:ilvl w:val="0"/>
          <w:numId w:val="1"/>
        </w:numPr>
        <w:bidi/>
        <w:jc w:val="both"/>
        <w:rPr>
          <w:sz w:val="24"/>
          <w:rtl/>
        </w:rPr>
      </w:pPr>
      <w:r>
        <w:rPr>
          <w:sz w:val="24"/>
          <w:rtl/>
        </w:rPr>
        <w:t>כמו כן, למען הסדר הטוב אבהיר כי עיינתי בפסיקה שהוצגה לי על ידי הצדדים אך לא ראיתי לנכון לציין את כלל החלטות אליהן הופניתי, אלא למספר החלטות מצומצם, שיש בכוחן להאיר את הענישה הנוהגת, בעבירות כאן. ראו למשל:</w:t>
      </w:r>
    </w:p>
    <w:p w14:paraId="2971F740" w14:textId="77777777" w:rsidR="00E32991" w:rsidRDefault="00E32991" w:rsidP="00E32991">
      <w:pPr>
        <w:pStyle w:val="a9"/>
        <w:rPr>
          <w:sz w:val="24"/>
        </w:rPr>
      </w:pPr>
    </w:p>
    <w:p w14:paraId="142713E4" w14:textId="77777777" w:rsidR="00E32991" w:rsidRDefault="00E32991" w:rsidP="00E32991">
      <w:pPr>
        <w:pStyle w:val="a9"/>
        <w:numPr>
          <w:ilvl w:val="0"/>
          <w:numId w:val="1"/>
        </w:numPr>
        <w:bidi/>
        <w:jc w:val="both"/>
        <w:rPr>
          <w:rtl/>
        </w:rPr>
      </w:pPr>
      <w:r>
        <w:rPr>
          <w:rtl/>
        </w:rPr>
        <w:t>ב</w:t>
      </w:r>
      <w:hyperlink r:id="rId15" w:history="1">
        <w:r w:rsidR="00E43147" w:rsidRPr="00E43147">
          <w:rPr>
            <w:rFonts w:hint="cs"/>
            <w:color w:val="0000FF"/>
            <w:u w:val="single"/>
            <w:rtl/>
          </w:rPr>
          <w:t>רע</w:t>
        </w:r>
        <w:r w:rsidR="00E43147" w:rsidRPr="00E43147">
          <w:rPr>
            <w:color w:val="0000FF"/>
            <w:u w:val="single"/>
            <w:rtl/>
          </w:rPr>
          <w:t>"</w:t>
        </w:r>
        <w:r w:rsidR="00E43147" w:rsidRPr="00E43147">
          <w:rPr>
            <w:rFonts w:hint="cs"/>
            <w:color w:val="0000FF"/>
            <w:u w:val="single"/>
            <w:rtl/>
          </w:rPr>
          <w:t>פ</w:t>
        </w:r>
        <w:r w:rsidR="00E43147" w:rsidRPr="00E43147">
          <w:rPr>
            <w:color w:val="0000FF"/>
            <w:u w:val="single"/>
            <w:rtl/>
          </w:rPr>
          <w:t xml:space="preserve"> 8630/21</w:t>
        </w:r>
      </w:hyperlink>
      <w:r w:rsidR="00E43147">
        <w:rPr>
          <w:rtl/>
        </w:rPr>
        <w:t xml:space="preserve"> </w:t>
      </w:r>
      <w:r>
        <w:rPr>
          <w:b/>
          <w:bCs/>
          <w:rtl/>
        </w:rPr>
        <w:t>נחמן האמער נ' מ"י</w:t>
      </w:r>
      <w:r>
        <w:rPr>
          <w:rtl/>
        </w:rPr>
        <w:t xml:space="preserve"> (21.12.21) הורשע המבקש בביצוע עבירות של החזקת סם שלא לצריכה עצמית בגין כך שאחר העביר אליו ואל אחיו 3.5 ק"ג סמים מסוג חשיש. הסמים היו מוסתרים במחסן בברצלונה שבספרד, ועל פי תיאום מראש, העביר החבר את מפתח המחסן למבקש, הסביר לו היכן הסמים, והמבקש ואחיו, הגיעו בטיסה לברצלונה ואספו את הסמים לרשותם. בית משפט השלום קבע מתחם עונש הולם הנע בין 10 חודשי מאסר לבין 30 חודשים, ובשים לב להודאתו של המבקש והיעדר עבר בפלילים, גזר עליו 11 חודשי מאסר בפועל. בית המשפט המחוזי דחה את הערעור, ובית המשפט העליון דחה את בקשת רשות הערעור. </w:t>
      </w:r>
    </w:p>
    <w:p w14:paraId="3A32C9CD" w14:textId="77777777" w:rsidR="00E32991" w:rsidRDefault="00E32991" w:rsidP="00E32991">
      <w:pPr>
        <w:pStyle w:val="a9"/>
        <w:bidi/>
        <w:jc w:val="both"/>
      </w:pPr>
    </w:p>
    <w:p w14:paraId="49748B3F" w14:textId="77777777" w:rsidR="00E32991" w:rsidRDefault="00E32991" w:rsidP="00E32991">
      <w:pPr>
        <w:pStyle w:val="a9"/>
        <w:numPr>
          <w:ilvl w:val="0"/>
          <w:numId w:val="1"/>
        </w:numPr>
        <w:bidi/>
        <w:jc w:val="both"/>
        <w:rPr>
          <w:b/>
          <w:bCs/>
          <w:rtl/>
        </w:rPr>
      </w:pPr>
      <w:r>
        <w:rPr>
          <w:rtl/>
        </w:rPr>
        <w:t>ב</w:t>
      </w:r>
      <w:hyperlink r:id="rId16" w:history="1">
        <w:r w:rsidR="00E43147" w:rsidRPr="00E43147">
          <w:rPr>
            <w:rFonts w:hint="cs"/>
            <w:color w:val="0000FF"/>
            <w:u w:val="single"/>
            <w:rtl/>
          </w:rPr>
          <w:t>רע</w:t>
        </w:r>
        <w:r w:rsidR="00E43147" w:rsidRPr="00E43147">
          <w:rPr>
            <w:color w:val="0000FF"/>
            <w:u w:val="single"/>
            <w:rtl/>
          </w:rPr>
          <w:t>"</w:t>
        </w:r>
        <w:r w:rsidR="00E43147" w:rsidRPr="00E43147">
          <w:rPr>
            <w:rFonts w:hint="cs"/>
            <w:color w:val="0000FF"/>
            <w:u w:val="single"/>
            <w:rtl/>
          </w:rPr>
          <w:t>פ</w:t>
        </w:r>
        <w:r w:rsidR="00E43147" w:rsidRPr="00E43147">
          <w:rPr>
            <w:color w:val="0000FF"/>
            <w:u w:val="single"/>
            <w:rtl/>
          </w:rPr>
          <w:t xml:space="preserve"> 7570/21</w:t>
        </w:r>
      </w:hyperlink>
      <w:r>
        <w:rPr>
          <w:rtl/>
        </w:rPr>
        <w:t xml:space="preserve"> ‏</w:t>
      </w:r>
      <w:r>
        <w:rPr>
          <w:b/>
          <w:bCs/>
          <w:rtl/>
        </w:rPr>
        <w:t>אבו סוילם נ' מ"י</w:t>
      </w:r>
      <w:r>
        <w:rPr>
          <w:rtl/>
        </w:rPr>
        <w:t xml:space="preserve"> (11.11.21) הורשע המבקש בביצוע עבירות של החזקת סם שלא לצריכה עצמית והסתייעות ברכב לעבור עבירה. ברכב המבקש נמצאו סמים מסוכנים מסוג קוקאין במשקל של כ- 1.126 גרם וסם מסוכן מסוג קנבוס אשר חולקו למספר שקיות והונחו במקומות שונים ברכב, כשסך משקלם היה מעל ל-4 ק"ג. שירות המבחן המליץ להטיל על הנאשם צו של"צ לצד צו מבחן בשל ההליך הטיפולי בו החל,  אך זה נקטע בשל מגפת הקורונה. בית המשפט שקל את היות המבקש נעדר עבר פלילי, את שיתוף הפעולה עם שירות המבחן, המאמצים שעורך ומורכבות חייו, וגזר על המבקש 8 חודשי מאסר בפועל, מאחורי סורג ובריח, לצד מרכיבי ענישה נלווים. ערעורו של המבקש לבית המשפט המחוזי על אופן ריצוי עונש המאסר מאחורי סורג ובריח, נדחה וזאת </w:t>
      </w:r>
      <w:r>
        <w:rPr>
          <w:b/>
          <w:bCs/>
          <w:rtl/>
        </w:rPr>
        <w:t xml:space="preserve">"משום חומרת העבירות המיוחסות לו; היותו גורם בשרשרת הפצת סמים מסוכנים; והצורך בענישה מרתיעה במלחמה בנגע הסמים". </w:t>
      </w:r>
    </w:p>
    <w:p w14:paraId="170EDE8F" w14:textId="77777777" w:rsidR="00E32991" w:rsidRDefault="00E32991" w:rsidP="00E32991">
      <w:pPr>
        <w:spacing w:line="360" w:lineRule="auto"/>
        <w:ind w:left="720"/>
        <w:contextualSpacing/>
        <w:jc w:val="both"/>
        <w:rPr>
          <w:rtl/>
        </w:rPr>
      </w:pPr>
      <w:r>
        <w:rPr>
          <w:rtl/>
        </w:rPr>
        <w:t xml:space="preserve">בית המשפט העליון דחה את בקשת רשות הערעור, תוך שהבהיר כי </w:t>
      </w:r>
      <w:r>
        <w:rPr>
          <w:b/>
          <w:bCs/>
          <w:rtl/>
        </w:rPr>
        <w:t>"כידוע, שיקולי שיקום אינם חזות הכל והיה על הערכאות קמא לשים לבן אל שיקולי ענישה נוספים, ביניהם הרתעת הרבים, הרתעת היחיד וגמול ...</w:t>
      </w:r>
      <w:r w:rsidR="00E43147">
        <w:rPr>
          <w:b/>
          <w:bCs/>
          <w:rtl/>
        </w:rPr>
        <w:t xml:space="preserve"> </w:t>
      </w:r>
      <w:r>
        <w:rPr>
          <w:b/>
          <w:bCs/>
          <w:rtl/>
        </w:rPr>
        <w:t>חרף המלצת שירות המבחן להימנע מהטלת עונש מאסר בפועל, לא מצאתי כי יש לקבל את טענות המבקש .... תסקיר שירות המבחן הוא בגדר המלצה, ועל בית המשפט היושב בדין לבחנו לצד שיקולים נוספים ובמכלול נסיבות ...ויודגש - עונשו של המבקש, אשר הורשע בהחזקת סמים מסוכנים שעל פי כמותם נועדו לשמש לתפוצה רחבה, אינו חמור כלל ועיקר...זאת, אף בשים לב לנסיבותיו האישיות ולהתרשמותו החיובית של שירות המבחן בעניינו".</w:t>
      </w:r>
    </w:p>
    <w:p w14:paraId="307CD24A" w14:textId="77777777" w:rsidR="00E32991" w:rsidRDefault="00E32991" w:rsidP="00E32991">
      <w:pPr>
        <w:spacing w:line="360" w:lineRule="auto"/>
        <w:jc w:val="both"/>
        <w:rPr>
          <w:rtl/>
        </w:rPr>
      </w:pPr>
    </w:p>
    <w:p w14:paraId="3F9C3F85" w14:textId="77777777" w:rsidR="00E32991" w:rsidRDefault="00E32991" w:rsidP="00E32991">
      <w:pPr>
        <w:pStyle w:val="a9"/>
        <w:numPr>
          <w:ilvl w:val="0"/>
          <w:numId w:val="1"/>
        </w:numPr>
        <w:bidi/>
        <w:jc w:val="both"/>
        <w:rPr>
          <w:rtl/>
        </w:rPr>
      </w:pPr>
      <w:r>
        <w:rPr>
          <w:rtl/>
        </w:rPr>
        <w:t>ב</w:t>
      </w:r>
      <w:hyperlink r:id="rId17" w:history="1">
        <w:r w:rsidR="00E43147" w:rsidRPr="00E43147">
          <w:rPr>
            <w:rFonts w:hint="cs"/>
            <w:color w:val="0000FF"/>
            <w:u w:val="single"/>
            <w:rtl/>
          </w:rPr>
          <w:t>רע</w:t>
        </w:r>
        <w:r w:rsidR="00E43147" w:rsidRPr="00E43147">
          <w:rPr>
            <w:color w:val="0000FF"/>
            <w:u w:val="single"/>
            <w:rtl/>
          </w:rPr>
          <w:t>"</w:t>
        </w:r>
        <w:r w:rsidR="00E43147" w:rsidRPr="00E43147">
          <w:rPr>
            <w:rFonts w:hint="cs"/>
            <w:color w:val="0000FF"/>
            <w:u w:val="single"/>
            <w:rtl/>
          </w:rPr>
          <w:t>פ</w:t>
        </w:r>
        <w:r w:rsidR="00E43147" w:rsidRPr="00E43147">
          <w:rPr>
            <w:color w:val="0000FF"/>
            <w:u w:val="single"/>
            <w:rtl/>
          </w:rPr>
          <w:t xml:space="preserve"> 1830/16</w:t>
        </w:r>
      </w:hyperlink>
      <w:r>
        <w:rPr>
          <w:rtl/>
        </w:rPr>
        <w:t xml:space="preserve"> </w:t>
      </w:r>
      <w:r>
        <w:rPr>
          <w:b/>
          <w:bCs/>
          <w:rtl/>
        </w:rPr>
        <w:t>רקיבי נ' מ"י</w:t>
      </w:r>
      <w:r>
        <w:rPr>
          <w:rtl/>
        </w:rPr>
        <w:t xml:space="preserve"> (11.4.16) הורשע המבקש בביצוע עבירה של החזקת סם שלא לצריכה עצמית, לאחר שנתפס ברכבו סם מסוכן מסוג חשיש במשקל של כ-2.3 ק"ג</w:t>
      </w:r>
      <w:r>
        <w:t>.</w:t>
      </w:r>
      <w:r>
        <w:rPr>
          <w:rtl/>
        </w:rPr>
        <w:t xml:space="preserve"> בית משפט השלום גזר על המבקש 8 חודשי מאסר בפועל, בניגוד להמלצת שירות המבחן אשר המליץ על עונש מאסר מותנה וקנס. בית המשפט המחוזי דחה את הערעור ובית המשפט העליון דחה את בקשת רשות הערעור. </w:t>
      </w:r>
    </w:p>
    <w:p w14:paraId="683D949A" w14:textId="77777777" w:rsidR="00E32991" w:rsidRDefault="00E32991" w:rsidP="00E32991">
      <w:pPr>
        <w:pStyle w:val="a9"/>
        <w:bidi/>
        <w:jc w:val="both"/>
      </w:pPr>
    </w:p>
    <w:p w14:paraId="1D7AB622" w14:textId="77777777" w:rsidR="00E32991" w:rsidRDefault="00E43147" w:rsidP="00E32991">
      <w:pPr>
        <w:pStyle w:val="a9"/>
        <w:numPr>
          <w:ilvl w:val="0"/>
          <w:numId w:val="1"/>
        </w:numPr>
        <w:bidi/>
        <w:jc w:val="both"/>
      </w:pPr>
      <w:hyperlink r:id="rId18" w:history="1">
        <w:r w:rsidRPr="00E43147">
          <w:rPr>
            <w:rFonts w:hint="cs"/>
            <w:color w:val="0000FF"/>
            <w:u w:val="single"/>
            <w:rtl/>
          </w:rPr>
          <w:t>ת</w:t>
        </w:r>
        <w:r w:rsidRPr="00E43147">
          <w:rPr>
            <w:color w:val="0000FF"/>
            <w:u w:val="single"/>
            <w:rtl/>
          </w:rPr>
          <w:t>"</w:t>
        </w:r>
        <w:r w:rsidRPr="00E43147">
          <w:rPr>
            <w:rFonts w:hint="cs"/>
            <w:color w:val="0000FF"/>
            <w:u w:val="single"/>
            <w:rtl/>
          </w:rPr>
          <w:t>פ</w:t>
        </w:r>
        <w:r w:rsidRPr="00E43147">
          <w:rPr>
            <w:color w:val="0000FF"/>
            <w:u w:val="single"/>
            <w:rtl/>
          </w:rPr>
          <w:t xml:space="preserve"> (</w:t>
        </w:r>
        <w:r w:rsidRPr="00E43147">
          <w:rPr>
            <w:rFonts w:hint="cs"/>
            <w:color w:val="0000FF"/>
            <w:u w:val="single"/>
            <w:rtl/>
          </w:rPr>
          <w:t>שלום</w:t>
        </w:r>
        <w:r w:rsidRPr="00E43147">
          <w:rPr>
            <w:color w:val="0000FF"/>
            <w:u w:val="single"/>
            <w:rtl/>
          </w:rPr>
          <w:t xml:space="preserve"> </w:t>
        </w:r>
        <w:r w:rsidRPr="00E43147">
          <w:rPr>
            <w:rFonts w:hint="cs"/>
            <w:color w:val="0000FF"/>
            <w:u w:val="single"/>
            <w:rtl/>
          </w:rPr>
          <w:t>חד</w:t>
        </w:r>
        <w:r w:rsidRPr="00E43147">
          <w:rPr>
            <w:color w:val="0000FF"/>
            <w:u w:val="single"/>
            <w:rtl/>
          </w:rPr>
          <w:t>') 51006-11-21</w:t>
        </w:r>
      </w:hyperlink>
      <w:r>
        <w:rPr>
          <w:rtl/>
        </w:rPr>
        <w:t xml:space="preserve"> </w:t>
      </w:r>
      <w:r w:rsidR="00E32991">
        <w:rPr>
          <w:b/>
          <w:bCs/>
          <w:rtl/>
        </w:rPr>
        <w:t>מ"י נ' ג'בארין</w:t>
      </w:r>
      <w:r>
        <w:rPr>
          <w:rtl/>
        </w:rPr>
        <w:t xml:space="preserve"> </w:t>
      </w:r>
      <w:r w:rsidR="00E32991">
        <w:rPr>
          <w:rtl/>
        </w:rPr>
        <w:t>(23.6.22)</w:t>
      </w:r>
      <w:r w:rsidR="00E32991">
        <w:rPr>
          <w:rFonts w:ascii="David" w:hAnsi="David"/>
          <w:color w:val="000000"/>
          <w:shd w:val="clear" w:color="auto" w:fill="FFFFFF"/>
          <w:rtl/>
        </w:rPr>
        <w:t xml:space="preserve"> </w:t>
      </w:r>
      <w:r w:rsidR="00E32991">
        <w:rPr>
          <w:rtl/>
        </w:rPr>
        <w:t>הורשעו הנאשמים בעבירות של החזקת סם מסוג חשיש וקנבוס, שלא לצריכה עצמית, במשקל של 1,556.36 גרם ו- 4,670.48 גרם בהתאמה, כאשר שווי הסם אינו ידוע</w:t>
      </w:r>
      <w:r w:rsidR="00E32991">
        <w:t>.</w:t>
      </w:r>
      <w:r w:rsidR="00E32991">
        <w:rPr>
          <w:rtl/>
        </w:rPr>
        <w:t xml:space="preserve"> בית המשפט קבע את מתחם העונש ההולם בין 9 חודשי מאסר ועד ל-24 חודשים, וגזר על הנאשם 1 מאסר בפועל למשך 10 חודשים, בשים לב לעברו הפלילי, בעבירות דומות. על הנאשם 2, הנעדר עבר פלילי, נגזרו 9 חודשי מאסר לריצוי בעבודות שירות. </w:t>
      </w:r>
    </w:p>
    <w:p w14:paraId="07A9F632" w14:textId="77777777" w:rsidR="00E32991" w:rsidRDefault="00E32991" w:rsidP="00E32991">
      <w:pPr>
        <w:pStyle w:val="a9"/>
      </w:pPr>
    </w:p>
    <w:p w14:paraId="1E56865A" w14:textId="77777777" w:rsidR="00E32991" w:rsidRDefault="00E43147" w:rsidP="00E32991">
      <w:pPr>
        <w:pStyle w:val="a9"/>
        <w:numPr>
          <w:ilvl w:val="0"/>
          <w:numId w:val="1"/>
        </w:numPr>
        <w:bidi/>
        <w:jc w:val="both"/>
        <w:rPr>
          <w:rtl/>
        </w:rPr>
      </w:pPr>
      <w:hyperlink r:id="rId19" w:history="1">
        <w:r w:rsidRPr="00E43147">
          <w:rPr>
            <w:rFonts w:hint="cs"/>
            <w:color w:val="0000FF"/>
            <w:u w:val="single"/>
            <w:rtl/>
          </w:rPr>
          <w:t>ת</w:t>
        </w:r>
        <w:r w:rsidRPr="00E43147">
          <w:rPr>
            <w:color w:val="0000FF"/>
            <w:u w:val="single"/>
            <w:rtl/>
          </w:rPr>
          <w:t>"</w:t>
        </w:r>
        <w:r w:rsidRPr="00E43147">
          <w:rPr>
            <w:rFonts w:hint="cs"/>
            <w:color w:val="0000FF"/>
            <w:u w:val="single"/>
            <w:rtl/>
          </w:rPr>
          <w:t>פ</w:t>
        </w:r>
        <w:r w:rsidRPr="00E43147">
          <w:rPr>
            <w:color w:val="0000FF"/>
            <w:u w:val="single"/>
            <w:rtl/>
          </w:rPr>
          <w:t xml:space="preserve"> 17146-05-20</w:t>
        </w:r>
      </w:hyperlink>
      <w:r w:rsidR="00E32991">
        <w:rPr>
          <w:rtl/>
        </w:rPr>
        <w:t xml:space="preserve"> (ת"א) </w:t>
      </w:r>
      <w:r w:rsidR="00E32991">
        <w:rPr>
          <w:b/>
          <w:bCs/>
          <w:rtl/>
        </w:rPr>
        <w:t>מ"י נ' גלר</w:t>
      </w:r>
      <w:r w:rsidR="00E32991">
        <w:rPr>
          <w:rtl/>
        </w:rPr>
        <w:t xml:space="preserve"> (12.5.21) הנאשם הורשע על פי הודאתו בביצוע עבירה של החזקת סם שלא לצריכה עצמית והחזקת כלים להכנת סמים, בגין כך שהחזיק וגידל סמים מסוכנים מסוג קנבוס במשקל כולל של 12 ק"ג. בית המשפט קבע מתחם עונש הולם הנע בין 7 חודשי מאסר שיכול וירוצו בעבודות שירות, לבין 18 חודשי מאסר בפועל וגזר על הנאשם 8 חודשי מאסר בעבודות שירות. </w:t>
      </w:r>
    </w:p>
    <w:p w14:paraId="786CE849" w14:textId="77777777" w:rsidR="00E32991" w:rsidRDefault="00E32991" w:rsidP="00E32991">
      <w:pPr>
        <w:pStyle w:val="a9"/>
      </w:pPr>
    </w:p>
    <w:p w14:paraId="05181E33" w14:textId="77777777" w:rsidR="00E32991" w:rsidRDefault="00E32991" w:rsidP="00E32991">
      <w:pPr>
        <w:pStyle w:val="a9"/>
        <w:numPr>
          <w:ilvl w:val="0"/>
          <w:numId w:val="1"/>
        </w:numPr>
        <w:bidi/>
        <w:jc w:val="both"/>
        <w:rPr>
          <w:b/>
          <w:bCs/>
          <w:rtl/>
        </w:rPr>
      </w:pPr>
      <w:r>
        <w:rPr>
          <w:b/>
          <w:bCs/>
          <w:rtl/>
        </w:rPr>
        <w:t xml:space="preserve">לאחר ששקלתי את מכלול הנסיבות הקשורות למעשי העבירה ולמידת אשמו של הנאשם, לרבות הערך החברתי שנפגע מביצוע העבירה, מידת הפגיעה בערך המוגן ומדיניות הענישה הרווחת, תוך אבחנה לענייננו, אני קובעת כי מתחם העונש ההולם נע בין 9 חודשי מאסר ועד ל-24 חודשי מאסר בפועל, לצד ענישה נלווית. </w:t>
      </w:r>
    </w:p>
    <w:p w14:paraId="094B50BD" w14:textId="77777777" w:rsidR="00E32991" w:rsidRDefault="00E32991" w:rsidP="00E32991">
      <w:pPr>
        <w:spacing w:line="360" w:lineRule="auto"/>
        <w:ind w:firstLine="360"/>
        <w:jc w:val="both"/>
        <w:rPr>
          <w:rtl/>
        </w:rPr>
      </w:pPr>
    </w:p>
    <w:p w14:paraId="29651DB5" w14:textId="77777777" w:rsidR="00E32991" w:rsidRPr="00E42B0A" w:rsidRDefault="00E32991" w:rsidP="00E32991">
      <w:pPr>
        <w:spacing w:line="360" w:lineRule="auto"/>
        <w:ind w:firstLine="360"/>
        <w:jc w:val="both"/>
        <w:rPr>
          <w:rtl/>
        </w:rPr>
      </w:pPr>
      <w:r w:rsidRPr="00E42B0A">
        <w:rPr>
          <w:rtl/>
        </w:rPr>
        <w:t xml:space="preserve">עונשו של הנאשם </w:t>
      </w:r>
    </w:p>
    <w:p w14:paraId="27316154" w14:textId="77777777" w:rsidR="00E32991" w:rsidRDefault="00E32991" w:rsidP="00E32991">
      <w:pPr>
        <w:pStyle w:val="a9"/>
        <w:numPr>
          <w:ilvl w:val="0"/>
          <w:numId w:val="1"/>
        </w:numPr>
        <w:bidi/>
        <w:jc w:val="both"/>
        <w:rPr>
          <w:rtl/>
        </w:rPr>
      </w:pPr>
      <w:r>
        <w:rPr>
          <w:rtl/>
        </w:rPr>
        <w:t xml:space="preserve">לא מצאתי כי בנסיבות המקרה שלפניי, מתקיימים שיקולים המאפשרים לסטות מן המתחם, לקולה או לחומרה. </w:t>
      </w:r>
    </w:p>
    <w:p w14:paraId="2C6F8C50" w14:textId="77777777" w:rsidR="00E32991" w:rsidRDefault="00E32991" w:rsidP="00E32991">
      <w:pPr>
        <w:pStyle w:val="a9"/>
        <w:bidi/>
        <w:jc w:val="both"/>
      </w:pPr>
    </w:p>
    <w:p w14:paraId="4E66A6C3" w14:textId="77777777" w:rsidR="00E32991" w:rsidRDefault="00E32991" w:rsidP="00E32991">
      <w:pPr>
        <w:pStyle w:val="a9"/>
        <w:numPr>
          <w:ilvl w:val="0"/>
          <w:numId w:val="1"/>
        </w:numPr>
        <w:bidi/>
        <w:jc w:val="both"/>
      </w:pPr>
      <w:r>
        <w:rPr>
          <w:rtl/>
        </w:rPr>
        <w:t>בתוך מתחם העונש ההולם על בית המשפט לאתר את עונשו של הנאשם, בהתחשב בנסיבות שאינן קשורות בביצוע העבירה.</w:t>
      </w:r>
    </w:p>
    <w:p w14:paraId="53186E8A" w14:textId="77777777" w:rsidR="00E32991" w:rsidRDefault="00E32991" w:rsidP="00E32991">
      <w:pPr>
        <w:pStyle w:val="a9"/>
      </w:pPr>
    </w:p>
    <w:p w14:paraId="6B558CF5" w14:textId="77777777" w:rsidR="00E32991" w:rsidRDefault="00E32991" w:rsidP="00E32991">
      <w:pPr>
        <w:pStyle w:val="a9"/>
        <w:numPr>
          <w:ilvl w:val="0"/>
          <w:numId w:val="1"/>
        </w:numPr>
        <w:bidi/>
        <w:jc w:val="both"/>
        <w:rPr>
          <w:rtl/>
        </w:rPr>
      </w:pPr>
      <w:r>
        <w:rPr>
          <w:rtl/>
        </w:rPr>
        <w:t xml:space="preserve">הנאשם, ללא הרשעות קודמות בפלילים, הודה במיוחס לו, נטל אחריות והביע חרטה על מעשיו. שירות המבחן התרשם כי הנאשם מבין את חומרת מעשיו ומכיר בפגיעה הרחבה שעלולה הייתה להתרחש. </w:t>
      </w:r>
    </w:p>
    <w:p w14:paraId="4C0D7143" w14:textId="77777777" w:rsidR="00E32991" w:rsidRDefault="00E32991" w:rsidP="00E32991">
      <w:pPr>
        <w:spacing w:line="360" w:lineRule="auto"/>
        <w:ind w:left="720"/>
        <w:jc w:val="both"/>
        <w:rPr>
          <w:rtl/>
        </w:rPr>
      </w:pPr>
      <w:r>
        <w:rPr>
          <w:rtl/>
        </w:rPr>
        <w:t>עוד</w:t>
      </w:r>
      <w:r>
        <w:rPr>
          <w:rFonts w:hint="cs"/>
          <w:rtl/>
        </w:rPr>
        <w:t xml:space="preserve"> שקלתי את העובדה כי</w:t>
      </w:r>
      <w:r>
        <w:rPr>
          <w:rtl/>
        </w:rPr>
        <w:t xml:space="preserve"> הנאשם עובד לפרנסתו באופן יציב, ונמנע מביצוע עבירות מאז ביצוע העבירות כאן.  </w:t>
      </w:r>
    </w:p>
    <w:p w14:paraId="3ABF04A9" w14:textId="77777777" w:rsidR="00E32991" w:rsidRDefault="00E32991" w:rsidP="00E32991">
      <w:pPr>
        <w:spacing w:line="360" w:lineRule="auto"/>
        <w:ind w:left="720"/>
        <w:jc w:val="both"/>
      </w:pPr>
    </w:p>
    <w:p w14:paraId="4D22A1C2" w14:textId="77777777" w:rsidR="00E32991" w:rsidRDefault="00E32991" w:rsidP="00E32991">
      <w:pPr>
        <w:pStyle w:val="a9"/>
        <w:numPr>
          <w:ilvl w:val="0"/>
          <w:numId w:val="1"/>
        </w:numPr>
        <w:bidi/>
        <w:jc w:val="both"/>
      </w:pPr>
      <w:r>
        <w:rPr>
          <w:rtl/>
        </w:rPr>
        <w:t xml:space="preserve">עוד אציין לחיוב את נכונות הנאשם להשתלב בהליך טיפולי. כאמור, הנאשם שולב בקבוצה טיפולית והתייצב בקביעות למפגשים הקבוצתיים, עם זאת מפגשים אלה אשר החלו ביום 27.9.23 הופסקו עם פרוץ המלחמה ביום 7.10.23, כך שההליך הטיפולי הקבוצתי נקטע עוד בראשיתו, כך שלא ניתן לומר כי הסיכון להישנות התנהגות עוברת חוק, בסופו של דבר צומצם. </w:t>
      </w:r>
    </w:p>
    <w:p w14:paraId="44A46B90" w14:textId="77777777" w:rsidR="00E32991" w:rsidRDefault="00E32991" w:rsidP="00E32991">
      <w:pPr>
        <w:pStyle w:val="a9"/>
        <w:bidi/>
        <w:jc w:val="both"/>
      </w:pPr>
      <w:r>
        <w:rPr>
          <w:rtl/>
        </w:rPr>
        <w:t xml:space="preserve">כמו כן, מתסקירי שירות המבחן עולה כי אמנם הנאשם מעוניין לערוך שינוי בהתנהלותו, אך הוא מתקשה להתייחס לדפוסיו המכשילים, ונוטה לצמצם את חלקיו הבעייתיים. </w:t>
      </w:r>
    </w:p>
    <w:p w14:paraId="72BF5637" w14:textId="77777777" w:rsidR="00E32991" w:rsidRDefault="00E32991" w:rsidP="00E32991">
      <w:pPr>
        <w:pStyle w:val="a9"/>
        <w:bidi/>
        <w:jc w:val="both"/>
        <w:rPr>
          <w:rtl/>
        </w:rPr>
      </w:pPr>
      <w:r>
        <w:rPr>
          <w:rtl/>
        </w:rPr>
        <w:t xml:space="preserve">לצד זאת ציין שירות המבחן כי כעת הנאשם מעוניין להחזיר שליטה על חייו ולחזור למסלול החיים התקין, דבר המתבטא בתעסוקה יצרנית ויציבה והימנעות מפלילים מאז ביצוע העבירה ועד היום. </w:t>
      </w:r>
    </w:p>
    <w:p w14:paraId="315B7331" w14:textId="77777777" w:rsidR="00E32991" w:rsidRDefault="00E32991" w:rsidP="00E32991">
      <w:pPr>
        <w:pStyle w:val="a9"/>
        <w:bidi/>
        <w:jc w:val="both"/>
        <w:rPr>
          <w:rtl/>
        </w:rPr>
      </w:pPr>
    </w:p>
    <w:p w14:paraId="1C5EF858" w14:textId="77777777" w:rsidR="00E32991" w:rsidRDefault="00E32991" w:rsidP="00E32991">
      <w:pPr>
        <w:pStyle w:val="a9"/>
        <w:numPr>
          <w:ilvl w:val="0"/>
          <w:numId w:val="1"/>
        </w:numPr>
        <w:bidi/>
        <w:jc w:val="both"/>
        <w:rPr>
          <w:rtl/>
        </w:rPr>
      </w:pPr>
      <w:r>
        <w:rPr>
          <w:rtl/>
        </w:rPr>
        <w:t xml:space="preserve">לבסוף אציין כי נתתי דעתי לגילו הצעיר של הנאשם, וכן להיותו נתון בתנאים מגבילים תקופה ממושכת, וזאת מבלי שהפר איזה מהתנאים. </w:t>
      </w:r>
    </w:p>
    <w:p w14:paraId="0269FDC5" w14:textId="77777777" w:rsidR="00E32991" w:rsidRDefault="00E32991" w:rsidP="00E32991">
      <w:pPr>
        <w:pStyle w:val="a9"/>
      </w:pPr>
    </w:p>
    <w:p w14:paraId="37393214" w14:textId="77777777" w:rsidR="00E32991" w:rsidRDefault="00E32991" w:rsidP="00E32991">
      <w:pPr>
        <w:pStyle w:val="a9"/>
        <w:numPr>
          <w:ilvl w:val="0"/>
          <w:numId w:val="1"/>
        </w:numPr>
        <w:bidi/>
        <w:jc w:val="both"/>
        <w:rPr>
          <w:rtl/>
        </w:rPr>
      </w:pPr>
      <w:r>
        <w:rPr>
          <w:rtl/>
        </w:rPr>
        <w:t xml:space="preserve">נוכח כלל נסיבותיו של הנאשם, המפורטות לעיל, מצאתי להעמיד את עונשו של הנאשם בתחתית מתחם העונש ההולם.  </w:t>
      </w:r>
    </w:p>
    <w:p w14:paraId="2842F5FF" w14:textId="77777777" w:rsidR="00E32991" w:rsidRDefault="00E32991" w:rsidP="00E32991">
      <w:pPr>
        <w:pStyle w:val="a9"/>
      </w:pPr>
    </w:p>
    <w:p w14:paraId="2BE4021E" w14:textId="77777777" w:rsidR="00E32991" w:rsidRDefault="00E32991" w:rsidP="00E32991">
      <w:pPr>
        <w:pStyle w:val="a9"/>
        <w:numPr>
          <w:ilvl w:val="0"/>
          <w:numId w:val="1"/>
        </w:numPr>
        <w:bidi/>
        <w:jc w:val="both"/>
        <w:rPr>
          <w:rtl/>
        </w:rPr>
      </w:pPr>
      <w:r>
        <w:rPr>
          <w:rtl/>
        </w:rPr>
        <w:t xml:space="preserve">לסיום אציין כי לא נעלמה מעיני המלצת שירות המבחן אך אין בידי לקבלה. על בית המשפט בגזירת הדין לשקול שיקולים רחבים מאלה של שירות המבחן. נוכח כלל השיקולים שפורטו לעיל, לא ניתן שלא לגזור עונש הכולל רכיב של מאסר. </w:t>
      </w:r>
    </w:p>
    <w:p w14:paraId="65320181" w14:textId="77777777" w:rsidR="00E32991" w:rsidRDefault="00E32991" w:rsidP="00E32991">
      <w:pPr>
        <w:spacing w:line="360" w:lineRule="auto"/>
        <w:jc w:val="both"/>
        <w:rPr>
          <w:b/>
          <w:bCs/>
          <w:u w:val="single"/>
          <w:rtl/>
        </w:rPr>
      </w:pPr>
    </w:p>
    <w:p w14:paraId="4A708C14" w14:textId="77777777" w:rsidR="00E32991" w:rsidRDefault="00E32991" w:rsidP="00E32991">
      <w:pPr>
        <w:spacing w:line="360" w:lineRule="auto"/>
        <w:ind w:firstLine="360"/>
        <w:jc w:val="both"/>
        <w:rPr>
          <w:b/>
          <w:bCs/>
          <w:u w:val="single"/>
          <w:rtl/>
        </w:rPr>
      </w:pPr>
      <w:r>
        <w:rPr>
          <w:b/>
          <w:bCs/>
          <w:u w:val="single"/>
          <w:rtl/>
        </w:rPr>
        <w:t>סוף דבר</w:t>
      </w:r>
    </w:p>
    <w:p w14:paraId="5ABAA96A" w14:textId="77777777" w:rsidR="00E32991" w:rsidRDefault="00E32991" w:rsidP="00E32991">
      <w:pPr>
        <w:pStyle w:val="a9"/>
        <w:numPr>
          <w:ilvl w:val="0"/>
          <w:numId w:val="1"/>
        </w:numPr>
        <w:bidi/>
        <w:jc w:val="both"/>
        <w:rPr>
          <w:rtl/>
        </w:rPr>
      </w:pPr>
      <w:r>
        <w:rPr>
          <w:rtl/>
        </w:rPr>
        <w:t>לאור האמור לעיל הנני גוזרת על הנאשם את העונשים הבאים:</w:t>
      </w:r>
    </w:p>
    <w:p w14:paraId="460232A8" w14:textId="77777777" w:rsidR="00E32991" w:rsidRDefault="00E32991" w:rsidP="00E32991">
      <w:pPr>
        <w:spacing w:line="360" w:lineRule="auto"/>
        <w:jc w:val="both"/>
      </w:pPr>
    </w:p>
    <w:p w14:paraId="5D5E2721" w14:textId="77777777" w:rsidR="00E32991" w:rsidRDefault="00E32991" w:rsidP="00E32991">
      <w:pPr>
        <w:pStyle w:val="a9"/>
        <w:numPr>
          <w:ilvl w:val="0"/>
          <w:numId w:val="2"/>
        </w:numPr>
        <w:bidi/>
        <w:jc w:val="both"/>
      </w:pPr>
      <w:r>
        <w:rPr>
          <w:rtl/>
        </w:rPr>
        <w:t xml:space="preserve">מאסר לתקופה של 9 חודשים. הנאשם ישא בעונש המאסר בדרך של עבודות שירות.   </w:t>
      </w:r>
    </w:p>
    <w:p w14:paraId="000FFD80" w14:textId="77777777" w:rsidR="00E32991" w:rsidRPr="002B0621" w:rsidRDefault="00E32991" w:rsidP="00E32991">
      <w:pPr>
        <w:spacing w:line="360" w:lineRule="auto"/>
        <w:ind w:left="1080"/>
        <w:contextualSpacing/>
        <w:jc w:val="both"/>
        <w:rPr>
          <w:rFonts w:ascii="David" w:hAnsi="David"/>
        </w:rPr>
      </w:pPr>
      <w:r w:rsidRPr="002B0621">
        <w:rPr>
          <w:rFonts w:ascii="David" w:hAnsi="David"/>
          <w:rtl/>
        </w:rPr>
        <w:t xml:space="preserve">על הנאשם להתייצב לתחילת ריצוי העונש ביום </w:t>
      </w:r>
      <w:r>
        <w:rPr>
          <w:rFonts w:ascii="David" w:hAnsi="David" w:hint="cs"/>
          <w:rtl/>
        </w:rPr>
        <w:t>15.5.24</w:t>
      </w:r>
      <w:r w:rsidRPr="002B0621">
        <w:rPr>
          <w:rFonts w:ascii="David" w:hAnsi="David"/>
          <w:rtl/>
        </w:rPr>
        <w:t xml:space="preserve"> בשעה </w:t>
      </w:r>
      <w:r>
        <w:rPr>
          <w:rFonts w:ascii="David" w:hAnsi="David" w:hint="cs"/>
          <w:rtl/>
        </w:rPr>
        <w:t>08:00 בבוקר,</w:t>
      </w:r>
      <w:r w:rsidRPr="002B0621">
        <w:rPr>
          <w:rFonts w:ascii="David" w:hAnsi="David"/>
          <w:rtl/>
        </w:rPr>
        <w:t xml:space="preserve"> ביחידת ברקאי </w:t>
      </w:r>
      <w:r>
        <w:rPr>
          <w:rFonts w:ascii="David" w:hAnsi="David" w:hint="cs"/>
          <w:rtl/>
        </w:rPr>
        <w:t>שלוחת דרום</w:t>
      </w:r>
      <w:r w:rsidRPr="002B0621">
        <w:rPr>
          <w:rFonts w:ascii="David" w:hAnsi="David"/>
          <w:rtl/>
        </w:rPr>
        <w:t xml:space="preserve">, </w:t>
      </w:r>
      <w:r>
        <w:rPr>
          <w:rFonts w:ascii="David" w:hAnsi="David" w:hint="cs"/>
          <w:rtl/>
        </w:rPr>
        <w:t>סמוך לכלא באר שבע</w:t>
      </w:r>
      <w:r w:rsidRPr="002B0621">
        <w:rPr>
          <w:rFonts w:ascii="David" w:hAnsi="David"/>
          <w:rtl/>
        </w:rPr>
        <w:t>.</w:t>
      </w:r>
    </w:p>
    <w:p w14:paraId="007CC92F" w14:textId="77777777" w:rsidR="00E32991" w:rsidRPr="002B0621" w:rsidRDefault="00E32991" w:rsidP="00E32991">
      <w:pPr>
        <w:spacing w:line="360" w:lineRule="auto"/>
        <w:ind w:left="1080"/>
        <w:contextualSpacing/>
        <w:jc w:val="both"/>
        <w:rPr>
          <w:rFonts w:ascii="David" w:hAnsi="David"/>
          <w:rtl/>
        </w:rPr>
      </w:pPr>
      <w:r w:rsidRPr="002B0621">
        <w:rPr>
          <w:rFonts w:ascii="David" w:hAnsi="David"/>
          <w:rtl/>
        </w:rPr>
        <w:t xml:space="preserve">מובהר לנאשם כי היה ולא ישלים מכל סיבה שהיא את עבודות השירות, ימשיך וירצה את העונש מאחורי סורג ובריח. </w:t>
      </w:r>
    </w:p>
    <w:p w14:paraId="4E3EAD99" w14:textId="77777777" w:rsidR="00E32991" w:rsidRPr="002B0621" w:rsidRDefault="00E32991" w:rsidP="00E32991">
      <w:pPr>
        <w:spacing w:line="360" w:lineRule="auto"/>
        <w:jc w:val="both"/>
        <w:rPr>
          <w:rFonts w:ascii="David" w:hAnsi="David"/>
          <w:rtl/>
        </w:rPr>
      </w:pPr>
    </w:p>
    <w:p w14:paraId="55969D71" w14:textId="77777777" w:rsidR="00E32991" w:rsidRPr="006815B8" w:rsidRDefault="00E32991" w:rsidP="00E32991">
      <w:pPr>
        <w:pStyle w:val="a9"/>
        <w:numPr>
          <w:ilvl w:val="0"/>
          <w:numId w:val="2"/>
        </w:numPr>
        <w:bidi/>
        <w:jc w:val="both"/>
        <w:rPr>
          <w:rFonts w:ascii="David" w:hAnsi="David"/>
          <w:rtl/>
        </w:rPr>
      </w:pPr>
      <w:r w:rsidRPr="006815B8">
        <w:rPr>
          <w:rFonts w:ascii="David" w:hAnsi="David"/>
          <w:rtl/>
        </w:rPr>
        <w:t xml:space="preserve">מאסר למשך </w:t>
      </w:r>
      <w:r>
        <w:rPr>
          <w:rFonts w:ascii="David" w:hAnsi="David" w:hint="cs"/>
          <w:rtl/>
        </w:rPr>
        <w:t>6</w:t>
      </w:r>
      <w:r w:rsidRPr="006815B8">
        <w:rPr>
          <w:rFonts w:ascii="David" w:hAnsi="David"/>
          <w:rtl/>
        </w:rPr>
        <w:t xml:space="preserve"> חודשים והנאשם לא יישא עונש זה אלא אם יעבור בתוך 3 שנים מהיום כל עבירה לפי </w:t>
      </w:r>
      <w:hyperlink r:id="rId20" w:history="1">
        <w:r w:rsidR="00E43147" w:rsidRPr="00E43147">
          <w:rPr>
            <w:rFonts w:ascii="David" w:hAnsi="David"/>
            <w:color w:val="0000FF"/>
            <w:u w:val="single"/>
            <w:rtl/>
          </w:rPr>
          <w:t>פקודת הסמים המסוכנים</w:t>
        </w:r>
      </w:hyperlink>
      <w:r w:rsidRPr="006815B8">
        <w:rPr>
          <w:rFonts w:ascii="David" w:hAnsi="David"/>
          <w:rtl/>
        </w:rPr>
        <w:t>.</w:t>
      </w:r>
    </w:p>
    <w:p w14:paraId="0E22D856" w14:textId="77777777" w:rsidR="00E32991" w:rsidRPr="002B0621" w:rsidRDefault="00E32991" w:rsidP="00E32991">
      <w:pPr>
        <w:spacing w:line="360" w:lineRule="auto"/>
        <w:jc w:val="both"/>
        <w:rPr>
          <w:rFonts w:ascii="David" w:hAnsi="David"/>
          <w:rtl/>
        </w:rPr>
      </w:pPr>
    </w:p>
    <w:p w14:paraId="69D21E60" w14:textId="77777777" w:rsidR="00E32991" w:rsidRPr="002B0621" w:rsidRDefault="00E32991" w:rsidP="00E32991">
      <w:pPr>
        <w:numPr>
          <w:ilvl w:val="0"/>
          <w:numId w:val="2"/>
        </w:numPr>
        <w:spacing w:after="160" w:line="360" w:lineRule="auto"/>
        <w:contextualSpacing/>
        <w:jc w:val="both"/>
        <w:rPr>
          <w:rFonts w:ascii="David" w:hAnsi="David"/>
          <w:rtl/>
        </w:rPr>
      </w:pPr>
      <w:r w:rsidRPr="002B0621">
        <w:rPr>
          <w:rFonts w:ascii="David" w:hAnsi="David"/>
          <w:rtl/>
        </w:rPr>
        <w:t xml:space="preserve">קנס בסך </w:t>
      </w:r>
      <w:r>
        <w:rPr>
          <w:rFonts w:ascii="David" w:hAnsi="David" w:hint="cs"/>
          <w:rtl/>
        </w:rPr>
        <w:t>3,500</w:t>
      </w:r>
      <w:r w:rsidRPr="002B0621">
        <w:rPr>
          <w:rFonts w:ascii="David" w:hAnsi="David"/>
          <w:rtl/>
        </w:rPr>
        <w:t xml:space="preserve"> ₪ או 30 ימי מאסר תמורתו.</w:t>
      </w:r>
    </w:p>
    <w:p w14:paraId="3CE43F7D" w14:textId="77777777" w:rsidR="00E32991" w:rsidRPr="002B0621" w:rsidRDefault="00E32991" w:rsidP="00E32991">
      <w:pPr>
        <w:spacing w:line="360" w:lineRule="auto"/>
        <w:ind w:left="720" w:firstLine="360"/>
        <w:contextualSpacing/>
        <w:jc w:val="both"/>
        <w:rPr>
          <w:rFonts w:ascii="David" w:hAnsi="David"/>
          <w:rtl/>
        </w:rPr>
      </w:pPr>
      <w:r w:rsidRPr="002B0621">
        <w:rPr>
          <w:rFonts w:ascii="David" w:hAnsi="David"/>
          <w:rtl/>
        </w:rPr>
        <w:t>הקנס ישולם ב-</w:t>
      </w:r>
      <w:r>
        <w:rPr>
          <w:rFonts w:ascii="David" w:hAnsi="David" w:hint="cs"/>
          <w:rtl/>
        </w:rPr>
        <w:t>5</w:t>
      </w:r>
      <w:r w:rsidRPr="002B0621">
        <w:rPr>
          <w:rFonts w:ascii="David" w:hAnsi="David"/>
          <w:rtl/>
        </w:rPr>
        <w:t xml:space="preserve"> תשלומים שווים ורצופים, החל מיום 1.3.24 וב-1 לחודש שלאחריו.  </w:t>
      </w:r>
    </w:p>
    <w:p w14:paraId="1B64667E" w14:textId="77777777" w:rsidR="00E32991" w:rsidRDefault="00E32991" w:rsidP="00E32991">
      <w:pPr>
        <w:spacing w:line="360" w:lineRule="auto"/>
        <w:ind w:left="1080"/>
        <w:contextualSpacing/>
        <w:jc w:val="both"/>
        <w:rPr>
          <w:rFonts w:ascii="David" w:hAnsi="David"/>
          <w:rtl/>
        </w:rPr>
      </w:pPr>
      <w:r w:rsidRPr="002B0621">
        <w:rPr>
          <w:rFonts w:ascii="David" w:hAnsi="David"/>
          <w:rtl/>
        </w:rPr>
        <w:t xml:space="preserve">באם תשלום אחד מן התשלומים לא יפרע במועדו, יעמוד כל הקנס לפירעון מידי ויועבר לגבייה באמצעות המרכז לגביית קנסות. הנאשם מתבקש לגשת למזכירות בית המשפט לקבלת הוראות בעניין התשלום.  </w:t>
      </w:r>
    </w:p>
    <w:p w14:paraId="75BCBF92" w14:textId="77777777" w:rsidR="00E32991" w:rsidRPr="002B0621" w:rsidRDefault="00E32991" w:rsidP="00E32991">
      <w:pPr>
        <w:spacing w:line="360" w:lineRule="auto"/>
        <w:ind w:left="1080"/>
        <w:contextualSpacing/>
        <w:jc w:val="both"/>
        <w:rPr>
          <w:rFonts w:ascii="David" w:hAnsi="David"/>
          <w:rtl/>
        </w:rPr>
      </w:pPr>
    </w:p>
    <w:p w14:paraId="650E2F09" w14:textId="77777777" w:rsidR="00E32991" w:rsidRPr="002B0621" w:rsidRDefault="00E32991" w:rsidP="00E32991">
      <w:pPr>
        <w:pStyle w:val="a9"/>
        <w:numPr>
          <w:ilvl w:val="0"/>
          <w:numId w:val="2"/>
        </w:numPr>
        <w:bidi/>
        <w:jc w:val="both"/>
        <w:rPr>
          <w:rFonts w:ascii="David" w:hAnsi="David"/>
          <w:rtl/>
        </w:rPr>
      </w:pPr>
      <w:r w:rsidRPr="002B0621">
        <w:rPr>
          <w:rFonts w:ascii="David" w:hAnsi="David"/>
          <w:rtl/>
        </w:rPr>
        <w:t>פסילה מלקבל או מל</w:t>
      </w:r>
      <w:r>
        <w:rPr>
          <w:rFonts w:ascii="David" w:hAnsi="David"/>
          <w:rtl/>
        </w:rPr>
        <w:t>החזיק רישיון נהיגה למשך 30 יום.</w:t>
      </w:r>
      <w:r w:rsidRPr="002B0621">
        <w:rPr>
          <w:rFonts w:ascii="David" w:hAnsi="David"/>
          <w:rtl/>
        </w:rPr>
        <w:t xml:space="preserve"> </w:t>
      </w:r>
    </w:p>
    <w:p w14:paraId="6C2F54CB" w14:textId="77777777" w:rsidR="00E32991" w:rsidRPr="002B0621" w:rsidRDefault="00E32991" w:rsidP="00E32991">
      <w:pPr>
        <w:spacing w:line="360" w:lineRule="auto"/>
        <w:ind w:left="720" w:firstLine="360"/>
        <w:contextualSpacing/>
        <w:jc w:val="both"/>
        <w:rPr>
          <w:rFonts w:ascii="David" w:hAnsi="David"/>
          <w:rtl/>
        </w:rPr>
      </w:pPr>
      <w:r w:rsidRPr="002B0621">
        <w:rPr>
          <w:rFonts w:ascii="David" w:hAnsi="David"/>
          <w:rtl/>
        </w:rPr>
        <w:t xml:space="preserve">הנאשם יפקיד את רישיון הנהיגה במזכירות בית המשפט עד ליום </w:t>
      </w:r>
      <w:r>
        <w:rPr>
          <w:rFonts w:ascii="David" w:hAnsi="David" w:hint="cs"/>
          <w:rtl/>
        </w:rPr>
        <w:t>1.4.24.</w:t>
      </w:r>
    </w:p>
    <w:p w14:paraId="6ED4D87E" w14:textId="77777777" w:rsidR="00E32991" w:rsidRPr="002B0621" w:rsidRDefault="00E32991" w:rsidP="00E32991">
      <w:pPr>
        <w:spacing w:line="360" w:lineRule="auto"/>
        <w:ind w:left="1080"/>
        <w:contextualSpacing/>
        <w:jc w:val="both"/>
        <w:rPr>
          <w:rFonts w:ascii="David" w:hAnsi="David"/>
          <w:rtl/>
        </w:rPr>
      </w:pPr>
      <w:r w:rsidRPr="002B0621">
        <w:rPr>
          <w:rFonts w:ascii="David" w:hAnsi="David"/>
          <w:rtl/>
        </w:rPr>
        <w:t xml:space="preserve">מובהר לנאשם כי היה ולא יפקיד את רישיון הנהיגה במזכירות בית המשפט, יחשב כפסול אך הפסילה תמנה מיום ההפקדה בלבד. </w:t>
      </w:r>
    </w:p>
    <w:p w14:paraId="76825793" w14:textId="77777777" w:rsidR="00E32991" w:rsidRPr="002B0621" w:rsidRDefault="00E32991" w:rsidP="00E32991">
      <w:pPr>
        <w:spacing w:line="360" w:lineRule="auto"/>
        <w:jc w:val="both"/>
        <w:rPr>
          <w:rFonts w:ascii="David" w:hAnsi="David"/>
          <w:rtl/>
        </w:rPr>
      </w:pPr>
    </w:p>
    <w:p w14:paraId="0166A1B6" w14:textId="77777777" w:rsidR="00E32991" w:rsidRPr="002B0621" w:rsidRDefault="00E32991" w:rsidP="00E32991">
      <w:pPr>
        <w:numPr>
          <w:ilvl w:val="0"/>
          <w:numId w:val="2"/>
        </w:numPr>
        <w:spacing w:after="160" w:line="360" w:lineRule="auto"/>
        <w:contextualSpacing/>
        <w:jc w:val="both"/>
        <w:rPr>
          <w:rFonts w:ascii="David" w:hAnsi="David"/>
          <w:rtl/>
        </w:rPr>
      </w:pPr>
      <w:r w:rsidRPr="002B0621">
        <w:rPr>
          <w:rFonts w:ascii="David" w:hAnsi="David"/>
          <w:rtl/>
        </w:rPr>
        <w:t>פסילה מלקבל ומלהחזיק רישיון נהיגה למשך 3 חודשים פסילה על תנאי והנאשם לא יישא בעונש זה אלא אם יעבור בתוך 3 שנים מהיום עבירה על פקודת הסמים או נהיגה בזמן פסילה.</w:t>
      </w:r>
    </w:p>
    <w:p w14:paraId="5956679B" w14:textId="77777777" w:rsidR="00E32991" w:rsidRDefault="00E32991" w:rsidP="00E32991">
      <w:pPr>
        <w:spacing w:line="360" w:lineRule="auto"/>
        <w:jc w:val="both"/>
        <w:rPr>
          <w:b/>
          <w:bCs/>
          <w:rtl/>
        </w:rPr>
      </w:pPr>
    </w:p>
    <w:p w14:paraId="62D190C1" w14:textId="77777777" w:rsidR="00E32991" w:rsidRDefault="00E32991" w:rsidP="00E32991">
      <w:pPr>
        <w:spacing w:line="360" w:lineRule="auto"/>
        <w:jc w:val="both"/>
        <w:rPr>
          <w:b/>
          <w:bCs/>
          <w:u w:val="single"/>
          <w:rtl/>
        </w:rPr>
      </w:pPr>
    </w:p>
    <w:p w14:paraId="1CAB338D" w14:textId="77777777" w:rsidR="00E32991" w:rsidRDefault="00E43147" w:rsidP="00E32991">
      <w:pPr>
        <w:spacing w:line="360" w:lineRule="auto"/>
        <w:jc w:val="both"/>
        <w:rPr>
          <w:b/>
          <w:bCs/>
          <w:u w:val="single"/>
          <w:rtl/>
        </w:rPr>
      </w:pPr>
      <w:r w:rsidRPr="00E43147">
        <w:rPr>
          <w:b/>
          <w:bCs/>
          <w:color w:val="FFFFFF"/>
          <w:sz w:val="2"/>
          <w:szCs w:val="2"/>
          <w:u w:val="single"/>
          <w:rtl/>
        </w:rPr>
        <w:t>5129371</w:t>
      </w:r>
      <w:r w:rsidR="00E32991">
        <w:rPr>
          <w:b/>
          <w:bCs/>
          <w:u w:val="single"/>
          <w:rtl/>
        </w:rPr>
        <w:t xml:space="preserve">צו להשמדת הסמים והמוצגים. </w:t>
      </w:r>
    </w:p>
    <w:p w14:paraId="6EE5703A" w14:textId="77777777" w:rsidR="00E32991" w:rsidRDefault="00E43147" w:rsidP="00E32991">
      <w:pPr>
        <w:spacing w:line="360" w:lineRule="auto"/>
        <w:jc w:val="both"/>
        <w:rPr>
          <w:b/>
          <w:bCs/>
          <w:u w:val="single"/>
          <w:rtl/>
        </w:rPr>
      </w:pPr>
      <w:r w:rsidRPr="00E43147">
        <w:rPr>
          <w:b/>
          <w:bCs/>
          <w:color w:val="FFFFFF"/>
          <w:sz w:val="2"/>
          <w:szCs w:val="2"/>
          <w:u w:val="single"/>
          <w:rtl/>
        </w:rPr>
        <w:t>54678313</w:t>
      </w:r>
      <w:r w:rsidR="00E32991">
        <w:rPr>
          <w:b/>
          <w:bCs/>
          <w:u w:val="single"/>
          <w:rtl/>
        </w:rPr>
        <w:t>זכות ערעור בתוך 45 יום מהיום.</w:t>
      </w:r>
    </w:p>
    <w:p w14:paraId="730F5043" w14:textId="77777777" w:rsidR="00E32991" w:rsidRPr="002B0621" w:rsidRDefault="00E32991" w:rsidP="00E32991">
      <w:pPr>
        <w:spacing w:line="360" w:lineRule="auto"/>
        <w:jc w:val="both"/>
        <w:rPr>
          <w:rtl/>
        </w:rPr>
      </w:pPr>
    </w:p>
    <w:p w14:paraId="2D870976" w14:textId="77777777" w:rsidR="00E32991" w:rsidRPr="002B7D23" w:rsidRDefault="00E43147" w:rsidP="00E32991">
      <w:pPr>
        <w:spacing w:line="360" w:lineRule="auto"/>
        <w:rPr>
          <w:rFonts w:ascii="David" w:hAnsi="David"/>
          <w:sz w:val="26"/>
          <w:szCs w:val="26"/>
          <w:rtl/>
        </w:rPr>
      </w:pPr>
      <w:bookmarkStart w:id="8" w:name="Nitan"/>
      <w:r>
        <w:rPr>
          <w:rFonts w:ascii="David" w:hAnsi="David"/>
          <w:sz w:val="26"/>
          <w:szCs w:val="26"/>
          <w:rtl/>
        </w:rPr>
        <w:t xml:space="preserve">ניתן היום,  ג' אדר א' תשפ"ד, 12 פברואר 2024, בנוכחות הנאשם וב"כ הצדדים. </w:t>
      </w:r>
      <w:bookmarkEnd w:id="8"/>
    </w:p>
    <w:p w14:paraId="3082B5BB" w14:textId="77777777" w:rsidR="00E32991" w:rsidRPr="002B7D23" w:rsidRDefault="00E32991" w:rsidP="00E43147">
      <w:pPr>
        <w:spacing w:line="360" w:lineRule="auto"/>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18293D0" w14:textId="77777777" w:rsidR="00E32991" w:rsidRPr="00C44976" w:rsidRDefault="00C44976" w:rsidP="00E32991">
      <w:pPr>
        <w:spacing w:line="360" w:lineRule="auto"/>
        <w:jc w:val="center"/>
        <w:rPr>
          <w:rFonts w:ascii="David" w:hAnsi="David"/>
          <w:color w:val="FFFFFF"/>
          <w:sz w:val="2"/>
          <w:szCs w:val="2"/>
          <w:rtl/>
        </w:rPr>
      </w:pPr>
      <w:r w:rsidRPr="00C44976">
        <w:rPr>
          <w:rFonts w:ascii="David" w:hAnsi="David"/>
          <w:color w:val="FFFFFF"/>
          <w:sz w:val="2"/>
          <w:szCs w:val="2"/>
          <w:rtl/>
        </w:rPr>
        <w:t>5129371</w:t>
      </w:r>
    </w:p>
    <w:p w14:paraId="296D53FA" w14:textId="77777777" w:rsidR="00426B5E" w:rsidRPr="00C44976" w:rsidRDefault="00C44976" w:rsidP="00E43147">
      <w:pPr>
        <w:keepNext/>
        <w:rPr>
          <w:rFonts w:ascii="David" w:hAnsi="David"/>
          <w:color w:val="FFFFFF"/>
          <w:sz w:val="2"/>
          <w:szCs w:val="2"/>
          <w:rtl/>
        </w:rPr>
      </w:pPr>
      <w:r w:rsidRPr="00C44976">
        <w:rPr>
          <w:rFonts w:ascii="David" w:hAnsi="David"/>
          <w:color w:val="FFFFFF"/>
          <w:sz w:val="2"/>
          <w:szCs w:val="2"/>
          <w:rtl/>
        </w:rPr>
        <w:t>54678313</w:t>
      </w:r>
    </w:p>
    <w:p w14:paraId="623B6740" w14:textId="77777777" w:rsidR="00E43147" w:rsidRDefault="00E43147" w:rsidP="00E43147">
      <w:pPr>
        <w:rPr>
          <w:rtl/>
        </w:rPr>
      </w:pPr>
    </w:p>
    <w:p w14:paraId="1BF4DC64" w14:textId="77777777" w:rsidR="00E43147" w:rsidRDefault="00E43147" w:rsidP="00E43147">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BB7AF83" w14:textId="77777777" w:rsidR="00C44976" w:rsidRPr="00C44976" w:rsidRDefault="00C44976" w:rsidP="00C44976">
      <w:pPr>
        <w:keepNext/>
        <w:rPr>
          <w:rFonts w:ascii="David" w:hAnsi="David"/>
          <w:color w:val="000000"/>
          <w:sz w:val="22"/>
          <w:szCs w:val="22"/>
          <w:rtl/>
        </w:rPr>
      </w:pPr>
    </w:p>
    <w:p w14:paraId="70D4FD7E" w14:textId="77777777" w:rsidR="00C44976" w:rsidRPr="00C44976" w:rsidRDefault="00C44976" w:rsidP="00C44976">
      <w:pPr>
        <w:keepNext/>
        <w:rPr>
          <w:rFonts w:ascii="David" w:hAnsi="David"/>
          <w:color w:val="000000"/>
          <w:sz w:val="22"/>
          <w:szCs w:val="22"/>
          <w:rtl/>
        </w:rPr>
      </w:pPr>
      <w:r w:rsidRPr="00C44976">
        <w:rPr>
          <w:rFonts w:ascii="David" w:hAnsi="David"/>
          <w:color w:val="000000"/>
          <w:sz w:val="22"/>
          <w:szCs w:val="22"/>
          <w:rtl/>
        </w:rPr>
        <w:t>טל אוסטפלד נאוי 54678313-/</w:t>
      </w:r>
    </w:p>
    <w:p w14:paraId="360DC0DD" w14:textId="77777777" w:rsidR="00E43147" w:rsidRPr="00E43147" w:rsidRDefault="00C44976" w:rsidP="00C44976">
      <w:pPr>
        <w:rPr>
          <w:color w:val="0000FF"/>
          <w:u w:val="single"/>
        </w:rPr>
      </w:pPr>
      <w:r w:rsidRPr="00C44976">
        <w:rPr>
          <w:color w:val="000000"/>
          <w:u w:val="single"/>
          <w:rtl/>
        </w:rPr>
        <w:t>נוסח מסמך זה כפוף לשינויי ניסוח ועריכה</w:t>
      </w:r>
    </w:p>
    <w:sectPr w:rsidR="00E43147" w:rsidRPr="00E43147" w:rsidSect="00C44976">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7A5CE" w14:textId="77777777" w:rsidR="00AD782F" w:rsidRDefault="00AD782F" w:rsidP="00550834">
      <w:r>
        <w:separator/>
      </w:r>
    </w:p>
  </w:endnote>
  <w:endnote w:type="continuationSeparator" w:id="0">
    <w:p w14:paraId="0DE72D06" w14:textId="77777777" w:rsidR="00AD782F" w:rsidRDefault="00AD782F" w:rsidP="0055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C8C48" w14:textId="77777777" w:rsidR="00C44976" w:rsidRDefault="00C44976" w:rsidP="00C449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7E8DDC" w14:textId="77777777" w:rsidR="006652F3" w:rsidRPr="00C44976" w:rsidRDefault="00C44976" w:rsidP="00C44976">
    <w:pPr>
      <w:pStyle w:val="a5"/>
      <w:pBdr>
        <w:top w:val="single" w:sz="4" w:space="1" w:color="auto"/>
        <w:between w:val="single" w:sz="4" w:space="0" w:color="auto"/>
      </w:pBdr>
      <w:spacing w:after="60"/>
      <w:jc w:val="center"/>
      <w:rPr>
        <w:rFonts w:ascii="FrankRuehl" w:hAnsi="FrankRuehl" w:cs="FrankRuehl"/>
        <w:color w:val="000000"/>
      </w:rPr>
    </w:pPr>
    <w:r w:rsidRPr="00C449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D4DD" w14:textId="77777777" w:rsidR="00C44976" w:rsidRDefault="00C44976" w:rsidP="00C449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0FDF">
      <w:rPr>
        <w:rFonts w:ascii="FrankRuehl" w:hAnsi="FrankRuehl" w:cs="FrankRuehl"/>
        <w:noProof/>
        <w:rtl/>
      </w:rPr>
      <w:t>1</w:t>
    </w:r>
    <w:r>
      <w:rPr>
        <w:rFonts w:ascii="FrankRuehl" w:hAnsi="FrankRuehl" w:cs="FrankRuehl"/>
        <w:rtl/>
      </w:rPr>
      <w:fldChar w:fldCharType="end"/>
    </w:r>
  </w:p>
  <w:p w14:paraId="1CF7E918" w14:textId="77777777" w:rsidR="006652F3" w:rsidRPr="00C44976" w:rsidRDefault="00C44976" w:rsidP="00C44976">
    <w:pPr>
      <w:pStyle w:val="a5"/>
      <w:pBdr>
        <w:top w:val="single" w:sz="4" w:space="1" w:color="auto"/>
        <w:between w:val="single" w:sz="4" w:space="0" w:color="auto"/>
      </w:pBdr>
      <w:spacing w:after="60"/>
      <w:jc w:val="center"/>
      <w:rPr>
        <w:rFonts w:ascii="FrankRuehl" w:hAnsi="FrankRuehl" w:cs="FrankRuehl"/>
        <w:color w:val="000000"/>
      </w:rPr>
    </w:pPr>
    <w:r w:rsidRPr="00C44976">
      <w:rPr>
        <w:rFonts w:ascii="FrankRuehl" w:hAnsi="FrankRuehl" w:cs="FrankRuehl"/>
        <w:color w:val="000000"/>
      </w:rPr>
      <w:pict w14:anchorId="2CA69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7A5ED" w14:textId="77777777" w:rsidR="00AD782F" w:rsidRDefault="00AD782F" w:rsidP="00550834">
      <w:r>
        <w:separator/>
      </w:r>
    </w:p>
  </w:footnote>
  <w:footnote w:type="continuationSeparator" w:id="0">
    <w:p w14:paraId="1BB007FD" w14:textId="77777777" w:rsidR="00AD782F" w:rsidRDefault="00AD782F" w:rsidP="00550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C334F" w14:textId="77777777" w:rsidR="00E43147" w:rsidRPr="00C44976" w:rsidRDefault="00C44976" w:rsidP="00C4497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2816-11-22</w:t>
    </w:r>
    <w:r>
      <w:rPr>
        <w:rFonts w:ascii="David" w:hAnsi="David"/>
        <w:color w:val="000000"/>
        <w:sz w:val="22"/>
        <w:szCs w:val="22"/>
        <w:rtl/>
      </w:rPr>
      <w:tab/>
      <w:t xml:space="preserve"> מדינת ישראל  נ' אחמד אלקרעאן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98840" w14:textId="77777777" w:rsidR="00E43147" w:rsidRPr="00C44976" w:rsidRDefault="00C44976" w:rsidP="00C4497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2816-11-22</w:t>
    </w:r>
    <w:r>
      <w:rPr>
        <w:rFonts w:ascii="David" w:hAnsi="David"/>
        <w:color w:val="000000"/>
        <w:sz w:val="22"/>
        <w:szCs w:val="22"/>
        <w:rtl/>
      </w:rPr>
      <w:tab/>
      <w:t xml:space="preserve"> מדינת ישראל  נ' אחמד אלקרעאן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26A58"/>
    <w:multiLevelType w:val="hybridMultilevel"/>
    <w:tmpl w:val="9B269BDC"/>
    <w:lvl w:ilvl="0" w:tplc="EE90CB4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F625BE"/>
    <w:multiLevelType w:val="hybridMultilevel"/>
    <w:tmpl w:val="7D3E2B9E"/>
    <w:lvl w:ilvl="0" w:tplc="DEDAF5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87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1351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2991"/>
    <w:rsid w:val="00090FDF"/>
    <w:rsid w:val="001B5A3B"/>
    <w:rsid w:val="0032369B"/>
    <w:rsid w:val="00426B5E"/>
    <w:rsid w:val="004669A6"/>
    <w:rsid w:val="00550834"/>
    <w:rsid w:val="006652F3"/>
    <w:rsid w:val="00743131"/>
    <w:rsid w:val="008A619E"/>
    <w:rsid w:val="00AD3B4D"/>
    <w:rsid w:val="00AD782F"/>
    <w:rsid w:val="00B06DF7"/>
    <w:rsid w:val="00C44976"/>
    <w:rsid w:val="00C52033"/>
    <w:rsid w:val="00E32991"/>
    <w:rsid w:val="00E43147"/>
    <w:rsid w:val="00E61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AAC627"/>
  <w15:chartTrackingRefBased/>
  <w15:docId w15:val="{4E4CC4D4-6234-4E4D-A9B8-3C8DE1DC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29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2991"/>
    <w:pPr>
      <w:tabs>
        <w:tab w:val="center" w:pos="4153"/>
        <w:tab w:val="right" w:pos="8306"/>
      </w:tabs>
    </w:pPr>
  </w:style>
  <w:style w:type="character" w:customStyle="1" w:styleId="a4">
    <w:name w:val="כותרת עליונה תו"/>
    <w:link w:val="a3"/>
    <w:rsid w:val="00E32991"/>
    <w:rPr>
      <w:rFonts w:ascii="Times New Roman" w:eastAsia="Times New Roman" w:hAnsi="Times New Roman" w:cs="David"/>
      <w:sz w:val="24"/>
      <w:szCs w:val="24"/>
    </w:rPr>
  </w:style>
  <w:style w:type="paragraph" w:styleId="a5">
    <w:name w:val="footer"/>
    <w:basedOn w:val="a"/>
    <w:link w:val="a6"/>
    <w:rsid w:val="00E32991"/>
    <w:pPr>
      <w:tabs>
        <w:tab w:val="center" w:pos="4153"/>
        <w:tab w:val="right" w:pos="8306"/>
      </w:tabs>
    </w:pPr>
  </w:style>
  <w:style w:type="character" w:customStyle="1" w:styleId="a6">
    <w:name w:val="כותרת תחתונה תו"/>
    <w:link w:val="a5"/>
    <w:rsid w:val="00E32991"/>
    <w:rPr>
      <w:rFonts w:ascii="Times New Roman" w:eastAsia="Times New Roman" w:hAnsi="Times New Roman" w:cs="David"/>
      <w:sz w:val="24"/>
      <w:szCs w:val="24"/>
    </w:rPr>
  </w:style>
  <w:style w:type="table" w:styleId="a7">
    <w:name w:val="Table Grid"/>
    <w:basedOn w:val="a1"/>
    <w:rsid w:val="00E329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2991"/>
  </w:style>
  <w:style w:type="paragraph" w:styleId="a9">
    <w:name w:val="List Paragraph"/>
    <w:basedOn w:val="a"/>
    <w:qFormat/>
    <w:rsid w:val="00E32991"/>
    <w:pPr>
      <w:bidi w:val="0"/>
      <w:spacing w:after="160" w:line="360" w:lineRule="auto"/>
      <w:ind w:left="720"/>
      <w:contextualSpacing/>
    </w:pPr>
    <w:rPr>
      <w:rFonts w:ascii="Calibri" w:eastAsia="Calibri" w:hAnsi="Calibri"/>
      <w:sz w:val="22"/>
    </w:rPr>
  </w:style>
  <w:style w:type="character" w:styleId="Hyperlink">
    <w:name w:val="Hyperlink"/>
    <w:rsid w:val="00E4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38608" TargetMode="External"/><Relationship Id="rId18" Type="http://schemas.openxmlformats.org/officeDocument/2006/relationships/hyperlink" Target="http://www.nevo.co.il/case/2811387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01746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07555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180177" TargetMode="External"/><Relationship Id="rId23"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665440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2841413"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2216</Words>
  <Characters>11082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13272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3145843</vt:i4>
      </vt:variant>
      <vt:variant>
        <vt:i4>36</vt:i4>
      </vt:variant>
      <vt:variant>
        <vt:i4>0</vt:i4>
      </vt:variant>
      <vt:variant>
        <vt:i4>5</vt:i4>
      </vt:variant>
      <vt:variant>
        <vt:lpwstr>http://www.nevo.co.il/case/26654408</vt:lpwstr>
      </vt:variant>
      <vt:variant>
        <vt:lpwstr/>
      </vt:variant>
      <vt:variant>
        <vt:i4>3604597</vt:i4>
      </vt:variant>
      <vt:variant>
        <vt:i4>33</vt:i4>
      </vt:variant>
      <vt:variant>
        <vt:i4>0</vt:i4>
      </vt:variant>
      <vt:variant>
        <vt:i4>5</vt:i4>
      </vt:variant>
      <vt:variant>
        <vt:lpwstr>http://www.nevo.co.il/case/28113879</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3276926</vt:i4>
      </vt:variant>
      <vt:variant>
        <vt:i4>27</vt:i4>
      </vt:variant>
      <vt:variant>
        <vt:i4>0</vt:i4>
      </vt:variant>
      <vt:variant>
        <vt:i4>5</vt:i4>
      </vt:variant>
      <vt:variant>
        <vt:lpwstr>http://www.nevo.co.il/case/28075551</vt:lpwstr>
      </vt:variant>
      <vt:variant>
        <vt:lpwstr/>
      </vt:variant>
      <vt:variant>
        <vt:i4>3407989</vt:i4>
      </vt:variant>
      <vt:variant>
        <vt:i4>24</vt:i4>
      </vt:variant>
      <vt:variant>
        <vt:i4>0</vt:i4>
      </vt:variant>
      <vt:variant>
        <vt:i4>5</vt:i4>
      </vt:variant>
      <vt:variant>
        <vt:lpwstr>http://www.nevo.co.il/case/28180177</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2816</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אחמד אלקרעאן</vt:lpwstr>
  </property>
  <property fmtid="{D5CDD505-2E9C-101B-9397-08002B2CF9AE}" pid="10" name="LAWYER">
    <vt:lpwstr>שי נודל</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20240212</vt:lpwstr>
  </property>
  <property fmtid="{D5CDD505-2E9C-101B-9397-08002B2CF9AE}" pid="14" name="TYPE_N_DATE">
    <vt:lpwstr>38020240212</vt:lpwstr>
  </property>
  <property fmtid="{D5CDD505-2E9C-101B-9397-08002B2CF9AE}" pid="15" name="WORDNUMPAGES">
    <vt:lpwstr>8</vt:lpwstr>
  </property>
  <property fmtid="{D5CDD505-2E9C-101B-9397-08002B2CF9AE}" pid="16" name="TYPE_ABS_DATE">
    <vt:lpwstr>380020240212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5738608;22841413;28180177;28075551;21017469;28113879;26654408</vt:lpwstr>
  </property>
  <property fmtid="{D5CDD505-2E9C-101B-9397-08002B2CF9AE}" pid="36" name="LAWLISTTMP1">
    <vt:lpwstr>4216/007.a;007.c</vt:lpwstr>
  </property>
</Properties>
</file>