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B46D7C" w:rsidRPr="001462E0" w14:paraId="2E4D7994" w14:textId="77777777" w:rsidTr="0024044A">
        <w:trPr>
          <w:gridAfter w:val="1"/>
          <w:wAfter w:w="99" w:type="dxa"/>
          <w:trHeight w:hRule="exact" w:val="418"/>
          <w:jc w:val="center"/>
        </w:trPr>
        <w:tc>
          <w:tcPr>
            <w:tcW w:w="8721" w:type="dxa"/>
            <w:gridSpan w:val="4"/>
          </w:tcPr>
          <w:p w14:paraId="3E3FBD49" w14:textId="77777777" w:rsidR="00B46D7C" w:rsidRPr="001462E0" w:rsidRDefault="00B46D7C" w:rsidP="00DF12D3">
            <w:pPr>
              <w:pStyle w:val="a3"/>
              <w:jc w:val="center"/>
              <w:rPr>
                <w:rFonts w:ascii="Tahoma" w:hAnsi="Tahoma" w:cs="Tahoma"/>
                <w:color w:val="000080"/>
                <w:rtl/>
              </w:rPr>
            </w:pPr>
            <w:bookmarkStart w:id="0" w:name="LastJudge"/>
            <w:r w:rsidRPr="001462E0">
              <w:rPr>
                <w:rFonts w:ascii="Tahoma" w:hAnsi="Tahoma" w:cs="Tahoma"/>
                <w:b/>
                <w:bCs/>
                <w:color w:val="000080"/>
                <w:rtl/>
              </w:rPr>
              <w:t>בית משפט השלום בירושלים</w:t>
            </w:r>
          </w:p>
        </w:tc>
      </w:tr>
      <w:tr w:rsidR="00B46D7C" w:rsidRPr="001462E0" w14:paraId="769F5481" w14:textId="77777777" w:rsidTr="0024044A">
        <w:trPr>
          <w:gridAfter w:val="1"/>
          <w:wAfter w:w="99" w:type="dxa"/>
          <w:trHeight w:val="337"/>
          <w:jc w:val="center"/>
        </w:trPr>
        <w:tc>
          <w:tcPr>
            <w:tcW w:w="5055" w:type="dxa"/>
            <w:gridSpan w:val="3"/>
          </w:tcPr>
          <w:p w14:paraId="6D3DF75B" w14:textId="77777777" w:rsidR="00B46D7C" w:rsidRPr="001462E0" w:rsidRDefault="00B46D7C" w:rsidP="00DF12D3">
            <w:pPr>
              <w:rPr>
                <w:rFonts w:ascii="David" w:hAnsi="David"/>
                <w:b/>
                <w:bCs/>
                <w:sz w:val="28"/>
                <w:szCs w:val="28"/>
                <w:rtl/>
              </w:rPr>
            </w:pPr>
            <w:r w:rsidRPr="001462E0">
              <w:rPr>
                <w:rFonts w:ascii="David" w:hAnsi="David"/>
                <w:b/>
                <w:bCs/>
                <w:sz w:val="28"/>
                <w:szCs w:val="28"/>
                <w:rtl/>
              </w:rPr>
              <w:t>ת"פ 49832-11-22 מדינת ישראל נ' שימול</w:t>
            </w:r>
          </w:p>
          <w:p w14:paraId="7D476108" w14:textId="77777777" w:rsidR="00B46D7C" w:rsidRPr="001462E0" w:rsidRDefault="00B46D7C" w:rsidP="00DF12D3">
            <w:pPr>
              <w:pStyle w:val="a3"/>
              <w:rPr>
                <w:rFonts w:cs="FrankRuehl"/>
                <w:sz w:val="28"/>
                <w:szCs w:val="28"/>
                <w:rtl/>
              </w:rPr>
            </w:pPr>
          </w:p>
        </w:tc>
        <w:tc>
          <w:tcPr>
            <w:tcW w:w="3666" w:type="dxa"/>
          </w:tcPr>
          <w:p w14:paraId="36625D3A" w14:textId="77777777" w:rsidR="00B46D7C" w:rsidRPr="001462E0" w:rsidRDefault="00B46D7C" w:rsidP="00DF12D3">
            <w:pPr>
              <w:pStyle w:val="a3"/>
              <w:jc w:val="right"/>
              <w:rPr>
                <w:rFonts w:cs="FrankRuehl"/>
                <w:sz w:val="28"/>
                <w:szCs w:val="28"/>
                <w:rtl/>
              </w:rPr>
            </w:pPr>
          </w:p>
        </w:tc>
      </w:tr>
      <w:tr w:rsidR="00B46D7C" w:rsidRPr="001462E0" w14:paraId="2BA4775F" w14:textId="77777777" w:rsidTr="002404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979E248" w14:textId="77777777" w:rsidR="00B46D7C" w:rsidRPr="001462E0" w:rsidRDefault="00B46D7C" w:rsidP="00B46D7C">
            <w:pPr>
              <w:jc w:val="both"/>
              <w:rPr>
                <w:rFonts w:ascii="David" w:hAnsi="David"/>
                <w:b/>
                <w:bCs/>
                <w:sz w:val="26"/>
                <w:szCs w:val="26"/>
              </w:rPr>
            </w:pPr>
            <w:r w:rsidRPr="001462E0">
              <w:rPr>
                <w:rFonts w:hint="cs"/>
                <w:rtl/>
              </w:rPr>
              <w:t xml:space="preserve"> </w:t>
            </w:r>
            <w:r w:rsidRPr="001462E0">
              <w:rPr>
                <w:rFonts w:ascii="David" w:hAnsi="David" w:hint="cs"/>
                <w:b/>
                <w:bCs/>
                <w:sz w:val="26"/>
                <w:szCs w:val="26"/>
                <w:rtl/>
              </w:rPr>
              <w:t>ל</w:t>
            </w:r>
            <w:r w:rsidRPr="001462E0">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33EAC317" w14:textId="77777777" w:rsidR="00B46D7C" w:rsidRPr="001462E0" w:rsidRDefault="00B46D7C" w:rsidP="00DF12D3">
            <w:pPr>
              <w:rPr>
                <w:rFonts w:ascii="David" w:hAnsi="David"/>
                <w:b/>
                <w:bCs/>
                <w:sz w:val="26"/>
                <w:szCs w:val="26"/>
                <w:rtl/>
              </w:rPr>
            </w:pPr>
            <w:r w:rsidRPr="001462E0">
              <w:rPr>
                <w:rFonts w:ascii="David" w:hAnsi="David"/>
                <w:b/>
                <w:bCs/>
                <w:sz w:val="26"/>
                <w:szCs w:val="26"/>
                <w:rtl/>
              </w:rPr>
              <w:t>כבוד השופט  דוד שאול גבאי ריכטר</w:t>
            </w:r>
          </w:p>
          <w:p w14:paraId="504B2884" w14:textId="77777777" w:rsidR="00B46D7C" w:rsidRPr="001462E0" w:rsidRDefault="00B46D7C" w:rsidP="00DF12D3">
            <w:pPr>
              <w:rPr>
                <w:rFonts w:ascii="David" w:hAnsi="David"/>
                <w:b/>
                <w:bCs/>
                <w:sz w:val="26"/>
                <w:szCs w:val="26"/>
                <w:rtl/>
              </w:rPr>
            </w:pPr>
          </w:p>
          <w:p w14:paraId="6E5E1DA7" w14:textId="77777777" w:rsidR="00B46D7C" w:rsidRPr="001462E0" w:rsidRDefault="00B46D7C" w:rsidP="00B46D7C">
            <w:pPr>
              <w:jc w:val="both"/>
              <w:rPr>
                <w:rFonts w:ascii="David" w:hAnsi="David"/>
                <w:b/>
                <w:bCs/>
                <w:sz w:val="26"/>
                <w:szCs w:val="26"/>
              </w:rPr>
            </w:pPr>
          </w:p>
        </w:tc>
      </w:tr>
      <w:tr w:rsidR="00B46D7C" w:rsidRPr="001462E0" w14:paraId="276BB727" w14:textId="77777777" w:rsidTr="002404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F8439F9" w14:textId="77777777" w:rsidR="00B46D7C" w:rsidRPr="001462E0" w:rsidRDefault="00B46D7C" w:rsidP="00B46D7C">
            <w:pPr>
              <w:jc w:val="both"/>
              <w:rPr>
                <w:rFonts w:ascii="David" w:hAnsi="David"/>
                <w:b/>
                <w:bCs/>
                <w:sz w:val="26"/>
                <w:szCs w:val="26"/>
              </w:rPr>
            </w:pPr>
            <w:bookmarkStart w:id="1" w:name="FirstAppellant"/>
            <w:bookmarkStart w:id="2" w:name="FirstLawyer"/>
            <w:r w:rsidRPr="001462E0">
              <w:rPr>
                <w:rFonts w:ascii="David" w:hAnsi="David"/>
                <w:b/>
                <w:bCs/>
                <w:sz w:val="26"/>
                <w:szCs w:val="26"/>
                <w:rtl/>
              </w:rPr>
              <w:t>בעניין:</w:t>
            </w:r>
          </w:p>
        </w:tc>
        <w:tc>
          <w:tcPr>
            <w:tcW w:w="3219" w:type="dxa"/>
            <w:tcBorders>
              <w:top w:val="nil"/>
              <w:left w:val="nil"/>
              <w:bottom w:val="nil"/>
              <w:right w:val="nil"/>
            </w:tcBorders>
            <w:shd w:val="clear" w:color="auto" w:fill="auto"/>
          </w:tcPr>
          <w:p w14:paraId="6EB0E3B7" w14:textId="77777777" w:rsidR="00B46D7C" w:rsidRPr="001462E0" w:rsidRDefault="00B46D7C" w:rsidP="00B46D7C">
            <w:pPr>
              <w:suppressLineNumbers/>
              <w:rPr>
                <w:b/>
                <w:bCs/>
              </w:rPr>
            </w:pPr>
            <w:r w:rsidRPr="001462E0">
              <w:rPr>
                <w:rFonts w:ascii="Arial" w:hAnsi="Arial" w:hint="cs"/>
                <w:b/>
                <w:bCs/>
                <w:sz w:val="26"/>
                <w:szCs w:val="26"/>
                <w:rtl/>
              </w:rPr>
              <w:t>ה</w:t>
            </w:r>
            <w:r w:rsidRPr="001462E0">
              <w:rPr>
                <w:rFonts w:ascii="Arial" w:hAnsi="Arial"/>
                <w:b/>
                <w:bCs/>
                <w:sz w:val="26"/>
                <w:szCs w:val="26"/>
                <w:rtl/>
              </w:rPr>
              <w:t>מאשימה</w:t>
            </w:r>
          </w:p>
          <w:p w14:paraId="131CD0A7" w14:textId="77777777" w:rsidR="00B46D7C" w:rsidRPr="001462E0" w:rsidRDefault="00B46D7C" w:rsidP="00DF12D3">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537D632B" w14:textId="77777777" w:rsidR="00B46D7C" w:rsidRPr="001462E0" w:rsidRDefault="00B46D7C" w:rsidP="00B46D7C">
            <w:pPr>
              <w:suppressLineNumbers/>
              <w:rPr>
                <w:rFonts w:ascii="Arial" w:hAnsi="Arial"/>
                <w:b/>
                <w:bCs/>
                <w:sz w:val="26"/>
                <w:szCs w:val="26"/>
                <w:rtl/>
              </w:rPr>
            </w:pPr>
            <w:r w:rsidRPr="001462E0">
              <w:rPr>
                <w:rFonts w:ascii="Arial" w:hAnsi="Arial"/>
                <w:b/>
                <w:bCs/>
                <w:sz w:val="26"/>
                <w:szCs w:val="26"/>
                <w:rtl/>
              </w:rPr>
              <w:t>מדינת ישראל</w:t>
            </w:r>
            <w:r w:rsidRPr="001462E0">
              <w:rPr>
                <w:rFonts w:ascii="Arial" w:hAnsi="Arial" w:hint="cs"/>
                <w:b/>
                <w:bCs/>
                <w:sz w:val="26"/>
                <w:szCs w:val="26"/>
                <w:rtl/>
              </w:rPr>
              <w:t xml:space="preserve"> </w:t>
            </w:r>
          </w:p>
          <w:p w14:paraId="0C5253EC" w14:textId="77777777" w:rsidR="00B46D7C" w:rsidRPr="001462E0" w:rsidRDefault="00B46D7C" w:rsidP="00B46D7C">
            <w:pPr>
              <w:suppressLineNumbers/>
              <w:rPr>
                <w:rFonts w:ascii="Arial" w:hAnsi="Arial"/>
                <w:b/>
                <w:bCs/>
                <w:sz w:val="26"/>
                <w:szCs w:val="26"/>
                <w:rtl/>
              </w:rPr>
            </w:pPr>
            <w:r w:rsidRPr="001462E0">
              <w:rPr>
                <w:rFonts w:ascii="Arial" w:hAnsi="Arial"/>
                <w:b/>
                <w:bCs/>
                <w:sz w:val="26"/>
                <w:szCs w:val="26"/>
                <w:rtl/>
              </w:rPr>
              <w:t xml:space="preserve">ע"י ב"כ </w:t>
            </w:r>
            <w:r w:rsidRPr="001462E0">
              <w:rPr>
                <w:rFonts w:ascii="Arial" w:hAnsi="Arial" w:hint="cs"/>
                <w:b/>
                <w:bCs/>
                <w:sz w:val="26"/>
                <w:szCs w:val="26"/>
                <w:rtl/>
              </w:rPr>
              <w:t>רפ"ק פיני ספיר, מתמחה</w:t>
            </w:r>
          </w:p>
          <w:p w14:paraId="4D6A3C68" w14:textId="77777777" w:rsidR="00B46D7C" w:rsidRPr="001462E0" w:rsidRDefault="00B46D7C" w:rsidP="00B46D7C">
            <w:pPr>
              <w:suppressLineNumbers/>
              <w:rPr>
                <w:b/>
                <w:bCs/>
              </w:rPr>
            </w:pPr>
            <w:r w:rsidRPr="001462E0">
              <w:rPr>
                <w:rFonts w:hint="cs"/>
                <w:b/>
                <w:bCs/>
                <w:rtl/>
              </w:rPr>
              <w:t>תביעות ירושלים</w:t>
            </w:r>
          </w:p>
          <w:p w14:paraId="7F9C3A0B" w14:textId="77777777" w:rsidR="00B46D7C" w:rsidRPr="001462E0" w:rsidRDefault="00B46D7C" w:rsidP="00DF12D3">
            <w:pPr>
              <w:rPr>
                <w:rFonts w:ascii="David" w:hAnsi="David"/>
                <w:b/>
                <w:bCs/>
                <w:sz w:val="26"/>
                <w:szCs w:val="26"/>
              </w:rPr>
            </w:pPr>
          </w:p>
        </w:tc>
      </w:tr>
      <w:bookmarkEnd w:id="1"/>
      <w:bookmarkEnd w:id="2"/>
      <w:tr w:rsidR="00B46D7C" w:rsidRPr="001462E0" w14:paraId="2E0E1EE6" w14:textId="77777777" w:rsidTr="002404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A5E1015" w14:textId="77777777" w:rsidR="00B46D7C" w:rsidRPr="001462E0" w:rsidRDefault="00B46D7C" w:rsidP="00B46D7C">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359BE952" w14:textId="77777777" w:rsidR="00B46D7C" w:rsidRPr="001462E0" w:rsidRDefault="00B46D7C" w:rsidP="00B46D7C">
            <w:pPr>
              <w:jc w:val="center"/>
              <w:rPr>
                <w:rFonts w:ascii="David" w:hAnsi="David"/>
                <w:b/>
                <w:bCs/>
                <w:sz w:val="26"/>
                <w:szCs w:val="26"/>
                <w:rtl/>
              </w:rPr>
            </w:pPr>
          </w:p>
          <w:p w14:paraId="3952B3A6" w14:textId="77777777" w:rsidR="00B46D7C" w:rsidRPr="001462E0" w:rsidRDefault="00B46D7C" w:rsidP="00B46D7C">
            <w:pPr>
              <w:jc w:val="center"/>
              <w:rPr>
                <w:rFonts w:ascii="David" w:hAnsi="David"/>
                <w:b/>
                <w:bCs/>
                <w:sz w:val="26"/>
                <w:szCs w:val="26"/>
                <w:rtl/>
              </w:rPr>
            </w:pPr>
            <w:r w:rsidRPr="001462E0">
              <w:rPr>
                <w:rFonts w:ascii="David" w:hAnsi="David"/>
                <w:b/>
                <w:bCs/>
                <w:sz w:val="26"/>
                <w:szCs w:val="26"/>
                <w:rtl/>
              </w:rPr>
              <w:t>נגד</w:t>
            </w:r>
          </w:p>
          <w:p w14:paraId="34C2BE5F" w14:textId="77777777" w:rsidR="00B46D7C" w:rsidRPr="001462E0" w:rsidRDefault="00B46D7C" w:rsidP="00B46D7C">
            <w:pPr>
              <w:jc w:val="both"/>
              <w:rPr>
                <w:rFonts w:ascii="David" w:hAnsi="David"/>
                <w:b/>
                <w:bCs/>
                <w:sz w:val="26"/>
                <w:szCs w:val="26"/>
              </w:rPr>
            </w:pPr>
          </w:p>
        </w:tc>
      </w:tr>
      <w:tr w:rsidR="00B46D7C" w:rsidRPr="001462E0" w14:paraId="5F532C87" w14:textId="77777777" w:rsidTr="002404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EC435F8" w14:textId="77777777" w:rsidR="00B46D7C" w:rsidRPr="001462E0" w:rsidRDefault="00B46D7C" w:rsidP="00DF12D3">
            <w:pPr>
              <w:rPr>
                <w:rFonts w:ascii="David" w:hAnsi="David"/>
                <w:b/>
                <w:bCs/>
                <w:sz w:val="26"/>
                <w:szCs w:val="26"/>
                <w:rtl/>
              </w:rPr>
            </w:pPr>
          </w:p>
        </w:tc>
        <w:tc>
          <w:tcPr>
            <w:tcW w:w="3219" w:type="dxa"/>
            <w:tcBorders>
              <w:top w:val="nil"/>
              <w:left w:val="nil"/>
              <w:bottom w:val="nil"/>
              <w:right w:val="nil"/>
            </w:tcBorders>
            <w:shd w:val="clear" w:color="auto" w:fill="auto"/>
          </w:tcPr>
          <w:p w14:paraId="785751D1" w14:textId="77777777" w:rsidR="00B46D7C" w:rsidRPr="001462E0" w:rsidRDefault="00B46D7C" w:rsidP="00DF12D3">
            <w:pPr>
              <w:rPr>
                <w:rFonts w:ascii="Arial" w:hAnsi="Arial"/>
                <w:b/>
                <w:bCs/>
                <w:sz w:val="26"/>
                <w:szCs w:val="26"/>
                <w:rtl/>
              </w:rPr>
            </w:pPr>
            <w:r w:rsidRPr="001462E0">
              <w:rPr>
                <w:rFonts w:ascii="Arial" w:hAnsi="Arial"/>
                <w:b/>
                <w:bCs/>
                <w:sz w:val="26"/>
                <w:szCs w:val="26"/>
                <w:rtl/>
              </w:rPr>
              <w:t>הנאש</w:t>
            </w:r>
            <w:r w:rsidRPr="001462E0">
              <w:rPr>
                <w:rFonts w:ascii="Arial" w:hAnsi="Arial" w:hint="cs"/>
                <w:b/>
                <w:bCs/>
                <w:sz w:val="26"/>
                <w:szCs w:val="26"/>
                <w:rtl/>
              </w:rPr>
              <w:t>מת</w:t>
            </w:r>
          </w:p>
        </w:tc>
        <w:tc>
          <w:tcPr>
            <w:tcW w:w="4678" w:type="dxa"/>
            <w:gridSpan w:val="3"/>
            <w:tcBorders>
              <w:top w:val="nil"/>
              <w:left w:val="nil"/>
              <w:bottom w:val="nil"/>
              <w:right w:val="nil"/>
            </w:tcBorders>
            <w:shd w:val="clear" w:color="auto" w:fill="auto"/>
            <w:vAlign w:val="center"/>
          </w:tcPr>
          <w:p w14:paraId="48EAC054" w14:textId="77777777" w:rsidR="00B46D7C" w:rsidRPr="001462E0" w:rsidRDefault="00B46D7C" w:rsidP="00B46D7C">
            <w:pPr>
              <w:suppressLineNumbers/>
              <w:rPr>
                <w:rFonts w:ascii="Arial" w:hAnsi="Arial"/>
                <w:b/>
                <w:bCs/>
                <w:sz w:val="26"/>
                <w:szCs w:val="26"/>
                <w:rtl/>
              </w:rPr>
            </w:pPr>
            <w:r w:rsidRPr="001462E0">
              <w:rPr>
                <w:rFonts w:ascii="Arial" w:hAnsi="Arial"/>
                <w:b/>
                <w:bCs/>
                <w:sz w:val="26"/>
                <w:szCs w:val="26"/>
                <w:rtl/>
              </w:rPr>
              <w:t>מוריה שימול</w:t>
            </w:r>
            <w:r w:rsidRPr="001462E0">
              <w:rPr>
                <w:rFonts w:ascii="Arial" w:hAnsi="Arial" w:hint="cs"/>
                <w:b/>
                <w:bCs/>
                <w:sz w:val="26"/>
                <w:szCs w:val="26"/>
                <w:rtl/>
              </w:rPr>
              <w:t xml:space="preserve"> </w:t>
            </w:r>
          </w:p>
          <w:p w14:paraId="70E124AA" w14:textId="77777777" w:rsidR="00B46D7C" w:rsidRPr="001462E0" w:rsidRDefault="00B46D7C" w:rsidP="00B46D7C">
            <w:pPr>
              <w:suppressLineNumbers/>
              <w:rPr>
                <w:b/>
                <w:bCs/>
              </w:rPr>
            </w:pPr>
            <w:r w:rsidRPr="001462E0">
              <w:rPr>
                <w:rFonts w:ascii="Arial" w:hAnsi="Arial"/>
                <w:b/>
                <w:bCs/>
                <w:sz w:val="26"/>
                <w:szCs w:val="26"/>
                <w:rtl/>
              </w:rPr>
              <w:t>ע"י ב"כ עוה"ד</w:t>
            </w:r>
            <w:r w:rsidRPr="001462E0">
              <w:rPr>
                <w:rFonts w:ascii="Arial" w:hAnsi="Arial" w:hint="cs"/>
                <w:b/>
                <w:bCs/>
                <w:sz w:val="26"/>
                <w:szCs w:val="26"/>
                <w:rtl/>
              </w:rPr>
              <w:t xml:space="preserve"> ליאורה ברקו</w:t>
            </w:r>
          </w:p>
          <w:p w14:paraId="084878E9" w14:textId="77777777" w:rsidR="00B46D7C" w:rsidRPr="001462E0" w:rsidRDefault="00B46D7C" w:rsidP="00DF12D3">
            <w:pPr>
              <w:rPr>
                <w:rFonts w:ascii="David" w:hAnsi="David"/>
                <w:b/>
                <w:bCs/>
                <w:sz w:val="26"/>
                <w:szCs w:val="26"/>
              </w:rPr>
            </w:pPr>
          </w:p>
        </w:tc>
      </w:tr>
    </w:tbl>
    <w:p w14:paraId="14E0257D" w14:textId="77777777" w:rsidR="001462E0" w:rsidRPr="001462E0" w:rsidRDefault="001462E0" w:rsidP="001462E0">
      <w:pPr>
        <w:spacing w:before="120" w:after="120" w:line="240" w:lineRule="exact"/>
        <w:ind w:left="283" w:hanging="283"/>
        <w:jc w:val="both"/>
        <w:rPr>
          <w:rFonts w:ascii="FrankRuehl" w:hAnsi="FrankRuehl" w:cs="FrankRuehl"/>
          <w:rtl/>
        </w:rPr>
      </w:pPr>
    </w:p>
    <w:p w14:paraId="760AFC35" w14:textId="77777777" w:rsidR="001462E0" w:rsidRPr="001462E0" w:rsidRDefault="001462E0" w:rsidP="001462E0">
      <w:pPr>
        <w:rPr>
          <w:sz w:val="26"/>
          <w:szCs w:val="26"/>
          <w:rtl/>
        </w:rPr>
      </w:pPr>
    </w:p>
    <w:p w14:paraId="1E7A6841" w14:textId="77777777" w:rsidR="0024044A" w:rsidRPr="0024044A" w:rsidRDefault="0024044A" w:rsidP="0024044A">
      <w:pPr>
        <w:spacing w:before="120" w:after="120" w:line="240" w:lineRule="exact"/>
        <w:ind w:left="283" w:hanging="283"/>
        <w:jc w:val="both"/>
        <w:rPr>
          <w:rFonts w:ascii="FrankRuehl" w:hAnsi="FrankRuehl" w:cs="FrankRuehl"/>
          <w:rtl/>
        </w:rPr>
      </w:pPr>
      <w:bookmarkStart w:id="3" w:name="LawTable"/>
      <w:bookmarkEnd w:id="3"/>
    </w:p>
    <w:p w14:paraId="58FE47C6" w14:textId="77777777" w:rsidR="0024044A" w:rsidRPr="0024044A" w:rsidRDefault="0024044A" w:rsidP="0024044A">
      <w:pPr>
        <w:spacing w:before="120" w:after="120" w:line="240" w:lineRule="exact"/>
        <w:ind w:left="283" w:hanging="283"/>
        <w:jc w:val="both"/>
        <w:rPr>
          <w:rFonts w:ascii="FrankRuehl" w:hAnsi="FrankRuehl" w:cs="FrankRuehl"/>
          <w:rtl/>
        </w:rPr>
      </w:pPr>
      <w:r w:rsidRPr="0024044A">
        <w:rPr>
          <w:rFonts w:ascii="FrankRuehl" w:hAnsi="FrankRuehl" w:cs="FrankRuehl"/>
          <w:rtl/>
        </w:rPr>
        <w:t xml:space="preserve">חקיקה שאוזכרה: </w:t>
      </w:r>
    </w:p>
    <w:p w14:paraId="2E145FAE" w14:textId="77777777" w:rsidR="0024044A" w:rsidRPr="0024044A" w:rsidRDefault="0024044A" w:rsidP="0024044A">
      <w:pPr>
        <w:spacing w:before="120" w:after="120" w:line="240" w:lineRule="exact"/>
        <w:ind w:left="283" w:hanging="283"/>
        <w:jc w:val="both"/>
        <w:rPr>
          <w:rFonts w:ascii="FrankRuehl" w:hAnsi="FrankRuehl" w:cs="FrankRuehl"/>
          <w:color w:val="0000FF"/>
          <w:rtl/>
        </w:rPr>
      </w:pPr>
      <w:hyperlink r:id="rId7" w:history="1">
        <w:r w:rsidRPr="0024044A">
          <w:rPr>
            <w:rStyle w:val="Hyperlink"/>
            <w:rFonts w:ascii="FrankRuehl" w:hAnsi="FrankRuehl" w:cs="FrankRuehl"/>
            <w:u w:val="none"/>
            <w:rtl/>
          </w:rPr>
          <w:t>פקודת הסמים המסוכנים [נוסח חדש], תשל"ג-1973</w:t>
        </w:r>
      </w:hyperlink>
      <w:r w:rsidRPr="0024044A">
        <w:rPr>
          <w:rFonts w:ascii="FrankRuehl" w:hAnsi="FrankRuehl" w:cs="FrankRuehl"/>
          <w:color w:val="0000FF"/>
          <w:rtl/>
        </w:rPr>
        <w:t xml:space="preserve">: סע'  </w:t>
      </w:r>
      <w:hyperlink r:id="rId8" w:history="1">
        <w:r w:rsidRPr="0024044A">
          <w:rPr>
            <w:rStyle w:val="Hyperlink"/>
            <w:rFonts w:ascii="FrankRuehl" w:hAnsi="FrankRuehl" w:cs="FrankRuehl"/>
            <w:u w:val="none"/>
          </w:rPr>
          <w:t>7.</w:t>
        </w:r>
        <w:r w:rsidRPr="0024044A">
          <w:rPr>
            <w:rStyle w:val="Hyperlink"/>
            <w:rFonts w:ascii="FrankRuehl" w:hAnsi="FrankRuehl" w:cs="FrankRuehl"/>
            <w:u w:val="none"/>
            <w:rtl/>
          </w:rPr>
          <w:t>א</w:t>
        </w:r>
        <w:r w:rsidRPr="0024044A">
          <w:rPr>
            <w:rStyle w:val="Hyperlink"/>
            <w:rFonts w:ascii="FrankRuehl" w:hAnsi="FrankRuehl" w:cs="FrankRuehl"/>
            <w:u w:val="none"/>
          </w:rPr>
          <w:t>.</w:t>
        </w:r>
      </w:hyperlink>
      <w:r w:rsidRPr="0024044A">
        <w:rPr>
          <w:rFonts w:ascii="FrankRuehl" w:hAnsi="FrankRuehl" w:cs="FrankRuehl"/>
          <w:color w:val="0000FF"/>
          <w:rtl/>
        </w:rPr>
        <w:t xml:space="preserve">, </w:t>
      </w:r>
      <w:hyperlink r:id="rId9" w:history="1">
        <w:r w:rsidRPr="0024044A">
          <w:rPr>
            <w:rStyle w:val="Hyperlink"/>
            <w:rFonts w:ascii="FrankRuehl" w:hAnsi="FrankRuehl" w:cs="FrankRuehl"/>
            <w:u w:val="none"/>
          </w:rPr>
          <w:t>7.</w:t>
        </w:r>
        <w:r w:rsidRPr="0024044A">
          <w:rPr>
            <w:rStyle w:val="Hyperlink"/>
            <w:rFonts w:ascii="FrankRuehl" w:hAnsi="FrankRuehl" w:cs="FrankRuehl"/>
            <w:u w:val="none"/>
            <w:rtl/>
          </w:rPr>
          <w:t>ג</w:t>
        </w:r>
      </w:hyperlink>
    </w:p>
    <w:p w14:paraId="5EA76D80" w14:textId="77777777" w:rsidR="0024044A" w:rsidRPr="0024044A" w:rsidRDefault="0024044A" w:rsidP="0024044A">
      <w:pPr>
        <w:spacing w:before="120" w:after="120" w:line="240" w:lineRule="exact"/>
        <w:ind w:left="283" w:hanging="283"/>
        <w:jc w:val="both"/>
        <w:rPr>
          <w:rFonts w:ascii="FrankRuehl" w:hAnsi="FrankRuehl" w:cs="FrankRuehl"/>
          <w:color w:val="0000FF"/>
          <w:rtl/>
        </w:rPr>
      </w:pPr>
      <w:hyperlink r:id="rId10" w:history="1">
        <w:r w:rsidRPr="0024044A">
          <w:rPr>
            <w:rStyle w:val="Hyperlink"/>
            <w:rFonts w:ascii="FrankRuehl" w:hAnsi="FrankRuehl" w:cs="FrankRuehl"/>
            <w:u w:val="none"/>
            <w:rtl/>
          </w:rPr>
          <w:t>פקודת התעבורה [נוסח חדש</w:t>
        </w:r>
        <w:r w:rsidRPr="0024044A">
          <w:rPr>
            <w:rStyle w:val="Hyperlink"/>
            <w:rFonts w:ascii="FrankRuehl" w:hAnsi="FrankRuehl" w:cs="FrankRuehl"/>
            <w:u w:val="none"/>
          </w:rPr>
          <w:t>]</w:t>
        </w:r>
      </w:hyperlink>
      <w:r w:rsidRPr="0024044A">
        <w:rPr>
          <w:rFonts w:ascii="FrankRuehl" w:hAnsi="FrankRuehl" w:cs="FrankRuehl"/>
          <w:color w:val="0000FF"/>
          <w:rtl/>
        </w:rPr>
        <w:t xml:space="preserve">: סע'  </w:t>
      </w:r>
      <w:hyperlink r:id="rId11" w:history="1">
        <w:r w:rsidRPr="0024044A">
          <w:rPr>
            <w:rStyle w:val="Hyperlink"/>
            <w:rFonts w:ascii="FrankRuehl" w:hAnsi="FrankRuehl" w:cs="FrankRuehl"/>
            <w:u w:val="none"/>
          </w:rPr>
          <w:t>36</w:t>
        </w:r>
      </w:hyperlink>
      <w:r w:rsidRPr="0024044A">
        <w:rPr>
          <w:rFonts w:ascii="FrankRuehl" w:hAnsi="FrankRuehl" w:cs="FrankRuehl"/>
          <w:color w:val="0000FF"/>
          <w:rtl/>
        </w:rPr>
        <w:t xml:space="preserve">(ב), </w:t>
      </w:r>
      <w:hyperlink r:id="rId12" w:history="1">
        <w:r w:rsidRPr="0024044A">
          <w:rPr>
            <w:rStyle w:val="Hyperlink"/>
            <w:rFonts w:ascii="FrankRuehl" w:hAnsi="FrankRuehl" w:cs="FrankRuehl"/>
            <w:u w:val="none"/>
          </w:rPr>
          <w:t>39</w:t>
        </w:r>
        <w:r w:rsidRPr="0024044A">
          <w:rPr>
            <w:rStyle w:val="Hyperlink"/>
            <w:rFonts w:ascii="FrankRuehl" w:hAnsi="FrankRuehl" w:cs="FrankRuehl"/>
            <w:u w:val="none"/>
            <w:rtl/>
          </w:rPr>
          <w:t>א</w:t>
        </w:r>
      </w:hyperlink>
      <w:r w:rsidRPr="0024044A">
        <w:rPr>
          <w:rFonts w:ascii="FrankRuehl" w:hAnsi="FrankRuehl" w:cs="FrankRuehl"/>
          <w:color w:val="0000FF"/>
          <w:rtl/>
        </w:rPr>
        <w:t xml:space="preserve">, </w:t>
      </w:r>
      <w:hyperlink r:id="rId13" w:history="1">
        <w:r w:rsidRPr="0024044A">
          <w:rPr>
            <w:rStyle w:val="Hyperlink"/>
            <w:rFonts w:ascii="FrankRuehl" w:hAnsi="FrankRuehl" w:cs="FrankRuehl"/>
            <w:u w:val="none"/>
          </w:rPr>
          <w:t>62</w:t>
        </w:r>
      </w:hyperlink>
      <w:r w:rsidRPr="0024044A">
        <w:rPr>
          <w:rFonts w:ascii="FrankRuehl" w:hAnsi="FrankRuehl" w:cs="FrankRuehl"/>
          <w:color w:val="0000FF"/>
          <w:rtl/>
        </w:rPr>
        <w:t>(3)</w:t>
      </w:r>
    </w:p>
    <w:p w14:paraId="5820B8CA" w14:textId="77777777" w:rsidR="0024044A" w:rsidRPr="0024044A" w:rsidRDefault="0024044A" w:rsidP="0024044A">
      <w:pPr>
        <w:spacing w:before="120" w:after="120" w:line="240" w:lineRule="exact"/>
        <w:ind w:left="283" w:hanging="283"/>
        <w:jc w:val="both"/>
        <w:rPr>
          <w:rFonts w:ascii="FrankRuehl" w:hAnsi="FrankRuehl" w:cs="FrankRuehl"/>
          <w:color w:val="0000FF"/>
          <w:rtl/>
        </w:rPr>
      </w:pPr>
      <w:hyperlink r:id="rId14" w:history="1">
        <w:r w:rsidRPr="0024044A">
          <w:rPr>
            <w:rStyle w:val="Hyperlink"/>
            <w:rFonts w:ascii="FrankRuehl" w:hAnsi="FrankRuehl" w:cs="FrankRuehl"/>
            <w:u w:val="none"/>
            <w:rtl/>
          </w:rPr>
          <w:t>חוק לשכת עורכי הדין, תשכ"א-1961</w:t>
        </w:r>
      </w:hyperlink>
      <w:r w:rsidRPr="0024044A">
        <w:rPr>
          <w:rFonts w:ascii="FrankRuehl" w:hAnsi="FrankRuehl" w:cs="FrankRuehl"/>
          <w:color w:val="0000FF"/>
          <w:rtl/>
        </w:rPr>
        <w:t xml:space="preserve">: סע'  </w:t>
      </w:r>
      <w:hyperlink r:id="rId15" w:history="1">
        <w:r w:rsidRPr="0024044A">
          <w:rPr>
            <w:rStyle w:val="Hyperlink"/>
            <w:rFonts w:ascii="FrankRuehl" w:hAnsi="FrankRuehl" w:cs="FrankRuehl"/>
            <w:u w:val="none"/>
          </w:rPr>
          <w:t>26</w:t>
        </w:r>
      </w:hyperlink>
      <w:r w:rsidRPr="0024044A">
        <w:rPr>
          <w:rFonts w:ascii="FrankRuehl" w:hAnsi="FrankRuehl" w:cs="FrankRuehl"/>
          <w:color w:val="0000FF"/>
          <w:rtl/>
        </w:rPr>
        <w:t xml:space="preserve">, </w:t>
      </w:r>
      <w:hyperlink r:id="rId16" w:history="1">
        <w:r w:rsidRPr="0024044A">
          <w:rPr>
            <w:rStyle w:val="Hyperlink"/>
            <w:rFonts w:ascii="FrankRuehl" w:hAnsi="FrankRuehl" w:cs="FrankRuehl"/>
            <w:u w:val="none"/>
          </w:rPr>
          <w:t>44</w:t>
        </w:r>
      </w:hyperlink>
    </w:p>
    <w:p w14:paraId="7A5E0FCC" w14:textId="77777777" w:rsidR="00B46D7C" w:rsidRPr="0024044A" w:rsidRDefault="00B46D7C" w:rsidP="0024044A">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6D7C" w14:paraId="4CEF19F6" w14:textId="77777777" w:rsidTr="00B46D7C">
        <w:trPr>
          <w:trHeight w:val="355"/>
          <w:jc w:val="center"/>
        </w:trPr>
        <w:tc>
          <w:tcPr>
            <w:tcW w:w="8820" w:type="dxa"/>
            <w:tcBorders>
              <w:top w:val="nil"/>
              <w:left w:val="nil"/>
              <w:bottom w:val="nil"/>
              <w:right w:val="nil"/>
            </w:tcBorders>
            <w:shd w:val="clear" w:color="auto" w:fill="auto"/>
          </w:tcPr>
          <w:p w14:paraId="0590ECF7" w14:textId="77777777" w:rsidR="001462E0" w:rsidRPr="001462E0" w:rsidRDefault="001462E0" w:rsidP="001462E0">
            <w:pPr>
              <w:jc w:val="center"/>
              <w:rPr>
                <w:rFonts w:ascii="David" w:hAnsi="David"/>
                <w:b/>
                <w:bCs/>
                <w:sz w:val="32"/>
                <w:szCs w:val="32"/>
                <w:u w:val="single"/>
                <w:rtl/>
              </w:rPr>
            </w:pPr>
            <w:bookmarkStart w:id="5" w:name="PsakDin" w:colFirst="0" w:colLast="0"/>
            <w:bookmarkEnd w:id="0"/>
            <w:r w:rsidRPr="001462E0">
              <w:rPr>
                <w:rFonts w:ascii="David" w:hAnsi="David"/>
                <w:b/>
                <w:bCs/>
                <w:sz w:val="32"/>
                <w:szCs w:val="32"/>
                <w:u w:val="single"/>
                <w:rtl/>
              </w:rPr>
              <w:t>גזר דין   ללא הרשעה</w:t>
            </w:r>
          </w:p>
          <w:p w14:paraId="23DF69EB" w14:textId="77777777" w:rsidR="00B46D7C" w:rsidRPr="001462E0" w:rsidRDefault="00B46D7C" w:rsidP="001462E0">
            <w:pPr>
              <w:jc w:val="center"/>
              <w:rPr>
                <w:rFonts w:ascii="David" w:hAnsi="David"/>
                <w:b/>
                <w:bCs/>
                <w:sz w:val="32"/>
                <w:szCs w:val="32"/>
                <w:u w:val="single"/>
                <w:rtl/>
              </w:rPr>
            </w:pPr>
          </w:p>
        </w:tc>
      </w:tr>
      <w:bookmarkEnd w:id="5"/>
    </w:tbl>
    <w:p w14:paraId="0BC3D80C" w14:textId="77777777" w:rsidR="00B46D7C" w:rsidRPr="000F2247" w:rsidRDefault="00B46D7C" w:rsidP="00B46D7C">
      <w:pPr>
        <w:rPr>
          <w:rFonts w:ascii="Arial" w:hAnsi="Arial"/>
          <w:b/>
          <w:bCs/>
          <w:sz w:val="26"/>
          <w:szCs w:val="26"/>
          <w:rtl/>
        </w:rPr>
      </w:pPr>
    </w:p>
    <w:p w14:paraId="73440A7D" w14:textId="77777777" w:rsidR="00B46D7C" w:rsidRPr="000F2247" w:rsidRDefault="00B46D7C" w:rsidP="00B46D7C">
      <w:pPr>
        <w:rPr>
          <w:rFonts w:ascii="Arial" w:hAnsi="Arial"/>
          <w:b/>
          <w:bCs/>
          <w:sz w:val="26"/>
          <w:szCs w:val="26"/>
          <w:rtl/>
        </w:rPr>
      </w:pPr>
    </w:p>
    <w:p w14:paraId="14535E37" w14:textId="77777777" w:rsidR="00B46D7C" w:rsidRDefault="00B46D7C" w:rsidP="00B46D7C">
      <w:pPr>
        <w:spacing w:after="160" w:line="252" w:lineRule="auto"/>
        <w:rPr>
          <w:rFonts w:ascii="David" w:hAnsi="David"/>
          <w:b/>
          <w:bCs/>
          <w:sz w:val="26"/>
          <w:szCs w:val="26"/>
          <w:u w:val="single"/>
        </w:rPr>
      </w:pPr>
      <w:r>
        <w:rPr>
          <w:rFonts w:ascii="David" w:hAnsi="David"/>
          <w:b/>
          <w:bCs/>
          <w:sz w:val="26"/>
          <w:szCs w:val="26"/>
          <w:u w:val="single"/>
          <w:rtl/>
        </w:rPr>
        <w:t>כתב האישום</w:t>
      </w:r>
    </w:p>
    <w:p w14:paraId="5D5220BF" w14:textId="77777777" w:rsidR="00B46D7C" w:rsidRDefault="00B46D7C" w:rsidP="00B46D7C">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hint="cs"/>
          <w:sz w:val="26"/>
          <w:szCs w:val="26"/>
          <w:rtl/>
        </w:rPr>
        <w:t xml:space="preserve">הנאשמת </w:t>
      </w:r>
      <w:r>
        <w:rPr>
          <w:rFonts w:ascii="David" w:hAnsi="David"/>
          <w:sz w:val="26"/>
          <w:szCs w:val="26"/>
          <w:rtl/>
        </w:rPr>
        <w:t>הודאת</w:t>
      </w:r>
      <w:r>
        <w:rPr>
          <w:rFonts w:ascii="David" w:hAnsi="David" w:hint="cs"/>
          <w:sz w:val="26"/>
          <w:szCs w:val="26"/>
          <w:rtl/>
        </w:rPr>
        <w:t>ה</w:t>
      </w:r>
      <w:r>
        <w:rPr>
          <w:rFonts w:ascii="David" w:hAnsi="David"/>
          <w:sz w:val="26"/>
          <w:szCs w:val="26"/>
          <w:rtl/>
        </w:rPr>
        <w:t xml:space="preserve"> ב</w:t>
      </w:r>
      <w:r>
        <w:rPr>
          <w:rFonts w:ascii="David" w:hAnsi="David" w:hint="cs"/>
          <w:sz w:val="26"/>
          <w:szCs w:val="26"/>
          <w:rtl/>
        </w:rPr>
        <w:t xml:space="preserve">כתב אישום מתוקן בביצוע עבירות של החזקת סם שלא לצריכה עצמית, לפי </w:t>
      </w:r>
      <w:hyperlink r:id="rId17" w:history="1">
        <w:r w:rsidR="0024044A" w:rsidRPr="0024044A">
          <w:rPr>
            <w:rStyle w:val="Hyperlink"/>
            <w:rFonts w:ascii="David" w:hAnsi="David" w:hint="eastAsia"/>
            <w:color w:val="0000FF"/>
            <w:sz w:val="26"/>
            <w:szCs w:val="26"/>
            <w:rtl/>
          </w:rPr>
          <w:t>סעיפים</w:t>
        </w:r>
        <w:r w:rsidR="0024044A" w:rsidRPr="0024044A">
          <w:rPr>
            <w:rStyle w:val="Hyperlink"/>
            <w:rFonts w:ascii="David" w:hAnsi="David"/>
            <w:color w:val="0000FF"/>
            <w:sz w:val="26"/>
            <w:szCs w:val="26"/>
            <w:rtl/>
          </w:rPr>
          <w:t xml:space="preserve"> 7(א)(ג)</w:t>
        </w:r>
      </w:hyperlink>
      <w:r>
        <w:rPr>
          <w:rFonts w:ascii="David" w:hAnsi="David" w:hint="cs"/>
          <w:sz w:val="26"/>
          <w:szCs w:val="26"/>
          <w:rtl/>
        </w:rPr>
        <w:t xml:space="preserve"> רישא לפקודת הסמים, וכן בנהיגה תחת השפעת סמים, לפי </w:t>
      </w:r>
      <w:hyperlink r:id="rId18" w:history="1">
        <w:r w:rsidR="0024044A" w:rsidRPr="0024044A">
          <w:rPr>
            <w:rStyle w:val="Hyperlink"/>
            <w:rFonts w:ascii="David" w:hAnsi="David" w:hint="eastAsia"/>
            <w:color w:val="0000FF"/>
            <w:sz w:val="26"/>
            <w:szCs w:val="26"/>
            <w:rtl/>
          </w:rPr>
          <w:t>סעיף</w:t>
        </w:r>
        <w:r w:rsidR="0024044A" w:rsidRPr="0024044A">
          <w:rPr>
            <w:rStyle w:val="Hyperlink"/>
            <w:rFonts w:ascii="David" w:hAnsi="David"/>
            <w:color w:val="0000FF"/>
            <w:sz w:val="26"/>
            <w:szCs w:val="26"/>
            <w:rtl/>
          </w:rPr>
          <w:t xml:space="preserve"> 62(3)</w:t>
        </w:r>
      </w:hyperlink>
      <w:r>
        <w:rPr>
          <w:rFonts w:ascii="David" w:hAnsi="David" w:hint="cs"/>
          <w:sz w:val="26"/>
          <w:szCs w:val="26"/>
          <w:rtl/>
        </w:rPr>
        <w:t xml:space="preserve"> ל</w:t>
      </w:r>
      <w:hyperlink r:id="rId19" w:history="1">
        <w:r w:rsidR="001462E0" w:rsidRPr="001462E0">
          <w:rPr>
            <w:rFonts w:ascii="David" w:hAnsi="David"/>
            <w:color w:val="0000FF"/>
            <w:sz w:val="26"/>
            <w:szCs w:val="26"/>
            <w:u w:val="single"/>
            <w:rtl/>
          </w:rPr>
          <w:t>פקודת התעבורה</w:t>
        </w:r>
      </w:hyperlink>
      <w:r>
        <w:rPr>
          <w:rFonts w:ascii="David" w:hAnsi="David" w:hint="cs"/>
          <w:sz w:val="26"/>
          <w:szCs w:val="26"/>
          <w:rtl/>
        </w:rPr>
        <w:t>. מעובדות כתב האישום עולה כי ביום 27.5.2021 בשעת לילה נהג הנאשמת ברכב בירושלים. באותן נסיבות הנאשמת החזיקה בתיקם 143.38 גרם קנביס מחולק ל-21 אריזות מוכנות לחלוקה. בתיקה האישי החזיקה הנאשמת 9 "מכססות", 9 מציתים, 14 חפיסות של נייר גלגול וכרטיסי ביקור תחת השם "הפרח מאמסטרדם". בעת שבוצעה לה בדיקה לגילוי סמים, נמצא בדגימת השתן שלה תוצר חילוף חומרים של קנביס.</w:t>
      </w:r>
    </w:p>
    <w:p w14:paraId="32BF2524" w14:textId="77777777" w:rsidR="00B46D7C" w:rsidRDefault="00B46D7C" w:rsidP="00B46D7C">
      <w:pPr>
        <w:spacing w:after="160" w:line="360" w:lineRule="auto"/>
        <w:jc w:val="both"/>
        <w:rPr>
          <w:rFonts w:ascii="David" w:hAnsi="David"/>
          <w:b/>
          <w:bCs/>
          <w:sz w:val="26"/>
          <w:szCs w:val="26"/>
          <w:u w:val="single"/>
        </w:rPr>
      </w:pPr>
      <w:bookmarkStart w:id="7" w:name="ABSTRACT_END"/>
      <w:bookmarkEnd w:id="7"/>
    </w:p>
    <w:p w14:paraId="6A00A32D" w14:textId="77777777" w:rsidR="00B46D7C" w:rsidRDefault="00B46D7C" w:rsidP="00B46D7C">
      <w:pPr>
        <w:spacing w:after="160" w:line="360" w:lineRule="auto"/>
        <w:jc w:val="both"/>
        <w:rPr>
          <w:rFonts w:ascii="David" w:hAnsi="David"/>
          <w:b/>
          <w:bCs/>
          <w:sz w:val="26"/>
          <w:szCs w:val="26"/>
          <w:u w:val="single"/>
        </w:rPr>
      </w:pPr>
      <w:r>
        <w:rPr>
          <w:rFonts w:ascii="David" w:hAnsi="David"/>
          <w:b/>
          <w:bCs/>
          <w:sz w:val="26"/>
          <w:szCs w:val="26"/>
          <w:u w:val="single"/>
          <w:rtl/>
        </w:rPr>
        <w:lastRenderedPageBreak/>
        <w:t>מהלך הדיון</w:t>
      </w:r>
    </w:p>
    <w:p w14:paraId="3580F207" w14:textId="77777777" w:rsidR="00B46D7C" w:rsidRDefault="00B46D7C" w:rsidP="00B46D7C">
      <w:pPr>
        <w:pStyle w:val="a9"/>
        <w:numPr>
          <w:ilvl w:val="0"/>
          <w:numId w:val="2"/>
        </w:numPr>
        <w:spacing w:after="160" w:line="360" w:lineRule="auto"/>
        <w:jc w:val="both"/>
        <w:rPr>
          <w:rFonts w:ascii="David" w:hAnsi="David"/>
          <w:sz w:val="26"/>
          <w:szCs w:val="26"/>
        </w:rPr>
      </w:pPr>
      <w:r>
        <w:rPr>
          <w:rFonts w:ascii="David" w:hAnsi="David" w:hint="cs"/>
          <w:sz w:val="26"/>
          <w:szCs w:val="26"/>
          <w:rtl/>
        </w:rPr>
        <w:t>הנאשמת הודתה בכתב אישום מתוקן ללא הסדר טיעון, ובמועד זה קבעתי את אשמה מבלי להרשיעה נוכח בקשת הסניגורית לבחון שאלה זו במסגרת שליחת הנאשמת לשירות המבחן.</w:t>
      </w:r>
    </w:p>
    <w:p w14:paraId="2ED1D9F9" w14:textId="77777777" w:rsidR="00B46D7C" w:rsidRDefault="00B46D7C" w:rsidP="00B46D7C">
      <w:pPr>
        <w:spacing w:after="160" w:line="360" w:lineRule="auto"/>
        <w:jc w:val="both"/>
        <w:rPr>
          <w:rFonts w:ascii="David" w:hAnsi="David"/>
          <w:b/>
          <w:bCs/>
          <w:sz w:val="26"/>
          <w:szCs w:val="26"/>
          <w:u w:val="single"/>
          <w:rtl/>
        </w:rPr>
      </w:pPr>
    </w:p>
    <w:p w14:paraId="43A400B8" w14:textId="77777777" w:rsidR="00B46D7C" w:rsidRDefault="00B46D7C" w:rsidP="00B46D7C">
      <w:pPr>
        <w:spacing w:after="160" w:line="360" w:lineRule="auto"/>
        <w:jc w:val="both"/>
        <w:rPr>
          <w:rFonts w:ascii="David" w:hAnsi="David"/>
          <w:b/>
          <w:bCs/>
          <w:sz w:val="26"/>
          <w:szCs w:val="26"/>
          <w:u w:val="single"/>
          <w:rtl/>
        </w:rPr>
      </w:pPr>
    </w:p>
    <w:p w14:paraId="05BC75D4" w14:textId="77777777" w:rsidR="00B46D7C" w:rsidRDefault="00B46D7C" w:rsidP="00B46D7C">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14:paraId="2A00F778" w14:textId="77777777" w:rsidR="00B46D7C" w:rsidRDefault="00B46D7C" w:rsidP="00B46D7C">
      <w:pPr>
        <w:pStyle w:val="a9"/>
        <w:numPr>
          <w:ilvl w:val="0"/>
          <w:numId w:val="2"/>
        </w:numPr>
        <w:spacing w:after="160" w:line="360" w:lineRule="auto"/>
        <w:jc w:val="both"/>
        <w:rPr>
          <w:rFonts w:ascii="David" w:hAnsi="David"/>
          <w:sz w:val="26"/>
          <w:szCs w:val="26"/>
        </w:rPr>
      </w:pPr>
      <w:r>
        <w:rPr>
          <w:rFonts w:ascii="David" w:hAnsi="David"/>
          <w:sz w:val="26"/>
          <w:szCs w:val="26"/>
          <w:rtl/>
        </w:rPr>
        <w:t>מהתסקיר שהוגש בעניינ</w:t>
      </w:r>
      <w:r>
        <w:rPr>
          <w:rFonts w:ascii="David" w:hAnsi="David" w:hint="cs"/>
          <w:sz w:val="26"/>
          <w:szCs w:val="26"/>
          <w:rtl/>
        </w:rPr>
        <w:t>ה</w:t>
      </w:r>
      <w:r>
        <w:rPr>
          <w:rFonts w:ascii="David" w:hAnsi="David"/>
          <w:sz w:val="26"/>
          <w:szCs w:val="26"/>
          <w:rtl/>
        </w:rPr>
        <w:t xml:space="preserve"> של </w:t>
      </w:r>
      <w:r>
        <w:rPr>
          <w:rFonts w:ascii="David" w:hAnsi="David" w:hint="cs"/>
          <w:sz w:val="26"/>
          <w:szCs w:val="26"/>
          <w:rtl/>
        </w:rPr>
        <w:t>הנאשמת עולה כי היא בסוף שנות השלושים לחייה, סיימה לימודי משפטים ועתידה להתמחות במשפטים. היא מגיעה מרקע נורמטיבי, סיימה 12 שנות לימוד עם בגרות מלאה, שירתה שירות צבאי מלא בתחום פיקודי ולאחר מכן המשיכה לשרת במילואים. כיום היא עובדת כשכירה. שירות המבחן עמד על קורותיה של הנאשמת, ציין משברים משמעותיים שחוותה בחייה, שעל רקע חלק מהם החלה להשתמש בסמים בתקופה הרלבנטית לביצוע העבירה. לאחר האירוע שתואר בכתב האישום, השתלבה הנאשמת ביוזמתה בטיפול וחדלה להשתמש בסמים. השירות ציין כי מסרה בדיקת שתן נקיה מסמים וכן ציין כי לא איתר אצל הנאשמת נזקקות טיפולית. השירות עמד על יכולותיה התפקודיות הגבוהות של הנאשמת, והתרשם כי האירוע חריג לאורחותיה. נוכח מכלול הנסיבות המליץ שירות המבחן שלא להרשיע את הנאשמת, וכן המליץ על הטלת של"ץ בהיקף 300 שעות במסגרת "איחוד הצלה" בני ברק.</w:t>
      </w:r>
    </w:p>
    <w:p w14:paraId="02228BF1" w14:textId="77777777" w:rsidR="00B46D7C" w:rsidRDefault="00B46D7C" w:rsidP="00B46D7C">
      <w:pPr>
        <w:spacing w:after="160" w:line="360" w:lineRule="auto"/>
        <w:jc w:val="both"/>
        <w:rPr>
          <w:rFonts w:ascii="David" w:hAnsi="David"/>
          <w:b/>
          <w:bCs/>
          <w:sz w:val="26"/>
          <w:szCs w:val="26"/>
          <w:u w:val="single"/>
        </w:rPr>
      </w:pPr>
    </w:p>
    <w:p w14:paraId="025F4BC2" w14:textId="77777777" w:rsidR="00B46D7C" w:rsidRDefault="00B46D7C" w:rsidP="00B46D7C">
      <w:pPr>
        <w:spacing w:after="160" w:line="360" w:lineRule="auto"/>
        <w:jc w:val="both"/>
        <w:rPr>
          <w:rFonts w:ascii="David" w:hAnsi="David"/>
          <w:b/>
          <w:bCs/>
          <w:sz w:val="26"/>
          <w:szCs w:val="26"/>
          <w:u w:val="single"/>
          <w:rtl/>
        </w:rPr>
      </w:pPr>
      <w:r>
        <w:rPr>
          <w:rFonts w:ascii="David" w:hAnsi="David" w:hint="cs"/>
          <w:b/>
          <w:bCs/>
          <w:sz w:val="26"/>
          <w:szCs w:val="26"/>
          <w:u w:val="single"/>
          <w:rtl/>
        </w:rPr>
        <w:t>ראיות ו</w:t>
      </w:r>
      <w:r>
        <w:rPr>
          <w:rFonts w:ascii="David" w:hAnsi="David"/>
          <w:b/>
          <w:bCs/>
          <w:sz w:val="26"/>
          <w:szCs w:val="26"/>
          <w:u w:val="single"/>
          <w:rtl/>
        </w:rPr>
        <w:t>טיעונים לעונש</w:t>
      </w:r>
    </w:p>
    <w:p w14:paraId="1CEA1597" w14:textId="77777777" w:rsidR="00B46D7C" w:rsidRDefault="00B46D7C" w:rsidP="00B46D7C">
      <w:pPr>
        <w:pStyle w:val="a9"/>
        <w:numPr>
          <w:ilvl w:val="0"/>
          <w:numId w:val="2"/>
        </w:numPr>
        <w:spacing w:after="160" w:line="360" w:lineRule="auto"/>
        <w:jc w:val="both"/>
        <w:rPr>
          <w:rFonts w:ascii="David" w:hAnsi="David"/>
          <w:sz w:val="26"/>
          <w:szCs w:val="26"/>
          <w:rtl/>
        </w:rPr>
      </w:pPr>
      <w:r>
        <w:rPr>
          <w:rFonts w:ascii="David" w:hAnsi="David" w:hint="cs"/>
          <w:sz w:val="26"/>
          <w:szCs w:val="26"/>
          <w:rtl/>
        </w:rPr>
        <w:t xml:space="preserve">הסניגורית הגישה מכתבי המלצה, אישור על שירות בצבא ואישור על סיום לימודי הנאשמת בתחום המשפטים. </w:t>
      </w:r>
      <w:r>
        <w:rPr>
          <w:rFonts w:ascii="David" w:hAnsi="David"/>
          <w:sz w:val="26"/>
          <w:szCs w:val="26"/>
          <w:rtl/>
        </w:rPr>
        <w:t xml:space="preserve">הצדדים לא הגיעו להסכמה עונשית. מחד גיסא, ב"כ המאשימה </w:t>
      </w:r>
      <w:r>
        <w:rPr>
          <w:rFonts w:ascii="David" w:hAnsi="David" w:hint="cs"/>
          <w:sz w:val="26"/>
          <w:szCs w:val="26"/>
          <w:rtl/>
        </w:rPr>
        <w:t xml:space="preserve">סבר כי מתחם העונש הראוי צריך לעמוד על 4 ועד-12 חודשי מאסר, וביקש למקם את הנאשמת בתחתית המתחם, ובהתאם להטיל עליה 4 חודשי עבודות שירות, פסילה בפועל ועל-תנאי, קנס והתחייבות. הוא עמד על הסיכון הנשקף הן מעבירת הסמים הן מעבירת הנהיגה תחת השפעתם. </w:t>
      </w:r>
      <w:r>
        <w:rPr>
          <w:rFonts w:ascii="David" w:hAnsi="David"/>
          <w:sz w:val="26"/>
          <w:szCs w:val="26"/>
          <w:rtl/>
        </w:rPr>
        <w:t xml:space="preserve">מאידך גיסא, ב"כ </w:t>
      </w:r>
      <w:r>
        <w:rPr>
          <w:rFonts w:ascii="David" w:hAnsi="David" w:hint="cs"/>
          <w:sz w:val="26"/>
          <w:szCs w:val="26"/>
          <w:rtl/>
        </w:rPr>
        <w:t xml:space="preserve">הנאשמת טענה כי יש להותיר את אי ההרשעה על כנה, ולאמץ את המלצות שירות המבחן נוכח נסיבותיה של הנאשמת ונוכח פסיקה אליה הפנתה. </w:t>
      </w:r>
    </w:p>
    <w:p w14:paraId="5B4B1099" w14:textId="77777777" w:rsidR="00B46D7C" w:rsidRDefault="00B46D7C" w:rsidP="00B46D7C">
      <w:pPr>
        <w:spacing w:after="160" w:line="360" w:lineRule="auto"/>
        <w:jc w:val="both"/>
        <w:rPr>
          <w:rFonts w:ascii="David" w:hAnsi="David"/>
          <w:b/>
          <w:bCs/>
          <w:sz w:val="26"/>
          <w:szCs w:val="26"/>
          <w:u w:val="single"/>
          <w:rtl/>
        </w:rPr>
      </w:pPr>
    </w:p>
    <w:p w14:paraId="69C8B278" w14:textId="77777777" w:rsidR="00B46D7C" w:rsidRDefault="00B46D7C" w:rsidP="00B46D7C">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53738D38" w14:textId="77777777" w:rsidR="00B46D7C" w:rsidRDefault="00B46D7C" w:rsidP="00B46D7C">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12FD7F34" w14:textId="77777777" w:rsidR="00B46D7C" w:rsidRDefault="00B46D7C" w:rsidP="00B46D7C">
      <w:pPr>
        <w:spacing w:after="160" w:line="360" w:lineRule="auto"/>
        <w:jc w:val="both"/>
        <w:rPr>
          <w:rFonts w:ascii="David" w:hAnsi="David"/>
          <w:b/>
          <w:bCs/>
          <w:sz w:val="26"/>
          <w:szCs w:val="26"/>
          <w:u w:val="single"/>
        </w:rPr>
      </w:pPr>
    </w:p>
    <w:p w14:paraId="2205A9E9" w14:textId="77777777" w:rsidR="00B46D7C" w:rsidRDefault="00B46D7C" w:rsidP="00B46D7C">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לערכים המוגנים, </w:t>
      </w:r>
      <w:r>
        <w:rPr>
          <w:rFonts w:ascii="David" w:hAnsi="David" w:hint="cs"/>
          <w:sz w:val="26"/>
          <w:szCs w:val="26"/>
          <w:rtl/>
        </w:rPr>
        <w:t>במעשיה פגעה הנאשמת בבריאות הציבור ובביטחונו בדרכים, במידה נמוכה עד בינונית.</w:t>
      </w:r>
    </w:p>
    <w:p w14:paraId="4E541614" w14:textId="77777777" w:rsidR="00B46D7C" w:rsidRDefault="00B46D7C" w:rsidP="00B46D7C">
      <w:pPr>
        <w:pStyle w:val="a9"/>
        <w:rPr>
          <w:rFonts w:ascii="David" w:hAnsi="David"/>
          <w:sz w:val="26"/>
          <w:szCs w:val="26"/>
          <w:rtl/>
        </w:rPr>
      </w:pPr>
    </w:p>
    <w:p w14:paraId="0ADFCD38" w14:textId="77777777" w:rsidR="00B46D7C" w:rsidRDefault="00B46D7C" w:rsidP="00B46D7C">
      <w:pPr>
        <w:spacing w:after="160"/>
        <w:jc w:val="both"/>
        <w:rPr>
          <w:rFonts w:ascii="David" w:hAnsi="David"/>
          <w:sz w:val="26"/>
          <w:szCs w:val="26"/>
          <w:rtl/>
        </w:rPr>
      </w:pPr>
    </w:p>
    <w:p w14:paraId="46D0898D" w14:textId="77777777" w:rsidR="00B46D7C" w:rsidRDefault="00B46D7C" w:rsidP="00B46D7C">
      <w:pPr>
        <w:pStyle w:val="a9"/>
        <w:numPr>
          <w:ilvl w:val="0"/>
          <w:numId w:val="2"/>
        </w:numPr>
        <w:spacing w:after="160" w:line="360" w:lineRule="auto"/>
        <w:jc w:val="both"/>
        <w:rPr>
          <w:rFonts w:ascii="David" w:hAnsi="David"/>
          <w:sz w:val="26"/>
          <w:szCs w:val="26"/>
          <w:rtl/>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מדובר בעבירה מתוכננת של החזקת סמים שלא לצריכה עצמית. לחומרה כמות הסמים והיותם מחולקים ומוכנים לחלוקה, וזאת כנראה בשל מניע כלכלי. לקולה, אין מדובר ב"סמים קשים" ובפועל לא הופצו. עם זאת מידת פוטנציאל הנזק לבריאות הציבור עלול להיות קשה שכן, כפי שעמד על כך בית המשפט העליון לא אחת, עדיין מדובר בסמים מסוכנים הכלולים בפקודה ואין להקל בהם ראש. ראו בהקשר זה: </w:t>
      </w:r>
      <w:hyperlink r:id="rId20" w:history="1">
        <w:r w:rsidR="001462E0" w:rsidRPr="001462E0">
          <w:rPr>
            <w:rFonts w:ascii="David" w:hAnsi="David"/>
            <w:color w:val="0000FF"/>
            <w:sz w:val="26"/>
            <w:szCs w:val="26"/>
            <w:u w:val="single"/>
            <w:rtl/>
          </w:rPr>
          <w:t>רע"פ 8695/19</w:t>
        </w:r>
      </w:hyperlink>
      <w:r>
        <w:rPr>
          <w:rFonts w:ascii="David" w:hAnsi="David" w:hint="cs"/>
          <w:sz w:val="26"/>
          <w:szCs w:val="26"/>
          <w:rtl/>
        </w:rPr>
        <w:t xml:space="preserve"> </w:t>
      </w:r>
      <w:r w:rsidRPr="00321692">
        <w:rPr>
          <w:rFonts w:ascii="David" w:hAnsi="David" w:hint="cs"/>
          <w:b/>
          <w:bCs/>
          <w:sz w:val="26"/>
          <w:szCs w:val="26"/>
          <w:rtl/>
        </w:rPr>
        <w:t>פסו נ' מ"י</w:t>
      </w:r>
      <w:r>
        <w:rPr>
          <w:rFonts w:ascii="David" w:hAnsi="David" w:hint="cs"/>
          <w:sz w:val="26"/>
          <w:szCs w:val="26"/>
          <w:rtl/>
        </w:rPr>
        <w:t xml:space="preserve"> (מיום 5.1.2020). מעבר לכך, נהיגה תחת השפעת סמים מסכנת את הנאשמת ואת בטיחות המשתמשים בדרך וגם כאן פוטנציאל הפגיעה משמעותי. בפועל לא נגרם נזק. הנאשמת אחראית למעשיה.</w:t>
      </w:r>
    </w:p>
    <w:p w14:paraId="4939C681" w14:textId="77777777" w:rsidR="00B46D7C" w:rsidRDefault="00B46D7C" w:rsidP="00B46D7C">
      <w:pPr>
        <w:spacing w:after="160" w:line="360" w:lineRule="auto"/>
        <w:jc w:val="both"/>
        <w:rPr>
          <w:rFonts w:ascii="David" w:hAnsi="David"/>
          <w:b/>
          <w:bCs/>
          <w:sz w:val="26"/>
          <w:szCs w:val="26"/>
          <w:u w:val="single"/>
        </w:rPr>
      </w:pPr>
    </w:p>
    <w:p w14:paraId="48812C5D" w14:textId="77777777" w:rsidR="00B46D7C" w:rsidRDefault="00B46D7C" w:rsidP="00B46D7C">
      <w:pPr>
        <w:pStyle w:val="a9"/>
        <w:numPr>
          <w:ilvl w:val="0"/>
          <w:numId w:val="2"/>
        </w:numPr>
        <w:spacing w:after="160" w:line="360" w:lineRule="auto"/>
        <w:jc w:val="both"/>
        <w:rPr>
          <w:rFonts w:ascii="David" w:hAnsi="David"/>
          <w:sz w:val="26"/>
          <w:szCs w:val="26"/>
        </w:rPr>
      </w:pPr>
      <w:r>
        <w:rPr>
          <w:rFonts w:ascii="David" w:hAnsi="David"/>
          <w:b/>
          <w:bCs/>
          <w:sz w:val="26"/>
          <w:szCs w:val="26"/>
          <w:rtl/>
        </w:rPr>
        <w:t xml:space="preserve">אשר למדיניות הענישה הנוהגת, </w:t>
      </w:r>
      <w:r>
        <w:rPr>
          <w:rFonts w:ascii="David" w:hAnsi="David"/>
          <w:sz w:val="26"/>
          <w:szCs w:val="26"/>
          <w:rtl/>
        </w:rPr>
        <w:t xml:space="preserve">סקירת הפסיקה בנסיבות דומות </w:t>
      </w:r>
      <w:r>
        <w:rPr>
          <w:rFonts w:ascii="David" w:hAnsi="David" w:hint="cs"/>
          <w:sz w:val="26"/>
          <w:szCs w:val="26"/>
          <w:rtl/>
        </w:rPr>
        <w:t>היא מתונה.</w:t>
      </w:r>
    </w:p>
    <w:p w14:paraId="1E8FBC09" w14:textId="77777777" w:rsidR="00B46D7C" w:rsidRPr="007C4BCE" w:rsidRDefault="00B46D7C" w:rsidP="00B46D7C">
      <w:pPr>
        <w:pStyle w:val="a9"/>
        <w:rPr>
          <w:rFonts w:ascii="David" w:hAnsi="David"/>
          <w:sz w:val="26"/>
          <w:szCs w:val="26"/>
          <w:rtl/>
        </w:rPr>
      </w:pPr>
    </w:p>
    <w:p w14:paraId="0B2D6D5B" w14:textId="77777777" w:rsidR="00B46D7C" w:rsidRPr="007C4BCE" w:rsidRDefault="001462E0" w:rsidP="00B46D7C">
      <w:pPr>
        <w:pStyle w:val="a9"/>
        <w:numPr>
          <w:ilvl w:val="0"/>
          <w:numId w:val="4"/>
        </w:numPr>
        <w:spacing w:after="160" w:line="360" w:lineRule="auto"/>
        <w:jc w:val="both"/>
        <w:rPr>
          <w:rFonts w:ascii="David" w:hAnsi="David"/>
          <w:sz w:val="26"/>
          <w:szCs w:val="26"/>
          <w:rtl/>
        </w:rPr>
      </w:pPr>
      <w:hyperlink r:id="rId21" w:history="1">
        <w:r w:rsidRPr="001462E0">
          <w:rPr>
            <w:rFonts w:ascii="David" w:hAnsi="David"/>
            <w:color w:val="0000FF"/>
            <w:sz w:val="26"/>
            <w:szCs w:val="26"/>
            <w:u w:val="single"/>
            <w:rtl/>
          </w:rPr>
          <w:t>רע"פ 1267/23</w:t>
        </w:r>
      </w:hyperlink>
      <w:r w:rsidR="00B46D7C" w:rsidRPr="007C4BCE">
        <w:rPr>
          <w:rFonts w:ascii="David" w:hAnsi="David" w:hint="cs"/>
          <w:sz w:val="26"/>
          <w:szCs w:val="26"/>
          <w:rtl/>
        </w:rPr>
        <w:t xml:space="preserve"> </w:t>
      </w:r>
      <w:r w:rsidR="00B46D7C" w:rsidRPr="007C4BCE">
        <w:rPr>
          <w:rFonts w:ascii="David" w:hAnsi="David" w:hint="cs"/>
          <w:b/>
          <w:bCs/>
          <w:sz w:val="26"/>
          <w:szCs w:val="26"/>
          <w:rtl/>
        </w:rPr>
        <w:t>בלקר נ' מ"י</w:t>
      </w:r>
      <w:r w:rsidR="00B46D7C" w:rsidRPr="007C4BCE">
        <w:rPr>
          <w:rFonts w:ascii="David" w:hAnsi="David" w:hint="cs"/>
          <w:sz w:val="26"/>
          <w:szCs w:val="26"/>
          <w:rtl/>
        </w:rPr>
        <w:t xml:space="preserve"> (מיום 6.3.2023) </w:t>
      </w:r>
      <w:r w:rsidR="00B46D7C" w:rsidRPr="007C4BCE">
        <w:rPr>
          <w:rFonts w:ascii="David" w:hAnsi="David"/>
          <w:sz w:val="26"/>
          <w:szCs w:val="26"/>
          <w:rtl/>
        </w:rPr>
        <w:t>–</w:t>
      </w:r>
      <w:r w:rsidR="00B46D7C" w:rsidRPr="007C4BCE">
        <w:rPr>
          <w:rFonts w:ascii="David" w:hAnsi="David" w:hint="cs"/>
          <w:sz w:val="26"/>
          <w:szCs w:val="26"/>
          <w:rtl/>
        </w:rPr>
        <w:t xml:space="preserve"> הנאשם החזיק בביתו 600 גרם קנביס. אושר מתחם שבין מאסר מותנה לשנת מאסר ועונש של חודשיים עבודות שירות. </w:t>
      </w:r>
    </w:p>
    <w:p w14:paraId="68C8E57E" w14:textId="77777777" w:rsidR="00B46D7C" w:rsidRPr="007C4BCE" w:rsidRDefault="001462E0" w:rsidP="00B46D7C">
      <w:pPr>
        <w:pStyle w:val="a9"/>
        <w:numPr>
          <w:ilvl w:val="0"/>
          <w:numId w:val="4"/>
        </w:numPr>
        <w:spacing w:after="160" w:line="360" w:lineRule="auto"/>
        <w:jc w:val="both"/>
        <w:rPr>
          <w:rFonts w:ascii="David" w:hAnsi="David"/>
          <w:sz w:val="26"/>
          <w:szCs w:val="26"/>
          <w:rtl/>
        </w:rPr>
      </w:pPr>
      <w:hyperlink r:id="rId22" w:history="1">
        <w:r w:rsidRPr="001462E0">
          <w:rPr>
            <w:rFonts w:ascii="David" w:hAnsi="David"/>
            <w:color w:val="0000FF"/>
            <w:sz w:val="26"/>
            <w:szCs w:val="26"/>
            <w:u w:val="single"/>
            <w:rtl/>
          </w:rPr>
          <w:t>רע"פ 8388/22</w:t>
        </w:r>
      </w:hyperlink>
      <w:r w:rsidR="00B46D7C" w:rsidRPr="007C4BCE">
        <w:rPr>
          <w:rFonts w:ascii="David" w:hAnsi="David" w:hint="cs"/>
          <w:sz w:val="26"/>
          <w:szCs w:val="26"/>
          <w:rtl/>
        </w:rPr>
        <w:t xml:space="preserve"> </w:t>
      </w:r>
      <w:r w:rsidR="00B46D7C" w:rsidRPr="007C4BCE">
        <w:rPr>
          <w:rFonts w:ascii="David" w:hAnsi="David" w:hint="cs"/>
          <w:b/>
          <w:bCs/>
          <w:sz w:val="26"/>
          <w:szCs w:val="26"/>
          <w:rtl/>
        </w:rPr>
        <w:t xml:space="preserve">אביבי נ' מ"י </w:t>
      </w:r>
      <w:r w:rsidR="00B46D7C" w:rsidRPr="007C4BCE">
        <w:rPr>
          <w:rFonts w:ascii="David" w:hAnsi="David" w:hint="cs"/>
          <w:sz w:val="26"/>
          <w:szCs w:val="26"/>
          <w:rtl/>
        </w:rPr>
        <w:t xml:space="preserve">(מיום 8.12.2022) </w:t>
      </w:r>
      <w:r w:rsidR="00B46D7C" w:rsidRPr="007C4BCE">
        <w:rPr>
          <w:rFonts w:ascii="David" w:hAnsi="David"/>
          <w:sz w:val="26"/>
          <w:szCs w:val="26"/>
          <w:rtl/>
        </w:rPr>
        <w:t>–</w:t>
      </w:r>
      <w:r w:rsidR="00B46D7C" w:rsidRPr="007C4BCE">
        <w:rPr>
          <w:rFonts w:ascii="David" w:hAnsi="David" w:hint="cs"/>
          <w:sz w:val="26"/>
          <w:szCs w:val="26"/>
          <w:rtl/>
        </w:rPr>
        <w:t xml:space="preserve"> הנאשם הורשע במגוון עבירות סמים ונדון ל-16 חודשי מאסר. יחד עם זאת, ביחס לתיק בו הורשע בהחזקת 150 גרם קנביס ברכב, אושר מתחם שבין מאסר מותנה ו/או של"ץ ועד ל-6 חודשי מאסר. </w:t>
      </w:r>
    </w:p>
    <w:p w14:paraId="7E18FDC4" w14:textId="77777777" w:rsidR="00B46D7C" w:rsidRDefault="00B46D7C" w:rsidP="00B46D7C">
      <w:pPr>
        <w:pStyle w:val="a9"/>
        <w:numPr>
          <w:ilvl w:val="0"/>
          <w:numId w:val="4"/>
        </w:numPr>
        <w:spacing w:after="160" w:line="360" w:lineRule="auto"/>
        <w:jc w:val="both"/>
        <w:rPr>
          <w:rFonts w:ascii="David" w:hAnsi="David"/>
          <w:sz w:val="26"/>
          <w:szCs w:val="26"/>
        </w:rPr>
      </w:pPr>
      <w:r w:rsidRPr="007C4BCE">
        <w:rPr>
          <w:rFonts w:ascii="David" w:hAnsi="David" w:hint="cs"/>
          <w:sz w:val="26"/>
          <w:szCs w:val="26"/>
          <w:rtl/>
        </w:rPr>
        <w:t xml:space="preserve">רע"פ 4212/22 </w:t>
      </w:r>
      <w:r w:rsidRPr="007C4BCE">
        <w:rPr>
          <w:rFonts w:ascii="David" w:hAnsi="David" w:hint="cs"/>
          <w:b/>
          <w:bCs/>
          <w:sz w:val="26"/>
          <w:szCs w:val="26"/>
          <w:rtl/>
        </w:rPr>
        <w:t>יצחק נ' מ"י</w:t>
      </w:r>
      <w:r w:rsidRPr="007C4BCE">
        <w:rPr>
          <w:rFonts w:ascii="David" w:hAnsi="David" w:hint="cs"/>
          <w:sz w:val="26"/>
          <w:szCs w:val="26"/>
          <w:rtl/>
        </w:rPr>
        <w:t xml:space="preserve"> (מיום 7.7.2022) אושר מתחם שבין מאסר מתנה ל-10 חודשים ועונש של 180 שעות של"ץ מאסר מותנה, פסילה מותנית ותנאי, בשל החזקת 150 גרם קנביס מוכן לחלוקה.</w:t>
      </w:r>
    </w:p>
    <w:p w14:paraId="1FCC5718" w14:textId="77777777" w:rsidR="00B46D7C" w:rsidRPr="007C4BCE" w:rsidRDefault="00B46D7C" w:rsidP="00B46D7C">
      <w:pPr>
        <w:pStyle w:val="a9"/>
        <w:spacing w:after="160" w:line="360" w:lineRule="auto"/>
        <w:ind w:left="1080"/>
        <w:jc w:val="both"/>
        <w:rPr>
          <w:rFonts w:ascii="David" w:hAnsi="David"/>
          <w:sz w:val="26"/>
          <w:szCs w:val="26"/>
          <w:rtl/>
        </w:rPr>
      </w:pPr>
    </w:p>
    <w:p w14:paraId="7D35F62D" w14:textId="77777777" w:rsidR="00B46D7C" w:rsidRDefault="00B46D7C" w:rsidP="00B46D7C">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מאסר מותנה ושל"ץ ועד ל-6 חודשי מאסר.</w:t>
      </w:r>
    </w:p>
    <w:p w14:paraId="1A3220F9" w14:textId="77777777" w:rsidR="00B46D7C" w:rsidRDefault="00B46D7C" w:rsidP="00B46D7C">
      <w:pPr>
        <w:spacing w:after="160" w:line="360" w:lineRule="auto"/>
        <w:jc w:val="both"/>
        <w:rPr>
          <w:rFonts w:ascii="David" w:hAnsi="David"/>
          <w:b/>
          <w:bCs/>
          <w:sz w:val="26"/>
          <w:szCs w:val="26"/>
          <w:rtl/>
        </w:rPr>
      </w:pPr>
    </w:p>
    <w:p w14:paraId="1027B76B" w14:textId="77777777" w:rsidR="00B46D7C" w:rsidRDefault="00B46D7C" w:rsidP="00B46D7C">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 והמיקום במתחם</w:t>
      </w:r>
    </w:p>
    <w:p w14:paraId="5EB437DF" w14:textId="77777777" w:rsidR="00B46D7C" w:rsidRDefault="00B46D7C" w:rsidP="00B46D7C">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מדובר בנאשמת ללא רישום פלילי אשר מסכת חייה לא הייתה קלה. עם זאת הגיעה להישגים בחייה בתחום ההשכלה והעבודה, וכן תרמה וממשיכה לתרום למדינה בשירות צבאי בסדיר ובמילואים. שירות המבחן סבר, וכך גם אני, שמדובר בצעירה נורמטיבית שהאירוע אינו מאפיין אותה. יתרה מכך, היא נרתמה לתהליך טיפולי פרטי ומאז האירוע חדלה להשתמש בסמים. מצבה יציב ומבחינה זו, המלצת שירות המבחן על היעדר נזקקות טיפולית פועלת לזכותה. לכן יש לאמץ את המלצת שירות המבחן ולמקם את הנאשמת בתחתית המתחם.</w:t>
      </w:r>
    </w:p>
    <w:p w14:paraId="42D04219" w14:textId="77777777" w:rsidR="00B46D7C" w:rsidRDefault="00B46D7C" w:rsidP="00B46D7C">
      <w:pPr>
        <w:spacing w:after="160" w:line="360" w:lineRule="auto"/>
        <w:jc w:val="both"/>
        <w:rPr>
          <w:rFonts w:ascii="David" w:hAnsi="David"/>
          <w:sz w:val="26"/>
          <w:szCs w:val="26"/>
          <w:rtl/>
        </w:rPr>
      </w:pPr>
    </w:p>
    <w:p w14:paraId="4A849BFD" w14:textId="77777777" w:rsidR="00B46D7C" w:rsidRDefault="00B46D7C" w:rsidP="00B46D7C">
      <w:pPr>
        <w:spacing w:after="160" w:line="360" w:lineRule="auto"/>
        <w:jc w:val="both"/>
        <w:rPr>
          <w:rFonts w:ascii="David" w:hAnsi="David"/>
          <w:b/>
          <w:bCs/>
          <w:sz w:val="26"/>
          <w:szCs w:val="26"/>
          <w:u w:val="single"/>
          <w:rtl/>
        </w:rPr>
      </w:pPr>
      <w:r>
        <w:rPr>
          <w:rFonts w:ascii="David" w:hAnsi="David"/>
          <w:b/>
          <w:bCs/>
          <w:sz w:val="26"/>
          <w:szCs w:val="26"/>
          <w:u w:val="single"/>
          <w:rtl/>
        </w:rPr>
        <w:t xml:space="preserve">אי הרשעה </w:t>
      </w:r>
      <w:r>
        <w:rPr>
          <w:rFonts w:ascii="David" w:hAnsi="David" w:hint="cs"/>
          <w:b/>
          <w:bCs/>
          <w:sz w:val="26"/>
          <w:szCs w:val="26"/>
          <w:u w:val="single"/>
          <w:rtl/>
        </w:rPr>
        <w:t xml:space="preserve"> </w:t>
      </w:r>
    </w:p>
    <w:p w14:paraId="5C6109C2" w14:textId="77777777" w:rsidR="00B46D7C" w:rsidRDefault="00B46D7C" w:rsidP="00B46D7C">
      <w:pPr>
        <w:pStyle w:val="a9"/>
        <w:numPr>
          <w:ilvl w:val="0"/>
          <w:numId w:val="2"/>
        </w:numPr>
        <w:spacing w:after="160" w:line="360" w:lineRule="auto"/>
        <w:jc w:val="both"/>
        <w:rPr>
          <w:rFonts w:ascii="David" w:hAnsi="David"/>
          <w:sz w:val="26"/>
          <w:szCs w:val="26"/>
          <w:rtl/>
        </w:rPr>
      </w:pPr>
      <w:r>
        <w:rPr>
          <w:rFonts w:ascii="David" w:hAnsi="David"/>
          <w:sz w:val="26"/>
          <w:szCs w:val="26"/>
          <w:rtl/>
        </w:rPr>
        <w:t>בידוע, שעה שנמצא כי נאשם ביצע את העבירות המיוחסות לו, יש להרשיעו. זהו הכלל. אי-הרשעה הוא היוצא מן הכלל. ב</w:t>
      </w:r>
      <w:hyperlink r:id="rId23" w:history="1">
        <w:r w:rsidR="001462E0" w:rsidRPr="001462E0">
          <w:rPr>
            <w:rFonts w:ascii="David" w:hAnsi="David"/>
            <w:color w:val="0000FF"/>
            <w:sz w:val="26"/>
            <w:szCs w:val="26"/>
            <w:u w:val="single"/>
            <w:rtl/>
          </w:rPr>
          <w:t>ע"פ 2083/96</w:t>
        </w:r>
      </w:hyperlink>
      <w:r>
        <w:rPr>
          <w:rFonts w:ascii="David" w:hAnsi="David"/>
          <w:sz w:val="26"/>
          <w:szCs w:val="26"/>
          <w:rtl/>
        </w:rPr>
        <w:t xml:space="preserve"> </w:t>
      </w:r>
      <w:r>
        <w:rPr>
          <w:rFonts w:ascii="David" w:hAnsi="David"/>
          <w:b/>
          <w:bCs/>
          <w:sz w:val="26"/>
          <w:szCs w:val="26"/>
          <w:rtl/>
        </w:rPr>
        <w:t>כתב נ' מ"י</w:t>
      </w:r>
      <w:r>
        <w:rPr>
          <w:rFonts w:ascii="David" w:hAnsi="David"/>
          <w:sz w:val="26"/>
          <w:szCs w:val="26"/>
          <w:rtl/>
        </w:rPr>
        <w:t xml:space="preserve"> (מיום 21.8.1997) קבע בית המשפט העליון כי אי-הרשעה תיתכן בהינתן שני תנאים מצטברים: הראשון, כאשר טיב העבירה מאפשר אי-הרשעה מבחינת שיקולי הענישה ליחיד ולרבים; השני, כאשר הנזק העלול להיגרם לנאשם מעצם הרשעתו הוא קונקרטי ובלתי מידתי בנסיבות העניין. ראו בהקשר זה גם את </w:t>
      </w:r>
      <w:hyperlink r:id="rId24" w:history="1">
        <w:r w:rsidR="001462E0" w:rsidRPr="001462E0">
          <w:rPr>
            <w:rFonts w:ascii="David" w:hAnsi="David"/>
            <w:color w:val="0000FF"/>
            <w:sz w:val="26"/>
            <w:szCs w:val="26"/>
            <w:u w:val="single"/>
            <w:rtl/>
          </w:rPr>
          <w:t>ע"פ 5985/13</w:t>
        </w:r>
      </w:hyperlink>
      <w:r>
        <w:rPr>
          <w:rFonts w:ascii="David" w:hAnsi="David"/>
          <w:sz w:val="26"/>
          <w:szCs w:val="26"/>
          <w:rtl/>
        </w:rPr>
        <w:t xml:space="preserve"> </w:t>
      </w:r>
      <w:r>
        <w:rPr>
          <w:rFonts w:ascii="David" w:hAnsi="David"/>
          <w:b/>
          <w:bCs/>
          <w:sz w:val="26"/>
          <w:szCs w:val="26"/>
          <w:rtl/>
        </w:rPr>
        <w:t>אבן נ' מ"י</w:t>
      </w:r>
      <w:r>
        <w:rPr>
          <w:rFonts w:ascii="David" w:hAnsi="David"/>
          <w:sz w:val="26"/>
          <w:szCs w:val="26"/>
          <w:rtl/>
        </w:rPr>
        <w:t xml:space="preserve"> (מיום 2.4.2014) בפסקאות 6 ו-7. </w:t>
      </w:r>
      <w:r>
        <w:rPr>
          <w:rFonts w:ascii="David" w:hAnsi="David" w:hint="cs"/>
          <w:sz w:val="26"/>
          <w:szCs w:val="26"/>
          <w:rtl/>
        </w:rPr>
        <w:t xml:space="preserve"> אשר לתנאי הראשון, העבירה בנסיבותיה מאפשרת ויתור על הרשעה מבלי לפגוע בעקרונות עונשיים, שכן ישנם מקרים חמורים יותר שהסתיימו באי-הרשעה. לדוגמה: </w:t>
      </w:r>
      <w:hyperlink r:id="rId25" w:history="1">
        <w:r w:rsidR="001462E0" w:rsidRPr="001462E0">
          <w:rPr>
            <w:rFonts w:ascii="David" w:hAnsi="David"/>
            <w:color w:val="0000FF"/>
            <w:sz w:val="26"/>
            <w:szCs w:val="26"/>
            <w:u w:val="single"/>
            <w:rtl/>
          </w:rPr>
          <w:t>ע"פ (ירושלים)</w:t>
        </w:r>
        <w:r w:rsidR="001462E0" w:rsidRPr="001462E0">
          <w:rPr>
            <w:rFonts w:ascii="David" w:hAnsi="David"/>
            <w:color w:val="0000FF"/>
            <w:sz w:val="26"/>
            <w:szCs w:val="26"/>
            <w:u w:val="single"/>
            <w:rtl/>
          </w:rPr>
          <w:br/>
          <w:t xml:space="preserve"> 11045-09-18</w:t>
        </w:r>
      </w:hyperlink>
      <w:r>
        <w:rPr>
          <w:rFonts w:ascii="David" w:hAnsi="David" w:hint="cs"/>
          <w:sz w:val="26"/>
          <w:szCs w:val="26"/>
          <w:rtl/>
        </w:rPr>
        <w:t xml:space="preserve"> </w:t>
      </w:r>
      <w:r w:rsidRPr="0099378E">
        <w:rPr>
          <w:rFonts w:ascii="David" w:hAnsi="David" w:hint="cs"/>
          <w:b/>
          <w:bCs/>
          <w:sz w:val="26"/>
          <w:szCs w:val="26"/>
          <w:rtl/>
        </w:rPr>
        <w:t>פלוני נ' מ"י</w:t>
      </w:r>
      <w:r>
        <w:rPr>
          <w:rFonts w:ascii="David" w:hAnsi="David" w:hint="cs"/>
          <w:sz w:val="26"/>
          <w:szCs w:val="26"/>
          <w:rtl/>
        </w:rPr>
        <w:t xml:space="preserve"> (מיום 3.3.2019) שם בוטלה הרשעת אדם שביצע עסקה אחרת בכמויות גדולות של חשיש. כך גם </w:t>
      </w:r>
      <w:hyperlink r:id="rId26" w:history="1">
        <w:r w:rsidR="001462E0" w:rsidRPr="001462E0">
          <w:rPr>
            <w:rFonts w:ascii="David" w:hAnsi="David"/>
            <w:color w:val="0000FF"/>
            <w:sz w:val="26"/>
            <w:szCs w:val="26"/>
            <w:u w:val="single"/>
            <w:rtl/>
          </w:rPr>
          <w:t>ע"פ (ירושלים) 33947-10-17</w:t>
        </w:r>
      </w:hyperlink>
      <w:r>
        <w:rPr>
          <w:rFonts w:ascii="David" w:hAnsi="David" w:hint="cs"/>
          <w:sz w:val="26"/>
          <w:szCs w:val="26"/>
          <w:rtl/>
        </w:rPr>
        <w:t xml:space="preserve"> </w:t>
      </w:r>
      <w:r w:rsidRPr="0099378E">
        <w:rPr>
          <w:rFonts w:ascii="David" w:hAnsi="David" w:hint="cs"/>
          <w:b/>
          <w:bCs/>
          <w:sz w:val="26"/>
          <w:szCs w:val="26"/>
          <w:rtl/>
        </w:rPr>
        <w:t>מ"י נ' קרוקוצקי</w:t>
      </w:r>
      <w:r>
        <w:rPr>
          <w:rFonts w:ascii="David" w:hAnsi="David" w:hint="cs"/>
          <w:sz w:val="26"/>
          <w:szCs w:val="26"/>
          <w:rtl/>
        </w:rPr>
        <w:t xml:space="preserve"> (מיום 20.3.2018)</w:t>
      </w:r>
      <w:r>
        <w:rPr>
          <w:rFonts w:ascii="David" w:hAnsi="David" w:hint="cs"/>
          <w:sz w:val="26"/>
          <w:szCs w:val="26"/>
        </w:rPr>
        <w:t xml:space="preserve"> </w:t>
      </w:r>
      <w:r>
        <w:rPr>
          <w:rFonts w:ascii="David" w:hAnsi="David" w:hint="cs"/>
          <w:sz w:val="26"/>
          <w:szCs w:val="26"/>
          <w:rtl/>
        </w:rPr>
        <w:t xml:space="preserve">שם דובר בביטול הרשעה בנסיבות של 6 עבירות סחר והחזקה שלא לצריכה עצמית. אשר לתנאי השני, הנאשמת עומדת ברף זה </w:t>
      </w:r>
      <w:r>
        <w:rPr>
          <w:rFonts w:ascii="David" w:hAnsi="David"/>
          <w:sz w:val="26"/>
          <w:szCs w:val="26"/>
          <w:rtl/>
        </w:rPr>
        <w:t>–</w:t>
      </w:r>
      <w:r>
        <w:rPr>
          <w:rFonts w:ascii="David" w:hAnsi="David" w:hint="cs"/>
          <w:sz w:val="26"/>
          <w:szCs w:val="26"/>
          <w:rtl/>
        </w:rPr>
        <w:t xml:space="preserve"> מדובר בסטודנטית למשפטים שסיימה חובותיה הלימודיים ומבקשת להתמחות. בידוע, כי סעיפים </w:t>
      </w:r>
      <w:hyperlink r:id="rId27" w:history="1">
        <w:r w:rsidR="0024044A" w:rsidRPr="0024044A">
          <w:rPr>
            <w:rStyle w:val="Hyperlink"/>
            <w:rFonts w:ascii="David" w:hAnsi="David"/>
            <w:color w:val="0000FF"/>
            <w:sz w:val="26"/>
            <w:szCs w:val="26"/>
            <w:rtl/>
          </w:rPr>
          <w:t>26 ו-44</w:t>
        </w:r>
      </w:hyperlink>
      <w:r>
        <w:rPr>
          <w:rFonts w:ascii="David" w:hAnsi="David" w:hint="cs"/>
          <w:sz w:val="26"/>
          <w:szCs w:val="26"/>
          <w:rtl/>
        </w:rPr>
        <w:t xml:space="preserve"> ל</w:t>
      </w:r>
      <w:hyperlink r:id="rId28" w:history="1">
        <w:r w:rsidR="001462E0" w:rsidRPr="001462E0">
          <w:rPr>
            <w:rFonts w:ascii="David" w:hAnsi="David"/>
            <w:color w:val="0000FF"/>
            <w:sz w:val="26"/>
            <w:szCs w:val="26"/>
            <w:u w:val="single"/>
            <w:rtl/>
          </w:rPr>
          <w:t>חוק לשכת עורכי הדין</w:t>
        </w:r>
      </w:hyperlink>
      <w:r>
        <w:rPr>
          <w:rFonts w:ascii="David" w:hAnsi="David" w:hint="cs"/>
          <w:sz w:val="26"/>
          <w:szCs w:val="26"/>
          <w:rtl/>
        </w:rPr>
        <w:t xml:space="preserve">, התשכ"א-1961 קובעים כללי כשירות להתמחות ולרישום בפנקס עורכי הדין. סעיף 4 (א)(1) קובע כי הרשעת מועמד בעבירה פלילית עלולה לשמש הצדק לאי קבלתו ללשכה (ומקל וחומר להתמחות בה) בנסיבות המתאימות. משכך הדבר, קיים יותר מסיכוי סביר שהרשעה תפגע באופן קונקרטי בעתידה המקצועי של הנאשמת, ולכן אין מקום להרשיעה בנסיבות העניין. </w:t>
      </w:r>
    </w:p>
    <w:p w14:paraId="11C030F2" w14:textId="77777777" w:rsidR="00B46D7C" w:rsidRDefault="00B46D7C" w:rsidP="00B46D7C">
      <w:pPr>
        <w:spacing w:after="160" w:line="360" w:lineRule="auto"/>
        <w:jc w:val="both"/>
        <w:rPr>
          <w:rFonts w:ascii="David" w:hAnsi="David"/>
          <w:b/>
          <w:bCs/>
          <w:sz w:val="26"/>
          <w:szCs w:val="26"/>
          <w:u w:val="single"/>
          <w:rtl/>
        </w:rPr>
      </w:pPr>
    </w:p>
    <w:p w14:paraId="152262BF" w14:textId="77777777" w:rsidR="00B46D7C" w:rsidRDefault="00B46D7C" w:rsidP="00B46D7C">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63330104" w14:textId="77777777" w:rsidR="00B46D7C" w:rsidRDefault="00B46D7C" w:rsidP="00B46D7C">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w:t>
      </w:r>
      <w:r>
        <w:rPr>
          <w:rFonts w:ascii="David" w:hAnsi="David" w:hint="cs"/>
          <w:sz w:val="26"/>
          <w:szCs w:val="26"/>
          <w:rtl/>
        </w:rPr>
        <w:t>יה</w:t>
      </w:r>
      <w:r>
        <w:rPr>
          <w:rFonts w:ascii="David" w:hAnsi="David"/>
          <w:sz w:val="26"/>
          <w:szCs w:val="26"/>
          <w:rtl/>
        </w:rPr>
        <w:t xml:space="preserve"> את העונשים הבאים:</w:t>
      </w:r>
    </w:p>
    <w:p w14:paraId="36BAE92B" w14:textId="77777777" w:rsidR="00B46D7C" w:rsidRDefault="00B46D7C" w:rsidP="00B46D7C">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300 </w:t>
      </w:r>
      <w:r>
        <w:rPr>
          <w:rFonts w:ascii="David" w:hAnsi="David"/>
          <w:sz w:val="26"/>
          <w:szCs w:val="26"/>
          <w:rtl/>
        </w:rPr>
        <w:t xml:space="preserve">שעות שירות לתועלת הציבור (של"ץ), אשר ירוצו החל מיום </w:t>
      </w:r>
      <w:r>
        <w:rPr>
          <w:rFonts w:ascii="David" w:hAnsi="David" w:hint="cs"/>
          <w:sz w:val="26"/>
          <w:szCs w:val="26"/>
          <w:rtl/>
        </w:rPr>
        <w:t xml:space="preserve">1.5.2025 </w:t>
      </w:r>
      <w:r>
        <w:rPr>
          <w:rFonts w:ascii="David" w:hAnsi="David"/>
          <w:sz w:val="26"/>
          <w:szCs w:val="26"/>
          <w:rtl/>
        </w:rPr>
        <w:t>ב</w:t>
      </w:r>
      <w:r>
        <w:rPr>
          <w:rFonts w:ascii="David" w:hAnsi="David" w:hint="cs"/>
          <w:sz w:val="26"/>
          <w:szCs w:val="26"/>
          <w:rtl/>
        </w:rPr>
        <w:t>"איחוד הצלה" בני ברק</w:t>
      </w:r>
      <w:r>
        <w:rPr>
          <w:rFonts w:ascii="David" w:hAnsi="David"/>
          <w:sz w:val="26"/>
          <w:szCs w:val="26"/>
          <w:rtl/>
        </w:rPr>
        <w:t xml:space="preserve"> על-פי התוכנית שהכין שירות המבחן ובפיקוחו</w:t>
      </w:r>
      <w:r>
        <w:rPr>
          <w:rFonts w:ascii="David" w:hAnsi="David" w:hint="cs"/>
          <w:sz w:val="26"/>
          <w:szCs w:val="26"/>
          <w:rtl/>
        </w:rPr>
        <w:t>. מובהר כי במסגרת צו השל"ץ שירות המבחן יהא רשאי ליטול בדיקות שתן מהנאשמת לגילוי סמים</w:t>
      </w:r>
      <w:r>
        <w:rPr>
          <w:rFonts w:ascii="David" w:hAnsi="David"/>
          <w:sz w:val="26"/>
          <w:szCs w:val="26"/>
          <w:rtl/>
        </w:rPr>
        <w:t xml:space="preserve">; </w:t>
      </w:r>
      <w:r>
        <w:rPr>
          <w:rFonts w:ascii="David" w:hAnsi="David" w:hint="cs"/>
          <w:sz w:val="26"/>
          <w:szCs w:val="26"/>
          <w:rtl/>
        </w:rPr>
        <w:t xml:space="preserve"> </w:t>
      </w:r>
    </w:p>
    <w:p w14:paraId="3B8FF3FB" w14:textId="77777777" w:rsidR="00B46D7C" w:rsidRDefault="00B46D7C" w:rsidP="00B46D7C">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פיצוי </w:t>
      </w:r>
      <w:r>
        <w:rPr>
          <w:rFonts w:ascii="David" w:hAnsi="David" w:hint="cs"/>
          <w:sz w:val="26"/>
          <w:szCs w:val="26"/>
          <w:rtl/>
        </w:rPr>
        <w:t>לעמותת "אור ירוק"</w:t>
      </w:r>
      <w:r>
        <w:rPr>
          <w:rFonts w:ascii="David" w:hAnsi="David" w:hint="cs"/>
          <w:sz w:val="26"/>
          <w:szCs w:val="26"/>
        </w:rPr>
        <w:t xml:space="preserve"> </w:t>
      </w:r>
      <w:r>
        <w:rPr>
          <w:rFonts w:ascii="David" w:hAnsi="David" w:hint="cs"/>
          <w:sz w:val="26"/>
          <w:szCs w:val="26"/>
          <w:rtl/>
        </w:rPr>
        <w:t>בסך 2,000 ₪, לתשלום עד ליום 1.6.2025;</w:t>
      </w:r>
    </w:p>
    <w:p w14:paraId="1C8FCA77" w14:textId="77777777" w:rsidR="00B46D7C" w:rsidRDefault="00B46D7C" w:rsidP="00B46D7C">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5,000</w:t>
      </w:r>
      <w:r>
        <w:rPr>
          <w:rFonts w:ascii="David" w:hAnsi="David"/>
          <w:sz w:val="26"/>
          <w:szCs w:val="26"/>
          <w:rtl/>
        </w:rPr>
        <w:t xml:space="preserve"> ₪ שלא לעבור כל עביר</w:t>
      </w:r>
      <w:r>
        <w:rPr>
          <w:rFonts w:ascii="David" w:hAnsi="David" w:hint="cs"/>
          <w:sz w:val="26"/>
          <w:szCs w:val="26"/>
          <w:rtl/>
        </w:rPr>
        <w:t>ת סמים מסוג פשע במשך שנה מהיום;</w:t>
      </w:r>
    </w:p>
    <w:p w14:paraId="5356E862" w14:textId="77777777" w:rsidR="00B46D7C" w:rsidRDefault="00B46D7C" w:rsidP="00B46D7C">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מתוקף </w:t>
      </w:r>
      <w:hyperlink r:id="rId29" w:history="1">
        <w:r w:rsidR="0024044A" w:rsidRPr="0024044A">
          <w:rPr>
            <w:rStyle w:val="Hyperlink"/>
            <w:rFonts w:ascii="David" w:hAnsi="David" w:hint="eastAsia"/>
            <w:color w:val="0000FF"/>
            <w:sz w:val="26"/>
            <w:szCs w:val="26"/>
            <w:rtl/>
          </w:rPr>
          <w:t>סעיפים</w:t>
        </w:r>
        <w:r w:rsidR="0024044A" w:rsidRPr="0024044A">
          <w:rPr>
            <w:rStyle w:val="Hyperlink"/>
            <w:rFonts w:ascii="David" w:hAnsi="David"/>
            <w:color w:val="0000FF"/>
            <w:sz w:val="26"/>
            <w:szCs w:val="26"/>
            <w:rtl/>
          </w:rPr>
          <w:t xml:space="preserve"> 39א</w:t>
        </w:r>
      </w:hyperlink>
      <w:r>
        <w:rPr>
          <w:rFonts w:ascii="David" w:hAnsi="David" w:hint="cs"/>
          <w:sz w:val="26"/>
          <w:szCs w:val="26"/>
          <w:rtl/>
        </w:rPr>
        <w:t xml:space="preserve"> ו-</w:t>
      </w:r>
      <w:hyperlink r:id="rId30" w:history="1">
        <w:r w:rsidR="0024044A" w:rsidRPr="0024044A">
          <w:rPr>
            <w:rStyle w:val="Hyperlink"/>
            <w:rFonts w:ascii="David" w:hAnsi="David"/>
            <w:color w:val="0000FF"/>
            <w:sz w:val="26"/>
            <w:szCs w:val="26"/>
            <w:rtl/>
          </w:rPr>
          <w:t>36(ב)</w:t>
        </w:r>
      </w:hyperlink>
      <w:r>
        <w:rPr>
          <w:rFonts w:ascii="David" w:hAnsi="David" w:hint="cs"/>
          <w:sz w:val="26"/>
          <w:szCs w:val="26"/>
          <w:rtl/>
        </w:rPr>
        <w:t xml:space="preserve"> ל</w:t>
      </w:r>
      <w:hyperlink r:id="rId31" w:history="1">
        <w:r w:rsidR="001462E0" w:rsidRPr="001462E0">
          <w:rPr>
            <w:rFonts w:ascii="David" w:hAnsi="David"/>
            <w:color w:val="0000FF"/>
            <w:sz w:val="26"/>
            <w:szCs w:val="26"/>
            <w:u w:val="single"/>
            <w:rtl/>
          </w:rPr>
          <w:t>פקודת התעבורה</w:t>
        </w:r>
      </w:hyperlink>
      <w:r>
        <w:rPr>
          <w:rFonts w:ascii="David" w:hAnsi="David" w:hint="cs"/>
          <w:sz w:val="26"/>
          <w:szCs w:val="26"/>
          <w:rtl/>
        </w:rPr>
        <w:t>, קובע כי בנסיבות העניין פסילת החובה של שנתיים מלקבל או מלהחזיק ברישיון נהיגה תחול כולה על-תנאי שלא תעבור הנאשמת בתוך שנתיים מהיום כל עבירת פשע לפי פקודת הסמים;</w:t>
      </w:r>
    </w:p>
    <w:p w14:paraId="481DD76F" w14:textId="77777777" w:rsidR="00B46D7C" w:rsidRDefault="00B46D7C" w:rsidP="00B46D7C">
      <w:pPr>
        <w:numPr>
          <w:ilvl w:val="0"/>
          <w:numId w:val="1"/>
        </w:numPr>
        <w:spacing w:after="160" w:line="360" w:lineRule="auto"/>
        <w:contextualSpacing/>
        <w:jc w:val="both"/>
        <w:rPr>
          <w:rFonts w:ascii="David" w:hAnsi="David"/>
          <w:sz w:val="26"/>
          <w:szCs w:val="26"/>
          <w:rtl/>
        </w:rPr>
      </w:pPr>
      <w:r>
        <w:rPr>
          <w:rFonts w:ascii="David" w:hAnsi="David" w:hint="cs"/>
          <w:sz w:val="26"/>
          <w:szCs w:val="26"/>
          <w:rtl/>
        </w:rPr>
        <w:t>מורה על השמדת הסמים וחילוט / השמדת המוצגים שנתפסו לפי שיקול דעת המשטרה.</w:t>
      </w:r>
    </w:p>
    <w:p w14:paraId="3BDEA361" w14:textId="77777777" w:rsidR="00B46D7C" w:rsidRDefault="00B46D7C" w:rsidP="00B46D7C">
      <w:pPr>
        <w:spacing w:after="160" w:line="360" w:lineRule="auto"/>
        <w:rPr>
          <w:rFonts w:ascii="David" w:hAnsi="David"/>
          <w:sz w:val="26"/>
          <w:szCs w:val="26"/>
          <w:rtl/>
        </w:rPr>
      </w:pPr>
    </w:p>
    <w:p w14:paraId="672E82D9" w14:textId="77777777" w:rsidR="00B46D7C" w:rsidRDefault="00B46D7C" w:rsidP="00B46D7C">
      <w:pPr>
        <w:spacing w:after="160" w:line="360" w:lineRule="auto"/>
        <w:jc w:val="both"/>
        <w:rPr>
          <w:rFonts w:ascii="David" w:hAnsi="David"/>
          <w:b/>
          <w:bCs/>
          <w:sz w:val="26"/>
          <w:szCs w:val="26"/>
          <w:rtl/>
        </w:rPr>
      </w:pPr>
      <w:r>
        <w:rPr>
          <w:rFonts w:ascii="David" w:hAnsi="David"/>
          <w:b/>
          <w:bCs/>
          <w:sz w:val="26"/>
          <w:szCs w:val="26"/>
          <w:rtl/>
        </w:rPr>
        <w:t>הנאש</w:t>
      </w:r>
      <w:r>
        <w:rPr>
          <w:rFonts w:ascii="David" w:hAnsi="David" w:hint="cs"/>
          <w:b/>
          <w:bCs/>
          <w:sz w:val="26"/>
          <w:szCs w:val="26"/>
          <w:rtl/>
        </w:rPr>
        <w:t>מת</w:t>
      </w:r>
      <w:r>
        <w:rPr>
          <w:rFonts w:ascii="David" w:hAnsi="David"/>
          <w:b/>
          <w:bCs/>
          <w:sz w:val="26"/>
          <w:szCs w:val="26"/>
          <w:rtl/>
        </w:rPr>
        <w:t xml:space="preserve"> הוזהר</w:t>
      </w:r>
      <w:r>
        <w:rPr>
          <w:rFonts w:ascii="David" w:hAnsi="David" w:hint="cs"/>
          <w:b/>
          <w:bCs/>
          <w:sz w:val="26"/>
          <w:szCs w:val="26"/>
          <w:rtl/>
        </w:rPr>
        <w:t>ה</w:t>
      </w:r>
      <w:r>
        <w:rPr>
          <w:rFonts w:ascii="David" w:hAnsi="David"/>
          <w:b/>
          <w:bCs/>
          <w:sz w:val="26"/>
          <w:szCs w:val="26"/>
          <w:rtl/>
        </w:rPr>
        <w:t xml:space="preserve"> כי אי ביצוע צו השל"ץ עלול להוביל להפקעתו ולהטלת כל עונש חלופי לרבות מאסר. </w:t>
      </w:r>
    </w:p>
    <w:p w14:paraId="7E5EAB06" w14:textId="77777777" w:rsidR="00B46D7C" w:rsidRDefault="00B46D7C" w:rsidP="00B46D7C">
      <w:pPr>
        <w:spacing w:line="360" w:lineRule="auto"/>
        <w:jc w:val="both"/>
        <w:rPr>
          <w:rFonts w:ascii="David" w:hAnsi="David"/>
          <w:b/>
          <w:bCs/>
          <w:sz w:val="26"/>
          <w:szCs w:val="26"/>
          <w:rtl/>
        </w:rPr>
      </w:pPr>
    </w:p>
    <w:p w14:paraId="10D41079" w14:textId="77777777" w:rsidR="00B46D7C" w:rsidRDefault="00B46D7C" w:rsidP="00B46D7C">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3288BF36" w14:textId="77777777" w:rsidR="00B46D7C" w:rsidRDefault="00B46D7C" w:rsidP="00B46D7C">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32"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431C3882" w14:textId="77777777" w:rsidR="00B46D7C" w:rsidRDefault="00B46D7C" w:rsidP="00B46D7C">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2CB0AE6A" w14:textId="77777777" w:rsidR="00B46D7C" w:rsidRDefault="00B46D7C" w:rsidP="00B46D7C">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111FF486" w14:textId="77777777" w:rsidR="00B46D7C" w:rsidRDefault="00B46D7C" w:rsidP="00B46D7C">
      <w:pPr>
        <w:spacing w:line="360" w:lineRule="auto"/>
        <w:jc w:val="both"/>
        <w:rPr>
          <w:rFonts w:ascii="David" w:hAnsi="David"/>
          <w:b/>
          <w:bCs/>
          <w:sz w:val="26"/>
          <w:szCs w:val="26"/>
          <w:rtl/>
        </w:rPr>
      </w:pPr>
    </w:p>
    <w:p w14:paraId="11F46E42" w14:textId="77777777" w:rsidR="00B46D7C" w:rsidRDefault="00B46D7C" w:rsidP="00B46D7C">
      <w:pPr>
        <w:spacing w:line="360" w:lineRule="auto"/>
        <w:jc w:val="both"/>
        <w:rPr>
          <w:rFonts w:ascii="David" w:hAnsi="David"/>
          <w:b/>
          <w:bCs/>
          <w:sz w:val="26"/>
          <w:szCs w:val="26"/>
          <w:rtl/>
        </w:rPr>
      </w:pPr>
      <w:r>
        <w:rPr>
          <w:rFonts w:ascii="David" w:hAnsi="David"/>
          <w:b/>
          <w:bCs/>
          <w:sz w:val="26"/>
          <w:szCs w:val="26"/>
          <w:rtl/>
        </w:rPr>
        <w:t>לא יונפקו שוברי תשלום.</w:t>
      </w:r>
    </w:p>
    <w:p w14:paraId="69368894" w14:textId="77777777" w:rsidR="00B46D7C" w:rsidRDefault="00B46D7C" w:rsidP="00B46D7C">
      <w:pPr>
        <w:spacing w:line="360" w:lineRule="auto"/>
        <w:jc w:val="both"/>
        <w:rPr>
          <w:b/>
          <w:bCs/>
          <w:sz w:val="26"/>
          <w:szCs w:val="26"/>
          <w:rtl/>
        </w:rPr>
      </w:pPr>
    </w:p>
    <w:p w14:paraId="6C229537" w14:textId="77777777" w:rsidR="00B46D7C" w:rsidRDefault="00B46D7C" w:rsidP="00B46D7C">
      <w:pPr>
        <w:spacing w:line="360" w:lineRule="auto"/>
        <w:jc w:val="both"/>
        <w:rPr>
          <w:rFonts w:ascii="David" w:hAnsi="David"/>
          <w:b/>
          <w:bCs/>
          <w:sz w:val="26"/>
          <w:szCs w:val="26"/>
          <w:rtl/>
        </w:rPr>
      </w:pPr>
      <w:r>
        <w:rPr>
          <w:b/>
          <w:bCs/>
          <w:sz w:val="26"/>
          <w:szCs w:val="26"/>
          <w:rtl/>
        </w:rPr>
        <w:t>ניתן לקזז מכל הפקדה שבתיק או בתיק קשור על אף הודעת עיקול. ככל שקיימות יתרות זכות ואין עיקולים ניתן להשיב למפקיד.</w:t>
      </w:r>
      <w:r>
        <w:rPr>
          <w:rFonts w:ascii="David" w:hAnsi="David"/>
          <w:b/>
          <w:bCs/>
          <w:sz w:val="26"/>
          <w:szCs w:val="26"/>
          <w:rtl/>
        </w:rPr>
        <w:t xml:space="preserve"> מובהר כי ככל שבוצעו חילוטים, לא יושבו הכספים.</w:t>
      </w:r>
    </w:p>
    <w:p w14:paraId="05C35E10" w14:textId="77777777" w:rsidR="00B46D7C" w:rsidRDefault="00B46D7C" w:rsidP="00B46D7C">
      <w:pPr>
        <w:spacing w:line="360" w:lineRule="auto"/>
        <w:jc w:val="both"/>
        <w:rPr>
          <w:b/>
          <w:bCs/>
          <w:sz w:val="26"/>
          <w:szCs w:val="26"/>
        </w:rPr>
      </w:pPr>
    </w:p>
    <w:p w14:paraId="32FC41B0" w14:textId="77777777" w:rsidR="00B46D7C" w:rsidRDefault="00B46D7C" w:rsidP="00B46D7C">
      <w:pPr>
        <w:spacing w:after="160" w:line="360" w:lineRule="auto"/>
        <w:rPr>
          <w:rFonts w:ascii="David" w:hAnsi="David"/>
          <w:sz w:val="26"/>
          <w:szCs w:val="26"/>
        </w:rPr>
      </w:pPr>
      <w:r>
        <w:rPr>
          <w:rFonts w:ascii="David" w:hAnsi="David"/>
          <w:sz w:val="26"/>
          <w:szCs w:val="26"/>
          <w:rtl/>
        </w:rPr>
        <w:t>יש לשלוח לשירות המבחן.</w:t>
      </w:r>
    </w:p>
    <w:p w14:paraId="1270C76B" w14:textId="77777777" w:rsidR="00B46D7C" w:rsidRDefault="001462E0" w:rsidP="00B46D7C">
      <w:pPr>
        <w:spacing w:after="160" w:line="252" w:lineRule="auto"/>
        <w:rPr>
          <w:rFonts w:ascii="David" w:hAnsi="David"/>
          <w:b/>
          <w:bCs/>
          <w:sz w:val="26"/>
          <w:szCs w:val="26"/>
        </w:rPr>
      </w:pPr>
      <w:r w:rsidRPr="001462E0">
        <w:rPr>
          <w:rFonts w:ascii="David" w:hAnsi="David"/>
          <w:b/>
          <w:bCs/>
          <w:color w:val="FFFFFF"/>
          <w:sz w:val="2"/>
          <w:szCs w:val="2"/>
          <w:rtl/>
        </w:rPr>
        <w:t>5129371</w:t>
      </w:r>
      <w:r w:rsidR="00B46D7C">
        <w:rPr>
          <w:rFonts w:ascii="David" w:hAnsi="David"/>
          <w:b/>
          <w:bCs/>
          <w:sz w:val="26"/>
          <w:szCs w:val="26"/>
          <w:rtl/>
        </w:rPr>
        <w:t>זכות ערעור כחוק לבית המשפט המחוזי בירושלים בתוך 45 יום מהיום.</w:t>
      </w:r>
    </w:p>
    <w:p w14:paraId="0B9F1C7B" w14:textId="77777777" w:rsidR="00B46D7C" w:rsidRPr="001462E0" w:rsidRDefault="001462E0" w:rsidP="00B46D7C">
      <w:pPr>
        <w:rPr>
          <w:rFonts w:ascii="Arial" w:hAnsi="Arial"/>
          <w:b/>
          <w:bCs/>
          <w:color w:val="FFFFFF"/>
          <w:sz w:val="2"/>
          <w:szCs w:val="2"/>
          <w:rtl/>
        </w:rPr>
      </w:pPr>
      <w:r w:rsidRPr="001462E0">
        <w:rPr>
          <w:rFonts w:ascii="Arial" w:hAnsi="Arial"/>
          <w:b/>
          <w:bCs/>
          <w:color w:val="FFFFFF"/>
          <w:sz w:val="2"/>
          <w:szCs w:val="2"/>
          <w:rtl/>
        </w:rPr>
        <w:t>54678313</w:t>
      </w:r>
    </w:p>
    <w:p w14:paraId="72144E88" w14:textId="77777777" w:rsidR="00B46D7C" w:rsidRPr="000F2247" w:rsidRDefault="00B46D7C" w:rsidP="00B46D7C">
      <w:pPr>
        <w:rPr>
          <w:rFonts w:ascii="Arial" w:hAnsi="Arial"/>
          <w:b/>
          <w:bCs/>
          <w:sz w:val="26"/>
          <w:szCs w:val="26"/>
          <w:rtl/>
        </w:rPr>
      </w:pPr>
    </w:p>
    <w:p w14:paraId="1015ABEC" w14:textId="77777777" w:rsidR="00B46D7C" w:rsidRPr="000F2247" w:rsidRDefault="001462E0" w:rsidP="00B46D7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 אדר תשפ"ה, 09 מרץ 2025, במעמד הצדדים. </w:t>
      </w:r>
      <w:bookmarkEnd w:id="8"/>
      <w:r w:rsidR="00B46D7C">
        <w:rPr>
          <w:rFonts w:ascii="Arial" w:hAnsi="Arial"/>
          <w:b/>
          <w:bCs/>
          <w:sz w:val="26"/>
          <w:szCs w:val="26"/>
          <w:rtl/>
        </w:rPr>
        <w:tab/>
      </w:r>
      <w:r w:rsidR="00B46D7C">
        <w:rPr>
          <w:rFonts w:ascii="Arial" w:hAnsi="Arial"/>
          <w:b/>
          <w:bCs/>
          <w:sz w:val="26"/>
          <w:szCs w:val="26"/>
          <w:rtl/>
        </w:rPr>
        <w:tab/>
      </w:r>
      <w:r w:rsidR="00B46D7C">
        <w:rPr>
          <w:rFonts w:ascii="Arial" w:hAnsi="Arial"/>
          <w:b/>
          <w:bCs/>
          <w:sz w:val="26"/>
          <w:szCs w:val="26"/>
          <w:rtl/>
        </w:rPr>
        <w:tab/>
      </w:r>
      <w:r w:rsidR="00B46D7C">
        <w:rPr>
          <w:rFonts w:ascii="Arial" w:hAnsi="Arial"/>
          <w:b/>
          <w:bCs/>
          <w:sz w:val="26"/>
          <w:szCs w:val="26"/>
          <w:rtl/>
        </w:rPr>
        <w:tab/>
      </w:r>
      <w:r w:rsidR="00B46D7C">
        <w:rPr>
          <w:rFonts w:ascii="Arial" w:hAnsi="Arial"/>
          <w:b/>
          <w:bCs/>
          <w:sz w:val="26"/>
          <w:szCs w:val="26"/>
          <w:rtl/>
        </w:rPr>
        <w:tab/>
      </w:r>
      <w:r w:rsidR="00B46D7C">
        <w:rPr>
          <w:rFonts w:ascii="Arial" w:hAnsi="Arial"/>
          <w:b/>
          <w:bCs/>
          <w:sz w:val="26"/>
          <w:szCs w:val="26"/>
          <w:rtl/>
        </w:rPr>
        <w:tab/>
      </w:r>
      <w:r w:rsidR="00B46D7C">
        <w:rPr>
          <w:rFonts w:ascii="Arial" w:hAnsi="Arial"/>
          <w:b/>
          <w:bCs/>
          <w:sz w:val="26"/>
          <w:szCs w:val="26"/>
          <w:rtl/>
        </w:rPr>
        <w:tab/>
      </w:r>
      <w:r w:rsidR="00B46D7C">
        <w:rPr>
          <w:rFonts w:ascii="Arial" w:hAnsi="Arial" w:hint="cs"/>
          <w:b/>
          <w:bCs/>
          <w:sz w:val="26"/>
          <w:szCs w:val="26"/>
          <w:rtl/>
        </w:rPr>
        <w:t xml:space="preserve">         </w:t>
      </w:r>
    </w:p>
    <w:p w14:paraId="2A714198" w14:textId="77777777" w:rsidR="001462E0" w:rsidRDefault="001462E0" w:rsidP="001462E0">
      <w:pPr>
        <w:rPr>
          <w:rtl/>
        </w:rPr>
      </w:pPr>
    </w:p>
    <w:p w14:paraId="55EE3B49" w14:textId="77777777" w:rsidR="001462E0" w:rsidRDefault="001462E0" w:rsidP="001462E0">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2F653BE8" w14:textId="77777777" w:rsidR="0024044A" w:rsidRPr="0024044A" w:rsidRDefault="0024044A" w:rsidP="0024044A">
      <w:pPr>
        <w:keepNext/>
        <w:rPr>
          <w:rFonts w:ascii="David" w:hAnsi="David"/>
          <w:color w:val="000000"/>
          <w:sz w:val="22"/>
          <w:szCs w:val="22"/>
          <w:rtl/>
        </w:rPr>
      </w:pPr>
    </w:p>
    <w:p w14:paraId="59B80BB2" w14:textId="77777777" w:rsidR="0024044A" w:rsidRPr="0024044A" w:rsidRDefault="0024044A" w:rsidP="0024044A">
      <w:pPr>
        <w:keepNext/>
        <w:rPr>
          <w:rFonts w:ascii="David" w:hAnsi="David"/>
          <w:color w:val="000000"/>
          <w:sz w:val="22"/>
          <w:szCs w:val="22"/>
          <w:rtl/>
        </w:rPr>
      </w:pPr>
      <w:r w:rsidRPr="0024044A">
        <w:rPr>
          <w:rFonts w:ascii="David" w:hAnsi="David"/>
          <w:color w:val="000000"/>
          <w:sz w:val="22"/>
          <w:szCs w:val="22"/>
          <w:rtl/>
        </w:rPr>
        <w:t>דוד שאול גבאי ריכטר 54678313-/</w:t>
      </w:r>
    </w:p>
    <w:p w14:paraId="04A59265" w14:textId="77777777" w:rsidR="001462E0" w:rsidRPr="001462E0" w:rsidRDefault="0024044A" w:rsidP="0024044A">
      <w:pPr>
        <w:rPr>
          <w:color w:val="0000FF"/>
          <w:u w:val="single"/>
        </w:rPr>
      </w:pPr>
      <w:r w:rsidRPr="0024044A">
        <w:rPr>
          <w:color w:val="000000"/>
          <w:u w:val="single"/>
          <w:rtl/>
        </w:rPr>
        <w:t>נוסח מסמך זה כפוף לשינויי ניסוח ועריכה</w:t>
      </w:r>
    </w:p>
    <w:sectPr w:rsidR="001462E0" w:rsidRPr="001462E0" w:rsidSect="0024044A">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BFC68" w14:textId="77777777" w:rsidR="00837923" w:rsidRDefault="00837923" w:rsidP="00957064">
      <w:r>
        <w:separator/>
      </w:r>
    </w:p>
  </w:endnote>
  <w:endnote w:type="continuationSeparator" w:id="0">
    <w:p w14:paraId="6BC3C411" w14:textId="77777777" w:rsidR="00837923" w:rsidRDefault="00837923" w:rsidP="00957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BC8C6" w14:textId="77777777" w:rsidR="0024044A" w:rsidRDefault="0024044A" w:rsidP="0024044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9822EAB" w14:textId="77777777" w:rsidR="00DF12D3" w:rsidRPr="0024044A" w:rsidRDefault="0024044A" w:rsidP="0024044A">
    <w:pPr>
      <w:pStyle w:val="a5"/>
      <w:pBdr>
        <w:top w:val="single" w:sz="4" w:space="1" w:color="auto"/>
        <w:between w:val="single" w:sz="4" w:space="0" w:color="auto"/>
      </w:pBdr>
      <w:spacing w:after="60"/>
      <w:jc w:val="center"/>
      <w:rPr>
        <w:rFonts w:ascii="FrankRuehl" w:hAnsi="FrankRuehl" w:cs="FrankRuehl"/>
        <w:color w:val="000000"/>
      </w:rPr>
    </w:pPr>
    <w:r w:rsidRPr="0024044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CE43D" w14:textId="77777777" w:rsidR="0024044A" w:rsidRDefault="0024044A" w:rsidP="0024044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D4485">
      <w:rPr>
        <w:rFonts w:ascii="FrankRuehl" w:hAnsi="FrankRuehl" w:cs="FrankRuehl"/>
        <w:noProof/>
        <w:rtl/>
      </w:rPr>
      <w:t>1</w:t>
    </w:r>
    <w:r>
      <w:rPr>
        <w:rFonts w:ascii="FrankRuehl" w:hAnsi="FrankRuehl" w:cs="FrankRuehl"/>
        <w:rtl/>
      </w:rPr>
      <w:fldChar w:fldCharType="end"/>
    </w:r>
  </w:p>
  <w:p w14:paraId="166CCAE2" w14:textId="77777777" w:rsidR="00DF12D3" w:rsidRPr="0024044A" w:rsidRDefault="0024044A" w:rsidP="0024044A">
    <w:pPr>
      <w:pStyle w:val="a5"/>
      <w:pBdr>
        <w:top w:val="single" w:sz="4" w:space="1" w:color="auto"/>
        <w:between w:val="single" w:sz="4" w:space="0" w:color="auto"/>
      </w:pBdr>
      <w:spacing w:after="60"/>
      <w:jc w:val="center"/>
      <w:rPr>
        <w:rFonts w:ascii="FrankRuehl" w:hAnsi="FrankRuehl" w:cs="FrankRuehl"/>
        <w:color w:val="000000"/>
      </w:rPr>
    </w:pPr>
    <w:r w:rsidRPr="0024044A">
      <w:rPr>
        <w:rFonts w:ascii="FrankRuehl" w:hAnsi="FrankRuehl" w:cs="FrankRuehl"/>
        <w:color w:val="000000"/>
      </w:rPr>
      <w:pict w14:anchorId="270B9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8C15A" w14:textId="77777777" w:rsidR="00837923" w:rsidRDefault="00837923" w:rsidP="00957064">
      <w:r>
        <w:separator/>
      </w:r>
    </w:p>
  </w:footnote>
  <w:footnote w:type="continuationSeparator" w:id="0">
    <w:p w14:paraId="00DDE77C" w14:textId="77777777" w:rsidR="00837923" w:rsidRDefault="00837923" w:rsidP="00957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AA5B8" w14:textId="77777777" w:rsidR="001462E0" w:rsidRPr="0024044A" w:rsidRDefault="0024044A" w:rsidP="0024044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49832-11-22</w:t>
    </w:r>
    <w:r>
      <w:rPr>
        <w:rFonts w:ascii="David" w:hAnsi="David"/>
        <w:color w:val="000000"/>
        <w:sz w:val="22"/>
        <w:szCs w:val="22"/>
        <w:rtl/>
      </w:rPr>
      <w:tab/>
      <w:t xml:space="preserve"> מדינת ישראל נ' מוריה שימול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D1261" w14:textId="77777777" w:rsidR="001462E0" w:rsidRPr="0024044A" w:rsidRDefault="0024044A" w:rsidP="0024044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49832-11-22</w:t>
    </w:r>
    <w:r>
      <w:rPr>
        <w:rFonts w:ascii="David" w:hAnsi="David"/>
        <w:color w:val="000000"/>
        <w:sz w:val="22"/>
        <w:szCs w:val="22"/>
        <w:rtl/>
      </w:rPr>
      <w:tab/>
      <w:t xml:space="preserve"> מדינת ישראל נ' מוריה שימול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C5A2C6A"/>
    <w:multiLevelType w:val="hybridMultilevel"/>
    <w:tmpl w:val="1326E64C"/>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690330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138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940483">
    <w:abstractNumId w:val="0"/>
  </w:num>
  <w:num w:numId="4" w16cid:durableId="1035546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6D7C"/>
    <w:rsid w:val="001462E0"/>
    <w:rsid w:val="001B5A3B"/>
    <w:rsid w:val="0024044A"/>
    <w:rsid w:val="005D4485"/>
    <w:rsid w:val="00837923"/>
    <w:rsid w:val="00957064"/>
    <w:rsid w:val="009F6181"/>
    <w:rsid w:val="00B46D7C"/>
    <w:rsid w:val="00DF12D3"/>
    <w:rsid w:val="00FF68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5F8AE4"/>
  <w15:chartTrackingRefBased/>
  <w15:docId w15:val="{8D42C6A9-EA28-4F8F-90CF-D703DFE8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6D7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6D7C"/>
    <w:pPr>
      <w:tabs>
        <w:tab w:val="center" w:pos="4153"/>
        <w:tab w:val="right" w:pos="8306"/>
      </w:tabs>
    </w:pPr>
  </w:style>
  <w:style w:type="character" w:customStyle="1" w:styleId="a4">
    <w:name w:val="כותרת עליונה תו"/>
    <w:link w:val="a3"/>
    <w:rsid w:val="00B46D7C"/>
    <w:rPr>
      <w:rFonts w:ascii="Times New Roman" w:eastAsia="Times New Roman" w:hAnsi="Times New Roman" w:cs="David"/>
      <w:sz w:val="24"/>
      <w:szCs w:val="24"/>
    </w:rPr>
  </w:style>
  <w:style w:type="paragraph" w:styleId="a5">
    <w:name w:val="footer"/>
    <w:basedOn w:val="a"/>
    <w:link w:val="a6"/>
    <w:rsid w:val="00B46D7C"/>
    <w:pPr>
      <w:tabs>
        <w:tab w:val="center" w:pos="4153"/>
        <w:tab w:val="right" w:pos="8306"/>
      </w:tabs>
    </w:pPr>
  </w:style>
  <w:style w:type="character" w:customStyle="1" w:styleId="a6">
    <w:name w:val="כותרת תחתונה תו"/>
    <w:link w:val="a5"/>
    <w:rsid w:val="00B46D7C"/>
    <w:rPr>
      <w:rFonts w:ascii="Times New Roman" w:eastAsia="Times New Roman" w:hAnsi="Times New Roman" w:cs="David"/>
      <w:sz w:val="24"/>
      <w:szCs w:val="24"/>
    </w:rPr>
  </w:style>
  <w:style w:type="table" w:styleId="a7">
    <w:name w:val="Table Grid"/>
    <w:basedOn w:val="a1"/>
    <w:rsid w:val="00B46D7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46D7C"/>
  </w:style>
  <w:style w:type="character" w:styleId="Hyperlink">
    <w:name w:val="Hyperlink"/>
    <w:rsid w:val="00B46D7C"/>
    <w:rPr>
      <w:noProof w:val="0"/>
      <w:color w:val="0563C1"/>
      <w:u w:val="single"/>
    </w:rPr>
  </w:style>
  <w:style w:type="paragraph" w:styleId="a9">
    <w:name w:val="List Paragraph"/>
    <w:basedOn w:val="a"/>
    <w:qFormat/>
    <w:rsid w:val="00B46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62.3" TargetMode="External"/><Relationship Id="rId18" Type="http://schemas.openxmlformats.org/officeDocument/2006/relationships/hyperlink" Target="http://www.nevo.co.il/law/5227/62.3" TargetMode="External"/><Relationship Id="rId26" Type="http://schemas.openxmlformats.org/officeDocument/2006/relationships/hyperlink" Target="http://www.nevo.co.il/case/23158178" TargetMode="External"/><Relationship Id="rId39" Type="http://schemas.openxmlformats.org/officeDocument/2006/relationships/theme" Target="theme/theme1.xml"/><Relationship Id="rId21" Type="http://schemas.openxmlformats.org/officeDocument/2006/relationships/hyperlink" Target="http://www.nevo.co.il/case/29396498"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5227/39a"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4971234"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393/44" TargetMode="External"/><Relationship Id="rId20" Type="http://schemas.openxmlformats.org/officeDocument/2006/relationships/hyperlink" Target="http://www.nevo.co.il/case/26318040" TargetMode="External"/><Relationship Id="rId29" Type="http://schemas.openxmlformats.org/officeDocument/2006/relationships/hyperlink" Target="http://www.nevo.co.il/law/5227/39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36.b" TargetMode="External"/><Relationship Id="rId24" Type="http://schemas.openxmlformats.org/officeDocument/2006/relationships/hyperlink" Target="http://www.nevo.co.il/case/7980179" TargetMode="External"/><Relationship Id="rId32" Type="http://schemas.openxmlformats.org/officeDocument/2006/relationships/hyperlink" Target="http://www.eca.gov.il"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393/26" TargetMode="External"/><Relationship Id="rId23" Type="http://schemas.openxmlformats.org/officeDocument/2006/relationships/hyperlink" Target="http://www.nevo.co.il/case/5810781" TargetMode="External"/><Relationship Id="rId28" Type="http://schemas.openxmlformats.org/officeDocument/2006/relationships/hyperlink" Target="http://www.nevo.co.il/law/4393" TargetMode="External"/><Relationship Id="rId36" Type="http://schemas.openxmlformats.org/officeDocument/2006/relationships/footer" Target="footer1.xml"/><Relationship Id="rId10" Type="http://schemas.openxmlformats.org/officeDocument/2006/relationships/hyperlink" Target="http://www.nevo.co.il/law/5227" TargetMode="External"/><Relationship Id="rId19" Type="http://schemas.openxmlformats.org/officeDocument/2006/relationships/hyperlink" Target="http://www.nevo.co.il/law/5227" TargetMode="External"/><Relationship Id="rId31" Type="http://schemas.openxmlformats.org/officeDocument/2006/relationships/hyperlink" Target="http://www.nevo.co.il/law/5227"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393" TargetMode="External"/><Relationship Id="rId22" Type="http://schemas.openxmlformats.org/officeDocument/2006/relationships/hyperlink" Target="http://www.nevo.co.il/case/29200734" TargetMode="External"/><Relationship Id="rId27" Type="http://schemas.openxmlformats.org/officeDocument/2006/relationships/hyperlink" Target="http://www.nevo.co.il/law/4393/26;44" TargetMode="External"/><Relationship Id="rId30" Type="http://schemas.openxmlformats.org/officeDocument/2006/relationships/hyperlink" Target="http://www.nevo.co.il/law/5227/36.b"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1474</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8827</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7864368</vt:i4>
      </vt:variant>
      <vt:variant>
        <vt:i4>75</vt:i4>
      </vt:variant>
      <vt:variant>
        <vt:i4>0</vt:i4>
      </vt:variant>
      <vt:variant>
        <vt:i4>5</vt:i4>
      </vt:variant>
      <vt:variant>
        <vt:lpwstr>http://www.eca.gov.il/</vt:lpwstr>
      </vt:variant>
      <vt:variant>
        <vt:lpwstr/>
      </vt:variant>
      <vt:variant>
        <vt:i4>8323175</vt:i4>
      </vt:variant>
      <vt:variant>
        <vt:i4>72</vt:i4>
      </vt:variant>
      <vt:variant>
        <vt:i4>0</vt:i4>
      </vt:variant>
      <vt:variant>
        <vt:i4>5</vt:i4>
      </vt:variant>
      <vt:variant>
        <vt:lpwstr>http://www.nevo.co.il/law/5227</vt:lpwstr>
      </vt:variant>
      <vt:variant>
        <vt:lpwstr/>
      </vt:variant>
      <vt:variant>
        <vt:i4>6422654</vt:i4>
      </vt:variant>
      <vt:variant>
        <vt:i4>69</vt:i4>
      </vt:variant>
      <vt:variant>
        <vt:i4>0</vt:i4>
      </vt:variant>
      <vt:variant>
        <vt:i4>5</vt:i4>
      </vt:variant>
      <vt:variant>
        <vt:lpwstr>http://www.nevo.co.il/law/5227/36.b</vt:lpwstr>
      </vt:variant>
      <vt:variant>
        <vt:lpwstr/>
      </vt:variant>
      <vt:variant>
        <vt:i4>2949233</vt:i4>
      </vt:variant>
      <vt:variant>
        <vt:i4>66</vt:i4>
      </vt:variant>
      <vt:variant>
        <vt:i4>0</vt:i4>
      </vt:variant>
      <vt:variant>
        <vt:i4>5</vt:i4>
      </vt:variant>
      <vt:variant>
        <vt:lpwstr>http://www.nevo.co.il/law/5227/39a</vt:lpwstr>
      </vt:variant>
      <vt:variant>
        <vt:lpwstr/>
      </vt:variant>
      <vt:variant>
        <vt:i4>7995501</vt:i4>
      </vt:variant>
      <vt:variant>
        <vt:i4>63</vt:i4>
      </vt:variant>
      <vt:variant>
        <vt:i4>0</vt:i4>
      </vt:variant>
      <vt:variant>
        <vt:i4>5</vt:i4>
      </vt:variant>
      <vt:variant>
        <vt:lpwstr>http://www.nevo.co.il/law/4393</vt:lpwstr>
      </vt:variant>
      <vt:variant>
        <vt:lpwstr/>
      </vt:variant>
      <vt:variant>
        <vt:i4>4653120</vt:i4>
      </vt:variant>
      <vt:variant>
        <vt:i4>60</vt:i4>
      </vt:variant>
      <vt:variant>
        <vt:i4>0</vt:i4>
      </vt:variant>
      <vt:variant>
        <vt:i4>5</vt:i4>
      </vt:variant>
      <vt:variant>
        <vt:lpwstr>http://www.nevo.co.il/law/4393/26;44</vt:lpwstr>
      </vt:variant>
      <vt:variant>
        <vt:lpwstr/>
      </vt:variant>
      <vt:variant>
        <vt:i4>3932275</vt:i4>
      </vt:variant>
      <vt:variant>
        <vt:i4>57</vt:i4>
      </vt:variant>
      <vt:variant>
        <vt:i4>0</vt:i4>
      </vt:variant>
      <vt:variant>
        <vt:i4>5</vt:i4>
      </vt:variant>
      <vt:variant>
        <vt:lpwstr>http://www.nevo.co.il/case/23158178</vt:lpwstr>
      </vt:variant>
      <vt:variant>
        <vt:lpwstr/>
      </vt:variant>
      <vt:variant>
        <vt:i4>3735669</vt:i4>
      </vt:variant>
      <vt:variant>
        <vt:i4>54</vt:i4>
      </vt:variant>
      <vt:variant>
        <vt:i4>0</vt:i4>
      </vt:variant>
      <vt:variant>
        <vt:i4>5</vt:i4>
      </vt:variant>
      <vt:variant>
        <vt:lpwstr>http://www.nevo.co.il/case/24971234</vt:lpwstr>
      </vt:variant>
      <vt:variant>
        <vt:lpwstr/>
      </vt:variant>
      <vt:variant>
        <vt:i4>3604602</vt:i4>
      </vt:variant>
      <vt:variant>
        <vt:i4>51</vt:i4>
      </vt:variant>
      <vt:variant>
        <vt:i4>0</vt:i4>
      </vt:variant>
      <vt:variant>
        <vt:i4>5</vt:i4>
      </vt:variant>
      <vt:variant>
        <vt:lpwstr>http://www.nevo.co.il/case/7980179</vt:lpwstr>
      </vt:variant>
      <vt:variant>
        <vt:lpwstr/>
      </vt:variant>
      <vt:variant>
        <vt:i4>3276916</vt:i4>
      </vt:variant>
      <vt:variant>
        <vt:i4>48</vt:i4>
      </vt:variant>
      <vt:variant>
        <vt:i4>0</vt:i4>
      </vt:variant>
      <vt:variant>
        <vt:i4>5</vt:i4>
      </vt:variant>
      <vt:variant>
        <vt:lpwstr>http://www.nevo.co.il/case/5810781</vt:lpwstr>
      </vt:variant>
      <vt:variant>
        <vt:lpwstr/>
      </vt:variant>
      <vt:variant>
        <vt:i4>3342458</vt:i4>
      </vt:variant>
      <vt:variant>
        <vt:i4>45</vt:i4>
      </vt:variant>
      <vt:variant>
        <vt:i4>0</vt:i4>
      </vt:variant>
      <vt:variant>
        <vt:i4>5</vt:i4>
      </vt:variant>
      <vt:variant>
        <vt:lpwstr>http://www.nevo.co.il/case/29200734</vt:lpwstr>
      </vt:variant>
      <vt:variant>
        <vt:lpwstr/>
      </vt:variant>
      <vt:variant>
        <vt:i4>4063344</vt:i4>
      </vt:variant>
      <vt:variant>
        <vt:i4>42</vt:i4>
      </vt:variant>
      <vt:variant>
        <vt:i4>0</vt:i4>
      </vt:variant>
      <vt:variant>
        <vt:i4>5</vt:i4>
      </vt:variant>
      <vt:variant>
        <vt:lpwstr>http://www.nevo.co.il/case/29396498</vt:lpwstr>
      </vt:variant>
      <vt:variant>
        <vt:lpwstr/>
      </vt:variant>
      <vt:variant>
        <vt:i4>3997811</vt:i4>
      </vt:variant>
      <vt:variant>
        <vt:i4>39</vt:i4>
      </vt:variant>
      <vt:variant>
        <vt:i4>0</vt:i4>
      </vt:variant>
      <vt:variant>
        <vt:i4>5</vt:i4>
      </vt:variant>
      <vt:variant>
        <vt:lpwstr>http://www.nevo.co.il/case/26318040</vt:lpwstr>
      </vt:variant>
      <vt:variant>
        <vt:lpwstr/>
      </vt:variant>
      <vt:variant>
        <vt:i4>8323175</vt:i4>
      </vt:variant>
      <vt:variant>
        <vt:i4>36</vt:i4>
      </vt:variant>
      <vt:variant>
        <vt:i4>0</vt:i4>
      </vt:variant>
      <vt:variant>
        <vt:i4>5</vt:i4>
      </vt:variant>
      <vt:variant>
        <vt:lpwstr>http://www.nevo.co.il/law/5227</vt:lpwstr>
      </vt:variant>
      <vt:variant>
        <vt:lpwstr/>
      </vt:variant>
      <vt:variant>
        <vt:i4>6750330</vt:i4>
      </vt:variant>
      <vt:variant>
        <vt:i4>33</vt:i4>
      </vt:variant>
      <vt:variant>
        <vt:i4>0</vt:i4>
      </vt:variant>
      <vt:variant>
        <vt:i4>5</vt:i4>
      </vt:variant>
      <vt:variant>
        <vt:lpwstr>http://www.nevo.co.il/law/5227/62.3</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5111874</vt:i4>
      </vt:variant>
      <vt:variant>
        <vt:i4>27</vt:i4>
      </vt:variant>
      <vt:variant>
        <vt:i4>0</vt:i4>
      </vt:variant>
      <vt:variant>
        <vt:i4>5</vt:i4>
      </vt:variant>
      <vt:variant>
        <vt:lpwstr>http://www.nevo.co.il/law/4393/44</vt:lpwstr>
      </vt:variant>
      <vt:variant>
        <vt:lpwstr/>
      </vt:variant>
      <vt:variant>
        <vt:i4>4718658</vt:i4>
      </vt:variant>
      <vt:variant>
        <vt:i4>24</vt:i4>
      </vt:variant>
      <vt:variant>
        <vt:i4>0</vt:i4>
      </vt:variant>
      <vt:variant>
        <vt:i4>5</vt:i4>
      </vt:variant>
      <vt:variant>
        <vt:lpwstr>http://www.nevo.co.il/law/4393/26</vt:lpwstr>
      </vt:variant>
      <vt:variant>
        <vt:lpwstr/>
      </vt:variant>
      <vt:variant>
        <vt:i4>7995501</vt:i4>
      </vt:variant>
      <vt:variant>
        <vt:i4>21</vt:i4>
      </vt:variant>
      <vt:variant>
        <vt:i4>0</vt:i4>
      </vt:variant>
      <vt:variant>
        <vt:i4>5</vt:i4>
      </vt:variant>
      <vt:variant>
        <vt:lpwstr>http://www.nevo.co.il/law/4393</vt:lpwstr>
      </vt:variant>
      <vt:variant>
        <vt:lpwstr/>
      </vt:variant>
      <vt:variant>
        <vt:i4>6750330</vt:i4>
      </vt:variant>
      <vt:variant>
        <vt:i4>18</vt:i4>
      </vt:variant>
      <vt:variant>
        <vt:i4>0</vt:i4>
      </vt:variant>
      <vt:variant>
        <vt:i4>5</vt:i4>
      </vt:variant>
      <vt:variant>
        <vt:lpwstr>http://www.nevo.co.il/law/5227/62.3</vt:lpwstr>
      </vt:variant>
      <vt:variant>
        <vt:lpwstr/>
      </vt:variant>
      <vt:variant>
        <vt:i4>2949233</vt:i4>
      </vt:variant>
      <vt:variant>
        <vt:i4>15</vt:i4>
      </vt:variant>
      <vt:variant>
        <vt:i4>0</vt:i4>
      </vt:variant>
      <vt:variant>
        <vt:i4>5</vt:i4>
      </vt:variant>
      <vt:variant>
        <vt:lpwstr>http://www.nevo.co.il/law/5227/39a</vt:lpwstr>
      </vt:variant>
      <vt:variant>
        <vt:lpwstr/>
      </vt:variant>
      <vt:variant>
        <vt:i4>6422654</vt:i4>
      </vt:variant>
      <vt:variant>
        <vt:i4>12</vt:i4>
      </vt:variant>
      <vt:variant>
        <vt:i4>0</vt:i4>
      </vt:variant>
      <vt:variant>
        <vt:i4>5</vt:i4>
      </vt:variant>
      <vt:variant>
        <vt:lpwstr>http://www.nevo.co.il/law/5227/36.b</vt:lpwstr>
      </vt:variant>
      <vt:variant>
        <vt:lpwstr/>
      </vt:variant>
      <vt:variant>
        <vt:i4>8323175</vt:i4>
      </vt:variant>
      <vt:variant>
        <vt:i4>9</vt:i4>
      </vt:variant>
      <vt:variant>
        <vt:i4>0</vt:i4>
      </vt:variant>
      <vt:variant>
        <vt:i4>5</vt:i4>
      </vt:variant>
      <vt:variant>
        <vt:lpwstr>http://www.nevo.co.il/law/5227</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2025-04-23T01:38:00Z</dcterms:created>
  <dcterms:modified xsi:type="dcterms:W3CDTF">2025-04-23T01:38:00Z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49832</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מוריה שימול</vt:lpwstr>
  </property>
  <property fmtid="{D5CDD505-2E9C-101B-9397-08002B2CF9AE}" pid="10" name="LAWYER">
    <vt:lpwstr>ליאורה ברקו</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20250309</vt:lpwstr>
  </property>
  <property fmtid="{D5CDD505-2E9C-101B-9397-08002B2CF9AE}" pid="14" name="TYPE_N_DATE">
    <vt:lpwstr>38020250309</vt:lpwstr>
  </property>
  <property fmtid="{D5CDD505-2E9C-101B-9397-08002B2CF9AE}" pid="15" name="CASESLISTTMP1">
    <vt:lpwstr>26318040;29396498;29200734;5810781;7980179;24971234;23158178</vt:lpwstr>
  </property>
  <property fmtid="{D5CDD505-2E9C-101B-9397-08002B2CF9AE}" pid="16" name="CASENOTES1">
    <vt:lpwstr>ProcID=174;133;209&amp;PartA=4212&amp;PartC=22</vt:lpwstr>
  </property>
  <property fmtid="{D5CDD505-2E9C-101B-9397-08002B2CF9AE}" pid="17" name="WORDNUMPAGES">
    <vt:lpwstr>6</vt:lpwstr>
  </property>
  <property fmtid="{D5CDD505-2E9C-101B-9397-08002B2CF9AE}" pid="18" name="TYPE_ABS_DATE">
    <vt:lpwstr>380020250309</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y fmtid="{D5CDD505-2E9C-101B-9397-08002B2CF9AE}" pid="37" name="LAWLISTTMP2">
    <vt:lpwstr>5227/062.3;039a;036.b</vt:lpwstr>
  </property>
  <property fmtid="{D5CDD505-2E9C-101B-9397-08002B2CF9AE}" pid="38" name="LAWLISTTMP3">
    <vt:lpwstr>4393/026;044</vt:lpwstr>
  </property>
  <property fmtid="{D5CDD505-2E9C-101B-9397-08002B2CF9AE}" pid="39" name="ISABSTRACT">
    <vt:lpwstr>Y</vt:lpwstr>
  </property>
</Properties>
</file>