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E71DC2" w:rsidRPr="000E63A8" w14:paraId="32313D47" w14:textId="77777777" w:rsidTr="00A37BC2">
        <w:trPr>
          <w:gridAfter w:val="1"/>
          <w:wAfter w:w="99" w:type="dxa"/>
          <w:trHeight w:hRule="exact" w:val="418"/>
          <w:jc w:val="center"/>
        </w:trPr>
        <w:tc>
          <w:tcPr>
            <w:tcW w:w="8721" w:type="dxa"/>
            <w:gridSpan w:val="4"/>
          </w:tcPr>
          <w:p w14:paraId="54614217" w14:textId="77777777" w:rsidR="00E71DC2" w:rsidRPr="000E63A8" w:rsidRDefault="00E71DC2" w:rsidP="006128C5">
            <w:pPr>
              <w:pStyle w:val="a3"/>
              <w:jc w:val="center"/>
              <w:rPr>
                <w:rFonts w:ascii="Tahoma" w:hAnsi="Tahoma" w:cs="Tahoma"/>
                <w:color w:val="000080"/>
                <w:rtl/>
              </w:rPr>
            </w:pPr>
            <w:bookmarkStart w:id="0" w:name="LastJudge"/>
            <w:r w:rsidRPr="000E63A8">
              <w:rPr>
                <w:rFonts w:ascii="Tahoma" w:hAnsi="Tahoma" w:cs="Tahoma"/>
                <w:b/>
                <w:bCs/>
                <w:color w:val="000080"/>
                <w:rtl/>
              </w:rPr>
              <w:t>בית משפט השלום בבאר שבע</w:t>
            </w:r>
          </w:p>
        </w:tc>
      </w:tr>
      <w:tr w:rsidR="00E71DC2" w:rsidRPr="000E63A8" w14:paraId="68489E9B" w14:textId="77777777" w:rsidTr="00A37BC2">
        <w:trPr>
          <w:gridAfter w:val="1"/>
          <w:wAfter w:w="99" w:type="dxa"/>
          <w:trHeight w:val="337"/>
          <w:jc w:val="center"/>
        </w:trPr>
        <w:tc>
          <w:tcPr>
            <w:tcW w:w="5054" w:type="dxa"/>
            <w:gridSpan w:val="3"/>
          </w:tcPr>
          <w:p w14:paraId="2608AD3A" w14:textId="77777777" w:rsidR="00E71DC2" w:rsidRPr="000E63A8" w:rsidRDefault="00E71DC2" w:rsidP="006128C5">
            <w:pPr>
              <w:rPr>
                <w:rFonts w:cs="FrankRuehl"/>
                <w:sz w:val="28"/>
                <w:szCs w:val="28"/>
                <w:rtl/>
              </w:rPr>
            </w:pPr>
            <w:r w:rsidRPr="000E63A8">
              <w:rPr>
                <w:rFonts w:cs="FrankRuehl"/>
                <w:sz w:val="28"/>
                <w:szCs w:val="28"/>
                <w:rtl/>
              </w:rPr>
              <w:t>ת"פ</w:t>
            </w:r>
            <w:r w:rsidRPr="000E63A8">
              <w:rPr>
                <w:rFonts w:cs="FrankRuehl" w:hint="cs"/>
                <w:sz w:val="28"/>
                <w:szCs w:val="28"/>
                <w:rtl/>
              </w:rPr>
              <w:t xml:space="preserve"> </w:t>
            </w:r>
            <w:r w:rsidRPr="000E63A8">
              <w:rPr>
                <w:rFonts w:cs="FrankRuehl"/>
                <w:sz w:val="28"/>
                <w:szCs w:val="28"/>
                <w:rtl/>
              </w:rPr>
              <w:t>65068-11-22</w:t>
            </w:r>
            <w:r w:rsidRPr="000E63A8">
              <w:rPr>
                <w:rFonts w:cs="FrankRuehl" w:hint="cs"/>
                <w:sz w:val="28"/>
                <w:szCs w:val="28"/>
                <w:rtl/>
              </w:rPr>
              <w:t xml:space="preserve"> </w:t>
            </w:r>
            <w:r w:rsidRPr="000E63A8">
              <w:rPr>
                <w:rFonts w:cs="FrankRuehl"/>
                <w:sz w:val="28"/>
                <w:szCs w:val="28"/>
                <w:rtl/>
              </w:rPr>
              <w:t>מדינת ישראל נ' תמיר</w:t>
            </w:r>
          </w:p>
          <w:p w14:paraId="35EA5B25" w14:textId="77777777" w:rsidR="00E71DC2" w:rsidRPr="000E63A8" w:rsidRDefault="00E71DC2" w:rsidP="006128C5">
            <w:pPr>
              <w:pStyle w:val="a3"/>
              <w:rPr>
                <w:rFonts w:cs="FrankRuehl"/>
                <w:sz w:val="28"/>
                <w:szCs w:val="28"/>
                <w:rtl/>
              </w:rPr>
            </w:pPr>
          </w:p>
        </w:tc>
        <w:tc>
          <w:tcPr>
            <w:tcW w:w="3667" w:type="dxa"/>
          </w:tcPr>
          <w:p w14:paraId="7AB76272" w14:textId="77777777" w:rsidR="00E71DC2" w:rsidRPr="000E63A8" w:rsidRDefault="00E71DC2" w:rsidP="006128C5">
            <w:pPr>
              <w:pStyle w:val="a3"/>
              <w:jc w:val="right"/>
              <w:rPr>
                <w:rFonts w:cs="FrankRuehl"/>
                <w:sz w:val="28"/>
                <w:szCs w:val="28"/>
                <w:rtl/>
              </w:rPr>
            </w:pPr>
          </w:p>
        </w:tc>
      </w:tr>
      <w:tr w:rsidR="00E71DC2" w:rsidRPr="000E63A8" w14:paraId="12553E85" w14:textId="77777777" w:rsidTr="00A37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4F98F6D" w14:textId="77777777" w:rsidR="00E71DC2" w:rsidRPr="000E63A8" w:rsidRDefault="00E71DC2" w:rsidP="00E71DC2">
            <w:pPr>
              <w:jc w:val="both"/>
              <w:rPr>
                <w:rFonts w:ascii="David" w:hAnsi="David"/>
                <w:sz w:val="26"/>
                <w:szCs w:val="26"/>
              </w:rPr>
            </w:pPr>
            <w:r w:rsidRPr="000E63A8">
              <w:rPr>
                <w:rFonts w:hint="cs"/>
                <w:rtl/>
              </w:rPr>
              <w:t xml:space="preserve"> </w:t>
            </w:r>
            <w:r w:rsidRPr="000E63A8">
              <w:rPr>
                <w:rFonts w:ascii="David" w:hAnsi="David" w:hint="cs"/>
                <w:sz w:val="26"/>
                <w:szCs w:val="26"/>
                <w:rtl/>
              </w:rPr>
              <w:t>ל</w:t>
            </w:r>
            <w:r w:rsidRPr="000E63A8">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350030C0" w14:textId="77777777" w:rsidR="00E71DC2" w:rsidRPr="000E63A8" w:rsidRDefault="00E71DC2" w:rsidP="006128C5">
            <w:pPr>
              <w:rPr>
                <w:rFonts w:ascii="David" w:hAnsi="David"/>
                <w:b/>
                <w:bCs/>
                <w:sz w:val="26"/>
                <w:szCs w:val="26"/>
                <w:rtl/>
              </w:rPr>
            </w:pPr>
            <w:r w:rsidRPr="000E63A8">
              <w:rPr>
                <w:rFonts w:ascii="David" w:hAnsi="David"/>
                <w:b/>
                <w:bCs/>
                <w:sz w:val="26"/>
                <w:szCs w:val="26"/>
                <w:rtl/>
              </w:rPr>
              <w:t>כבוד השופטת  אורית קרץ</w:t>
            </w:r>
          </w:p>
          <w:p w14:paraId="635AFBA8" w14:textId="77777777" w:rsidR="00E71DC2" w:rsidRPr="000E63A8" w:rsidRDefault="00E71DC2" w:rsidP="006128C5">
            <w:pPr>
              <w:rPr>
                <w:rFonts w:ascii="David" w:hAnsi="David"/>
                <w:sz w:val="26"/>
                <w:szCs w:val="26"/>
                <w:rtl/>
              </w:rPr>
            </w:pPr>
          </w:p>
          <w:p w14:paraId="347547EE" w14:textId="77777777" w:rsidR="00E71DC2" w:rsidRPr="000E63A8" w:rsidRDefault="00E71DC2" w:rsidP="00E71DC2">
            <w:pPr>
              <w:jc w:val="both"/>
              <w:rPr>
                <w:rFonts w:ascii="David" w:hAnsi="David"/>
                <w:sz w:val="26"/>
                <w:szCs w:val="26"/>
              </w:rPr>
            </w:pPr>
          </w:p>
        </w:tc>
      </w:tr>
      <w:tr w:rsidR="00E71DC2" w:rsidRPr="000E63A8" w14:paraId="02D1FA52" w14:textId="77777777" w:rsidTr="00A37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B4C2B9C" w14:textId="77777777" w:rsidR="00E71DC2" w:rsidRPr="000E63A8" w:rsidRDefault="00E71DC2" w:rsidP="00E71DC2">
            <w:pPr>
              <w:jc w:val="both"/>
              <w:rPr>
                <w:rFonts w:ascii="David" w:hAnsi="David"/>
                <w:sz w:val="26"/>
                <w:szCs w:val="26"/>
              </w:rPr>
            </w:pPr>
            <w:bookmarkStart w:id="1" w:name="FirstAppellant"/>
            <w:r w:rsidRPr="000E63A8">
              <w:rPr>
                <w:rFonts w:ascii="David" w:hAnsi="David"/>
                <w:sz w:val="26"/>
                <w:szCs w:val="26"/>
                <w:rtl/>
              </w:rPr>
              <w:t>בעניין:</w:t>
            </w:r>
          </w:p>
        </w:tc>
        <w:tc>
          <w:tcPr>
            <w:tcW w:w="3219" w:type="dxa"/>
            <w:tcBorders>
              <w:top w:val="nil"/>
              <w:left w:val="nil"/>
              <w:bottom w:val="nil"/>
              <w:right w:val="nil"/>
            </w:tcBorders>
            <w:shd w:val="clear" w:color="auto" w:fill="auto"/>
          </w:tcPr>
          <w:p w14:paraId="643201D2" w14:textId="77777777" w:rsidR="00E71DC2" w:rsidRPr="000E63A8" w:rsidRDefault="00E71DC2" w:rsidP="00E71DC2">
            <w:pPr>
              <w:suppressLineNumbers/>
            </w:pPr>
            <w:r w:rsidRPr="000E63A8">
              <w:rPr>
                <w:rFonts w:ascii="Arial" w:hAnsi="Arial" w:hint="cs"/>
                <w:b/>
                <w:bCs/>
                <w:sz w:val="26"/>
                <w:szCs w:val="26"/>
                <w:rtl/>
              </w:rPr>
              <w:t>ה</w:t>
            </w:r>
            <w:r w:rsidRPr="000E63A8">
              <w:rPr>
                <w:rFonts w:ascii="Arial" w:hAnsi="Arial"/>
                <w:b/>
                <w:bCs/>
                <w:sz w:val="26"/>
                <w:szCs w:val="26"/>
                <w:rtl/>
              </w:rPr>
              <w:t>מאשימה</w:t>
            </w:r>
          </w:p>
          <w:p w14:paraId="6D7CC2C2" w14:textId="77777777" w:rsidR="00E71DC2" w:rsidRPr="000E63A8" w:rsidRDefault="00E71DC2" w:rsidP="006128C5">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64874C6" w14:textId="77777777" w:rsidR="00E71DC2" w:rsidRPr="000E63A8" w:rsidRDefault="00E71DC2" w:rsidP="00E71DC2">
            <w:pPr>
              <w:suppressLineNumbers/>
              <w:rPr>
                <w:rFonts w:ascii="Arial" w:hAnsi="Arial"/>
                <w:b/>
                <w:bCs/>
                <w:sz w:val="26"/>
                <w:szCs w:val="26"/>
                <w:rtl/>
              </w:rPr>
            </w:pPr>
            <w:r w:rsidRPr="000E63A8">
              <w:rPr>
                <w:rFonts w:ascii="Arial" w:hAnsi="Arial"/>
                <w:b/>
                <w:bCs/>
                <w:sz w:val="26"/>
                <w:szCs w:val="26"/>
                <w:rtl/>
              </w:rPr>
              <w:t>מדינת ישראל</w:t>
            </w:r>
            <w:r w:rsidRPr="000E63A8">
              <w:rPr>
                <w:rFonts w:ascii="Arial" w:hAnsi="Arial" w:hint="cs"/>
                <w:b/>
                <w:bCs/>
                <w:sz w:val="26"/>
                <w:szCs w:val="26"/>
                <w:rtl/>
              </w:rPr>
              <w:t xml:space="preserve"> </w:t>
            </w:r>
          </w:p>
          <w:p w14:paraId="04B4CA24" w14:textId="77777777" w:rsidR="00E71DC2" w:rsidRPr="000E63A8" w:rsidRDefault="00E71DC2" w:rsidP="00E71DC2">
            <w:pPr>
              <w:suppressLineNumbers/>
            </w:pPr>
            <w:r w:rsidRPr="000E63A8">
              <w:rPr>
                <w:rFonts w:ascii="Arial" w:hAnsi="Arial"/>
                <w:b/>
                <w:bCs/>
                <w:sz w:val="26"/>
                <w:szCs w:val="26"/>
                <w:rtl/>
              </w:rPr>
              <w:t xml:space="preserve">ע"י </w:t>
            </w:r>
            <w:r w:rsidRPr="000E63A8">
              <w:rPr>
                <w:rFonts w:ascii="Arial" w:hAnsi="Arial" w:hint="cs"/>
                <w:b/>
                <w:bCs/>
                <w:sz w:val="26"/>
                <w:szCs w:val="26"/>
                <w:rtl/>
              </w:rPr>
              <w:t xml:space="preserve">משטרת ישראל </w:t>
            </w:r>
            <w:r w:rsidRPr="000E63A8">
              <w:rPr>
                <w:rFonts w:ascii="Arial" w:hAnsi="Arial"/>
                <w:b/>
                <w:bCs/>
                <w:sz w:val="26"/>
                <w:szCs w:val="26"/>
                <w:rtl/>
              </w:rPr>
              <w:t>–</w:t>
            </w:r>
            <w:r w:rsidRPr="000E63A8">
              <w:rPr>
                <w:rFonts w:ascii="Arial" w:hAnsi="Arial" w:hint="cs"/>
                <w:b/>
                <w:bCs/>
                <w:sz w:val="26"/>
                <w:szCs w:val="26"/>
                <w:rtl/>
              </w:rPr>
              <w:t xml:space="preserve"> לשכת תביעות נגב דרומי</w:t>
            </w:r>
          </w:p>
          <w:p w14:paraId="26BB845F" w14:textId="77777777" w:rsidR="00E71DC2" w:rsidRPr="000E63A8" w:rsidRDefault="00E71DC2" w:rsidP="006128C5">
            <w:pPr>
              <w:rPr>
                <w:rFonts w:ascii="David" w:hAnsi="David"/>
                <w:sz w:val="26"/>
                <w:szCs w:val="26"/>
              </w:rPr>
            </w:pPr>
          </w:p>
        </w:tc>
      </w:tr>
      <w:bookmarkEnd w:id="1"/>
      <w:tr w:rsidR="00E71DC2" w:rsidRPr="000E63A8" w14:paraId="558AB0C7" w14:textId="77777777" w:rsidTr="00A37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7CCC0B" w14:textId="77777777" w:rsidR="00E71DC2" w:rsidRPr="000E63A8" w:rsidRDefault="00E71DC2" w:rsidP="00E71DC2">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6AAC9AF0" w14:textId="77777777" w:rsidR="00E71DC2" w:rsidRPr="000E63A8" w:rsidRDefault="00E71DC2" w:rsidP="00E71DC2">
            <w:pPr>
              <w:jc w:val="center"/>
              <w:rPr>
                <w:rFonts w:ascii="David" w:hAnsi="David"/>
                <w:b/>
                <w:bCs/>
                <w:sz w:val="26"/>
                <w:szCs w:val="26"/>
                <w:rtl/>
              </w:rPr>
            </w:pPr>
          </w:p>
          <w:p w14:paraId="7AC0CAF7" w14:textId="77777777" w:rsidR="00E71DC2" w:rsidRPr="000E63A8" w:rsidRDefault="00E71DC2" w:rsidP="00E71DC2">
            <w:pPr>
              <w:jc w:val="center"/>
              <w:rPr>
                <w:rFonts w:ascii="David" w:hAnsi="David"/>
                <w:b/>
                <w:bCs/>
                <w:sz w:val="26"/>
                <w:szCs w:val="26"/>
                <w:rtl/>
              </w:rPr>
            </w:pPr>
            <w:r w:rsidRPr="000E63A8">
              <w:rPr>
                <w:rFonts w:ascii="David" w:hAnsi="David"/>
                <w:b/>
                <w:bCs/>
                <w:sz w:val="26"/>
                <w:szCs w:val="26"/>
                <w:rtl/>
              </w:rPr>
              <w:t>נגד</w:t>
            </w:r>
          </w:p>
          <w:p w14:paraId="51376781" w14:textId="77777777" w:rsidR="00E71DC2" w:rsidRPr="000E63A8" w:rsidRDefault="00E71DC2" w:rsidP="00E71DC2">
            <w:pPr>
              <w:jc w:val="both"/>
              <w:rPr>
                <w:rFonts w:ascii="David" w:hAnsi="David"/>
                <w:sz w:val="26"/>
                <w:szCs w:val="26"/>
              </w:rPr>
            </w:pPr>
          </w:p>
        </w:tc>
      </w:tr>
      <w:tr w:rsidR="00E71DC2" w:rsidRPr="000E63A8" w14:paraId="2099617D" w14:textId="77777777" w:rsidTr="00A37B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4ACB83B" w14:textId="77777777" w:rsidR="00E71DC2" w:rsidRPr="000E63A8" w:rsidRDefault="00E71DC2" w:rsidP="006128C5">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31248587" w14:textId="77777777" w:rsidR="00E71DC2" w:rsidRPr="000E63A8" w:rsidRDefault="00E71DC2" w:rsidP="006128C5">
            <w:pPr>
              <w:rPr>
                <w:rFonts w:ascii="Arial" w:hAnsi="Arial"/>
                <w:b/>
                <w:bCs/>
                <w:sz w:val="26"/>
                <w:szCs w:val="26"/>
                <w:rtl/>
              </w:rPr>
            </w:pPr>
            <w:r w:rsidRPr="000E63A8">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61235A91" w14:textId="77777777" w:rsidR="00E71DC2" w:rsidRPr="000E63A8" w:rsidRDefault="00E71DC2" w:rsidP="00E71DC2">
            <w:pPr>
              <w:suppressLineNumbers/>
              <w:rPr>
                <w:rFonts w:ascii="Arial" w:hAnsi="Arial"/>
                <w:b/>
                <w:bCs/>
                <w:sz w:val="26"/>
                <w:szCs w:val="26"/>
                <w:rtl/>
              </w:rPr>
            </w:pPr>
            <w:r w:rsidRPr="000E63A8">
              <w:rPr>
                <w:rFonts w:ascii="Arial" w:hAnsi="Arial"/>
                <w:b/>
                <w:bCs/>
                <w:sz w:val="26"/>
                <w:szCs w:val="26"/>
                <w:rtl/>
              </w:rPr>
              <w:t>אלמוג תמיר</w:t>
            </w:r>
            <w:r w:rsidRPr="000E63A8">
              <w:rPr>
                <w:rFonts w:ascii="Arial" w:hAnsi="Arial" w:hint="cs"/>
                <w:b/>
                <w:bCs/>
                <w:sz w:val="26"/>
                <w:szCs w:val="26"/>
                <w:rtl/>
              </w:rPr>
              <w:t xml:space="preserve"> </w:t>
            </w:r>
          </w:p>
          <w:p w14:paraId="2456544E" w14:textId="77777777" w:rsidR="00E71DC2" w:rsidRPr="000E63A8" w:rsidRDefault="00E71DC2" w:rsidP="00E71DC2">
            <w:pPr>
              <w:suppressLineNumbers/>
            </w:pPr>
            <w:r w:rsidRPr="000E63A8">
              <w:rPr>
                <w:rFonts w:ascii="Arial" w:hAnsi="Arial"/>
                <w:b/>
                <w:bCs/>
                <w:sz w:val="26"/>
                <w:szCs w:val="26"/>
                <w:rtl/>
              </w:rPr>
              <w:t>ע"י ב"כ עו</w:t>
            </w:r>
            <w:r w:rsidRPr="000E63A8">
              <w:rPr>
                <w:rFonts w:ascii="Arial" w:hAnsi="Arial" w:hint="cs"/>
                <w:b/>
                <w:bCs/>
                <w:sz w:val="26"/>
                <w:szCs w:val="26"/>
                <w:rtl/>
              </w:rPr>
              <w:t>"ד אפרת צרפתי</w:t>
            </w:r>
          </w:p>
          <w:p w14:paraId="1EECEFD5" w14:textId="77777777" w:rsidR="00E71DC2" w:rsidRPr="000E63A8" w:rsidRDefault="00E71DC2" w:rsidP="006128C5">
            <w:pPr>
              <w:rPr>
                <w:rFonts w:ascii="David" w:hAnsi="David"/>
                <w:sz w:val="26"/>
                <w:szCs w:val="26"/>
                <w:rtl/>
              </w:rPr>
            </w:pPr>
          </w:p>
          <w:p w14:paraId="02B97A67" w14:textId="77777777" w:rsidR="00E71DC2" w:rsidRPr="000E63A8" w:rsidRDefault="00E71DC2" w:rsidP="006128C5">
            <w:pPr>
              <w:rPr>
                <w:rFonts w:ascii="David" w:hAnsi="David"/>
                <w:sz w:val="26"/>
                <w:szCs w:val="26"/>
              </w:rPr>
            </w:pPr>
          </w:p>
        </w:tc>
      </w:tr>
      <w:bookmarkEnd w:id="2"/>
    </w:tbl>
    <w:p w14:paraId="373DC85D" w14:textId="77777777" w:rsidR="000E63A8" w:rsidRPr="000E63A8" w:rsidRDefault="000E63A8" w:rsidP="000E63A8">
      <w:pPr>
        <w:spacing w:before="120" w:after="120" w:line="240" w:lineRule="exact"/>
        <w:ind w:left="283" w:hanging="283"/>
        <w:jc w:val="both"/>
        <w:rPr>
          <w:rFonts w:ascii="FrankRuehl" w:hAnsi="FrankRuehl" w:cs="FrankRuehl"/>
          <w:rtl/>
        </w:rPr>
      </w:pPr>
    </w:p>
    <w:p w14:paraId="583C5AFF" w14:textId="77777777" w:rsidR="00A37BC2" w:rsidRPr="00A37BC2" w:rsidRDefault="00A37BC2" w:rsidP="00A37BC2">
      <w:pPr>
        <w:spacing w:before="120" w:after="120" w:line="240" w:lineRule="exact"/>
        <w:ind w:left="283" w:hanging="283"/>
        <w:jc w:val="both"/>
        <w:rPr>
          <w:rFonts w:ascii="FrankRuehl" w:hAnsi="FrankRuehl" w:cs="FrankRuehl"/>
          <w:rtl/>
        </w:rPr>
      </w:pPr>
      <w:bookmarkStart w:id="3" w:name="LawTable"/>
      <w:bookmarkEnd w:id="3"/>
    </w:p>
    <w:p w14:paraId="1E7BBFDB" w14:textId="77777777" w:rsidR="00A37BC2" w:rsidRPr="00A37BC2" w:rsidRDefault="00A37BC2" w:rsidP="00A37BC2">
      <w:pPr>
        <w:spacing w:before="120" w:after="120" w:line="240" w:lineRule="exact"/>
        <w:ind w:left="283" w:hanging="283"/>
        <w:jc w:val="both"/>
        <w:rPr>
          <w:rFonts w:ascii="FrankRuehl" w:hAnsi="FrankRuehl" w:cs="FrankRuehl"/>
          <w:rtl/>
        </w:rPr>
      </w:pPr>
      <w:r w:rsidRPr="00A37BC2">
        <w:rPr>
          <w:rFonts w:ascii="FrankRuehl" w:hAnsi="FrankRuehl" w:cs="FrankRuehl"/>
          <w:rtl/>
        </w:rPr>
        <w:t xml:space="preserve">חקיקה שאוזכרה: </w:t>
      </w:r>
    </w:p>
    <w:p w14:paraId="0C7BF886" w14:textId="77777777" w:rsidR="00A37BC2" w:rsidRPr="00A37BC2" w:rsidRDefault="00A37BC2" w:rsidP="00A37BC2">
      <w:pPr>
        <w:spacing w:before="120" w:after="120" w:line="240" w:lineRule="exact"/>
        <w:ind w:left="283" w:hanging="283"/>
        <w:jc w:val="both"/>
        <w:rPr>
          <w:rFonts w:ascii="FrankRuehl" w:hAnsi="FrankRuehl" w:cs="FrankRuehl"/>
          <w:color w:val="0000FF"/>
          <w:rtl/>
        </w:rPr>
      </w:pPr>
      <w:hyperlink r:id="rId7" w:history="1">
        <w:r w:rsidRPr="00A37BC2">
          <w:rPr>
            <w:rStyle w:val="Hyperlink"/>
            <w:rFonts w:ascii="FrankRuehl" w:hAnsi="FrankRuehl" w:cs="FrankRuehl"/>
            <w:u w:val="none"/>
            <w:rtl/>
          </w:rPr>
          <w:t>פקודת הסמים המסוכנים [נוסח חדש], תשל"ג-1973</w:t>
        </w:r>
      </w:hyperlink>
      <w:r w:rsidRPr="00A37BC2">
        <w:rPr>
          <w:rFonts w:ascii="FrankRuehl" w:hAnsi="FrankRuehl" w:cs="FrankRuehl"/>
          <w:color w:val="0000FF"/>
          <w:rtl/>
        </w:rPr>
        <w:t xml:space="preserve">: סע'  </w:t>
      </w:r>
      <w:hyperlink r:id="rId8" w:history="1">
        <w:r w:rsidRPr="00A37BC2">
          <w:rPr>
            <w:rStyle w:val="Hyperlink"/>
            <w:rFonts w:ascii="FrankRuehl" w:hAnsi="FrankRuehl" w:cs="FrankRuehl"/>
            <w:u w:val="none"/>
          </w:rPr>
          <w:t>7.</w:t>
        </w:r>
        <w:r w:rsidRPr="00A37BC2">
          <w:rPr>
            <w:rStyle w:val="Hyperlink"/>
            <w:rFonts w:ascii="FrankRuehl" w:hAnsi="FrankRuehl" w:cs="FrankRuehl"/>
            <w:u w:val="none"/>
            <w:rtl/>
          </w:rPr>
          <w:t>א</w:t>
        </w:r>
        <w:r w:rsidRPr="00A37BC2">
          <w:rPr>
            <w:rStyle w:val="Hyperlink"/>
            <w:rFonts w:ascii="FrankRuehl" w:hAnsi="FrankRuehl" w:cs="FrankRuehl"/>
            <w:u w:val="none"/>
          </w:rPr>
          <w:t>.</w:t>
        </w:r>
      </w:hyperlink>
      <w:r w:rsidRPr="00A37BC2">
        <w:rPr>
          <w:rFonts w:ascii="FrankRuehl" w:hAnsi="FrankRuehl" w:cs="FrankRuehl"/>
          <w:color w:val="0000FF"/>
          <w:rtl/>
        </w:rPr>
        <w:t xml:space="preserve">, </w:t>
      </w:r>
      <w:hyperlink r:id="rId9" w:history="1">
        <w:r w:rsidRPr="00A37BC2">
          <w:rPr>
            <w:rStyle w:val="Hyperlink"/>
            <w:rFonts w:ascii="FrankRuehl" w:hAnsi="FrankRuehl" w:cs="FrankRuehl"/>
            <w:u w:val="none"/>
          </w:rPr>
          <w:t>7.</w:t>
        </w:r>
        <w:r w:rsidRPr="00A37BC2">
          <w:rPr>
            <w:rStyle w:val="Hyperlink"/>
            <w:rFonts w:ascii="FrankRuehl" w:hAnsi="FrankRuehl" w:cs="FrankRuehl"/>
            <w:u w:val="none"/>
            <w:rtl/>
          </w:rPr>
          <w:t>ג</w:t>
        </w:r>
      </w:hyperlink>
    </w:p>
    <w:p w14:paraId="0AF9D67E" w14:textId="77777777" w:rsidR="00A37BC2" w:rsidRPr="00A37BC2" w:rsidRDefault="00A37BC2" w:rsidP="00A37BC2">
      <w:pPr>
        <w:spacing w:before="120" w:after="120" w:line="240" w:lineRule="exact"/>
        <w:ind w:left="283" w:hanging="283"/>
        <w:jc w:val="both"/>
        <w:rPr>
          <w:rFonts w:ascii="FrankRuehl" w:hAnsi="FrankRuehl" w:cs="FrankRuehl"/>
          <w:color w:val="0000FF"/>
          <w:rtl/>
        </w:rPr>
      </w:pPr>
      <w:hyperlink r:id="rId10" w:history="1">
        <w:r w:rsidRPr="00A37BC2">
          <w:rPr>
            <w:rStyle w:val="Hyperlink"/>
            <w:rFonts w:ascii="FrankRuehl" w:hAnsi="FrankRuehl" w:cs="FrankRuehl"/>
            <w:u w:val="none"/>
            <w:rtl/>
          </w:rPr>
          <w:t>חוק העונשין, תשל"ז-1977</w:t>
        </w:r>
      </w:hyperlink>
      <w:r w:rsidRPr="00A37BC2">
        <w:rPr>
          <w:rFonts w:ascii="FrankRuehl" w:hAnsi="FrankRuehl" w:cs="FrankRuehl"/>
          <w:color w:val="0000FF"/>
          <w:rtl/>
        </w:rPr>
        <w:t xml:space="preserve">: סע'  </w:t>
      </w:r>
      <w:hyperlink r:id="rId11" w:history="1">
        <w:r w:rsidRPr="00A37BC2">
          <w:rPr>
            <w:rStyle w:val="Hyperlink"/>
            <w:rFonts w:ascii="FrankRuehl" w:hAnsi="FrankRuehl" w:cs="FrankRuehl"/>
            <w:u w:val="none"/>
          </w:rPr>
          <w:t>40</w:t>
        </w:r>
        <w:r w:rsidRPr="00A37BC2">
          <w:rPr>
            <w:rStyle w:val="Hyperlink"/>
            <w:rFonts w:ascii="FrankRuehl" w:hAnsi="FrankRuehl" w:cs="FrankRuehl"/>
            <w:u w:val="none"/>
            <w:rtl/>
          </w:rPr>
          <w:t>ב</w:t>
        </w:r>
      </w:hyperlink>
      <w:r w:rsidRPr="00A37BC2">
        <w:rPr>
          <w:rFonts w:ascii="FrankRuehl" w:hAnsi="FrankRuehl" w:cs="FrankRuehl"/>
          <w:color w:val="0000FF"/>
          <w:rtl/>
        </w:rPr>
        <w:t xml:space="preserve">, </w:t>
      </w:r>
      <w:hyperlink r:id="rId12" w:history="1">
        <w:r w:rsidRPr="00A37BC2">
          <w:rPr>
            <w:rStyle w:val="Hyperlink"/>
            <w:rFonts w:ascii="FrankRuehl" w:hAnsi="FrankRuehl" w:cs="FrankRuehl"/>
            <w:u w:val="none"/>
          </w:rPr>
          <w:t>40</w:t>
        </w:r>
        <w:r w:rsidRPr="00A37BC2">
          <w:rPr>
            <w:rStyle w:val="Hyperlink"/>
            <w:rFonts w:ascii="FrankRuehl" w:hAnsi="FrankRuehl" w:cs="FrankRuehl"/>
            <w:u w:val="none"/>
            <w:rtl/>
          </w:rPr>
          <w:t>ג</w:t>
        </w:r>
      </w:hyperlink>
      <w:r w:rsidRPr="00A37BC2">
        <w:rPr>
          <w:rFonts w:ascii="FrankRuehl" w:hAnsi="FrankRuehl" w:cs="FrankRuehl"/>
          <w:color w:val="0000FF"/>
          <w:rtl/>
        </w:rPr>
        <w:t xml:space="preserve">, </w:t>
      </w:r>
      <w:hyperlink r:id="rId13" w:history="1">
        <w:r w:rsidRPr="00A37BC2">
          <w:rPr>
            <w:rStyle w:val="Hyperlink"/>
            <w:rFonts w:ascii="FrankRuehl" w:hAnsi="FrankRuehl" w:cs="FrankRuehl"/>
            <w:u w:val="none"/>
          </w:rPr>
          <w:t>40</w:t>
        </w:r>
        <w:r w:rsidRPr="00A37BC2">
          <w:rPr>
            <w:rStyle w:val="Hyperlink"/>
            <w:rFonts w:ascii="FrankRuehl" w:hAnsi="FrankRuehl" w:cs="FrankRuehl"/>
            <w:u w:val="none"/>
            <w:rtl/>
          </w:rPr>
          <w:t>ג</w:t>
        </w:r>
      </w:hyperlink>
      <w:r w:rsidRPr="00A37BC2">
        <w:rPr>
          <w:rFonts w:ascii="FrankRuehl" w:hAnsi="FrankRuehl" w:cs="FrankRuehl"/>
          <w:color w:val="0000FF"/>
          <w:rtl/>
        </w:rPr>
        <w:t xml:space="preserve">(ב), </w:t>
      </w:r>
      <w:hyperlink r:id="rId14" w:history="1">
        <w:r w:rsidRPr="00A37BC2">
          <w:rPr>
            <w:rStyle w:val="Hyperlink"/>
            <w:rFonts w:ascii="FrankRuehl" w:hAnsi="FrankRuehl" w:cs="FrankRuehl"/>
            <w:u w:val="none"/>
          </w:rPr>
          <w:t>71</w:t>
        </w:r>
      </w:hyperlink>
    </w:p>
    <w:p w14:paraId="2DA660E3" w14:textId="77777777" w:rsidR="00A37BC2" w:rsidRPr="00A37BC2" w:rsidRDefault="00A37BC2" w:rsidP="00A37BC2">
      <w:pPr>
        <w:spacing w:before="120" w:after="120" w:line="240" w:lineRule="exact"/>
        <w:ind w:left="283" w:hanging="283"/>
        <w:jc w:val="both"/>
        <w:rPr>
          <w:rFonts w:ascii="FrankRuehl" w:hAnsi="FrankRuehl" w:cs="FrankRuehl"/>
          <w:color w:val="0000FF"/>
          <w:rtl/>
        </w:rPr>
      </w:pPr>
      <w:hyperlink r:id="rId15" w:history="1">
        <w:r w:rsidRPr="00A37BC2">
          <w:rPr>
            <w:rStyle w:val="Hyperlink"/>
            <w:rFonts w:ascii="FrankRuehl" w:hAnsi="FrankRuehl" w:cs="FrankRuehl"/>
            <w:u w:val="none"/>
            <w:rtl/>
          </w:rPr>
          <w:t>חוק סדר הדין הפלילי [נוסח משולב], תשמ"ב-1982</w:t>
        </w:r>
      </w:hyperlink>
      <w:r w:rsidRPr="00A37BC2">
        <w:rPr>
          <w:rFonts w:ascii="FrankRuehl" w:hAnsi="FrankRuehl" w:cs="FrankRuehl"/>
          <w:color w:val="0000FF"/>
          <w:rtl/>
        </w:rPr>
        <w:t xml:space="preserve">: סע'  </w:t>
      </w:r>
      <w:hyperlink r:id="rId16" w:history="1">
        <w:r w:rsidRPr="00A37BC2">
          <w:rPr>
            <w:rStyle w:val="Hyperlink"/>
            <w:rFonts w:ascii="FrankRuehl" w:hAnsi="FrankRuehl" w:cs="FrankRuehl"/>
            <w:u w:val="none"/>
          </w:rPr>
          <w:t>182</w:t>
        </w:r>
      </w:hyperlink>
      <w:r w:rsidRPr="00A37BC2">
        <w:rPr>
          <w:rFonts w:ascii="FrankRuehl" w:hAnsi="FrankRuehl" w:cs="FrankRuehl"/>
          <w:color w:val="0000FF"/>
          <w:rtl/>
        </w:rPr>
        <w:t xml:space="preserve">, </w:t>
      </w:r>
      <w:hyperlink r:id="rId17" w:history="1">
        <w:r w:rsidRPr="00A37BC2">
          <w:rPr>
            <w:rStyle w:val="Hyperlink"/>
            <w:rFonts w:ascii="FrankRuehl" w:hAnsi="FrankRuehl" w:cs="FrankRuehl"/>
            <w:u w:val="none"/>
          </w:rPr>
          <w:t>192</w:t>
        </w:r>
        <w:r w:rsidRPr="00A37BC2">
          <w:rPr>
            <w:rStyle w:val="Hyperlink"/>
            <w:rFonts w:ascii="FrankRuehl" w:hAnsi="FrankRuehl" w:cs="FrankRuehl"/>
            <w:u w:val="none"/>
            <w:rtl/>
          </w:rPr>
          <w:t>א</w:t>
        </w:r>
      </w:hyperlink>
    </w:p>
    <w:p w14:paraId="62DFB862" w14:textId="77777777" w:rsidR="00E71DC2" w:rsidRPr="00A37BC2" w:rsidRDefault="00E71DC2" w:rsidP="00A37BC2">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71DC2" w14:paraId="0EF6231C" w14:textId="77777777" w:rsidTr="00E71DC2">
        <w:trPr>
          <w:trHeight w:val="355"/>
          <w:jc w:val="center"/>
        </w:trPr>
        <w:tc>
          <w:tcPr>
            <w:tcW w:w="8820" w:type="dxa"/>
            <w:tcBorders>
              <w:top w:val="nil"/>
              <w:left w:val="nil"/>
              <w:bottom w:val="nil"/>
              <w:right w:val="nil"/>
            </w:tcBorders>
            <w:shd w:val="clear" w:color="auto" w:fill="auto"/>
          </w:tcPr>
          <w:p w14:paraId="3BB1723A" w14:textId="77777777" w:rsidR="000E63A8" w:rsidRPr="000E63A8" w:rsidRDefault="000E63A8" w:rsidP="000E63A8">
            <w:pPr>
              <w:jc w:val="center"/>
              <w:rPr>
                <w:rFonts w:ascii="David" w:hAnsi="David"/>
                <w:b/>
                <w:bCs/>
                <w:sz w:val="32"/>
                <w:szCs w:val="32"/>
                <w:u w:val="single"/>
                <w:rtl/>
              </w:rPr>
            </w:pPr>
            <w:bookmarkStart w:id="5" w:name="PsakDin" w:colFirst="0" w:colLast="0"/>
            <w:bookmarkEnd w:id="0"/>
            <w:r w:rsidRPr="000E63A8">
              <w:rPr>
                <w:rFonts w:ascii="David" w:hAnsi="David"/>
                <w:b/>
                <w:bCs/>
                <w:sz w:val="32"/>
                <w:szCs w:val="32"/>
                <w:u w:val="single"/>
                <w:rtl/>
              </w:rPr>
              <w:t>גזר דין (ללא הרשעה)</w:t>
            </w:r>
          </w:p>
          <w:p w14:paraId="2177E0C1" w14:textId="77777777" w:rsidR="00E71DC2" w:rsidRPr="000E63A8" w:rsidRDefault="00E71DC2" w:rsidP="000E63A8">
            <w:pPr>
              <w:jc w:val="center"/>
              <w:rPr>
                <w:rFonts w:ascii="David" w:hAnsi="David"/>
                <w:bCs/>
                <w:sz w:val="32"/>
                <w:szCs w:val="32"/>
                <w:u w:val="single"/>
                <w:rtl/>
              </w:rPr>
            </w:pPr>
          </w:p>
        </w:tc>
      </w:tr>
      <w:bookmarkEnd w:id="5"/>
    </w:tbl>
    <w:p w14:paraId="13AD983B" w14:textId="77777777" w:rsidR="00E71DC2" w:rsidRPr="000F2247" w:rsidRDefault="00E71DC2" w:rsidP="00E71DC2">
      <w:pPr>
        <w:rPr>
          <w:rFonts w:ascii="Arial" w:hAnsi="Arial"/>
          <w:b/>
          <w:bCs/>
          <w:sz w:val="26"/>
          <w:szCs w:val="26"/>
          <w:rtl/>
        </w:rPr>
      </w:pPr>
    </w:p>
    <w:p w14:paraId="05B5C59C" w14:textId="77777777" w:rsidR="00E71DC2" w:rsidRPr="000F2247" w:rsidRDefault="00E71DC2" w:rsidP="00E71DC2">
      <w:pPr>
        <w:rPr>
          <w:rFonts w:ascii="Arial" w:hAnsi="Arial"/>
          <w:b/>
          <w:bCs/>
          <w:sz w:val="26"/>
          <w:szCs w:val="26"/>
          <w:rtl/>
        </w:rPr>
      </w:pPr>
    </w:p>
    <w:p w14:paraId="296AB1AA"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bookmarkStart w:id="6" w:name="ABSTRACT_START"/>
      <w:bookmarkEnd w:id="6"/>
      <w:r>
        <w:rPr>
          <w:rFonts w:ascii="David" w:hAnsi="David" w:cs="David"/>
          <w:sz w:val="24"/>
          <w:szCs w:val="24"/>
          <w:rtl/>
        </w:rPr>
        <w:t xml:space="preserve">הנאשם הורשע בהתאם להודאתו בעובדות כתב האישום המתוקן בעבירת החזקת סמים שלא לצריכה עצמית לפי </w:t>
      </w:r>
      <w:hyperlink r:id="rId18" w:history="1">
        <w:r w:rsidR="00A37BC2" w:rsidRPr="00A37BC2">
          <w:rPr>
            <w:rStyle w:val="Hyperlink"/>
            <w:rFonts w:ascii="David" w:hAnsi="David" w:cs="David"/>
            <w:sz w:val="24"/>
            <w:szCs w:val="24"/>
            <w:rtl/>
          </w:rPr>
          <w:t>סעיף 7(א)+7(ג)</w:t>
        </w:r>
      </w:hyperlink>
      <w:r>
        <w:rPr>
          <w:rFonts w:ascii="David" w:hAnsi="David" w:cs="David"/>
          <w:sz w:val="24"/>
          <w:szCs w:val="24"/>
          <w:rtl/>
        </w:rPr>
        <w:t xml:space="preserve"> רישא ל</w:t>
      </w:r>
      <w:hyperlink r:id="rId19" w:history="1">
        <w:r w:rsidR="000E63A8" w:rsidRPr="000E63A8">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w:t>
      </w:r>
      <w:r>
        <w:rPr>
          <w:rFonts w:ascii="David" w:hAnsi="David" w:cs="David"/>
          <w:b/>
          <w:bCs/>
          <w:sz w:val="24"/>
          <w:szCs w:val="24"/>
          <w:rtl/>
        </w:rPr>
        <w:t>פקודת הסמים</w:t>
      </w:r>
      <w:r>
        <w:rPr>
          <w:rFonts w:ascii="David" w:hAnsi="David" w:cs="David"/>
          <w:sz w:val="24"/>
          <w:szCs w:val="24"/>
          <w:rtl/>
        </w:rPr>
        <w:t>).</w:t>
      </w:r>
    </w:p>
    <w:p w14:paraId="7D2E7EE0"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tl/>
        </w:rPr>
      </w:pPr>
      <w:bookmarkStart w:id="7" w:name="ABSTRACT_END"/>
      <w:bookmarkEnd w:id="7"/>
      <w:r>
        <w:rPr>
          <w:rFonts w:ascii="David" w:hAnsi="David" w:cs="David"/>
          <w:sz w:val="24"/>
          <w:szCs w:val="24"/>
          <w:rtl/>
        </w:rPr>
        <w:t xml:space="preserve">מעובדות כתב האישום המתוקן עולה כי בתאריך 03.08.22 בשעה 05:19 או בסמוך לכך, הנאשם החזיק ברכב מסוכן מסוג קוקאין במשקל נטו של 3 גרם שלא לצריכתו העצמית וללא היתר בפקודה או בתקנות או רישיון מאת המנהל. </w:t>
      </w:r>
    </w:p>
    <w:p w14:paraId="7BC65972"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ביום 22.01.24 הצדדים הודיעו כי הגיעו להסדר טיעון לפיו הנאשם יודה ויורשע בעובדות כתב האישום המתוקן, יופנה לקבלת תסקיר שירות המבחן, במסגרתו תיבחן לבקשת ב"כ הנאשם אפשרות ביטול ההרשעה, ולאחר קבלת התסקיר הצדדים יטענו לעונש באופן חופשי.</w:t>
      </w:r>
    </w:p>
    <w:p w14:paraId="03627735" w14:textId="77777777" w:rsidR="00E71DC2" w:rsidRDefault="00E71DC2" w:rsidP="00E71DC2">
      <w:pPr>
        <w:spacing w:before="120" w:after="120" w:line="360" w:lineRule="auto"/>
        <w:ind w:left="720"/>
        <w:rPr>
          <w:rFonts w:ascii="David" w:hAnsi="David"/>
        </w:rPr>
      </w:pPr>
      <w:r>
        <w:rPr>
          <w:rFonts w:ascii="David" w:hAnsi="David"/>
          <w:b/>
          <w:bCs/>
          <w:u w:val="single"/>
          <w:rtl/>
        </w:rPr>
        <w:t>תסקיר שירות המבחן</w:t>
      </w:r>
    </w:p>
    <w:p w14:paraId="7383EB6A" w14:textId="77777777" w:rsidR="00E71DC2" w:rsidRDefault="00E71DC2" w:rsidP="00E71DC2">
      <w:pPr>
        <w:pStyle w:val="aa"/>
        <w:numPr>
          <w:ilvl w:val="0"/>
          <w:numId w:val="1"/>
        </w:numPr>
        <w:spacing w:before="120" w:after="120" w:line="360" w:lineRule="auto"/>
        <w:contextualSpacing w:val="0"/>
        <w:jc w:val="both"/>
        <w:rPr>
          <w:rFonts w:ascii="David" w:hAnsi="David" w:cs="David"/>
          <w:b/>
          <w:bCs/>
          <w:sz w:val="24"/>
          <w:szCs w:val="24"/>
          <w:rtl/>
        </w:rPr>
      </w:pPr>
      <w:r>
        <w:rPr>
          <w:rFonts w:ascii="David" w:hAnsi="David" w:cs="David"/>
          <w:b/>
          <w:bCs/>
          <w:sz w:val="24"/>
          <w:szCs w:val="24"/>
          <w:rtl/>
        </w:rPr>
        <w:lastRenderedPageBreak/>
        <w:t>בעניינו של הנאשם הוגשו שני תסקירים, ביום 16.04.24 וביום 13.10.24.</w:t>
      </w:r>
    </w:p>
    <w:p w14:paraId="26EB466F"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מהתסקיר שהוגש ביום 16.04.24 עולה כי הנאשם בן 22, רווק, מתגורר בבית הוריו באופקים ועובד מזה מספר חודשים ברשת מזון בבאר שבע.</w:t>
      </w:r>
    </w:p>
    <w:p w14:paraId="2AF9CCCB"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שירות המבחן סקר את נסיבות חייו של הנאשם, המסגרת המשפחתית בה גדל, התבגרותו, קשיים שהתמודד עימם במהלך חייו, שירותו הצבאי כלוחם קרבי בחטיבת הנח"ל, תפקודו התעסוקתי ומצבו הרפואי. מהתסקיר עולה כי לפני כשנה וחצי הנאשם היה מעורב בתאונת דרכים, לאחריה היה מצוי באשפוז ממושך ובתהליך החלמה ומאז סובל מכאבים כרוניים בגבו.</w:t>
      </w:r>
    </w:p>
    <w:p w14:paraId="4C3251A0"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מסקירת ההיסטוריה העבריינית של הנאשם עולה כי הנאשם נעדר עבר פלילי. תיאר צריכת אלכוהול לא קבועה, שלל הימורים ומסר כי החל שימוש בסמים מסוג קנאביס בגיל 20 בנסיבות חברתיות. לטענתו, לאחר תאונת הדרכים שעבר היה מצוי בתקופת החלמה בה לא עבד, היה מצוי בחוסר מעש והחל לחבור לאנשים בעלי השפעה שלילית איתם בילה בתדירות גבוהה. הוא צרך קנאביס להקלה בכאביו ובהמשך החל להתנסות בסמים מסוג "קוקאין". הנאשם שלל תלות או התמכרות לסמים ולדבריו ממועד מעצרו בתיק הנוכחי הפסיק שימוש בסם מכל סוג שהוא וצורך משככי כאבים אחת לשבוע באופן מבוקר. 2 בדיקות שרידי סם שמסר הנאשם נמצאו נקיות. </w:t>
      </w:r>
    </w:p>
    <w:p w14:paraId="417244B6"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בהתייחס לנסיבות ביצוע העבירה, הנאשם הודה בביצוע העבירה, לקח אחריות מלאה ותלה סיבת ביצוע העבירה בכך שהסמים היו מיועדים לצריכה משותפת שלו ושל חבריו. לטענתו בעת נסיעה עם חבר ברכב נעצר על ידי המשטרה והסמים נתפסו בחיפוש שנערך ברכב. הנאשם תיאר בפני שירות המבחן כי ביצע את העבירה בתקופה משברית וקשה בחייו, הביע חרטה על מעשיו והשלכותיהם וטען כי הפיק מכך לקחים לעתיד. להתרשמות שירות המבחן העבירה בוצעה על רקע צריכת הסמים באותה עת, תוך הפעלת שיקול דעת לקוי וקושי בבחינה עצמית והצבת גבולות פנימיים. </w:t>
      </w:r>
    </w:p>
    <w:p w14:paraId="57C2CEEF"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הנאשם ביטא בפני שירות המבחן תחושות של בושה וכלימה על התנהלותו ומעורבותו ורצון להימנע ממעורבות נוספת בפלילים. </w:t>
      </w:r>
    </w:p>
    <w:p w14:paraId="67899857"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שירות המבחן התרשם כי הנאשם בעל יכולות טובות לביטוי אותנטי של מחשבותיו ורגשותיו, גדל בבית נורמטיבי ללא מחסור, שמר על רצף ויציבות במסגרות חייו השונות וניהל קשרים חברתיים נורמטיביים עד לתקופת ביצוע העבירה בה חבר לאנשים שליליים. כיום מטפל במצבו הבריאותי באופן נורמטיבי ודואג לצרכיו. עוד התרשם כי משפחתו מהווה עבורו עוגן משמעותי ויכול לשתפם ברגעי קושי, אם כי בוחר להסתיר קשייו.</w:t>
      </w:r>
    </w:p>
    <w:p w14:paraId="24A62291" w14:textId="77777777" w:rsidR="00E71DC2" w:rsidRDefault="00E71DC2" w:rsidP="00E71DC2">
      <w:pPr>
        <w:spacing w:before="120" w:after="120" w:line="360" w:lineRule="auto"/>
        <w:ind w:left="720"/>
        <w:jc w:val="both"/>
        <w:rPr>
          <w:rFonts w:ascii="David" w:hAnsi="David"/>
          <w:rtl/>
        </w:rPr>
      </w:pPr>
      <w:r>
        <w:rPr>
          <w:rFonts w:ascii="David" w:hAnsi="David"/>
          <w:rtl/>
        </w:rPr>
        <w:t xml:space="preserve">מנגד, שירות המבחן התרשם כי הנאשם היה מצוי לאורך חייו במסגרות שעטפו והכווינו אותו וכי במצב של צומת דרכים יתקשה להתמודד ועלול לאבד את דרכו וערכיו המוסריים </w:t>
      </w:r>
      <w:r>
        <w:rPr>
          <w:rFonts w:ascii="David" w:hAnsi="David"/>
          <w:rtl/>
        </w:rPr>
        <w:lastRenderedPageBreak/>
        <w:t>וגבולותיו הפנימיים עלולים להתערער. שירות המבחן ציין כי ללא שיח ולמידה עצמית קיים סיכון להישנות התנהגות עוברת חוק בעתיד.</w:t>
      </w:r>
    </w:p>
    <w:p w14:paraId="1488C9CE"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הנאשם שלל נזקקות טיפולית בתחום הסמים ומסר כי לא צורך מזה כשנתיים סמים מכל סוג שהוא. בנסיבות אלו ולאור תוצאות בדיקות שתן שמסר שירות המבחן לא מצא להפנותו לטיפול בתחום הסמים. יחד עם זאת, הנאשם נענה להצעת שירות המבחן לעבור תהליך טיפולי במסגרת קבוצה טיפולית ייעודית לאוכלוסיית צעירים עוברי חוק ונתבקשה תקופת דחייה של ארבעה חודשים.</w:t>
      </w:r>
    </w:p>
    <w:p w14:paraId="5EB28EFE" w14:textId="77777777" w:rsidR="00E71DC2" w:rsidRPr="00605216" w:rsidRDefault="00E71DC2" w:rsidP="00E71DC2">
      <w:pPr>
        <w:pStyle w:val="aa"/>
        <w:numPr>
          <w:ilvl w:val="0"/>
          <w:numId w:val="1"/>
        </w:numPr>
        <w:spacing w:before="120" w:after="120" w:line="360" w:lineRule="auto"/>
        <w:contextualSpacing w:val="0"/>
        <w:jc w:val="both"/>
        <w:rPr>
          <w:rFonts w:ascii="David" w:hAnsi="David" w:cs="David"/>
          <w:sz w:val="24"/>
          <w:szCs w:val="24"/>
        </w:rPr>
      </w:pPr>
      <w:r w:rsidRPr="00605216">
        <w:rPr>
          <w:rFonts w:ascii="David" w:hAnsi="David" w:cs="David"/>
          <w:sz w:val="24"/>
          <w:szCs w:val="24"/>
          <w:rtl/>
        </w:rPr>
        <w:t xml:space="preserve">מהתסקיר שהוגש ביום 13.10.24 עולה כי בתאריך 05.06.24 הנאשם השתלב בקבוצה טיפולית והשתתף במועד עריכת התסקיר ב-9 מתוך 10 מפגשים. שירות המבחן התרשם כי הנאשם למד ממעשיו, מפיק לקחים מהתנהגותו, מצר על מעורבותו בעבירה ושואף להטיב עם סביבתו ולשמור על התנהלות נורמטיבית. צוין כי הנאשם משתף פעולה באופן מלא, עובר תהליך משמעותי ועורך מאמצים רבים לשינוי דפוסיו והתנהגותו המכשילה וכי ממועד ביצוע העבירה לא נפתחו נגד הנאשם תיקים חדשים. </w:t>
      </w:r>
    </w:p>
    <w:p w14:paraId="03249818" w14:textId="77777777" w:rsidR="00E71DC2" w:rsidRPr="00605216"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hint="cs"/>
          <w:sz w:val="24"/>
          <w:szCs w:val="24"/>
          <w:rtl/>
        </w:rPr>
        <w:t>מ</w:t>
      </w:r>
      <w:r>
        <w:rPr>
          <w:rFonts w:ascii="David" w:hAnsi="David" w:cs="David"/>
          <w:sz w:val="24"/>
          <w:szCs w:val="24"/>
          <w:rtl/>
        </w:rPr>
        <w:t>דברי הנאשם</w:t>
      </w:r>
      <w:r>
        <w:rPr>
          <w:rFonts w:ascii="David" w:hAnsi="David" w:cs="David" w:hint="cs"/>
          <w:sz w:val="24"/>
          <w:szCs w:val="24"/>
          <w:rtl/>
        </w:rPr>
        <w:t xml:space="preserve"> לשירות המבחן</w:t>
      </w:r>
      <w:r>
        <w:rPr>
          <w:rFonts w:ascii="David" w:hAnsi="David" w:cs="David"/>
          <w:sz w:val="24"/>
          <w:szCs w:val="24"/>
          <w:rtl/>
        </w:rPr>
        <w:t xml:space="preserve"> </w:t>
      </w:r>
      <w:r>
        <w:rPr>
          <w:rFonts w:ascii="David" w:hAnsi="David" w:cs="David" w:hint="cs"/>
          <w:sz w:val="24"/>
          <w:szCs w:val="24"/>
          <w:rtl/>
        </w:rPr>
        <w:t xml:space="preserve">עולה כי </w:t>
      </w:r>
      <w:r>
        <w:rPr>
          <w:rFonts w:ascii="David" w:hAnsi="David" w:cs="David"/>
          <w:sz w:val="24"/>
          <w:szCs w:val="24"/>
          <w:rtl/>
        </w:rPr>
        <w:t xml:space="preserve">מזה מספר חודשים עובד עם דודו כטכנאי מערכות סולאריות, ניתק את קשריו החברתיים השליליים ונקי משימוש בסמים. הנאשם מסר כי הקבוצה הטיפולית מסייעת לו רבות, מצליח לשתף בקשייו את משפחתו ולבקש מהם סיוע. </w:t>
      </w:r>
    </w:p>
    <w:p w14:paraId="2DEB80D3"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להערכת שירות המבחן יש צורך בהמשך השתתפות הנאשם בקבוצה טיפולית לצורך הימנעות מהישנות התנהגות עוברת חוק בעתיד. שירות המבחן המליץ על ביטול הרשעתו בדין של הנאשם והטלת צו של"צ בהיקף גבוה וצו מבחן למשך שנה.</w:t>
      </w:r>
    </w:p>
    <w:p w14:paraId="3EB9E9A9" w14:textId="77777777" w:rsidR="00E71DC2" w:rsidRPr="00E71DC2" w:rsidRDefault="00E71DC2" w:rsidP="00E71DC2">
      <w:pPr>
        <w:spacing w:before="120" w:after="120" w:line="360" w:lineRule="auto"/>
        <w:ind w:left="720"/>
        <w:jc w:val="both"/>
        <w:rPr>
          <w:rFonts w:ascii="Calibri" w:eastAsia="Calibri" w:hAnsi="Calibri"/>
        </w:rPr>
      </w:pPr>
      <w:r>
        <w:rPr>
          <w:b/>
          <w:bCs/>
          <w:u w:val="single"/>
          <w:rtl/>
        </w:rPr>
        <w:t>טענות הצדדים לעניין העונש:</w:t>
      </w:r>
      <w:r>
        <w:rPr>
          <w:rtl/>
        </w:rPr>
        <w:t xml:space="preserve">   </w:t>
      </w:r>
    </w:p>
    <w:p w14:paraId="7D45BC0D"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עתרה למתחם ענישה הנע בין 8 חודשי מאסר ל-18 חודשי מאסר בפועל לצד ענישה נלווית, היא הפנתה למספר גזרי דין בתמיכה לעמדתה העונשית, אתייחס אליהם בהמשך. </w:t>
      </w:r>
    </w:p>
    <w:p w14:paraId="774C3FBF" w14:textId="77777777" w:rsidR="00E71DC2" w:rsidRPr="00E71DC2" w:rsidRDefault="00E71DC2" w:rsidP="00E71DC2">
      <w:pPr>
        <w:pStyle w:val="aa"/>
        <w:numPr>
          <w:ilvl w:val="0"/>
          <w:numId w:val="1"/>
        </w:numPr>
        <w:spacing w:before="120" w:after="120" w:line="360" w:lineRule="auto"/>
        <w:contextualSpacing w:val="0"/>
        <w:jc w:val="both"/>
        <w:rPr>
          <w:rFonts w:cs="David"/>
          <w:sz w:val="24"/>
          <w:szCs w:val="24"/>
        </w:rPr>
      </w:pPr>
      <w:r>
        <w:rPr>
          <w:rFonts w:ascii="David" w:hAnsi="David" w:cs="David"/>
          <w:sz w:val="24"/>
          <w:szCs w:val="24"/>
          <w:rtl/>
        </w:rPr>
        <w:t xml:space="preserve">ב"כ המאשימה עמדה בטיעונים לעונש על הערכים המוגנים שנפגעים בעבירות סמים, על התוצאות הקשות הנובעות מביצוע העבירות ועל הצורך בהתמודדות עם עבירות אלו בצורה אפקטיבית כדי למנוע התפשטותן. </w:t>
      </w:r>
    </w:p>
    <w:p w14:paraId="43367A7F"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בנסיבות הקשורות לביצוע העבירה ב"כ המאשימה ביקש</w:t>
      </w:r>
      <w:r>
        <w:rPr>
          <w:rFonts w:ascii="David" w:hAnsi="David" w:cs="David" w:hint="cs"/>
          <w:sz w:val="24"/>
          <w:szCs w:val="24"/>
          <w:rtl/>
        </w:rPr>
        <w:t>ה</w:t>
      </w:r>
      <w:r>
        <w:rPr>
          <w:rFonts w:ascii="David" w:hAnsi="David" w:cs="David"/>
          <w:sz w:val="24"/>
          <w:szCs w:val="24"/>
          <w:rtl/>
        </w:rPr>
        <w:t xml:space="preserve"> להתחשב בכמות וסוג הסמים שנתפסו אצל הנאשם ובעובדה שהנאשם החזיק את הסמים ברכבו.</w:t>
      </w:r>
    </w:p>
    <w:p w14:paraId="1C063A92"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בנסיבות שאינן קשורות לביצוע העבירה, ב"כ המאשימה טענה כי הנאשם נעדר עבר פלילי, הודה בהזדמנות הראשונה וחסך זמן שיפוטי יקר. המאשימה הפנתה לתסקיר שירות המבחן ממנו עולה כי הנאשם ניתק קשרים חברתיים עם אנשים מעברו שהשפיעו על התנהגויות שליליות ושימוש לסמים וכי שואף בסיום ההליך להשתלב בתפקיד ביטחוני או משטרתי. </w:t>
      </w:r>
    </w:p>
    <w:p w14:paraId="3601C41D" w14:textId="77777777" w:rsidR="00E71DC2" w:rsidRPr="00E71DC2" w:rsidRDefault="00E71DC2" w:rsidP="00E71DC2">
      <w:pPr>
        <w:pStyle w:val="aa"/>
        <w:numPr>
          <w:ilvl w:val="0"/>
          <w:numId w:val="1"/>
        </w:numPr>
        <w:spacing w:before="120" w:after="120" w:line="360" w:lineRule="auto"/>
        <w:contextualSpacing w:val="0"/>
        <w:jc w:val="both"/>
        <w:rPr>
          <w:rFonts w:cs="David"/>
          <w:sz w:val="24"/>
          <w:szCs w:val="24"/>
        </w:rPr>
      </w:pPr>
      <w:r>
        <w:rPr>
          <w:rFonts w:cs="David"/>
          <w:sz w:val="24"/>
          <w:szCs w:val="24"/>
          <w:rtl/>
        </w:rPr>
        <w:t xml:space="preserve">לגבי אפשרות סטייה ממתחם הענישה, ב"כ המאשימה טענה כי השתתפות הנאשם ב-9 מפגשים במסגרת ההליך הטיפולי, לא מהווה הליך טיפולי משמעותי שמצדיק חריגה קיצונית כהמלצת שירות המבחן ממתחם הענישה הנוהגת. </w:t>
      </w:r>
    </w:p>
    <w:p w14:paraId="7CCD548A" w14:textId="77777777" w:rsidR="00E71DC2" w:rsidRDefault="00E71DC2" w:rsidP="00E71DC2">
      <w:pPr>
        <w:pStyle w:val="aa"/>
        <w:numPr>
          <w:ilvl w:val="0"/>
          <w:numId w:val="1"/>
        </w:numPr>
        <w:spacing w:before="120" w:after="120" w:line="360" w:lineRule="auto"/>
        <w:contextualSpacing w:val="0"/>
        <w:jc w:val="both"/>
        <w:rPr>
          <w:rFonts w:cs="David"/>
          <w:sz w:val="24"/>
          <w:szCs w:val="24"/>
        </w:rPr>
      </w:pPr>
      <w:r>
        <w:rPr>
          <w:rFonts w:cs="David"/>
          <w:sz w:val="24"/>
          <w:szCs w:val="24"/>
          <w:rtl/>
        </w:rPr>
        <w:t xml:space="preserve">באשר לבקשת הנאשם לבטל את הרשעתו ב"כ המאשימה טענה כי לא הוכחו התנאים הקבועים בהלכת כתב לסיום הליך ללא הרשעה – נסיבות העבירה הן חמורות ואינן מאפשרות את ביטול ההרשעה ולא הוכחה פגיעה אפשרית בשיקום ובתעסוקת הנאשם. </w:t>
      </w:r>
    </w:p>
    <w:p w14:paraId="6C312153" w14:textId="77777777" w:rsidR="00E71DC2" w:rsidRDefault="00E71DC2" w:rsidP="00E71DC2">
      <w:pPr>
        <w:pStyle w:val="aa"/>
        <w:numPr>
          <w:ilvl w:val="0"/>
          <w:numId w:val="1"/>
        </w:numPr>
        <w:spacing w:before="120" w:after="120" w:line="360" w:lineRule="auto"/>
        <w:contextualSpacing w:val="0"/>
        <w:jc w:val="both"/>
        <w:rPr>
          <w:rFonts w:cs="David"/>
          <w:sz w:val="24"/>
          <w:szCs w:val="24"/>
        </w:rPr>
      </w:pPr>
      <w:r>
        <w:rPr>
          <w:rFonts w:cs="David"/>
          <w:sz w:val="24"/>
          <w:szCs w:val="24"/>
          <w:rtl/>
        </w:rPr>
        <w:t>בתוך המתחם ב"כ המאשימה עתרה למקם את הנאשם בשליש התחתון של המתחם לצד מאסר על תנאי, קנס, פסילת רישיון נהיגה בפועל ועל תנאי והתחייבות להימנע מביצוע עבירה.</w:t>
      </w:r>
    </w:p>
    <w:p w14:paraId="33D85C46" w14:textId="77777777" w:rsidR="00E71DC2" w:rsidRDefault="00E71DC2" w:rsidP="00E71DC2">
      <w:pPr>
        <w:pStyle w:val="aa"/>
        <w:numPr>
          <w:ilvl w:val="0"/>
          <w:numId w:val="1"/>
        </w:numPr>
        <w:spacing w:before="120" w:after="120" w:line="360" w:lineRule="auto"/>
        <w:contextualSpacing w:val="0"/>
        <w:jc w:val="both"/>
        <w:rPr>
          <w:rFonts w:ascii="David" w:hAnsi="David" w:cs="David"/>
          <w:b/>
          <w:bCs/>
          <w:sz w:val="24"/>
          <w:szCs w:val="24"/>
          <w:u w:val="single"/>
        </w:rPr>
      </w:pPr>
      <w:r>
        <w:rPr>
          <w:rFonts w:cs="David"/>
          <w:b/>
          <w:bCs/>
          <w:sz w:val="24"/>
          <w:szCs w:val="24"/>
          <w:rtl/>
        </w:rPr>
        <w:t>ב"כ הנאשם</w:t>
      </w:r>
      <w:r>
        <w:rPr>
          <w:rFonts w:cs="David"/>
          <w:sz w:val="24"/>
          <w:szCs w:val="24"/>
          <w:rtl/>
        </w:rPr>
        <w:t xml:space="preserve"> עתרה לבטל את הרשעת הנאשם ולהשית על הנאשם צו מבחן ושל"צ בהתאם להמלצת שירות המבחן. </w:t>
      </w:r>
      <w:r>
        <w:rPr>
          <w:rFonts w:ascii="David" w:hAnsi="David" w:cs="David"/>
          <w:b/>
          <w:bCs/>
          <w:sz w:val="24"/>
          <w:szCs w:val="24"/>
          <w:u w:val="single"/>
          <w:rtl/>
        </w:rPr>
        <w:t xml:space="preserve"> </w:t>
      </w:r>
    </w:p>
    <w:p w14:paraId="0E58AB4C" w14:textId="77777777" w:rsidR="00E71DC2" w:rsidRDefault="00E71DC2" w:rsidP="00E71DC2">
      <w:pPr>
        <w:pStyle w:val="aa"/>
        <w:numPr>
          <w:ilvl w:val="0"/>
          <w:numId w:val="1"/>
        </w:numPr>
        <w:spacing w:before="120" w:after="120" w:line="360" w:lineRule="auto"/>
        <w:contextualSpacing w:val="0"/>
        <w:jc w:val="both"/>
        <w:rPr>
          <w:rFonts w:ascii="David" w:hAnsi="David" w:cs="David"/>
          <w:b/>
          <w:bCs/>
          <w:sz w:val="24"/>
          <w:szCs w:val="24"/>
          <w:u w:val="single"/>
        </w:rPr>
      </w:pPr>
      <w:r>
        <w:rPr>
          <w:rFonts w:cs="David"/>
          <w:sz w:val="24"/>
          <w:szCs w:val="24"/>
          <w:rtl/>
        </w:rPr>
        <w:t xml:space="preserve"> </w:t>
      </w:r>
      <w:r>
        <w:rPr>
          <w:rFonts w:ascii="David" w:hAnsi="David" w:cs="David"/>
          <w:sz w:val="24"/>
          <w:szCs w:val="24"/>
          <w:rtl/>
        </w:rPr>
        <w:t xml:space="preserve">לטענת ב"כ הנאשם, מתקיימים בענייננו התנאים שנקבעו בהלכת כתב לאי הרשעה. </w:t>
      </w:r>
    </w:p>
    <w:p w14:paraId="7AB0291F" w14:textId="77777777" w:rsidR="00E71DC2" w:rsidRPr="00E71DC2" w:rsidRDefault="00E71DC2" w:rsidP="00E71DC2">
      <w:pPr>
        <w:pStyle w:val="aa"/>
        <w:spacing w:before="120" w:after="120" w:line="360" w:lineRule="auto"/>
        <w:contextualSpacing w:val="0"/>
        <w:jc w:val="both"/>
        <w:rPr>
          <w:rFonts w:cs="David"/>
          <w:sz w:val="24"/>
          <w:szCs w:val="24"/>
        </w:rPr>
      </w:pPr>
      <w:r>
        <w:rPr>
          <w:rFonts w:ascii="David" w:hAnsi="David" w:cs="David"/>
          <w:sz w:val="24"/>
          <w:szCs w:val="24"/>
          <w:rtl/>
        </w:rPr>
        <w:t>באשר לנסיבות ביצוע העבירה נטען כי מדובר במעידה חד פעמית שבוצעה בחוסר שיקול דעת על רקע שימוש של הנאשם בחומרים משני תודעה לאחר שהיה מעורב בתאונת דרכים שגרמה לו לפציעה קשה וטלטלה את התנהלותו. ב"כ הנאשם ביקשה לתת משקל גבוה להליך השיקום שעבר הנאשם,</w:t>
      </w:r>
      <w:r>
        <w:rPr>
          <w:rFonts w:cs="David"/>
          <w:sz w:val="24"/>
          <w:szCs w:val="24"/>
          <w:rtl/>
        </w:rPr>
        <w:t xml:space="preserve"> שכלל שילוב בקבוצה של צעירים שמטרתה לתת לו כלים להתמודדות במצבים שונים</w:t>
      </w:r>
      <w:r>
        <w:rPr>
          <w:rFonts w:ascii="David" w:hAnsi="David" w:cs="David"/>
          <w:sz w:val="24"/>
          <w:szCs w:val="24"/>
          <w:rtl/>
        </w:rPr>
        <w:t>, וכן לעובדה ש</w:t>
      </w:r>
      <w:r>
        <w:rPr>
          <w:rFonts w:cs="David"/>
          <w:sz w:val="24"/>
          <w:szCs w:val="24"/>
          <w:rtl/>
        </w:rPr>
        <w:t>הנאשם נקי משימוש בסמים, ניתק קשר עם אנשים שוליים ועל פי חוות דעת שירות המבחן אין צורך טיפולי בתחום הסמים.</w:t>
      </w:r>
    </w:p>
    <w:p w14:paraId="53267209"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 xml:space="preserve">באשר לאפשרות פגיעה חמורה בשיקום, </w:t>
      </w:r>
      <w:r>
        <w:rPr>
          <w:rFonts w:cs="David"/>
          <w:sz w:val="24"/>
          <w:szCs w:val="24"/>
          <w:rtl/>
        </w:rPr>
        <w:t>נטען כי הרשעתו בדין עלולה לפגוע בתעסוקתו העתידית ויכולתו להתפרנס</w:t>
      </w:r>
      <w:r>
        <w:rPr>
          <w:rFonts w:ascii="David" w:hAnsi="David" w:cs="David"/>
          <w:sz w:val="24"/>
          <w:szCs w:val="24"/>
          <w:rtl/>
        </w:rPr>
        <w:t xml:space="preserve"> בהיותו </w:t>
      </w:r>
      <w:r>
        <w:rPr>
          <w:rFonts w:cs="David"/>
          <w:sz w:val="24"/>
          <w:szCs w:val="24"/>
          <w:rtl/>
        </w:rPr>
        <w:t xml:space="preserve">בחור צעיר בן 22 שנמצא בתחילת דרכו המקצועית ומעוניין להתגייס למשטרת ישראל. </w:t>
      </w:r>
    </w:p>
    <w:p w14:paraId="04F1B324" w14:textId="77777777" w:rsidR="00E71DC2" w:rsidRPr="00E71DC2" w:rsidRDefault="00E71DC2" w:rsidP="00E71DC2">
      <w:pPr>
        <w:pStyle w:val="aa"/>
        <w:numPr>
          <w:ilvl w:val="0"/>
          <w:numId w:val="1"/>
        </w:numPr>
        <w:spacing w:before="120" w:after="120" w:line="360" w:lineRule="auto"/>
        <w:contextualSpacing w:val="0"/>
        <w:jc w:val="both"/>
        <w:rPr>
          <w:rFonts w:cs="David"/>
          <w:sz w:val="24"/>
          <w:szCs w:val="24"/>
        </w:rPr>
      </w:pPr>
      <w:r>
        <w:rPr>
          <w:rFonts w:cs="David"/>
          <w:sz w:val="24"/>
          <w:szCs w:val="24"/>
          <w:rtl/>
        </w:rPr>
        <w:t xml:space="preserve">לחילופין ככל שלא תבוטל הרשעת הנאשם, ב"כ הנאשם ביקשה להסתפק בענישה צופה פני עתיד.  </w:t>
      </w:r>
    </w:p>
    <w:p w14:paraId="477226D2" w14:textId="77777777" w:rsidR="00E71DC2" w:rsidRDefault="00E71DC2" w:rsidP="00E71DC2">
      <w:pPr>
        <w:pStyle w:val="aa"/>
        <w:numPr>
          <w:ilvl w:val="0"/>
          <w:numId w:val="1"/>
        </w:numPr>
        <w:spacing w:before="120" w:after="120" w:line="360" w:lineRule="auto"/>
        <w:contextualSpacing w:val="0"/>
        <w:jc w:val="both"/>
        <w:rPr>
          <w:rFonts w:cs="David"/>
          <w:sz w:val="24"/>
          <w:szCs w:val="24"/>
        </w:rPr>
      </w:pPr>
      <w:r>
        <w:rPr>
          <w:rFonts w:cs="David"/>
          <w:sz w:val="24"/>
          <w:szCs w:val="24"/>
          <w:rtl/>
        </w:rPr>
        <w:t>בנסיבות שאינן קשורות לביצוע העבירה ב"כ הנאשם טענה שהנאשם הוא רווק, בן 22, בן בכור במשפחה נורמטיבית להורים המשרתים בשב"ס, שירת שירות צבאי מלא בחטיבת הנח"ל כלוחם. הנאשם נעדר עבר פלילי ונעדר דפוסים עברייניים, הודה בהזדמנות הראשונה וחסך זמן שיפוטי, לקח אחריות מלאה על מעשיו, מביע חרטה ומפיק לקחים לעתיד. בנוסף ב"כ המאשימה ביקשה להתחשב בזמן שחלף מביצוע העבירה (כשנתיים) במהלכו לא נפתחו נגד הנאשם תיקים חדשים.</w:t>
      </w:r>
    </w:p>
    <w:p w14:paraId="01482FB8"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ביחס לבקשת המאשימה לפסול את רישיון הנהיגה של הנאשם, ב"כ הנאשם ביקשה להשית פסילה על תנאי בלבד וטענה כי פסילת רישיון הנהיגה שלו תפגע ביכולתו להמשיך בעבודתו כמתקין מערכות סולריות המתנייד עם רכבו.</w:t>
      </w:r>
    </w:p>
    <w:p w14:paraId="495B48C3" w14:textId="77777777" w:rsidR="00E71DC2" w:rsidRDefault="00E71DC2" w:rsidP="00E71DC2">
      <w:pPr>
        <w:pStyle w:val="aa"/>
        <w:numPr>
          <w:ilvl w:val="0"/>
          <w:numId w:val="1"/>
        </w:numPr>
        <w:spacing w:before="120" w:after="120" w:line="360" w:lineRule="auto"/>
        <w:ind w:left="714" w:hanging="357"/>
        <w:contextualSpacing w:val="0"/>
        <w:jc w:val="both"/>
        <w:rPr>
          <w:rFonts w:ascii="David" w:hAnsi="David" w:cs="David"/>
          <w:b/>
          <w:bCs/>
          <w:sz w:val="28"/>
          <w:szCs w:val="28"/>
          <w:u w:val="single"/>
        </w:rPr>
      </w:pPr>
      <w:r>
        <w:rPr>
          <w:rFonts w:cs="David"/>
          <w:b/>
          <w:bCs/>
          <w:sz w:val="24"/>
          <w:szCs w:val="24"/>
          <w:rtl/>
        </w:rPr>
        <w:t xml:space="preserve">הנאשם בדברו האחרון </w:t>
      </w:r>
      <w:r>
        <w:rPr>
          <w:rFonts w:cs="David"/>
          <w:sz w:val="24"/>
          <w:szCs w:val="24"/>
          <w:rtl/>
        </w:rPr>
        <w:t>טען "אני מודע לעבירה שעשיתי, זה היה לפני שנתיים-שנתיים וחצי, מאז לא נגעתי בשום דבר. אני רוצה להתגייס ליס"מ וזה תנאי היחידה לגיוס. אבקש התחשבות".</w:t>
      </w:r>
    </w:p>
    <w:p w14:paraId="4E032D0B" w14:textId="77777777" w:rsidR="00E71DC2" w:rsidRDefault="00E71DC2" w:rsidP="00E71DC2">
      <w:pPr>
        <w:pStyle w:val="aa"/>
        <w:spacing w:before="120" w:after="120" w:line="360" w:lineRule="auto"/>
        <w:ind w:left="714"/>
        <w:contextualSpacing w:val="0"/>
        <w:jc w:val="both"/>
        <w:rPr>
          <w:rFonts w:cs="David"/>
          <w:b/>
          <w:bCs/>
          <w:sz w:val="24"/>
          <w:szCs w:val="24"/>
          <w:rtl/>
        </w:rPr>
      </w:pPr>
    </w:p>
    <w:p w14:paraId="6AE3D9E2" w14:textId="77777777" w:rsidR="00E71DC2" w:rsidRDefault="00E71DC2" w:rsidP="00E71DC2">
      <w:pPr>
        <w:pStyle w:val="aa"/>
        <w:spacing w:before="120" w:after="120" w:line="360" w:lineRule="auto"/>
        <w:ind w:left="714"/>
        <w:contextualSpacing w:val="0"/>
        <w:jc w:val="both"/>
        <w:rPr>
          <w:rFonts w:ascii="David" w:hAnsi="David" w:cs="David"/>
          <w:b/>
          <w:bCs/>
          <w:sz w:val="28"/>
          <w:szCs w:val="28"/>
          <w:u w:val="single"/>
        </w:rPr>
      </w:pPr>
    </w:p>
    <w:p w14:paraId="422A999B" w14:textId="77777777" w:rsidR="00E71DC2" w:rsidRDefault="00E71DC2" w:rsidP="00E71DC2">
      <w:pPr>
        <w:pStyle w:val="aa"/>
        <w:spacing w:before="120" w:after="120" w:line="360" w:lineRule="auto"/>
        <w:ind w:left="714"/>
        <w:contextualSpacing w:val="0"/>
        <w:jc w:val="both"/>
        <w:rPr>
          <w:rFonts w:ascii="David" w:hAnsi="David" w:cs="David"/>
          <w:b/>
          <w:bCs/>
          <w:color w:val="FF0000"/>
          <w:sz w:val="28"/>
          <w:szCs w:val="28"/>
          <w:u w:val="single"/>
        </w:rPr>
      </w:pPr>
      <w:r>
        <w:rPr>
          <w:rFonts w:ascii="David" w:hAnsi="David" w:cs="David"/>
          <w:b/>
          <w:bCs/>
          <w:sz w:val="24"/>
          <w:szCs w:val="24"/>
          <w:u w:val="single"/>
          <w:rtl/>
        </w:rPr>
        <w:t>ראיות לעונש</w:t>
      </w:r>
    </w:p>
    <w:p w14:paraId="7753955D" w14:textId="77777777" w:rsidR="00E71DC2" w:rsidRDefault="00E71DC2" w:rsidP="00E71DC2">
      <w:pPr>
        <w:pStyle w:val="aa"/>
        <w:numPr>
          <w:ilvl w:val="0"/>
          <w:numId w:val="1"/>
        </w:numPr>
        <w:spacing w:before="120" w:after="120" w:line="360" w:lineRule="auto"/>
        <w:contextualSpacing w:val="0"/>
        <w:jc w:val="both"/>
        <w:rPr>
          <w:rFonts w:ascii="David" w:hAnsi="David" w:cs="David"/>
          <w:b/>
          <w:bCs/>
          <w:sz w:val="24"/>
          <w:szCs w:val="24"/>
          <w:u w:val="single"/>
          <w:rtl/>
        </w:rPr>
      </w:pPr>
      <w:r>
        <w:rPr>
          <w:rFonts w:ascii="David" w:hAnsi="David" w:cs="David"/>
          <w:sz w:val="24"/>
          <w:szCs w:val="24"/>
          <w:rtl/>
        </w:rPr>
        <w:t xml:space="preserve">המאשימה הגישה גיליון רישום תעבורתי של הנאשם (ת/1) – לחובת הנאשם 4 עבירות תעבורה (3 עבירות ברירת קנס והרשעה בעבירה 1 בבית משפט לתעבורה). מטעם הנאשם העידו הוריו, הגב' כרמית תמיר ומר אורן תמיר.  </w:t>
      </w:r>
    </w:p>
    <w:p w14:paraId="5C960A9E" w14:textId="77777777" w:rsidR="00E71DC2" w:rsidRDefault="00E71DC2" w:rsidP="00E71DC2">
      <w:pPr>
        <w:pStyle w:val="aa"/>
        <w:numPr>
          <w:ilvl w:val="0"/>
          <w:numId w:val="1"/>
        </w:numPr>
        <w:spacing w:before="120" w:after="120" w:line="360" w:lineRule="auto"/>
        <w:contextualSpacing w:val="0"/>
        <w:jc w:val="both"/>
        <w:rPr>
          <w:rFonts w:ascii="David" w:hAnsi="David" w:cs="David"/>
          <w:b/>
          <w:bCs/>
          <w:sz w:val="24"/>
          <w:szCs w:val="24"/>
          <w:u w:val="single"/>
        </w:rPr>
      </w:pPr>
      <w:r>
        <w:rPr>
          <w:rFonts w:ascii="David" w:hAnsi="David" w:cs="David"/>
          <w:sz w:val="24"/>
          <w:szCs w:val="24"/>
          <w:rtl/>
        </w:rPr>
        <w:t>הגב' כרמית תמיר, אימו של הנאשם סיפרה כי היא עובדת בשירות בתי הסוהר וטענה כי העבירה בה הורשע בנה לא מתאימה לאופי המשפחה. לטענתה, הנאשם שירת שירות צבאי בחטיבת נח"ל במטרה להתגייס למשטרה בצאתו לאזרחות וחרף פציעתו חזר לצה"ל כדי לסיים את השירות. האם טענה כי מדובר במעידה חד פעמית שהנאשם לקח עליה אחריות וציינה כי הותרת ההרשעה על כנה תפגע ביכולתו להתגייס למשטרה.</w:t>
      </w:r>
    </w:p>
    <w:p w14:paraId="032236BB" w14:textId="77777777" w:rsidR="00E71DC2" w:rsidRDefault="00E71DC2" w:rsidP="00E71DC2">
      <w:pPr>
        <w:pStyle w:val="aa"/>
        <w:numPr>
          <w:ilvl w:val="0"/>
          <w:numId w:val="1"/>
        </w:numPr>
        <w:spacing w:before="120" w:after="120" w:line="360" w:lineRule="auto"/>
        <w:contextualSpacing w:val="0"/>
        <w:jc w:val="both"/>
        <w:rPr>
          <w:rFonts w:ascii="David" w:hAnsi="David" w:cs="David"/>
          <w:b/>
          <w:bCs/>
          <w:sz w:val="24"/>
          <w:szCs w:val="24"/>
          <w:u w:val="single"/>
        </w:rPr>
      </w:pPr>
      <w:r>
        <w:rPr>
          <w:rFonts w:ascii="David" w:hAnsi="David" w:cs="David"/>
          <w:sz w:val="24"/>
          <w:szCs w:val="24"/>
          <w:rtl/>
        </w:rPr>
        <w:t>מר אורן תמיר, אביו של הנאשם סיפר כי הוא עובד כקצין אג"מ בשירות בתי הסוהר בבית הסוהר קציעות. האב פנה לבית המשפט בבקשה לתת לנאשם הזדמנות להמשיך בחייו וטען כי מדובר במעידה חד פעמית שלא מאפיינת את אופי המשפחה ושלא תחזור בשנית. לטענתו, הנאשם ננזף על העבירה, המשפחה עברה דירה לעיר אחרת והנאשם ניתק את קשריו החבריים השליליים.</w:t>
      </w:r>
    </w:p>
    <w:p w14:paraId="529A438D" w14:textId="77777777" w:rsidR="00E71DC2" w:rsidRDefault="00E71DC2" w:rsidP="00E71DC2">
      <w:pPr>
        <w:pStyle w:val="aa"/>
        <w:tabs>
          <w:tab w:val="left" w:pos="3513"/>
        </w:tabs>
        <w:spacing w:before="120" w:after="120" w:line="360" w:lineRule="auto"/>
        <w:contextualSpacing w:val="0"/>
        <w:jc w:val="both"/>
        <w:rPr>
          <w:rFonts w:ascii="David" w:hAnsi="David" w:cs="David"/>
          <w:b/>
          <w:bCs/>
          <w:sz w:val="24"/>
          <w:szCs w:val="24"/>
          <w:u w:val="single"/>
        </w:rPr>
      </w:pPr>
      <w:r>
        <w:rPr>
          <w:rFonts w:ascii="David" w:hAnsi="David" w:cs="David"/>
          <w:b/>
          <w:bCs/>
          <w:sz w:val="24"/>
          <w:szCs w:val="24"/>
          <w:u w:val="single"/>
          <w:rtl/>
        </w:rPr>
        <w:t>דיון והכרעה:</w:t>
      </w:r>
    </w:p>
    <w:p w14:paraId="031E6B18" w14:textId="77777777" w:rsidR="00E71DC2" w:rsidRPr="00E71DC2" w:rsidRDefault="00E71DC2" w:rsidP="00E71DC2">
      <w:pPr>
        <w:pStyle w:val="aa"/>
        <w:numPr>
          <w:ilvl w:val="0"/>
          <w:numId w:val="1"/>
        </w:numPr>
        <w:spacing w:before="120" w:after="120" w:line="360" w:lineRule="auto"/>
        <w:contextualSpacing w:val="0"/>
        <w:jc w:val="both"/>
        <w:rPr>
          <w:rFonts w:ascii="David" w:hAnsi="David" w:cs="David"/>
          <w:sz w:val="24"/>
          <w:szCs w:val="24"/>
          <w:rtl/>
        </w:rPr>
      </w:pPr>
      <w:r>
        <w:rPr>
          <w:rFonts w:ascii="David" w:hAnsi="David" w:cs="David"/>
          <w:sz w:val="24"/>
          <w:szCs w:val="24"/>
          <w:rtl/>
        </w:rPr>
        <w:t>בהתאם לתיקון 113 ל</w:t>
      </w:r>
      <w:hyperlink r:id="rId20" w:history="1">
        <w:r w:rsidR="000E63A8" w:rsidRPr="000E63A8">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w:t>
      </w:r>
      <w:r>
        <w:rPr>
          <w:rFonts w:ascii="David" w:hAnsi="David" w:cs="David"/>
          <w:b/>
          <w:bCs/>
          <w:sz w:val="24"/>
          <w:szCs w:val="24"/>
          <w:rtl/>
        </w:rPr>
        <w:t>חוק העונשין</w:t>
      </w:r>
      <w:r>
        <w:rPr>
          <w:rFonts w:ascii="David" w:hAnsi="David" w:cs="David"/>
          <w:sz w:val="24"/>
          <w:szCs w:val="24"/>
          <w:rtl/>
        </w:rPr>
        <w:t xml:space="preserve">), גזירת דין מורכבת משלושה שלבים עיקריים: </w:t>
      </w:r>
    </w:p>
    <w:p w14:paraId="40FF2D4B" w14:textId="77777777" w:rsidR="00E71DC2" w:rsidRDefault="00E71DC2" w:rsidP="00E71DC2">
      <w:pPr>
        <w:pStyle w:val="aa"/>
        <w:numPr>
          <w:ilvl w:val="0"/>
          <w:numId w:val="2"/>
        </w:numPr>
        <w:spacing w:before="120" w:after="120" w:line="360" w:lineRule="auto"/>
        <w:ind w:hanging="357"/>
        <w:contextualSpacing w:val="0"/>
        <w:jc w:val="both"/>
        <w:rPr>
          <w:rFonts w:ascii="David" w:hAnsi="David" w:cs="David"/>
          <w:sz w:val="24"/>
          <w:szCs w:val="24"/>
        </w:rPr>
      </w:pPr>
      <w:r>
        <w:rPr>
          <w:rFonts w:ascii="David" w:hAnsi="David" w:cs="David"/>
          <w:sz w:val="24"/>
          <w:szCs w:val="24"/>
          <w:rtl/>
        </w:rPr>
        <w:t xml:space="preserve">קביעת מתחם העונש ההולם בהתאם </w:t>
      </w:r>
      <w:hyperlink r:id="rId21" w:history="1">
        <w:r w:rsidR="00A37BC2" w:rsidRPr="00A37BC2">
          <w:rPr>
            <w:rStyle w:val="Hyperlink"/>
            <w:rFonts w:ascii="David" w:hAnsi="David" w:cs="David"/>
            <w:sz w:val="24"/>
            <w:szCs w:val="24"/>
            <w:rtl/>
          </w:rPr>
          <w:t>לסעיף 40ג</w:t>
        </w:r>
      </w:hyperlink>
      <w:r>
        <w:rPr>
          <w:rFonts w:ascii="David" w:hAnsi="David" w:cs="David"/>
          <w:sz w:val="24"/>
          <w:szCs w:val="24"/>
          <w:rtl/>
        </w:rPr>
        <w:t xml:space="preserve"> ל</w:t>
      </w:r>
      <w:hyperlink r:id="rId22" w:history="1">
        <w:r w:rsidR="000E63A8" w:rsidRPr="000E63A8">
          <w:rPr>
            <w:rFonts w:ascii="David" w:hAnsi="David" w:cs="David"/>
            <w:color w:val="0000FF"/>
            <w:sz w:val="24"/>
            <w:szCs w:val="24"/>
            <w:u w:val="single"/>
            <w:rtl/>
          </w:rPr>
          <w:t>חוק העונשין</w:t>
        </w:r>
      </w:hyperlink>
      <w:r>
        <w:rPr>
          <w:rFonts w:ascii="David" w:hAnsi="David" w:cs="David"/>
          <w:sz w:val="24"/>
          <w:szCs w:val="24"/>
          <w:rtl/>
        </w:rPr>
        <w:t>.</w:t>
      </w:r>
    </w:p>
    <w:p w14:paraId="18796B38" w14:textId="77777777" w:rsidR="00E71DC2" w:rsidRDefault="00E71DC2" w:rsidP="00E71DC2">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בחינת חריגה ממתחם העונש ההולם בין לקולא בין לחומרא.</w:t>
      </w:r>
    </w:p>
    <w:p w14:paraId="05130D14" w14:textId="77777777" w:rsidR="00E71DC2" w:rsidRDefault="00E71DC2" w:rsidP="00E71DC2">
      <w:pPr>
        <w:pStyle w:val="aa"/>
        <w:numPr>
          <w:ilvl w:val="0"/>
          <w:numId w:val="2"/>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קביעת העונש המתאים בתוך מתחם העונש ההולם בהתאם </w:t>
      </w:r>
      <w:hyperlink r:id="rId23" w:history="1">
        <w:r w:rsidR="00A37BC2" w:rsidRPr="00A37BC2">
          <w:rPr>
            <w:rStyle w:val="Hyperlink"/>
            <w:rFonts w:ascii="David" w:hAnsi="David" w:cs="David"/>
            <w:sz w:val="24"/>
            <w:szCs w:val="24"/>
            <w:rtl/>
          </w:rPr>
          <w:t>לסעיף 40ג(ב)</w:t>
        </w:r>
      </w:hyperlink>
      <w:r>
        <w:rPr>
          <w:rFonts w:ascii="David" w:hAnsi="David" w:cs="David"/>
          <w:sz w:val="24"/>
          <w:szCs w:val="24"/>
          <w:rtl/>
        </w:rPr>
        <w:t xml:space="preserve"> ל</w:t>
      </w:r>
      <w:hyperlink r:id="rId24" w:history="1">
        <w:r w:rsidR="000E63A8" w:rsidRPr="000E63A8">
          <w:rPr>
            <w:rFonts w:ascii="David" w:hAnsi="David" w:cs="David"/>
            <w:color w:val="0000FF"/>
            <w:sz w:val="24"/>
            <w:szCs w:val="24"/>
            <w:u w:val="single"/>
            <w:rtl/>
          </w:rPr>
          <w:t>חוק העונשין</w:t>
        </w:r>
      </w:hyperlink>
      <w:r>
        <w:rPr>
          <w:rFonts w:ascii="David" w:hAnsi="David" w:cs="David"/>
          <w:sz w:val="24"/>
          <w:szCs w:val="24"/>
          <w:rtl/>
        </w:rPr>
        <w:t>.</w:t>
      </w:r>
    </w:p>
    <w:p w14:paraId="46E9618D" w14:textId="77777777" w:rsidR="00E71DC2" w:rsidRDefault="00E71DC2" w:rsidP="00E71DC2">
      <w:pPr>
        <w:spacing w:before="120" w:after="120" w:line="360" w:lineRule="auto"/>
        <w:ind w:left="720"/>
        <w:jc w:val="both"/>
        <w:rPr>
          <w:rFonts w:ascii="David" w:hAnsi="David"/>
          <w:b/>
          <w:bCs/>
          <w:rtl/>
        </w:rPr>
      </w:pPr>
      <w:r>
        <w:rPr>
          <w:rFonts w:ascii="David" w:hAnsi="David"/>
          <w:b/>
          <w:bCs/>
          <w:u w:val="single"/>
          <w:rtl/>
        </w:rPr>
        <w:t>קביעת מתחם העונש ההולם</w:t>
      </w:r>
      <w:r>
        <w:rPr>
          <w:rFonts w:ascii="David" w:hAnsi="David"/>
          <w:b/>
          <w:bCs/>
          <w:rtl/>
        </w:rPr>
        <w:t xml:space="preserve"> -</w:t>
      </w:r>
    </w:p>
    <w:p w14:paraId="02503B4A"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5" w:history="1">
        <w:r w:rsidR="00A37BC2" w:rsidRPr="00A37BC2">
          <w:rPr>
            <w:rStyle w:val="Hyperlink"/>
            <w:rFonts w:ascii="David" w:hAnsi="David" w:cs="David"/>
            <w:sz w:val="24"/>
            <w:szCs w:val="24"/>
            <w:rtl/>
          </w:rPr>
          <w:t>סעיף 40ב</w:t>
        </w:r>
      </w:hyperlink>
      <w:r>
        <w:rPr>
          <w:rFonts w:ascii="David" w:hAnsi="David" w:cs="David"/>
          <w:sz w:val="24"/>
          <w:szCs w:val="24"/>
          <w:rtl/>
        </w:rPr>
        <w:t xml:space="preserve"> ל</w:t>
      </w:r>
      <w:hyperlink r:id="rId26" w:history="1">
        <w:r w:rsidR="000E63A8" w:rsidRPr="000E63A8">
          <w:rPr>
            <w:rFonts w:ascii="David" w:hAnsi="David" w:cs="David"/>
            <w:color w:val="0000FF"/>
            <w:sz w:val="24"/>
            <w:szCs w:val="24"/>
            <w:u w:val="single"/>
            <w:rtl/>
          </w:rPr>
          <w:t>חוק העונשין</w:t>
        </w:r>
      </w:hyperlink>
      <w:r>
        <w:rPr>
          <w:rFonts w:ascii="David" w:hAnsi="David" w:cs="David"/>
          <w:sz w:val="24"/>
          <w:szCs w:val="24"/>
          <w:rtl/>
        </w:rPr>
        <w:t>, העיקרון המנחה את בית המשפט בקביעת מתחם העונש ההולם למעשה עבירה הוא יחס הולם בין חומרת המעשה בנסיבות המקרה ומידת אשמו של הנאשם לבין סוג העונש המוטל עליו ומידתו.</w:t>
      </w:r>
    </w:p>
    <w:p w14:paraId="5AFF29EC"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בהתאם להוראת </w:t>
      </w:r>
      <w:hyperlink r:id="rId27" w:history="1">
        <w:r w:rsidR="00A37BC2" w:rsidRPr="00A37BC2">
          <w:rPr>
            <w:rStyle w:val="Hyperlink"/>
            <w:rFonts w:ascii="David" w:hAnsi="David" w:cs="David"/>
            <w:sz w:val="24"/>
            <w:szCs w:val="24"/>
            <w:rtl/>
          </w:rPr>
          <w:t>סעיף 40ג(ב)</w:t>
        </w:r>
      </w:hyperlink>
      <w:r>
        <w:rPr>
          <w:rFonts w:ascii="David" w:hAnsi="David" w:cs="David"/>
          <w:sz w:val="24"/>
          <w:szCs w:val="24"/>
          <w:rtl/>
        </w:rPr>
        <w:t xml:space="preserve"> ל</w:t>
      </w:r>
      <w:hyperlink r:id="rId28" w:history="1">
        <w:r w:rsidR="000E63A8" w:rsidRPr="000E63A8">
          <w:rPr>
            <w:rFonts w:ascii="David" w:hAnsi="David" w:cs="David"/>
            <w:color w:val="0000FF"/>
            <w:sz w:val="24"/>
            <w:szCs w:val="24"/>
            <w:u w:val="single"/>
            <w:rtl/>
          </w:rPr>
          <w:t>חוק העונשין</w:t>
        </w:r>
      </w:hyperlink>
      <w:r>
        <w:rPr>
          <w:rFonts w:ascii="David" w:hAnsi="David" w:cs="David"/>
          <w:sz w:val="24"/>
          <w:szCs w:val="24"/>
          <w:rtl/>
        </w:rPr>
        <w:t xml:space="preserve"> בקביעת מתחם העונש ההולם יתחשב בית המשפט בערכים החברתיים שנפגעו מביצוע העבירה, במידת הפגיעה בהם, במדיניות הענישה הנוהגת ובנסיבות הקשורות בביצוע העבירה.</w:t>
      </w:r>
    </w:p>
    <w:p w14:paraId="09F82ABE"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 xml:space="preserve">הערכים החברתיים שנפגעים מביצוע עבירות על פי </w:t>
      </w:r>
      <w:hyperlink r:id="rId29" w:history="1">
        <w:r w:rsidR="000E63A8" w:rsidRPr="000E63A8">
          <w:rPr>
            <w:rFonts w:ascii="David" w:hAnsi="David" w:cs="David"/>
            <w:b/>
            <w:bCs/>
            <w:color w:val="0000FF"/>
            <w:sz w:val="24"/>
            <w:szCs w:val="24"/>
            <w:u w:val="single"/>
            <w:rtl/>
          </w:rPr>
          <w:t>פקודת הסמים המסוכנים</w:t>
        </w:r>
      </w:hyperlink>
      <w:r>
        <w:rPr>
          <w:rFonts w:ascii="David" w:hAnsi="David" w:cs="David"/>
          <w:sz w:val="24"/>
          <w:szCs w:val="24"/>
          <w:rtl/>
        </w:rPr>
        <w:t xml:space="preserve"> : עבירות על פי פקודת הסמים המסוכנים פוגעות בשלטון החוק; פוגעות בבריאות הציבור בכך שהן עלולות לגרום נזקים גופניים ונפשיים ישירים למשתמשים, אשר יכול ויצריכו טיפול רפואי שעלותו נופלת על החברה; הן עבירות מחוללות פשיעה בהיותן מהוות תמריץ לביצוע עבירות אחרות, כגון עבירות רכוש ואלימות לשם רכישת הסמים והפצתם ויש בהן כדי לפגוע בביטחון הציבור. </w:t>
      </w:r>
    </w:p>
    <w:p w14:paraId="108C63A3"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בתי המשפט שבו והדגישו את ההכרח להיאבק בנגע הסמים והצורך להעביר מסר מרתיע מפני ביצוע עבירות אלו  על ידי הטלת עונשים מחמירים על מי שנותן ידו להפיכת הסמים לזמינים ונגישים. </w:t>
      </w:r>
    </w:p>
    <w:p w14:paraId="74D728EC"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ר' בענין זה</w:t>
      </w:r>
      <w:r w:rsidR="000E63A8">
        <w:rPr>
          <w:rFonts w:ascii="David" w:hAnsi="David" w:cs="David"/>
          <w:sz w:val="24"/>
          <w:szCs w:val="24"/>
          <w:rtl/>
        </w:rPr>
        <w:t xml:space="preserve"> </w:t>
      </w:r>
      <w:hyperlink r:id="rId30" w:history="1">
        <w:r w:rsidR="000E63A8" w:rsidRPr="000E63A8">
          <w:rPr>
            <w:rFonts w:ascii="David" w:hAnsi="David" w:cs="David"/>
            <w:color w:val="0000FF"/>
            <w:sz w:val="24"/>
            <w:szCs w:val="24"/>
            <w:u w:val="single"/>
            <w:rtl/>
          </w:rPr>
          <w:t>ע"פ 1345/08</w:t>
        </w:r>
      </w:hyperlink>
      <w:r w:rsidR="000E63A8">
        <w:rPr>
          <w:rFonts w:ascii="David" w:hAnsi="David" w:cs="David"/>
          <w:sz w:val="24"/>
          <w:szCs w:val="24"/>
          <w:rtl/>
        </w:rPr>
        <w:t xml:space="preserve"> </w:t>
      </w:r>
      <w:r>
        <w:rPr>
          <w:rFonts w:ascii="David" w:hAnsi="David" w:cs="David"/>
          <w:b/>
          <w:bCs/>
          <w:sz w:val="24"/>
          <w:szCs w:val="24"/>
          <w:u w:val="single"/>
          <w:rtl/>
        </w:rPr>
        <w:t>ארקדי איסטחרוב נ' מדינת ישראל</w:t>
      </w:r>
      <w:r w:rsidR="000E63A8">
        <w:rPr>
          <w:rFonts w:ascii="David" w:hAnsi="David" w:cs="David"/>
          <w:sz w:val="24"/>
          <w:szCs w:val="24"/>
          <w:rtl/>
        </w:rPr>
        <w:t xml:space="preserve"> </w:t>
      </w:r>
      <w:r>
        <w:rPr>
          <w:rFonts w:ascii="David" w:hAnsi="David" w:cs="David"/>
          <w:sz w:val="24"/>
          <w:szCs w:val="24"/>
          <w:rtl/>
        </w:rPr>
        <w:t>(18.05.09)‏‏</w:t>
      </w:r>
      <w:r>
        <w:rPr>
          <w:rFonts w:ascii="David" w:hAnsi="David" w:cs="David" w:hint="cs"/>
          <w:sz w:val="24"/>
          <w:szCs w:val="24"/>
          <w:rtl/>
        </w:rPr>
        <w:t>.</w:t>
      </w:r>
    </w:p>
    <w:p w14:paraId="7D49D539" w14:textId="77777777" w:rsidR="00E71DC2" w:rsidRDefault="00E71DC2" w:rsidP="00E71DC2">
      <w:pPr>
        <w:pStyle w:val="aa"/>
        <w:numPr>
          <w:ilvl w:val="0"/>
          <w:numId w:val="1"/>
        </w:numPr>
        <w:shd w:val="clear" w:color="auto" w:fill="FFFFFF"/>
        <w:spacing w:before="120" w:after="120" w:line="360" w:lineRule="auto"/>
        <w:contextualSpacing w:val="0"/>
        <w:jc w:val="both"/>
        <w:rPr>
          <w:rFonts w:ascii="David" w:hAnsi="David" w:cs="David"/>
          <w:b/>
          <w:bCs/>
          <w:color w:val="FF0000"/>
          <w:sz w:val="24"/>
          <w:szCs w:val="24"/>
          <w:u w:val="single"/>
          <w:rtl/>
        </w:rPr>
      </w:pPr>
      <w:r>
        <w:rPr>
          <w:rFonts w:ascii="David" w:hAnsi="David" w:cs="David"/>
          <w:b/>
          <w:bCs/>
          <w:sz w:val="24"/>
          <w:szCs w:val="24"/>
          <w:u w:val="single"/>
          <w:rtl/>
        </w:rPr>
        <w:t>מידת הפגיעה בערכים החברתיים המוגנים בענייננו:</w:t>
      </w:r>
      <w:r>
        <w:rPr>
          <w:rFonts w:ascii="David" w:hAnsi="David" w:cs="David"/>
          <w:sz w:val="24"/>
          <w:szCs w:val="24"/>
          <w:rtl/>
        </w:rPr>
        <w:t xml:space="preserve"> מדובר בסם מסוכן מסוג קוקאין הנמנה עם "הסמים הקשים" במשקל 3 גרם, שהוא פי 10 מהכמות המוגדרת ככמות לצריכה עצמית,  שהוחזק ברכב שבבעלות הנאשם. מנגד, הסמים לא היו מחולקים ולא נתפסו לצד הסמים עזרים שיש בהם כדי להעיד על כוונת הפצה. בנסיבות אלה, מידת הפגיעה בערכים המוגנים היא בינונית.</w:t>
      </w:r>
    </w:p>
    <w:p w14:paraId="1485F6B4"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b/>
          <w:bCs/>
          <w:sz w:val="24"/>
          <w:szCs w:val="24"/>
          <w:u w:val="single"/>
          <w:rtl/>
        </w:rPr>
        <w:t>מדיניות הענישה הנוהגת</w:t>
      </w:r>
      <w:r>
        <w:rPr>
          <w:rFonts w:ascii="David" w:hAnsi="David" w:cs="David"/>
          <w:sz w:val="24"/>
          <w:szCs w:val="24"/>
          <w:rtl/>
        </w:rPr>
        <w:t xml:space="preserve"> - בחינת מדיניות הענישה הנוהגת בעבירות החזקת סמים שלא לצריכה עצמית מעלה כי מנעד הענישה בעבירות של החזקת סמים שלא לצריכה עצמית הוא רחב ותלוי בסוג הסם, כמות הסם ואם יש אינדיקציות לכוונת הפצה (מקום החזקת הסם, שקיות חלוקה, משקלים אלקטרוניים וכיוב') כמפורט להלן:</w:t>
      </w:r>
    </w:p>
    <w:p w14:paraId="725608C4" w14:textId="77777777" w:rsidR="00E71DC2" w:rsidRDefault="000E63A8" w:rsidP="00E71DC2">
      <w:pPr>
        <w:pStyle w:val="filenumber0"/>
        <w:numPr>
          <w:ilvl w:val="0"/>
          <w:numId w:val="3"/>
        </w:numPr>
        <w:bidi/>
        <w:spacing w:before="120" w:beforeAutospacing="0" w:after="120" w:afterAutospacing="0" w:line="360" w:lineRule="auto"/>
        <w:jc w:val="both"/>
        <w:rPr>
          <w:rFonts w:ascii="David" w:hAnsi="David" w:cs="David"/>
          <w:color w:val="000000"/>
          <w:rtl/>
        </w:rPr>
      </w:pPr>
      <w:hyperlink r:id="rId31" w:history="1">
        <w:r w:rsidRPr="000E63A8">
          <w:rPr>
            <w:rFonts w:ascii="David" w:hAnsi="David" w:cs="David"/>
            <w:color w:val="0000FF"/>
            <w:u w:val="single"/>
            <w:rtl/>
          </w:rPr>
          <w:t>רע"פ 8510/22</w:t>
        </w:r>
      </w:hyperlink>
      <w:r w:rsidR="00E71DC2">
        <w:rPr>
          <w:rFonts w:ascii="David" w:hAnsi="David" w:cs="David"/>
          <w:color w:val="000000"/>
          <w:rtl/>
        </w:rPr>
        <w:t xml:space="preserve"> ‏</w:t>
      </w:r>
      <w:r w:rsidR="00E71DC2">
        <w:rPr>
          <w:rFonts w:ascii="David" w:hAnsi="David" w:cs="David"/>
          <w:b/>
          <w:bCs/>
          <w:color w:val="000000"/>
          <w:u w:val="single"/>
          <w:rtl/>
        </w:rPr>
        <w:t>איאד דיאב נ' מדינת ישראל</w:t>
      </w:r>
      <w:r w:rsidR="00E71DC2">
        <w:rPr>
          <w:rFonts w:ascii="David" w:hAnsi="David" w:cs="David"/>
          <w:color w:val="000000"/>
          <w:rtl/>
        </w:rPr>
        <w:t xml:space="preserve"> (26.12.22): הנאשם הורשע לאחר שמיעת ראיות בעבירת החזקת סמים לאחר שהחזיק ברכבו קוקאין במשקל של כ-4.9098 גרם נטו מחולק ל-21 מנות. נקבע מתחם ענישה הנע בין מספר חודשי מאסר ל-18 חודשי מאסר בפועל ונגזר על הנאשם בשים לב להיותו נעדר עבר פלילי, אלמן ואב ל-4 ילדים קטנים ולחלוף הזמן (כ-5 שנים) 6 חודשי מאסר לריצוי בעבודות שירות לצד עונשים נלווים. ערעור ובקשת רשות ערעור על הכרעת הדין נדחו.</w:t>
      </w:r>
    </w:p>
    <w:p w14:paraId="699B3BF0" w14:textId="77777777" w:rsidR="00E71DC2" w:rsidRPr="00605216" w:rsidRDefault="000E63A8" w:rsidP="00E71DC2">
      <w:pPr>
        <w:pStyle w:val="aa"/>
        <w:numPr>
          <w:ilvl w:val="0"/>
          <w:numId w:val="3"/>
        </w:numPr>
        <w:spacing w:before="120" w:after="120" w:line="360" w:lineRule="auto"/>
        <w:ind w:left="924" w:hanging="357"/>
        <w:contextualSpacing w:val="0"/>
        <w:jc w:val="both"/>
        <w:rPr>
          <w:rStyle w:val="Hyperlink"/>
          <w:sz w:val="24"/>
          <w:szCs w:val="24"/>
        </w:rPr>
      </w:pPr>
      <w:hyperlink r:id="rId32" w:history="1">
        <w:r w:rsidRPr="000E63A8">
          <w:rPr>
            <w:rStyle w:val="Hyperlink"/>
            <w:rFonts w:ascii="David" w:hAnsi="David" w:cs="David"/>
            <w:sz w:val="24"/>
            <w:szCs w:val="24"/>
            <w:rtl/>
          </w:rPr>
          <w:t>רע"פ 1473/18</w:t>
        </w:r>
      </w:hyperlink>
      <w:r>
        <w:rPr>
          <w:rStyle w:val="Hyperlink"/>
          <w:rFonts w:ascii="David" w:hAnsi="David" w:cs="David"/>
          <w:sz w:val="24"/>
          <w:szCs w:val="24"/>
          <w:rtl/>
        </w:rPr>
        <w:t xml:space="preserve"> </w:t>
      </w:r>
      <w:r w:rsidR="00E71DC2" w:rsidRPr="00605216">
        <w:rPr>
          <w:rStyle w:val="Hyperlink"/>
          <w:rFonts w:ascii="David" w:hAnsi="David" w:cs="David"/>
          <w:b/>
          <w:bCs/>
          <w:sz w:val="24"/>
          <w:szCs w:val="24"/>
          <w:rtl/>
        </w:rPr>
        <w:t>שמואל אוחיון נ' מדינת ישראל</w:t>
      </w:r>
      <w:r>
        <w:rPr>
          <w:rStyle w:val="Hyperlink"/>
          <w:rFonts w:ascii="David" w:hAnsi="David" w:cs="David"/>
          <w:sz w:val="24"/>
          <w:szCs w:val="24"/>
          <w:rtl/>
        </w:rPr>
        <w:t xml:space="preserve"> </w:t>
      </w:r>
      <w:r w:rsidR="00E71DC2" w:rsidRPr="00605216">
        <w:rPr>
          <w:rStyle w:val="Hyperlink"/>
          <w:rFonts w:ascii="David" w:hAnsi="David" w:cs="David"/>
          <w:sz w:val="24"/>
          <w:szCs w:val="24"/>
          <w:rtl/>
        </w:rPr>
        <w:t>(22.04.18), אליו הפנתה ב"כ המאשימה: הנאשם החזיק בביתו 5 יחידות סם קוקאין במשקל כולל של כ-2.10 גרם. בית משפט השלום קבע מתחם הנע בין מאסר מותנה ל-12 חודשי מאסר וגזר עונשו למאסר מותנה.</w:t>
      </w:r>
      <w:r>
        <w:rPr>
          <w:rStyle w:val="Hyperlink"/>
          <w:rFonts w:ascii="David" w:hAnsi="David" w:cs="David"/>
          <w:sz w:val="24"/>
          <w:szCs w:val="24"/>
          <w:rtl/>
        </w:rPr>
        <w:t xml:space="preserve"> </w:t>
      </w:r>
      <w:r w:rsidR="00E71DC2" w:rsidRPr="00605216">
        <w:rPr>
          <w:rStyle w:val="Hyperlink"/>
          <w:rFonts w:ascii="David" w:hAnsi="David" w:cs="David"/>
          <w:sz w:val="24"/>
          <w:szCs w:val="24"/>
          <w:rtl/>
        </w:rPr>
        <w:t>ערעור לבית המשפט המחוזי התקבל ונקבע כי מתחם העונש ההולם לנסיבות העבירה נע בין 6 ל-12 חודשי מאסר לריצוי בפועל. צוין כי "</w:t>
      </w:r>
      <w:r w:rsidR="00E71DC2" w:rsidRPr="00605216">
        <w:rPr>
          <w:rStyle w:val="Hyperlink"/>
          <w:rFonts w:ascii="David" w:hAnsi="David" w:cs="David"/>
          <w:b/>
          <w:bCs/>
          <w:sz w:val="24"/>
          <w:szCs w:val="24"/>
          <w:rtl/>
        </w:rPr>
        <w:t>אין הצדקה במקרה דנן להציב רף תחתון נמוך יותר, לנוכח הכמות המשמעותית של הסם המסוכן, אשר חולק למנות, וכן לאור העובדה, כי הסם נקנה עבור מסיבת רווקים".</w:t>
      </w:r>
      <w:r w:rsidR="00E71DC2" w:rsidRPr="00605216">
        <w:rPr>
          <w:rStyle w:val="Hyperlink"/>
          <w:rFonts w:ascii="David" w:hAnsi="David" w:cs="David"/>
          <w:sz w:val="24"/>
          <w:szCs w:val="24"/>
          <w:rtl/>
        </w:rPr>
        <w:t xml:space="preserve"> בשל שיקולי שיקום, בית המשפט חרג לקולא מהמתחם שקבע וגזר על הנאשם 2 חודשי מאסר שירוצו בעבודות שירות. בקשת רשות ערעור נדחתה.</w:t>
      </w:r>
    </w:p>
    <w:p w14:paraId="03576665" w14:textId="77777777" w:rsidR="00E71DC2" w:rsidRDefault="000E63A8" w:rsidP="00E71DC2">
      <w:pPr>
        <w:pStyle w:val="aa"/>
        <w:numPr>
          <w:ilvl w:val="0"/>
          <w:numId w:val="3"/>
        </w:numPr>
        <w:spacing w:before="120" w:after="120" w:line="360" w:lineRule="auto"/>
        <w:ind w:left="924" w:hanging="357"/>
        <w:contextualSpacing w:val="0"/>
        <w:jc w:val="both"/>
        <w:rPr>
          <w:rtl/>
        </w:rPr>
      </w:pPr>
      <w:hyperlink r:id="rId33" w:history="1">
        <w:r w:rsidRPr="000E63A8">
          <w:rPr>
            <w:rFonts w:ascii="David" w:hAnsi="David" w:cs="David"/>
            <w:color w:val="0000FF"/>
            <w:sz w:val="24"/>
            <w:szCs w:val="24"/>
            <w:u w:val="single"/>
            <w:rtl/>
          </w:rPr>
          <w:t>עפ"ג 6761-02-15</w:t>
        </w:r>
      </w:hyperlink>
      <w:r>
        <w:rPr>
          <w:rFonts w:ascii="David" w:hAnsi="David" w:cs="David"/>
          <w:sz w:val="24"/>
          <w:szCs w:val="24"/>
          <w:rtl/>
        </w:rPr>
        <w:t xml:space="preserve"> </w:t>
      </w:r>
      <w:r w:rsidR="00E71DC2">
        <w:rPr>
          <w:rFonts w:ascii="David" w:hAnsi="David" w:cs="David"/>
          <w:b/>
          <w:bCs/>
          <w:sz w:val="24"/>
          <w:szCs w:val="24"/>
          <w:u w:val="single"/>
          <w:rtl/>
        </w:rPr>
        <w:t>יאיר כהן נ' מדינת ישראל</w:t>
      </w:r>
      <w:r>
        <w:rPr>
          <w:rFonts w:ascii="David" w:hAnsi="David" w:cs="David"/>
          <w:sz w:val="24"/>
          <w:szCs w:val="24"/>
          <w:rtl/>
        </w:rPr>
        <w:t xml:space="preserve"> </w:t>
      </w:r>
      <w:r w:rsidR="00E71DC2">
        <w:rPr>
          <w:rFonts w:ascii="David" w:hAnsi="David" w:cs="David"/>
          <w:sz w:val="24"/>
          <w:szCs w:val="24"/>
          <w:rtl/>
        </w:rPr>
        <w:t>(29.04.15): הנאשם החזיק בדירתו קוקאין במשקל נטו של 4.9820 לצד משקל אלקטרוני. נקבע מתחם ענישה הנע בין 8 ל-18 חודשי מאסר בפועל ונגזרו על הנאשם, בעל עבד פלילי מכביד, 14 חודשי מאסר לצד עונשים נלווים ובהם 3 שנים פסילת רישיון נהיגה. ערעור לבית המשפט המחוזי נדחה למעט התערבות בתקופת פסילת הרישיון שנקבעה לשנה אחת.</w:t>
      </w:r>
    </w:p>
    <w:p w14:paraId="4AFFDC00" w14:textId="77777777" w:rsidR="00E71DC2" w:rsidRPr="00533170" w:rsidRDefault="000E63A8" w:rsidP="00E71DC2">
      <w:pPr>
        <w:pStyle w:val="aa"/>
        <w:numPr>
          <w:ilvl w:val="0"/>
          <w:numId w:val="3"/>
        </w:numPr>
        <w:spacing w:before="120" w:after="120" w:line="360" w:lineRule="auto"/>
        <w:ind w:left="924" w:hanging="357"/>
        <w:contextualSpacing w:val="0"/>
        <w:jc w:val="both"/>
        <w:rPr>
          <w:rStyle w:val="Hyperlink"/>
          <w:rtl/>
        </w:rPr>
      </w:pPr>
      <w:hyperlink r:id="rId34" w:history="1">
        <w:r w:rsidRPr="000E63A8">
          <w:rPr>
            <w:rFonts w:ascii="David" w:hAnsi="David" w:cs="David"/>
            <w:color w:val="0000FF"/>
            <w:sz w:val="24"/>
            <w:szCs w:val="24"/>
            <w:u w:val="single"/>
            <w:rtl/>
          </w:rPr>
          <w:t>עפ"ג (ת"א) 26655-04-14</w:t>
        </w:r>
      </w:hyperlink>
      <w:r>
        <w:rPr>
          <w:rStyle w:val="Hyperlink"/>
          <w:rFonts w:ascii="David" w:hAnsi="David" w:cs="David"/>
          <w:sz w:val="24"/>
          <w:szCs w:val="24"/>
          <w:rtl/>
        </w:rPr>
        <w:t xml:space="preserve"> </w:t>
      </w:r>
      <w:r w:rsidR="00E71DC2" w:rsidRPr="00533170">
        <w:rPr>
          <w:rStyle w:val="Hyperlink"/>
          <w:rFonts w:ascii="David" w:hAnsi="David" w:cs="David"/>
          <w:b/>
          <w:bCs/>
          <w:sz w:val="24"/>
          <w:szCs w:val="24"/>
          <w:rtl/>
        </w:rPr>
        <w:t>חמדאן נ' מדינת ישראל</w:t>
      </w:r>
      <w:r>
        <w:rPr>
          <w:rStyle w:val="Hyperlink"/>
          <w:rFonts w:ascii="David" w:hAnsi="David" w:cs="David"/>
          <w:sz w:val="24"/>
          <w:szCs w:val="24"/>
          <w:rtl/>
        </w:rPr>
        <w:t xml:space="preserve"> </w:t>
      </w:r>
      <w:r w:rsidR="00E71DC2" w:rsidRPr="00533170">
        <w:rPr>
          <w:rStyle w:val="Hyperlink"/>
          <w:rFonts w:ascii="David" w:hAnsi="David" w:cs="David"/>
          <w:sz w:val="24"/>
          <w:szCs w:val="24"/>
          <w:rtl/>
        </w:rPr>
        <w:t>(10.9.2014): הנאשם החזיק ברכב של אחר במגן השמש סם מסוג קוקאין במשקל של 5.2464 גרם נטו, מחולק ל-12 שקיות. בית המשפט השלום קבע כי מתחם העונש ההולם נע בין 8 ל-18 חודשי מאסר בפועל. בהתחשב בגילו הצעיר של הנאשם, העדר עבר פלילי ותסקירים חיוביים מאת שירות המבחן, בית המשפט גזר על הנאשם 8 חודשי מאסר בפועל. הנאשם הגיש ערעור על חומרת העונש, אך חזר בו בהמלצת בית המשפט המחוזי.</w:t>
      </w:r>
    </w:p>
    <w:p w14:paraId="54A7C563" w14:textId="77777777" w:rsidR="00E71DC2" w:rsidRPr="00533170" w:rsidRDefault="000E63A8" w:rsidP="00E71DC2">
      <w:pPr>
        <w:pStyle w:val="aa"/>
        <w:numPr>
          <w:ilvl w:val="0"/>
          <w:numId w:val="3"/>
        </w:numPr>
        <w:spacing w:before="120" w:after="120" w:line="360" w:lineRule="auto"/>
        <w:ind w:left="924" w:hanging="357"/>
        <w:contextualSpacing w:val="0"/>
        <w:jc w:val="both"/>
        <w:rPr>
          <w:rStyle w:val="Hyperlink"/>
          <w:rFonts w:ascii="David" w:hAnsi="David" w:cs="David"/>
          <w:sz w:val="24"/>
          <w:szCs w:val="24"/>
        </w:rPr>
      </w:pPr>
      <w:hyperlink r:id="rId35" w:history="1">
        <w:r w:rsidRPr="000E63A8">
          <w:rPr>
            <w:rFonts w:ascii="David" w:hAnsi="David" w:cs="David"/>
            <w:color w:val="0000FF"/>
            <w:sz w:val="24"/>
            <w:szCs w:val="24"/>
            <w:u w:val="single"/>
            <w:rtl/>
          </w:rPr>
          <w:t>ת"פ  17610-09-15</w:t>
        </w:r>
      </w:hyperlink>
      <w:r>
        <w:rPr>
          <w:rStyle w:val="Hyperlink"/>
          <w:rFonts w:ascii="David" w:hAnsi="David" w:cs="David"/>
          <w:sz w:val="24"/>
          <w:szCs w:val="24"/>
          <w:rtl/>
        </w:rPr>
        <w:t xml:space="preserve"> </w:t>
      </w:r>
      <w:r w:rsidR="00E71DC2" w:rsidRPr="00533170">
        <w:rPr>
          <w:rStyle w:val="Hyperlink"/>
          <w:rFonts w:ascii="David" w:hAnsi="David" w:cs="David"/>
          <w:b/>
          <w:bCs/>
          <w:sz w:val="24"/>
          <w:szCs w:val="24"/>
          <w:rtl/>
        </w:rPr>
        <w:t>מדינת ישראל נ' אבו עביד</w:t>
      </w:r>
      <w:r w:rsidR="00E71DC2" w:rsidRPr="00533170">
        <w:rPr>
          <w:rStyle w:val="Hyperlink"/>
          <w:rFonts w:ascii="David" w:hAnsi="David" w:cs="David"/>
          <w:sz w:val="24"/>
          <w:szCs w:val="24"/>
          <w:rtl/>
        </w:rPr>
        <w:t xml:space="preserve"> (03.04.19): הנאשם החזיק ברחוב סם מסוג קוקאין במשקל 4.0168 גרם נטו. בית המשפט קבע מתחם ענישה הנע בין 6 ל-14 חודשי מאסר בפועל והטיל על הנאשם, נעדר עבר פלילי, בן 20 במועד ביצוע העבירה, נקי משימוש בסמים, מאסר לתקופה של</w:t>
      </w:r>
      <w:r>
        <w:rPr>
          <w:rStyle w:val="Hyperlink"/>
          <w:rFonts w:ascii="David" w:hAnsi="David" w:cs="David"/>
          <w:sz w:val="24"/>
          <w:szCs w:val="24"/>
          <w:rtl/>
        </w:rPr>
        <w:t xml:space="preserve"> </w:t>
      </w:r>
      <w:r w:rsidR="00E71DC2" w:rsidRPr="00533170">
        <w:rPr>
          <w:rStyle w:val="Hyperlink"/>
          <w:rFonts w:ascii="David" w:hAnsi="David" w:cs="David"/>
          <w:sz w:val="24"/>
          <w:szCs w:val="24"/>
          <w:rtl/>
        </w:rPr>
        <w:t>6 חודשים בדרך של עבודות שירות לצד עונשים נלווים.</w:t>
      </w:r>
    </w:p>
    <w:p w14:paraId="434C5B8E" w14:textId="77777777" w:rsidR="00E71DC2" w:rsidRDefault="00E71DC2" w:rsidP="00E71DC2">
      <w:pPr>
        <w:pStyle w:val="aa"/>
        <w:numPr>
          <w:ilvl w:val="0"/>
          <w:numId w:val="1"/>
        </w:numPr>
        <w:spacing w:before="120" w:after="120" w:line="360" w:lineRule="auto"/>
        <w:ind w:left="714" w:hanging="357"/>
        <w:contextualSpacing w:val="0"/>
        <w:jc w:val="both"/>
      </w:pPr>
      <w:r>
        <w:rPr>
          <w:rFonts w:ascii="David" w:hAnsi="David" w:cs="David"/>
          <w:b/>
          <w:bCs/>
          <w:sz w:val="24"/>
          <w:szCs w:val="24"/>
          <w:u w:val="single"/>
          <w:rtl/>
        </w:rPr>
        <w:t>נסיבות הקשורות בביצוע העבירה</w:t>
      </w:r>
      <w:r>
        <w:rPr>
          <w:rFonts w:ascii="David" w:hAnsi="David" w:cs="David"/>
          <w:sz w:val="24"/>
          <w:szCs w:val="24"/>
          <w:rtl/>
        </w:rPr>
        <w:t xml:space="preserve"> – במסגרת הנסיבות הקשורות בביצוע העבירה התחשבתי בכך שהנאשם החזיק בסם מסוג קוקאין הנמנה עם "הסמים הקשים" ובכמות הסם שהיא גדולה פי 10 מהכמות המוגדרת ככמות להחזקה עצמית. מנגד, לזכותו של הנאשם התחשבתי בעובדה שהסם לא היה מחולק ולא נמצאו שקיות חלוקה ובהעדר עזרים המעידים על כוונה להפצה מסחרית, תוך התחשבות בכך שהסמים נמצאו ברכבו של הנאשם ובנזק הפוטנציאלי הטמון בסם לו היה מופץ.</w:t>
      </w:r>
    </w:p>
    <w:p w14:paraId="63612256" w14:textId="77777777" w:rsidR="00E71DC2" w:rsidRDefault="00E71DC2" w:rsidP="00E71DC2">
      <w:pPr>
        <w:pStyle w:val="aa"/>
        <w:numPr>
          <w:ilvl w:val="0"/>
          <w:numId w:val="1"/>
        </w:numPr>
        <w:spacing w:before="120" w:after="120" w:line="360" w:lineRule="auto"/>
        <w:ind w:left="714" w:hanging="357"/>
        <w:contextualSpacing w:val="0"/>
        <w:jc w:val="both"/>
        <w:rPr>
          <w:rFonts w:ascii="David" w:hAnsi="David" w:cs="David"/>
          <w:sz w:val="24"/>
          <w:szCs w:val="24"/>
        </w:rPr>
      </w:pPr>
      <w:r>
        <w:rPr>
          <w:rFonts w:ascii="David" w:hAnsi="David" w:cs="David"/>
          <w:sz w:val="24"/>
          <w:szCs w:val="24"/>
          <w:rtl/>
        </w:rPr>
        <w:t xml:space="preserve">בנסיבות העניין, בהתחשב בפגיעה בערכים המוגנים, בהתחשב במדיניות הענישה הנוהגת ובנסיבות הקשורות בביצוע העבירה, מצאתי לקבוע כי מתחם העונש ההולם בעניינו של הנאשם נע בין </w:t>
      </w:r>
      <w:r>
        <w:rPr>
          <w:rFonts w:ascii="David" w:hAnsi="David" w:cs="David" w:hint="cs"/>
          <w:sz w:val="24"/>
          <w:szCs w:val="24"/>
          <w:rtl/>
        </w:rPr>
        <w:t>4</w:t>
      </w:r>
      <w:r>
        <w:rPr>
          <w:rFonts w:ascii="David" w:hAnsi="David" w:cs="David"/>
          <w:sz w:val="24"/>
          <w:szCs w:val="24"/>
          <w:rtl/>
        </w:rPr>
        <w:t xml:space="preserve"> חודשי מאסר, שיכול וירוצו בעבודות שירות, ל-1</w:t>
      </w:r>
      <w:r>
        <w:rPr>
          <w:rFonts w:ascii="David" w:hAnsi="David" w:cs="David" w:hint="cs"/>
          <w:sz w:val="24"/>
          <w:szCs w:val="24"/>
          <w:rtl/>
        </w:rPr>
        <w:t>2</w:t>
      </w:r>
      <w:r>
        <w:rPr>
          <w:rFonts w:ascii="David" w:hAnsi="David" w:cs="David"/>
          <w:sz w:val="24"/>
          <w:szCs w:val="24"/>
          <w:rtl/>
        </w:rPr>
        <w:t xml:space="preserve"> חודשי מאסר בפועל לצד ענישה נלווית.</w:t>
      </w:r>
    </w:p>
    <w:p w14:paraId="206F2F96" w14:textId="77777777" w:rsidR="00E71DC2" w:rsidRDefault="00E71DC2" w:rsidP="00E71DC2">
      <w:pPr>
        <w:pStyle w:val="aa"/>
        <w:spacing w:before="120" w:after="120" w:line="360" w:lineRule="auto"/>
        <w:contextualSpacing w:val="0"/>
        <w:jc w:val="both"/>
        <w:rPr>
          <w:rFonts w:ascii="David" w:hAnsi="David" w:cs="David"/>
          <w:b/>
          <w:bCs/>
          <w:sz w:val="24"/>
          <w:szCs w:val="24"/>
          <w:u w:val="single"/>
        </w:rPr>
      </w:pPr>
      <w:r>
        <w:rPr>
          <w:rFonts w:ascii="David" w:hAnsi="David" w:cs="David"/>
          <w:b/>
          <w:bCs/>
          <w:sz w:val="24"/>
          <w:szCs w:val="24"/>
          <w:u w:val="single"/>
          <w:rtl/>
        </w:rPr>
        <w:t>דין הבקשה לביטול הרשעתו של הנאשם – להתקבל:</w:t>
      </w:r>
    </w:p>
    <w:p w14:paraId="64814802" w14:textId="77777777" w:rsidR="00E71DC2" w:rsidRPr="00E71DC2" w:rsidRDefault="00A37BC2" w:rsidP="00E71DC2">
      <w:pPr>
        <w:pStyle w:val="aa"/>
        <w:numPr>
          <w:ilvl w:val="0"/>
          <w:numId w:val="1"/>
        </w:numPr>
        <w:spacing w:before="120" w:after="120" w:line="360" w:lineRule="auto"/>
        <w:contextualSpacing w:val="0"/>
        <w:jc w:val="both"/>
        <w:rPr>
          <w:rFonts w:ascii="David" w:hAnsi="David" w:cs="David"/>
          <w:sz w:val="24"/>
          <w:szCs w:val="24"/>
          <w:rtl/>
        </w:rPr>
      </w:pPr>
      <w:hyperlink r:id="rId36" w:history="1">
        <w:r w:rsidRPr="00A37BC2">
          <w:rPr>
            <w:rStyle w:val="Hyperlink"/>
            <w:rFonts w:ascii="David" w:hAnsi="David" w:cs="David"/>
            <w:sz w:val="24"/>
            <w:szCs w:val="24"/>
            <w:rtl/>
          </w:rPr>
          <w:t>סעיף 182</w:t>
        </w:r>
      </w:hyperlink>
      <w:r w:rsidR="00E71DC2">
        <w:rPr>
          <w:rFonts w:ascii="David" w:hAnsi="David" w:cs="David"/>
          <w:sz w:val="24"/>
          <w:szCs w:val="24"/>
          <w:rtl/>
        </w:rPr>
        <w:t xml:space="preserve"> ל</w:t>
      </w:r>
      <w:hyperlink r:id="rId37" w:history="1">
        <w:r w:rsidR="000E63A8" w:rsidRPr="000E63A8">
          <w:rPr>
            <w:rFonts w:ascii="David" w:hAnsi="David" w:cs="David"/>
            <w:color w:val="0000FF"/>
            <w:sz w:val="24"/>
            <w:szCs w:val="24"/>
            <w:u w:val="single"/>
            <w:rtl/>
          </w:rPr>
          <w:t>חוק סדר הדין הפלילי</w:t>
        </w:r>
      </w:hyperlink>
      <w:r w:rsidR="00E71DC2">
        <w:rPr>
          <w:rFonts w:ascii="David" w:hAnsi="David" w:cs="David"/>
          <w:sz w:val="24"/>
          <w:szCs w:val="24"/>
          <w:rtl/>
        </w:rPr>
        <w:t xml:space="preserve"> [נוסח משולב], התשמ"ב-1982, קובע כי משהוכחה אשמתו של נאשם בביצוע עבירה פלילית, יש להרשיעו</w:t>
      </w:r>
      <w:r w:rsidR="00E71DC2">
        <w:rPr>
          <w:rFonts w:ascii="David" w:hAnsi="David" w:cs="David"/>
          <w:sz w:val="24"/>
          <w:szCs w:val="24"/>
          <w:rtl/>
          <w:lang w:eastAsia="he-IL"/>
        </w:rPr>
        <w:t xml:space="preserve">. </w:t>
      </w:r>
      <w:hyperlink r:id="rId38" w:history="1">
        <w:r w:rsidRPr="00A37BC2">
          <w:rPr>
            <w:rStyle w:val="Hyperlink"/>
            <w:rFonts w:ascii="David" w:hAnsi="David" w:cs="David"/>
            <w:sz w:val="24"/>
            <w:szCs w:val="24"/>
            <w:rtl/>
          </w:rPr>
          <w:t>סעיף 71</w:t>
        </w:r>
      </w:hyperlink>
      <w:r w:rsidR="00E71DC2">
        <w:rPr>
          <w:rFonts w:ascii="David" w:hAnsi="David" w:cs="David"/>
          <w:sz w:val="24"/>
          <w:szCs w:val="24"/>
          <w:rtl/>
        </w:rPr>
        <w:t xml:space="preserve"> ל</w:t>
      </w:r>
      <w:hyperlink r:id="rId39" w:history="1">
        <w:r w:rsidR="000E63A8" w:rsidRPr="000E63A8">
          <w:rPr>
            <w:rFonts w:ascii="David" w:hAnsi="David" w:cs="David"/>
            <w:color w:val="0000FF"/>
            <w:sz w:val="24"/>
            <w:szCs w:val="24"/>
            <w:u w:val="single"/>
            <w:rtl/>
          </w:rPr>
          <w:t>חוק העונשין</w:t>
        </w:r>
      </w:hyperlink>
      <w:r w:rsidR="00E71DC2">
        <w:rPr>
          <w:rFonts w:ascii="David" w:hAnsi="David" w:cs="David"/>
          <w:sz w:val="24"/>
          <w:szCs w:val="24"/>
          <w:rtl/>
        </w:rPr>
        <w:t xml:space="preserve"> התשל"ז-1977 </w:t>
      </w:r>
      <w:hyperlink r:id="rId40" w:history="1">
        <w:r w:rsidRPr="00A37BC2">
          <w:rPr>
            <w:rStyle w:val="Hyperlink"/>
            <w:rFonts w:ascii="David" w:hAnsi="David" w:cs="David"/>
            <w:sz w:val="24"/>
            <w:szCs w:val="24"/>
            <w:rtl/>
          </w:rPr>
          <w:t>וסעיף 192א</w:t>
        </w:r>
      </w:hyperlink>
      <w:r w:rsidR="00E71DC2">
        <w:rPr>
          <w:rFonts w:ascii="David" w:hAnsi="David" w:cs="David"/>
          <w:sz w:val="24"/>
          <w:szCs w:val="24"/>
          <w:rtl/>
        </w:rPr>
        <w:t xml:space="preserve"> ל</w:t>
      </w:r>
      <w:hyperlink r:id="rId41" w:history="1">
        <w:r w:rsidR="000E63A8" w:rsidRPr="000E63A8">
          <w:rPr>
            <w:rFonts w:ascii="David" w:hAnsi="David" w:cs="David"/>
            <w:color w:val="0000FF"/>
            <w:sz w:val="24"/>
            <w:szCs w:val="24"/>
            <w:u w:val="single"/>
            <w:rtl/>
          </w:rPr>
          <w:t>חוק סדר הדין הפלילי</w:t>
        </w:r>
      </w:hyperlink>
      <w:r w:rsidR="00E71DC2">
        <w:rPr>
          <w:rFonts w:ascii="David" w:hAnsi="David" w:cs="David"/>
          <w:sz w:val="24"/>
          <w:szCs w:val="24"/>
          <w:rtl/>
        </w:rPr>
        <w:t xml:space="preserve"> התשמ"ב-1982 קובעים את המסגרת הנורמטיבית, המאפשרת לבית המשפט להימנע מהרשעתו של אדם, אף אם נמצא כי הוא עבר עבירה פלילית. </w:t>
      </w:r>
    </w:p>
    <w:p w14:paraId="4EB46F9C"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ההלכה הפסוקה קבעה כי הימנעות מהרשעה היא החריג שבחריגים. בהתאם לפסיקה, בית המשפט יחרוג מכלל הרשעת נאשמים שנמצאו אשמים רק בנסיבות יוצאות דופן בהן אין יחס סביר בין הנזק הצפוי מן ההרשעה לבין חומרתה של העבירה (</w:t>
      </w:r>
      <w:hyperlink r:id="rId42" w:history="1">
        <w:r w:rsidR="000E63A8" w:rsidRPr="000E63A8">
          <w:rPr>
            <w:rFonts w:ascii="David" w:hAnsi="David" w:cs="David"/>
            <w:color w:val="0000FF"/>
            <w:sz w:val="24"/>
            <w:szCs w:val="24"/>
            <w:u w:val="single"/>
            <w:rtl/>
          </w:rPr>
          <w:t>ר"ע 432/85</w:t>
        </w:r>
      </w:hyperlink>
      <w:r>
        <w:rPr>
          <w:rFonts w:ascii="David" w:hAnsi="David" w:cs="David"/>
          <w:sz w:val="24"/>
          <w:szCs w:val="24"/>
          <w:rtl/>
        </w:rPr>
        <w:t xml:space="preserve"> </w:t>
      </w:r>
      <w:r>
        <w:rPr>
          <w:rFonts w:ascii="David" w:hAnsi="David" w:cs="David"/>
          <w:b/>
          <w:bCs/>
          <w:sz w:val="24"/>
          <w:szCs w:val="24"/>
          <w:rtl/>
        </w:rPr>
        <w:t xml:space="preserve">גדעון רומנו נ' מדינת ישראל </w:t>
      </w:r>
      <w:r>
        <w:rPr>
          <w:rFonts w:ascii="David" w:hAnsi="David" w:cs="David"/>
          <w:sz w:val="24"/>
          <w:szCs w:val="24"/>
          <w:rtl/>
        </w:rPr>
        <w:t xml:space="preserve">(נבו, 21.8.85). </w:t>
      </w:r>
    </w:p>
    <w:p w14:paraId="7B2A8950"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ב</w:t>
      </w:r>
      <w:hyperlink r:id="rId43" w:history="1">
        <w:r w:rsidR="000E63A8" w:rsidRPr="000E63A8">
          <w:rPr>
            <w:rFonts w:ascii="David" w:hAnsi="David" w:cs="David"/>
            <w:color w:val="0000FF"/>
            <w:sz w:val="24"/>
            <w:szCs w:val="24"/>
            <w:u w:val="single"/>
            <w:rtl/>
          </w:rPr>
          <w:t>ע"פ 9893/06</w:t>
        </w:r>
      </w:hyperlink>
      <w:r>
        <w:rPr>
          <w:rFonts w:ascii="David" w:hAnsi="David" w:cs="David"/>
          <w:sz w:val="24"/>
          <w:szCs w:val="24"/>
          <w:rtl/>
        </w:rPr>
        <w:t xml:space="preserve"> </w:t>
      </w:r>
      <w:r>
        <w:rPr>
          <w:rFonts w:ascii="David" w:hAnsi="David" w:cs="David"/>
          <w:b/>
          <w:bCs/>
          <w:sz w:val="24"/>
          <w:szCs w:val="24"/>
          <w:rtl/>
        </w:rPr>
        <w:t>אסנת לאופר נ' מדינת ישראל</w:t>
      </w:r>
      <w:r>
        <w:rPr>
          <w:rFonts w:ascii="David" w:hAnsi="David" w:cs="David"/>
          <w:sz w:val="24"/>
          <w:szCs w:val="24"/>
          <w:rtl/>
        </w:rPr>
        <w:t xml:space="preserve"> (נבו, 31.12.07) בית המשפט הבהיר כי סיום הליך ללא הרשעה פלילית יהיה: "</w:t>
      </w:r>
      <w:r>
        <w:rPr>
          <w:rFonts w:ascii="David" w:hAnsi="David" w:cs="David"/>
          <w:b/>
          <w:bCs/>
          <w:sz w:val="24"/>
          <w:szCs w:val="24"/>
          <w:rtl/>
        </w:rPr>
        <w:t>במצבים חריגים, מיוחדים ויוצאי דופן, כאשר עלול להיווצר פער בלתי נסבל בין עוצמת פגיעתה של ההרשעה הפלילית בנאשם האינדבידואלי לבין תועלתה של ההרשעה לאינטרס הציבורי – חברתי הכללי...</w:t>
      </w:r>
      <w:r>
        <w:rPr>
          <w:rFonts w:ascii="David" w:hAnsi="David" w:cs="David"/>
          <w:sz w:val="24"/>
          <w:szCs w:val="24"/>
          <w:rtl/>
        </w:rPr>
        <w:t xml:space="preserve">". </w:t>
      </w:r>
    </w:p>
    <w:p w14:paraId="29E2B381" w14:textId="77777777" w:rsidR="00E71DC2" w:rsidRDefault="00E71DC2" w:rsidP="00E71DC2">
      <w:pPr>
        <w:pStyle w:val="aa"/>
        <w:numPr>
          <w:ilvl w:val="0"/>
          <w:numId w:val="1"/>
        </w:numPr>
        <w:spacing w:before="120" w:after="120" w:line="360" w:lineRule="auto"/>
        <w:contextualSpacing w:val="0"/>
        <w:jc w:val="both"/>
        <w:rPr>
          <w:rFonts w:ascii="David" w:hAnsi="David" w:cs="David"/>
          <w:sz w:val="24"/>
          <w:szCs w:val="24"/>
        </w:rPr>
      </w:pPr>
      <w:r>
        <w:rPr>
          <w:rFonts w:ascii="David" w:hAnsi="David" w:cs="David"/>
          <w:sz w:val="24"/>
          <w:szCs w:val="24"/>
          <w:rtl/>
        </w:rPr>
        <w:t xml:space="preserve"> </w:t>
      </w:r>
      <w:r>
        <w:rPr>
          <w:rFonts w:ascii="David" w:hAnsi="David" w:cs="David" w:hint="cs"/>
          <w:sz w:val="24"/>
          <w:szCs w:val="24"/>
          <w:rtl/>
        </w:rPr>
        <w:t>ב</w:t>
      </w:r>
      <w:hyperlink r:id="rId44" w:history="1">
        <w:r w:rsidR="000E63A8" w:rsidRPr="000E63A8">
          <w:rPr>
            <w:rFonts w:ascii="David" w:hAnsi="David" w:cs="David"/>
            <w:color w:val="0000FF"/>
            <w:sz w:val="24"/>
            <w:szCs w:val="24"/>
            <w:u w:val="single"/>
            <w:rtl/>
          </w:rPr>
          <w:t>ע"פ 2083/96</w:t>
        </w:r>
      </w:hyperlink>
      <w:r>
        <w:rPr>
          <w:rFonts w:ascii="David" w:hAnsi="David" w:cs="David" w:hint="cs"/>
          <w:sz w:val="24"/>
          <w:szCs w:val="24"/>
          <w:rtl/>
        </w:rPr>
        <w:t xml:space="preserve"> </w:t>
      </w:r>
      <w:r>
        <w:rPr>
          <w:rFonts w:ascii="David" w:hAnsi="David" w:cs="David" w:hint="cs"/>
          <w:b/>
          <w:bCs/>
          <w:sz w:val="24"/>
          <w:szCs w:val="24"/>
          <w:rtl/>
        </w:rPr>
        <w:t>כתב נ' מדינת ישראל</w:t>
      </w:r>
      <w:r>
        <w:rPr>
          <w:rFonts w:ascii="David" w:hAnsi="David" w:cs="David" w:hint="cs"/>
          <w:sz w:val="24"/>
          <w:szCs w:val="24"/>
          <w:rtl/>
        </w:rPr>
        <w:t xml:space="preserve"> פ"ד נב(3) 337, 342 (</w:t>
      </w:r>
      <w:r>
        <w:rPr>
          <w:rFonts w:ascii="David" w:hAnsi="David" w:cs="David" w:hint="cs"/>
          <w:b/>
          <w:bCs/>
          <w:sz w:val="24"/>
          <w:szCs w:val="24"/>
          <w:rtl/>
        </w:rPr>
        <w:t>להלן: הלכת כתב</w:t>
      </w:r>
      <w:r>
        <w:rPr>
          <w:rFonts w:ascii="David" w:hAnsi="David" w:cs="David" w:hint="cs"/>
          <w:sz w:val="24"/>
          <w:szCs w:val="24"/>
          <w:rtl/>
        </w:rPr>
        <w:t xml:space="preserve">) בית המשפט קבע שני תנאים </w:t>
      </w:r>
      <w:r>
        <w:rPr>
          <w:rFonts w:ascii="David" w:hAnsi="David" w:cs="David" w:hint="cs"/>
          <w:sz w:val="24"/>
          <w:szCs w:val="24"/>
          <w:u w:val="single"/>
          <w:rtl/>
        </w:rPr>
        <w:t>מצטברים</w:t>
      </w:r>
      <w:r>
        <w:rPr>
          <w:rFonts w:ascii="David" w:hAnsi="David" w:cs="David" w:hint="cs"/>
          <w:sz w:val="24"/>
          <w:szCs w:val="24"/>
          <w:rtl/>
        </w:rPr>
        <w:t xml:space="preserve"> לסיום הליך ללא הרשעה: "</w:t>
      </w:r>
      <w:r>
        <w:rPr>
          <w:rFonts w:ascii="David" w:hAnsi="David" w:cs="David" w:hint="cs"/>
          <w:b/>
          <w:bCs/>
          <w:sz w:val="24"/>
          <w:szCs w:val="24"/>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w:t>
      </w:r>
      <w:r>
        <w:rPr>
          <w:rFonts w:ascii="David" w:hAnsi="David" w:cs="David" w:hint="cs"/>
          <w:sz w:val="24"/>
          <w:szCs w:val="24"/>
          <w:rtl/>
        </w:rPr>
        <w:t>".</w:t>
      </w:r>
    </w:p>
    <w:p w14:paraId="790D3600" w14:textId="77777777" w:rsidR="00E71DC2" w:rsidRDefault="00E71DC2" w:rsidP="00E71DC2">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 xml:space="preserve">מלבד התנאים המצטברים השופט לוין פירט בהלכת כתב מספר שיקולים מנחים שיש להביא בחשבון בבחינת אפשרות סיום הליך ללא הרשעה פלילית: </w:t>
      </w:r>
    </w:p>
    <w:p w14:paraId="0ADD8B8C" w14:textId="77777777" w:rsidR="00E71DC2" w:rsidRDefault="00E71DC2" w:rsidP="00E71DC2">
      <w:pPr>
        <w:spacing w:before="120" w:after="120" w:line="360" w:lineRule="auto"/>
        <w:ind w:left="848" w:hanging="197"/>
        <w:jc w:val="both"/>
        <w:rPr>
          <w:rFonts w:ascii="David" w:hAnsi="David"/>
          <w:b/>
          <w:bCs/>
        </w:rPr>
      </w:pPr>
      <w:r>
        <w:rPr>
          <w:rFonts w:ascii="David" w:hAnsi="David"/>
          <w:rtl/>
        </w:rPr>
        <w:t xml:space="preserve">" </w:t>
      </w:r>
      <w:r>
        <w:rPr>
          <w:rFonts w:ascii="David" w:hAnsi="David"/>
          <w:b/>
          <w:bCs/>
          <w:rtl/>
        </w:rPr>
        <w:t xml:space="preserve">א) האם מדובר בעבירה ראשונה או יחידה של הנאשם; ב) מהי חומרת העבירה והנסיבות שבהן בוצעה; ג) מעמדו ותפקידו של הנאשם והקשר בין העבירה למעמד ולתפקיד; ד) מידת הפגיעה של העבירה באחרים; ה) הסבירות שהנאשם יעבור עבירות נוספות; ו) האם ביצוע העבירה על ידי הנאשם משקף דפוס התנהגות כרוני או המדובר בהתנהגות מקרית; ז) יחסו של הנאשם לעבירה, האם הוא נוטל אחריות על ביצועה, האם הוא מתחרט עליה; ח) משמעות ההרשעה על הדימוי העצמי של הנאשם; ט) השפעת ההרשעה על תחומי פעילותו של הנאשם. </w:t>
      </w:r>
    </w:p>
    <w:p w14:paraId="703F42E9" w14:textId="77777777" w:rsidR="00E71DC2" w:rsidRDefault="00E71DC2" w:rsidP="00E71DC2">
      <w:pPr>
        <w:pStyle w:val="aa"/>
        <w:numPr>
          <w:ilvl w:val="0"/>
          <w:numId w:val="1"/>
        </w:numPr>
        <w:spacing w:before="120" w:after="120" w:line="360" w:lineRule="auto"/>
        <w:ind w:left="565" w:hanging="426"/>
        <w:contextualSpacing w:val="0"/>
        <w:jc w:val="both"/>
        <w:rPr>
          <w:rFonts w:ascii="David" w:hAnsi="David" w:cs="David"/>
          <w:b/>
          <w:bCs/>
          <w:color w:val="FF0000"/>
        </w:rPr>
      </w:pPr>
      <w:r>
        <w:rPr>
          <w:rFonts w:ascii="David" w:hAnsi="David" w:cs="David"/>
          <w:sz w:val="24"/>
          <w:szCs w:val="24"/>
          <w:rtl/>
        </w:rPr>
        <w:t xml:space="preserve">התנאים שנקבעו בהלכת כתב יפים לבגירים וצעירים כאחד ואולם ניתן למצוא גם מקרים שבהם בתי המשפט לרבות בית משפט עליון חרגו בנסיבות של נאשמים צעירים מהכלל המחייב הוכחת קיומה של פגיעה קונקרטית בעתידו או בתעסוקתו של הנאשם. כך, למשל, </w:t>
      </w:r>
      <w:r>
        <w:rPr>
          <w:rFonts w:ascii="David" w:hAnsi="David" w:cs="David"/>
          <w:spacing w:val="10"/>
          <w:sz w:val="24"/>
          <w:szCs w:val="24"/>
          <w:rtl/>
        </w:rPr>
        <w:t>ב</w:t>
      </w:r>
      <w:hyperlink r:id="rId45" w:history="1">
        <w:r w:rsidR="000E63A8" w:rsidRPr="000E63A8">
          <w:rPr>
            <w:rFonts w:ascii="David" w:hAnsi="David" w:cs="David"/>
            <w:color w:val="0000FF"/>
            <w:spacing w:val="10"/>
            <w:sz w:val="24"/>
            <w:szCs w:val="24"/>
            <w:u w:val="single"/>
            <w:rtl/>
          </w:rPr>
          <w:t>ע"פ 7781/12</w:t>
        </w:r>
      </w:hyperlink>
      <w:r w:rsidR="000E63A8">
        <w:rPr>
          <w:rFonts w:ascii="David" w:hAnsi="David" w:cs="David"/>
          <w:spacing w:val="10"/>
          <w:sz w:val="24"/>
          <w:szCs w:val="24"/>
        </w:rPr>
        <w:t xml:space="preserve"> </w:t>
      </w:r>
      <w:r>
        <w:rPr>
          <w:rFonts w:ascii="David" w:hAnsi="David" w:cs="David"/>
          <w:b/>
          <w:bCs/>
          <w:sz w:val="24"/>
          <w:szCs w:val="24"/>
          <w:u w:val="single"/>
          <w:rtl/>
        </w:rPr>
        <w:t>פלוני נ' מדינת ישראל</w:t>
      </w:r>
      <w:r w:rsidR="000E63A8">
        <w:rPr>
          <w:rFonts w:ascii="David" w:hAnsi="David" w:cs="David"/>
          <w:sz w:val="24"/>
          <w:szCs w:val="24"/>
          <w:rtl/>
        </w:rPr>
        <w:t xml:space="preserve"> </w:t>
      </w:r>
      <w:r>
        <w:rPr>
          <w:rFonts w:ascii="David" w:hAnsi="David" w:cs="David"/>
          <w:sz w:val="24"/>
          <w:szCs w:val="24"/>
          <w:rtl/>
        </w:rPr>
        <w:t>(נבו</w:t>
      </w:r>
      <w:r>
        <w:rPr>
          <w:rFonts w:ascii="David" w:hAnsi="David" w:cs="David"/>
          <w:spacing w:val="10"/>
          <w:sz w:val="24"/>
          <w:szCs w:val="24"/>
          <w:rtl/>
        </w:rPr>
        <w:t>,</w:t>
      </w:r>
      <w:r>
        <w:rPr>
          <w:rFonts w:ascii="David" w:hAnsi="David" w:cs="David"/>
          <w:spacing w:val="10"/>
          <w:sz w:val="24"/>
          <w:szCs w:val="24"/>
        </w:rPr>
        <w:t xml:space="preserve">(20.06.2013 </w:t>
      </w:r>
      <w:r>
        <w:rPr>
          <w:rFonts w:ascii="David" w:hAnsi="David" w:cs="David"/>
          <w:sz w:val="24"/>
          <w:szCs w:val="24"/>
          <w:rtl/>
        </w:rPr>
        <w:t xml:space="preserve"> נקבע: </w:t>
      </w:r>
      <w:r w:rsidR="000E63A8">
        <w:rPr>
          <w:rFonts w:ascii="David" w:hAnsi="David" w:cs="David"/>
          <w:b/>
          <w:bCs/>
          <w:color w:val="000000"/>
          <w:spacing w:val="10"/>
          <w:sz w:val="12"/>
          <w:szCs w:val="12"/>
        </w:rPr>
        <w:t xml:space="preserve">  </w:t>
      </w:r>
      <w:r>
        <w:rPr>
          <w:rFonts w:ascii="David" w:hAnsi="David" w:cs="David"/>
          <w:b/>
          <w:bCs/>
          <w:color w:val="000000"/>
          <w:spacing w:val="10"/>
          <w:sz w:val="24"/>
          <w:szCs w:val="24"/>
          <w:rtl/>
        </w:rPr>
        <w:t xml:space="preserve">"... לגישתי, יש מקום להתחשב במסגרת שיקולי הענישה </w:t>
      </w:r>
      <w:r>
        <w:rPr>
          <w:rFonts w:ascii="David" w:hAnsi="David" w:cs="David"/>
          <w:sz w:val="24"/>
          <w:szCs w:val="24"/>
          <w:rtl/>
        </w:rPr>
        <w:t>בייחודיותה</w:t>
      </w:r>
      <w:r>
        <w:rPr>
          <w:rFonts w:ascii="David" w:hAnsi="David" w:cs="David"/>
          <w:b/>
          <w:bCs/>
          <w:color w:val="000000"/>
          <w:spacing w:val="10"/>
          <w:sz w:val="24"/>
          <w:szCs w:val="24"/>
          <w:rtl/>
        </w:rPr>
        <w:t xml:space="preserve">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 הכול כעולה מתסקיר המבחן שיוגש בפניו בטרם גזירת העונש"; </w:t>
      </w:r>
    </w:p>
    <w:p w14:paraId="45F6E8AB" w14:textId="77777777" w:rsidR="00E71DC2" w:rsidRPr="00E71DC2" w:rsidRDefault="00E71DC2" w:rsidP="00E71DC2">
      <w:pPr>
        <w:pStyle w:val="aa"/>
        <w:spacing w:before="120" w:after="120" w:line="360" w:lineRule="auto"/>
        <w:ind w:left="565"/>
        <w:contextualSpacing w:val="0"/>
        <w:jc w:val="both"/>
        <w:rPr>
          <w:rFonts w:ascii="David" w:hAnsi="David" w:cs="David"/>
          <w:b/>
          <w:bCs/>
          <w:sz w:val="24"/>
          <w:szCs w:val="24"/>
        </w:rPr>
      </w:pPr>
      <w:r>
        <w:rPr>
          <w:rFonts w:ascii="David" w:hAnsi="David" w:cs="David"/>
          <w:sz w:val="24"/>
          <w:szCs w:val="24"/>
          <w:rtl/>
        </w:rPr>
        <w:t>ב</w:t>
      </w:r>
      <w:hyperlink r:id="rId46" w:history="1">
        <w:r w:rsidR="000E63A8" w:rsidRPr="000E63A8">
          <w:rPr>
            <w:rFonts w:ascii="David" w:hAnsi="David" w:cs="David"/>
            <w:color w:val="0000FF"/>
            <w:sz w:val="24"/>
            <w:szCs w:val="24"/>
            <w:u w:val="single"/>
            <w:rtl/>
          </w:rPr>
          <w:t>ע"פ 4466/13</w:t>
        </w:r>
      </w:hyperlink>
      <w:r>
        <w:rPr>
          <w:rFonts w:ascii="David" w:hAnsi="David" w:cs="David"/>
          <w:sz w:val="24"/>
          <w:szCs w:val="24"/>
          <w:rtl/>
        </w:rPr>
        <w:t xml:space="preserve"> </w:t>
      </w:r>
      <w:r>
        <w:rPr>
          <w:rFonts w:ascii="David" w:hAnsi="David" w:cs="David"/>
          <w:b/>
          <w:bCs/>
          <w:sz w:val="24"/>
          <w:szCs w:val="24"/>
          <w:rtl/>
        </w:rPr>
        <w:t xml:space="preserve">נתנאל אסולין פורטל נ' מדינת ישראל </w:t>
      </w:r>
      <w:r>
        <w:rPr>
          <w:rFonts w:ascii="David" w:hAnsi="David" w:cs="David"/>
          <w:sz w:val="24"/>
          <w:szCs w:val="24"/>
          <w:rtl/>
        </w:rPr>
        <w:t xml:space="preserve">(נבו, 22.05.014) בוטלה הרשעה של צעיר בן 18 ו – 11 חודשים בעת ביצוע עבירה של סיוע לשוד. נקבע כי " </w:t>
      </w:r>
      <w:r>
        <w:rPr>
          <w:rFonts w:ascii="David" w:hAnsi="David" w:cs="David"/>
          <w:b/>
          <w:bCs/>
          <w:sz w:val="24"/>
          <w:szCs w:val="24"/>
          <w:rtl/>
        </w:rPr>
        <w:t xml:space="preserve">הדעת נותנת שהיותם ב"תקופת המעבר" שבין קטינות לבגירות, על סימני השאלה והערפל באשר לעתיד המובנים בה, היא גורם שיש להידרש אליו, תוך שיקול כל מקרה לגופו והנסיבות"; </w:t>
      </w:r>
    </w:p>
    <w:p w14:paraId="2C48C40F" w14:textId="77777777" w:rsidR="00E71DC2" w:rsidRDefault="00E71DC2" w:rsidP="00E71DC2">
      <w:pPr>
        <w:pStyle w:val="aa"/>
        <w:spacing w:before="120" w:after="120" w:line="360" w:lineRule="auto"/>
        <w:ind w:left="565"/>
        <w:contextualSpacing w:val="0"/>
        <w:jc w:val="both"/>
        <w:rPr>
          <w:rFonts w:ascii="David" w:hAnsi="David" w:cs="David"/>
          <w:sz w:val="24"/>
          <w:szCs w:val="24"/>
          <w:rtl/>
        </w:rPr>
      </w:pPr>
      <w:r>
        <w:rPr>
          <w:rFonts w:ascii="David" w:hAnsi="David" w:cs="David"/>
          <w:sz w:val="24"/>
          <w:szCs w:val="24"/>
          <w:rtl/>
        </w:rPr>
        <w:t>ב</w:t>
      </w:r>
      <w:hyperlink r:id="rId47" w:history="1">
        <w:r w:rsidR="000E63A8" w:rsidRPr="000E63A8">
          <w:rPr>
            <w:rFonts w:ascii="David" w:hAnsi="David" w:cs="David"/>
            <w:color w:val="0000FF"/>
            <w:sz w:val="24"/>
            <w:szCs w:val="24"/>
            <w:u w:val="single"/>
            <w:rtl/>
          </w:rPr>
          <w:t>ע"פ 111/14</w:t>
        </w:r>
      </w:hyperlink>
      <w:r>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(נבו, 01.04.2014) בית המשפט העליון ביטל הרשעה של שני נאשמים בעבירות סחיטה באיומים וקשירת קשר לפשע. ביחס לאחד מהם לכל הפחות צוין כי לא הוכח קיומו של נזק קונקרטי. בית המשפט ציין כי אחד הנימוקים לסיום ההליך ללא הרשעה הוא גילם של הנאשמים "</w:t>
      </w:r>
      <w:r>
        <w:rPr>
          <w:rFonts w:ascii="David" w:hAnsi="David" w:cs="David"/>
          <w:b/>
          <w:bCs/>
          <w:sz w:val="24"/>
          <w:szCs w:val="24"/>
          <w:rtl/>
        </w:rPr>
        <w:t>לאפשר למערערים להתחיל את חייהם הבוגרים כאשר גיליון ההרשעות שלהם נקי</w:t>
      </w:r>
      <w:r>
        <w:rPr>
          <w:rFonts w:ascii="David" w:hAnsi="David" w:cs="David"/>
          <w:sz w:val="24"/>
          <w:szCs w:val="24"/>
          <w:rtl/>
        </w:rPr>
        <w:t xml:space="preserve">"; </w:t>
      </w:r>
    </w:p>
    <w:p w14:paraId="7E96486A" w14:textId="77777777" w:rsidR="00E71DC2" w:rsidRDefault="00E71DC2" w:rsidP="00E71DC2">
      <w:pPr>
        <w:pStyle w:val="aa"/>
        <w:spacing w:before="120" w:after="120" w:line="360" w:lineRule="auto"/>
        <w:ind w:left="565"/>
        <w:contextualSpacing w:val="0"/>
        <w:jc w:val="both"/>
        <w:rPr>
          <w:rFonts w:ascii="David" w:hAnsi="David" w:cs="David"/>
          <w:sz w:val="24"/>
          <w:szCs w:val="24"/>
          <w:rtl/>
        </w:rPr>
      </w:pPr>
      <w:r>
        <w:rPr>
          <w:rFonts w:ascii="David" w:hAnsi="David" w:cs="David"/>
          <w:sz w:val="24"/>
          <w:szCs w:val="24"/>
          <w:rtl/>
        </w:rPr>
        <w:t xml:space="preserve">בע"פ 26443-03-15  </w:t>
      </w:r>
      <w:r>
        <w:rPr>
          <w:rFonts w:ascii="David" w:hAnsi="David" w:cs="David"/>
          <w:b/>
          <w:bCs/>
          <w:sz w:val="24"/>
          <w:szCs w:val="24"/>
          <w:rtl/>
        </w:rPr>
        <w:t>פבל גוטרמן ודניאל גורביץ' נ' מדינת ישראל</w:t>
      </w:r>
      <w:r>
        <w:rPr>
          <w:rFonts w:ascii="David" w:hAnsi="David" w:cs="David"/>
          <w:sz w:val="24"/>
          <w:szCs w:val="24"/>
          <w:rtl/>
        </w:rPr>
        <w:t xml:space="preserve"> (נבו, 30.8.15), נקבע כי בין שני הפרמטרים הנלקחים בחשבון לצורך בחינת שאלת אי ההרשעה מתקיימת מעין 'מקבילית כוחות': "</w:t>
      </w:r>
      <w:r>
        <w:rPr>
          <w:rFonts w:ascii="David" w:hAnsi="David" w:cs="David"/>
          <w:b/>
          <w:bCs/>
          <w:sz w:val="24"/>
          <w:szCs w:val="24"/>
          <w:rtl/>
        </w:rPr>
        <w:t>ככל שמעשי העבירה חמורים יותר, כך אין להסתפק בפגיעה כללית ועתידית, אלא נדרשת פגיעה קונקרטית, ברורה ומוחשית יותר. ולהיפך – ככל שמעשי העבירה קלים יותר, כך ניתן להסתפק בפגיעה כללית יותר, לרבות תוך התחשבות בעובדה שמדובר בצעירים המצויים בראשית דרכם ושעתידם עוד לפניהם...</w:t>
      </w:r>
      <w:r>
        <w:rPr>
          <w:rFonts w:ascii="David" w:hAnsi="David" w:cs="David"/>
          <w:sz w:val="24"/>
          <w:szCs w:val="24"/>
          <w:rtl/>
        </w:rPr>
        <w:t>".</w:t>
      </w:r>
    </w:p>
    <w:p w14:paraId="666509F5" w14:textId="77777777" w:rsidR="00E71DC2" w:rsidRDefault="00E71DC2" w:rsidP="00E71DC2">
      <w:pPr>
        <w:pStyle w:val="aa"/>
        <w:spacing w:before="120" w:after="120" w:line="360" w:lineRule="auto"/>
        <w:ind w:left="565"/>
        <w:contextualSpacing w:val="0"/>
        <w:jc w:val="both"/>
        <w:rPr>
          <w:rFonts w:ascii="David" w:hAnsi="David" w:cs="David"/>
          <w:sz w:val="24"/>
          <w:szCs w:val="24"/>
          <w:rtl/>
        </w:rPr>
      </w:pPr>
      <w:r>
        <w:rPr>
          <w:rFonts w:ascii="David" w:hAnsi="David" w:cs="David"/>
          <w:b/>
          <w:bCs/>
          <w:sz w:val="24"/>
          <w:szCs w:val="24"/>
          <w:u w:val="single"/>
          <w:rtl/>
        </w:rPr>
        <w:t>מן הכלל אל הפרט -</w:t>
      </w:r>
      <w:r>
        <w:rPr>
          <w:rFonts w:ascii="David" w:hAnsi="David" w:cs="David"/>
          <w:sz w:val="24"/>
          <w:szCs w:val="24"/>
          <w:rtl/>
        </w:rPr>
        <w:t xml:space="preserve"> </w:t>
      </w:r>
    </w:p>
    <w:p w14:paraId="4D3BFB28" w14:textId="77777777" w:rsidR="00E71DC2" w:rsidRPr="00E71DC2" w:rsidRDefault="00E71DC2" w:rsidP="00E71DC2">
      <w:pPr>
        <w:pStyle w:val="aa"/>
        <w:numPr>
          <w:ilvl w:val="0"/>
          <w:numId w:val="1"/>
        </w:numPr>
        <w:spacing w:before="120" w:after="120" w:line="360" w:lineRule="auto"/>
        <w:ind w:left="565" w:hanging="426"/>
        <w:contextualSpacing w:val="0"/>
        <w:jc w:val="both"/>
        <w:rPr>
          <w:rFonts w:ascii="David" w:hAnsi="David" w:cs="David"/>
          <w:color w:val="FF0000"/>
          <w:sz w:val="24"/>
          <w:szCs w:val="24"/>
        </w:rPr>
      </w:pPr>
      <w:r>
        <w:rPr>
          <w:rFonts w:ascii="David" w:hAnsi="David" w:cs="David"/>
          <w:sz w:val="24"/>
          <w:szCs w:val="24"/>
          <w:rtl/>
        </w:rPr>
        <w:t>יישום המבחנים שנקבעו בהלכת כתב בענייננו מוביל למסקנה כי עניינו של הנאשם ראוי להימנעות מהרשעה לאור נסיבות ביצוע העבירה, לאור פגיעה אפשרית בשיקום הנאשם ומכיוון שמרבית השיקולים שמנה כב' השופט לוין בהלכת כתב מתקיימים בעניינו של הנאשם ובכללם ההודאה, לקיחת אחריות, הפסקת השימוש בסם, כפי שעולה מתסקיר שירות המבחן ובדיקות שנעשו לנאשם לאיתור שרידי סם, נסיבות ביצוע העבירה, הגיל הצעיר והסיכון הנמוך להישנות עבירות.</w:t>
      </w:r>
    </w:p>
    <w:p w14:paraId="111F10BD" w14:textId="77777777" w:rsidR="00E71DC2" w:rsidRDefault="00E71DC2" w:rsidP="00E71DC2">
      <w:pPr>
        <w:pStyle w:val="aa"/>
        <w:spacing w:before="120" w:after="120" w:line="360" w:lineRule="auto"/>
        <w:ind w:left="565"/>
        <w:contextualSpacing w:val="0"/>
        <w:jc w:val="both"/>
        <w:rPr>
          <w:rFonts w:ascii="David" w:hAnsi="David" w:cs="David"/>
          <w:color w:val="FF0000"/>
          <w:sz w:val="24"/>
          <w:szCs w:val="24"/>
        </w:rPr>
      </w:pPr>
      <w:r>
        <w:rPr>
          <w:rFonts w:ascii="David" w:hAnsi="David" w:cs="David"/>
          <w:sz w:val="24"/>
          <w:szCs w:val="24"/>
          <w:rtl/>
        </w:rPr>
        <w:t>להלן הפירוט:</w:t>
      </w:r>
    </w:p>
    <w:p w14:paraId="6FD1E904" w14:textId="77777777" w:rsidR="00E71DC2" w:rsidRDefault="00E71DC2" w:rsidP="00E71DC2">
      <w:pPr>
        <w:spacing w:before="120" w:after="120" w:line="360" w:lineRule="auto"/>
        <w:ind w:left="565"/>
        <w:jc w:val="both"/>
        <w:rPr>
          <w:rFonts w:ascii="David" w:hAnsi="David"/>
          <w:b/>
          <w:bCs/>
          <w:color w:val="FF0000"/>
        </w:rPr>
      </w:pPr>
      <w:r>
        <w:rPr>
          <w:rFonts w:ascii="David" w:hAnsi="David"/>
          <w:b/>
          <w:bCs/>
          <w:u w:val="single"/>
          <w:rtl/>
        </w:rPr>
        <w:t>נסיבות ביצוע העביר</w:t>
      </w:r>
      <w:r>
        <w:rPr>
          <w:rFonts w:ascii="David" w:hAnsi="David" w:hint="cs"/>
          <w:b/>
          <w:bCs/>
          <w:u w:val="single"/>
          <w:rtl/>
        </w:rPr>
        <w:t>ה</w:t>
      </w:r>
      <w:r>
        <w:rPr>
          <w:rFonts w:ascii="David" w:hAnsi="David"/>
          <w:b/>
          <w:bCs/>
          <w:u w:val="single"/>
          <w:rtl/>
        </w:rPr>
        <w:t xml:space="preserve"> מאפשרות את סיום ההליך ללא הרשעה:</w:t>
      </w:r>
    </w:p>
    <w:p w14:paraId="62E52DCB" w14:textId="77777777" w:rsidR="00E71DC2" w:rsidRDefault="00E71DC2" w:rsidP="00E71DC2">
      <w:pPr>
        <w:pStyle w:val="aa"/>
        <w:numPr>
          <w:ilvl w:val="0"/>
          <w:numId w:val="1"/>
        </w:numPr>
        <w:spacing w:before="120" w:after="120" w:line="360" w:lineRule="auto"/>
        <w:ind w:left="565" w:hanging="426"/>
        <w:contextualSpacing w:val="0"/>
        <w:jc w:val="both"/>
        <w:rPr>
          <w:rFonts w:ascii="David" w:hAnsi="David" w:cs="David"/>
          <w:sz w:val="24"/>
          <w:szCs w:val="24"/>
        </w:rPr>
      </w:pPr>
      <w:r>
        <w:rPr>
          <w:rFonts w:ascii="David" w:hAnsi="David" w:cs="David"/>
          <w:sz w:val="24"/>
          <w:szCs w:val="24"/>
          <w:rtl/>
        </w:rPr>
        <w:t xml:space="preserve">כאמור לעיל, בתי המשפט עמדו רבות על השפעותיו ההרסניות של סם הקוקאין הנמנה בין הרעים והמרים שבסמים המסוכנים ועל הצורך של בתי המשפט ליטול חלק במאבק בנגע הסמים על ידי הטלת עונשים מרתיעים. </w:t>
      </w:r>
    </w:p>
    <w:p w14:paraId="0D1AC1F4"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b/>
          <w:bCs/>
          <w:sz w:val="24"/>
          <w:szCs w:val="24"/>
          <w:rtl/>
        </w:rPr>
      </w:pPr>
      <w:r>
        <w:rPr>
          <w:rFonts w:ascii="David" w:hAnsi="David" w:cs="David"/>
          <w:sz w:val="24"/>
          <w:szCs w:val="24"/>
          <w:rtl/>
        </w:rPr>
        <w:t>יחד עם זאת, בנסיבות מסוימות גם בעבירות של החזקת סמים מסוכנים שלא לצריכה עצמית, לרבות קוקאין, ניתן לסיים הליך בביטול הרשעה תוך בחינת כל מקרה לגופו בהתאם לנסיבות ביצוע העבירה.</w:t>
      </w:r>
    </w:p>
    <w:p w14:paraId="568F751F"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b/>
          <w:bCs/>
          <w:sz w:val="24"/>
          <w:szCs w:val="24"/>
        </w:rPr>
      </w:pPr>
      <w:r>
        <w:rPr>
          <w:rFonts w:ascii="David" w:hAnsi="David" w:cs="David"/>
          <w:sz w:val="24"/>
          <w:szCs w:val="24"/>
          <w:rtl/>
        </w:rPr>
        <w:t xml:space="preserve">מדובר בעבירות שבוצעו בהיות הנאשם כבן 20. הנאשם החזיק ברכבו סם מסוג קוקאין במשקל 3 גרם, מבלי שנתפסו לצדו שקיות חלוקה או משקל, שיש בהם כדי להעיד על כוונת הפצה. אף שמדובר בכמות הגדולה פי 10 מהכמות שהוגדרה בחוק לצריכה עצמית, ומבלי להקל ראש בנזק הלא מבוטל שעלול היה להיגרם מהעבירה, אין מדובר בכמות גדולה במיוחד והנזק שנגרם בפועל לא רב. מעבר לחזקה בחוק שהכמות האמורה מבססת עבירת סמים שלא לשימוש עצמי, נסיבות העבירה נעדרות סממנים להעיד כי הנאשם התכוון לסחור בסם. המעשים נעדרי תחכום מיוחד ואין בהם להצביע על מעורבות בעולם העברייני. הנאשם מסר לשירות המבחן כי לא צורך מזה כשנתיים סמים מכל סוג שהוא ושלל נזקקות טיפולית בתחום הסמים. בהתאם להתרשמות שירות המבחן מהנאשם ולאור תוצאות בדיקות שתן שמסר, שירות המבחן לא מצא להפנותו לטיפול בתחום הסמים. </w:t>
      </w:r>
    </w:p>
    <w:p w14:paraId="588D0B0A" w14:textId="77777777" w:rsidR="00E71DC2" w:rsidRDefault="00E71DC2" w:rsidP="00E71DC2">
      <w:pPr>
        <w:pStyle w:val="aa"/>
        <w:numPr>
          <w:ilvl w:val="0"/>
          <w:numId w:val="1"/>
        </w:numPr>
        <w:spacing w:before="120" w:after="120" w:line="360" w:lineRule="auto"/>
        <w:ind w:left="423" w:hanging="425"/>
        <w:contextualSpacing w:val="0"/>
        <w:jc w:val="both"/>
        <w:rPr>
          <w:color w:val="000000"/>
          <w:sz w:val="27"/>
          <w:szCs w:val="27"/>
        </w:rPr>
      </w:pPr>
      <w:r>
        <w:rPr>
          <w:rFonts w:ascii="David" w:hAnsi="David" w:cs="David"/>
          <w:sz w:val="24"/>
          <w:szCs w:val="24"/>
          <w:rtl/>
        </w:rPr>
        <w:t>מפסיקה שב"כ הנאשם הביאה ופסיקה נוספת עולה שבמקרים דומים של הרשעה בעבירות סמים ואף חמורים יותר בוטלה הרשעת נאשם. להלן מספר דוגמאות:</w:t>
      </w:r>
    </w:p>
    <w:p w14:paraId="35ED643D" w14:textId="77777777" w:rsidR="00E71DC2" w:rsidRDefault="00E71DC2" w:rsidP="00E71DC2">
      <w:pPr>
        <w:pStyle w:val="aa"/>
        <w:spacing w:before="120" w:after="120" w:line="360" w:lineRule="auto"/>
        <w:ind w:left="423"/>
        <w:contextualSpacing w:val="0"/>
        <w:jc w:val="both"/>
        <w:rPr>
          <w:color w:val="000000"/>
          <w:sz w:val="27"/>
          <w:szCs w:val="27"/>
        </w:rPr>
      </w:pPr>
      <w:r w:rsidRPr="00533170">
        <w:rPr>
          <w:rFonts w:ascii="David" w:hAnsi="David" w:cs="David"/>
          <w:sz w:val="24"/>
          <w:szCs w:val="24"/>
          <w:rtl/>
        </w:rPr>
        <w:t>ע"פ 67452-12-18</w:t>
      </w:r>
      <w:r w:rsidR="000E63A8">
        <w:rPr>
          <w:rFonts w:ascii="David" w:hAnsi="David" w:cs="David"/>
          <w:sz w:val="24"/>
          <w:szCs w:val="24"/>
          <w:rtl/>
        </w:rPr>
        <w:t xml:space="preserve">  </w:t>
      </w:r>
      <w:r>
        <w:rPr>
          <w:rFonts w:ascii="David" w:hAnsi="David" w:cs="David"/>
          <w:b/>
          <w:bCs/>
          <w:sz w:val="24"/>
          <w:szCs w:val="24"/>
          <w:u w:val="single"/>
          <w:rtl/>
        </w:rPr>
        <w:t>מדינת ישראל נ' בוזגלו</w:t>
      </w:r>
      <w:r w:rsidR="000E63A8">
        <w:rPr>
          <w:rFonts w:ascii="David" w:hAnsi="David" w:cs="David"/>
          <w:sz w:val="24"/>
          <w:szCs w:val="24"/>
          <w:rtl/>
        </w:rPr>
        <w:t xml:space="preserve"> </w:t>
      </w:r>
      <w:r>
        <w:rPr>
          <w:rFonts w:ascii="David" w:hAnsi="David" w:cs="David"/>
          <w:sz w:val="24"/>
          <w:szCs w:val="24"/>
          <w:rtl/>
        </w:rPr>
        <w:t>(7.4.19)</w:t>
      </w:r>
      <w:r>
        <w:rPr>
          <w:rFonts w:ascii="David" w:hAnsi="David" w:cs="David" w:hint="cs"/>
          <w:sz w:val="24"/>
          <w:szCs w:val="24"/>
          <w:rtl/>
        </w:rPr>
        <w:t xml:space="preserve">: </w:t>
      </w:r>
      <w:r>
        <w:rPr>
          <w:rFonts w:ascii="David" w:hAnsi="David" w:cs="David"/>
          <w:sz w:val="24"/>
          <w:szCs w:val="24"/>
          <w:rtl/>
        </w:rPr>
        <w:t xml:space="preserve">בית-המשפט המחוזי בירושלים דחה את ערעור המדינה על ההחלטה שלא להרשיע נאשם בן 23, בעל הרשעה פלילית בגין עריקות, שהחזיק 14.66 גרם סם מסוג קנאביס לצריכה עצמית ומכר במספר פעמים סם מסוג </w:t>
      </w:r>
      <w:r>
        <w:rPr>
          <w:rFonts w:ascii="David" w:hAnsi="David" w:cs="David"/>
          <w:sz w:val="24"/>
          <w:szCs w:val="24"/>
        </w:rPr>
        <w:t>MDMA</w:t>
      </w:r>
      <w:r>
        <w:rPr>
          <w:rFonts w:ascii="David" w:hAnsi="David" w:cs="David"/>
          <w:sz w:val="24"/>
          <w:szCs w:val="24"/>
          <w:rtl/>
        </w:rPr>
        <w:t xml:space="preserve"> במשקל של כ-20.1 גרם.</w:t>
      </w:r>
    </w:p>
    <w:p w14:paraId="6F2B3752" w14:textId="77777777" w:rsidR="00E71DC2" w:rsidRDefault="000E63A8" w:rsidP="00E71DC2">
      <w:pPr>
        <w:pStyle w:val="aa"/>
        <w:spacing w:before="120" w:after="120" w:line="360" w:lineRule="auto"/>
        <w:ind w:left="423"/>
        <w:contextualSpacing w:val="0"/>
        <w:jc w:val="both"/>
        <w:rPr>
          <w:color w:val="000000"/>
          <w:sz w:val="24"/>
          <w:szCs w:val="24"/>
        </w:rPr>
      </w:pPr>
      <w:hyperlink r:id="rId48" w:history="1">
        <w:r w:rsidRPr="000E63A8">
          <w:rPr>
            <w:rFonts w:ascii="David" w:hAnsi="David" w:cs="David"/>
            <w:color w:val="0000FF"/>
            <w:sz w:val="24"/>
            <w:szCs w:val="24"/>
            <w:u w:val="single"/>
            <w:rtl/>
          </w:rPr>
          <w:t>ת"פ 56094-12-21</w:t>
        </w:r>
      </w:hyperlink>
      <w:r w:rsidR="00E71DC2">
        <w:rPr>
          <w:rFonts w:ascii="David" w:hAnsi="David" w:cs="David"/>
          <w:color w:val="000000"/>
          <w:sz w:val="24"/>
          <w:szCs w:val="24"/>
          <w:rtl/>
        </w:rPr>
        <w:t xml:space="preserve"> </w:t>
      </w:r>
      <w:r w:rsidR="00E71DC2">
        <w:rPr>
          <w:rFonts w:ascii="David" w:hAnsi="David" w:cs="David"/>
          <w:b/>
          <w:bCs/>
          <w:color w:val="000000"/>
          <w:sz w:val="24"/>
          <w:szCs w:val="24"/>
          <w:u w:val="single"/>
          <w:rtl/>
        </w:rPr>
        <w:t>מדינת ישראל נ' אגיי ואח'</w:t>
      </w:r>
      <w:r w:rsidR="00E71DC2">
        <w:rPr>
          <w:rFonts w:ascii="David" w:hAnsi="David" w:cs="David"/>
          <w:color w:val="000000"/>
          <w:sz w:val="24"/>
          <w:szCs w:val="24"/>
          <w:rtl/>
        </w:rPr>
        <w:t xml:space="preserve"> (05.05.24): בוטלה הרשעת נאשם נעדר עבר פלילי שהחזיק ברכב יחד עם שניים נוספים 2 יחידות סם מסוג קוקאין במשקל של 1.5 גרם. </w:t>
      </w:r>
      <w:r>
        <w:rPr>
          <w:rFonts w:ascii="David" w:hAnsi="David" w:cs="David"/>
          <w:color w:val="000000"/>
          <w:sz w:val="24"/>
          <w:szCs w:val="24"/>
          <w:rtl/>
        </w:rPr>
        <w:t xml:space="preserve">                                                             </w:t>
      </w:r>
    </w:p>
    <w:p w14:paraId="67F649B6" w14:textId="77777777" w:rsidR="00E71DC2" w:rsidRDefault="000E63A8" w:rsidP="00E71DC2">
      <w:pPr>
        <w:pStyle w:val="aa"/>
        <w:spacing w:before="120" w:after="120" w:line="360" w:lineRule="auto"/>
        <w:ind w:left="423"/>
        <w:contextualSpacing w:val="0"/>
        <w:jc w:val="both"/>
        <w:rPr>
          <w:rFonts w:ascii="David" w:hAnsi="David" w:cs="David"/>
          <w:sz w:val="24"/>
          <w:szCs w:val="24"/>
        </w:rPr>
      </w:pPr>
      <w:hyperlink r:id="rId49" w:history="1">
        <w:r w:rsidRPr="000E63A8">
          <w:rPr>
            <w:rFonts w:ascii="David" w:hAnsi="David" w:cs="David"/>
            <w:color w:val="0000FF"/>
            <w:sz w:val="24"/>
            <w:szCs w:val="24"/>
            <w:u w:val="single"/>
            <w:rtl/>
          </w:rPr>
          <w:t>תפ"ק 6666-09-19</w:t>
        </w:r>
      </w:hyperlink>
      <w:r w:rsidR="00E71DC2">
        <w:rPr>
          <w:rFonts w:ascii="David" w:hAnsi="David" w:cs="David"/>
          <w:color w:val="000000"/>
          <w:sz w:val="24"/>
          <w:szCs w:val="24"/>
          <w:rtl/>
        </w:rPr>
        <w:t xml:space="preserve"> </w:t>
      </w:r>
      <w:r w:rsidR="00E71DC2">
        <w:rPr>
          <w:rFonts w:ascii="David" w:hAnsi="David" w:cs="David"/>
          <w:b/>
          <w:bCs/>
          <w:color w:val="000000"/>
          <w:sz w:val="24"/>
          <w:szCs w:val="24"/>
          <w:u w:val="single"/>
          <w:rtl/>
        </w:rPr>
        <w:t>מדינת ישראל נ' לבדב</w:t>
      </w:r>
      <w:r w:rsidR="00E71DC2">
        <w:rPr>
          <w:rFonts w:ascii="David" w:hAnsi="David" w:cs="David"/>
          <w:b/>
          <w:bCs/>
          <w:color w:val="000000"/>
          <w:sz w:val="24"/>
          <w:szCs w:val="24"/>
          <w:rtl/>
        </w:rPr>
        <w:t xml:space="preserve"> </w:t>
      </w:r>
      <w:r w:rsidR="00E71DC2">
        <w:rPr>
          <w:rFonts w:ascii="David" w:hAnsi="David" w:cs="David"/>
          <w:color w:val="000000"/>
          <w:sz w:val="24"/>
          <w:szCs w:val="24"/>
          <w:rtl/>
        </w:rPr>
        <w:t xml:space="preserve">(17.11.20): בוטלה הרשעה של בן נאשם 43, נעדר עבר פלילי </w:t>
      </w:r>
      <w:r w:rsidR="00E71DC2">
        <w:rPr>
          <w:rFonts w:ascii="David" w:hAnsi="David" w:cs="David"/>
          <w:sz w:val="24"/>
          <w:szCs w:val="24"/>
          <w:rtl/>
        </w:rPr>
        <w:t xml:space="preserve">שהחזיק בביתו 14 טבליות סם </w:t>
      </w:r>
      <w:r w:rsidR="00E71DC2">
        <w:rPr>
          <w:rFonts w:ascii="David" w:hAnsi="David" w:cs="David"/>
          <w:sz w:val="24"/>
          <w:szCs w:val="24"/>
        </w:rPr>
        <w:t xml:space="preserve"> MDMA</w:t>
      </w:r>
      <w:r w:rsidR="00E71DC2">
        <w:rPr>
          <w:rFonts w:ascii="David" w:hAnsi="David" w:cs="David"/>
          <w:sz w:val="24"/>
          <w:szCs w:val="24"/>
          <w:rtl/>
        </w:rPr>
        <w:t xml:space="preserve">במשקל 5.017 גרם וחשיש במשקל 4.82 גרם. </w:t>
      </w:r>
      <w:r>
        <w:rPr>
          <w:rFonts w:ascii="David" w:hAnsi="David" w:cs="David"/>
          <w:sz w:val="24"/>
          <w:szCs w:val="24"/>
          <w:rtl/>
        </w:rPr>
        <w:t xml:space="preserve">                   </w:t>
      </w:r>
    </w:p>
    <w:p w14:paraId="6E76ADF2" w14:textId="77777777" w:rsidR="00E71DC2" w:rsidRPr="00E71DC2" w:rsidRDefault="000E63A8" w:rsidP="00E71DC2">
      <w:pPr>
        <w:tabs>
          <w:tab w:val="left" w:pos="6310"/>
        </w:tabs>
        <w:spacing w:before="120" w:after="120" w:line="360" w:lineRule="auto"/>
        <w:ind w:left="423"/>
        <w:jc w:val="both"/>
        <w:rPr>
          <w:rFonts w:ascii="David" w:eastAsia="Calibri" w:hAnsi="David"/>
          <w:rtl/>
        </w:rPr>
      </w:pPr>
      <w:hyperlink r:id="rId50" w:history="1">
        <w:r w:rsidRPr="000E63A8">
          <w:rPr>
            <w:rFonts w:ascii="David" w:hAnsi="David"/>
            <w:color w:val="0000FF"/>
            <w:u w:val="single"/>
            <w:rtl/>
          </w:rPr>
          <w:t>ת"פ 2908-05-17</w:t>
        </w:r>
      </w:hyperlink>
      <w:r>
        <w:rPr>
          <w:rFonts w:ascii="David" w:hAnsi="David"/>
          <w:rtl/>
        </w:rPr>
        <w:t xml:space="preserve"> </w:t>
      </w:r>
      <w:r w:rsidR="00E71DC2">
        <w:rPr>
          <w:rFonts w:ascii="David" w:hAnsi="David"/>
          <w:b/>
          <w:bCs/>
          <w:u w:val="single"/>
          <w:rtl/>
        </w:rPr>
        <w:t>מדינת ישראל נ' גולדברך</w:t>
      </w:r>
      <w:r>
        <w:rPr>
          <w:rFonts w:ascii="David" w:hAnsi="David"/>
          <w:rtl/>
        </w:rPr>
        <w:t xml:space="preserve"> </w:t>
      </w:r>
      <w:r w:rsidR="00E71DC2">
        <w:rPr>
          <w:rFonts w:ascii="David" w:hAnsi="David"/>
          <w:rtl/>
        </w:rPr>
        <w:t>(06.07.20) – בוטלה הרשעת נאשם בן 33 נעדר עבר פלילי שעבר הליך טיפולי לאחר שניסה לייבא סמים מסוג</w:t>
      </w:r>
      <w:r>
        <w:rPr>
          <w:rFonts w:ascii="David" w:hAnsi="David"/>
          <w:rtl/>
        </w:rPr>
        <w:t xml:space="preserve"> </w:t>
      </w:r>
      <w:r w:rsidR="00E71DC2">
        <w:rPr>
          <w:rFonts w:ascii="David" w:hAnsi="David"/>
        </w:rPr>
        <w:t>MDMA</w:t>
      </w:r>
      <w:r>
        <w:rPr>
          <w:rFonts w:ascii="David" w:hAnsi="David"/>
          <w:rtl/>
        </w:rPr>
        <w:t xml:space="preserve"> </w:t>
      </w:r>
      <w:r w:rsidR="00E71DC2">
        <w:rPr>
          <w:rFonts w:ascii="David" w:hAnsi="David"/>
          <w:rtl/>
        </w:rPr>
        <w:t>במשקל 9.69 גרם נטו והחזיק בביתו סמים מסוג</w:t>
      </w:r>
      <w:r>
        <w:rPr>
          <w:rFonts w:ascii="David" w:hAnsi="David"/>
          <w:rtl/>
        </w:rPr>
        <w:t xml:space="preserve"> </w:t>
      </w:r>
      <w:r w:rsidR="00E71DC2">
        <w:rPr>
          <w:rFonts w:ascii="David" w:hAnsi="David"/>
        </w:rPr>
        <w:t>MDMA</w:t>
      </w:r>
      <w:r>
        <w:rPr>
          <w:rFonts w:ascii="David" w:hAnsi="David"/>
          <w:rtl/>
        </w:rPr>
        <w:t xml:space="preserve"> </w:t>
      </w:r>
      <w:r w:rsidR="00E71DC2">
        <w:rPr>
          <w:rFonts w:ascii="David" w:hAnsi="David"/>
          <w:rtl/>
        </w:rPr>
        <w:t>במשקל 12.31 גרם נטו, 12 יחידות של</w:t>
      </w:r>
      <w:r>
        <w:rPr>
          <w:rFonts w:ascii="David" w:hAnsi="David"/>
          <w:rtl/>
        </w:rPr>
        <w:t xml:space="preserve"> </w:t>
      </w:r>
      <w:r w:rsidR="00E71DC2">
        <w:rPr>
          <w:rFonts w:ascii="David" w:hAnsi="David"/>
        </w:rPr>
        <w:t>LSD</w:t>
      </w:r>
      <w:r w:rsidR="00E71DC2">
        <w:rPr>
          <w:rFonts w:ascii="David" w:hAnsi="David"/>
          <w:rtl/>
        </w:rPr>
        <w:t>, וקנאביס במשקל 0.88 גרם.</w:t>
      </w:r>
      <w:r>
        <w:rPr>
          <w:rFonts w:ascii="David" w:hAnsi="David"/>
          <w:rtl/>
        </w:rPr>
        <w:t xml:space="preserve"> </w:t>
      </w:r>
    </w:p>
    <w:p w14:paraId="59FC0D28" w14:textId="77777777" w:rsidR="00E71DC2" w:rsidRDefault="000E63A8" w:rsidP="00E71DC2">
      <w:pPr>
        <w:pStyle w:val="aa"/>
        <w:spacing w:before="120" w:after="120" w:line="360" w:lineRule="auto"/>
        <w:ind w:left="423"/>
        <w:contextualSpacing w:val="0"/>
        <w:jc w:val="both"/>
        <w:rPr>
          <w:rFonts w:ascii="David" w:hAnsi="David" w:cs="David"/>
          <w:color w:val="000000"/>
          <w:sz w:val="24"/>
          <w:szCs w:val="24"/>
        </w:rPr>
      </w:pPr>
      <w:hyperlink r:id="rId51" w:history="1">
        <w:r w:rsidRPr="000E63A8">
          <w:rPr>
            <w:rFonts w:ascii="David" w:hAnsi="David" w:cs="David"/>
            <w:color w:val="0000FF"/>
            <w:sz w:val="24"/>
            <w:szCs w:val="24"/>
            <w:u w:val="single"/>
            <w:rtl/>
          </w:rPr>
          <w:t>ת"פ 59518-01-13</w:t>
        </w:r>
      </w:hyperlink>
      <w:r>
        <w:rPr>
          <w:rFonts w:ascii="David" w:hAnsi="David" w:cs="David"/>
          <w:sz w:val="24"/>
          <w:szCs w:val="24"/>
          <w:rtl/>
        </w:rPr>
        <w:t xml:space="preserve"> </w:t>
      </w:r>
      <w:r w:rsidR="00E71DC2">
        <w:rPr>
          <w:rFonts w:ascii="David" w:hAnsi="David" w:cs="David"/>
          <w:b/>
          <w:bCs/>
          <w:sz w:val="24"/>
          <w:szCs w:val="24"/>
          <w:u w:val="single"/>
          <w:rtl/>
        </w:rPr>
        <w:t>מדינת ישראל נ' וולף</w:t>
      </w:r>
      <w:r>
        <w:rPr>
          <w:rFonts w:ascii="David" w:hAnsi="David" w:cs="David"/>
          <w:sz w:val="24"/>
          <w:szCs w:val="24"/>
          <w:rtl/>
        </w:rPr>
        <w:t xml:space="preserve"> </w:t>
      </w:r>
      <w:r w:rsidR="00E71DC2">
        <w:rPr>
          <w:rFonts w:ascii="David" w:hAnsi="David" w:cs="David"/>
          <w:sz w:val="24"/>
          <w:szCs w:val="24"/>
          <w:rtl/>
        </w:rPr>
        <w:t xml:space="preserve">(04.06.17) – בוטלה הרשעת נאשם נעדר עבר פלילי בעבירות שביצע בהיותו בן 20 ובן 22 של החזקת סם מסוג חשיש במשקל 37.7 גרם וסם מסוג </w:t>
      </w:r>
      <w:r w:rsidR="00E71DC2">
        <w:rPr>
          <w:rFonts w:ascii="David" w:hAnsi="David" w:cs="David"/>
          <w:sz w:val="24"/>
          <w:szCs w:val="24"/>
        </w:rPr>
        <w:t>MDMA</w:t>
      </w:r>
      <w:r w:rsidR="00E71DC2">
        <w:rPr>
          <w:rFonts w:ascii="David" w:hAnsi="David" w:cs="David"/>
          <w:sz w:val="24"/>
          <w:szCs w:val="24"/>
          <w:rtl/>
        </w:rPr>
        <w:t xml:space="preserve"> במשקל של 26.4 גרם.</w:t>
      </w:r>
      <w:r>
        <w:rPr>
          <w:rFonts w:ascii="David" w:hAnsi="David" w:cs="David"/>
          <w:color w:val="000000"/>
          <w:sz w:val="24"/>
          <w:szCs w:val="24"/>
          <w:rtl/>
        </w:rPr>
        <w:t xml:space="preserve">                            </w:t>
      </w:r>
    </w:p>
    <w:p w14:paraId="35919544" w14:textId="77777777" w:rsidR="00E71DC2" w:rsidRPr="00E71DC2" w:rsidRDefault="000E63A8" w:rsidP="00E71DC2">
      <w:pPr>
        <w:tabs>
          <w:tab w:val="left" w:pos="6310"/>
        </w:tabs>
        <w:spacing w:before="120" w:after="120" w:line="360" w:lineRule="auto"/>
        <w:ind w:left="423"/>
        <w:jc w:val="both"/>
        <w:rPr>
          <w:rFonts w:ascii="Calibri" w:eastAsia="Calibri" w:hAnsi="Calibri" w:cs="Arial"/>
          <w:color w:val="000000"/>
          <w:sz w:val="14"/>
          <w:szCs w:val="14"/>
        </w:rPr>
      </w:pPr>
      <w:hyperlink r:id="rId52" w:history="1">
        <w:r w:rsidRPr="000E63A8">
          <w:rPr>
            <w:rFonts w:ascii="David" w:hAnsi="David"/>
            <w:color w:val="0000FF"/>
            <w:u w:val="single"/>
            <w:rtl/>
          </w:rPr>
          <w:t>ת"פ 9369-01-13</w:t>
        </w:r>
      </w:hyperlink>
      <w:r>
        <w:rPr>
          <w:rFonts w:ascii="David" w:hAnsi="David"/>
        </w:rPr>
        <w:t xml:space="preserve"> </w:t>
      </w:r>
      <w:r w:rsidR="00E71DC2">
        <w:rPr>
          <w:rFonts w:ascii="David" w:hAnsi="David"/>
          <w:b/>
          <w:bCs/>
          <w:u w:val="single"/>
          <w:rtl/>
        </w:rPr>
        <w:t>מדינת ישראל נ' שמואל</w:t>
      </w:r>
      <w:r>
        <w:rPr>
          <w:rFonts w:ascii="David" w:hAnsi="David"/>
          <w:rtl/>
        </w:rPr>
        <w:t xml:space="preserve"> </w:t>
      </w:r>
      <w:r w:rsidR="00E71DC2">
        <w:rPr>
          <w:rFonts w:ascii="David" w:hAnsi="David"/>
        </w:rPr>
        <w:t>(29.4.15)</w:t>
      </w:r>
      <w:r w:rsidR="00E71DC2">
        <w:rPr>
          <w:rFonts w:ascii="David" w:hAnsi="David"/>
          <w:rtl/>
        </w:rPr>
        <w:t xml:space="preserve">: בוטלה הרשעה של בן 20, בעל עבר פלילי בתקופת נערותו שהורשע בעבירת החזקת סם מסוג קוקאין במשקל של כ-5 גרם בביתו כשהוא מחולק ל-2 אריזות פלסטיק. </w:t>
      </w:r>
    </w:p>
    <w:p w14:paraId="2D183476" w14:textId="77777777" w:rsidR="00E71DC2" w:rsidRDefault="000E63A8" w:rsidP="00E71DC2">
      <w:pPr>
        <w:pStyle w:val="aa"/>
        <w:numPr>
          <w:ilvl w:val="0"/>
          <w:numId w:val="1"/>
        </w:numPr>
        <w:spacing w:before="120" w:after="120" w:line="360" w:lineRule="auto"/>
        <w:ind w:left="423" w:hanging="425"/>
        <w:contextualSpacing w:val="0"/>
        <w:jc w:val="both"/>
        <w:rPr>
          <w:rFonts w:ascii="David" w:hAnsi="David" w:cs="David"/>
          <w:sz w:val="24"/>
          <w:szCs w:val="24"/>
          <w:rtl/>
        </w:rPr>
      </w:pPr>
      <w:r>
        <w:rPr>
          <w:rFonts w:ascii="David" w:hAnsi="David" w:cs="David"/>
          <w:color w:val="000000"/>
          <w:rtl/>
        </w:rPr>
        <w:t xml:space="preserve"> </w:t>
      </w:r>
      <w:r w:rsidR="00E71DC2">
        <w:rPr>
          <w:rFonts w:ascii="David" w:hAnsi="David" w:cs="David"/>
          <w:sz w:val="24"/>
          <w:szCs w:val="24"/>
          <w:rtl/>
        </w:rPr>
        <w:t>הפסיקה ונסיבות העבירה כמפורט מעידות על כך שטיב המעשים של הנאשם מאפשר הימנעות מהרשעה.</w:t>
      </w:r>
    </w:p>
    <w:p w14:paraId="14A155C8" w14:textId="77777777" w:rsidR="00E71DC2" w:rsidRDefault="00E71DC2" w:rsidP="00E71DC2">
      <w:pPr>
        <w:spacing w:before="120" w:after="120" w:line="360" w:lineRule="auto"/>
        <w:ind w:firstLine="423"/>
        <w:jc w:val="both"/>
        <w:rPr>
          <w:rFonts w:ascii="David" w:hAnsi="David"/>
          <w:b/>
          <w:bCs/>
        </w:rPr>
      </w:pPr>
      <w:r>
        <w:rPr>
          <w:rFonts w:ascii="David" w:hAnsi="David"/>
          <w:b/>
          <w:bCs/>
          <w:u w:val="single"/>
          <w:rtl/>
        </w:rPr>
        <w:t>ההרשעה עלולה לפגוע בשיקום הנאשם:</w:t>
      </w:r>
      <w:r>
        <w:rPr>
          <w:rFonts w:ascii="David" w:hAnsi="David"/>
          <w:b/>
          <w:bCs/>
          <w:rtl/>
        </w:rPr>
        <w:t xml:space="preserve"> </w:t>
      </w:r>
    </w:p>
    <w:p w14:paraId="0C649501"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tl/>
        </w:rPr>
      </w:pPr>
      <w:r>
        <w:rPr>
          <w:rFonts w:ascii="David" w:hAnsi="David" w:cs="David"/>
          <w:sz w:val="24"/>
          <w:szCs w:val="24"/>
          <w:rtl/>
        </w:rPr>
        <w:t>הנאשם טען כי ברצונו להתגייס ליחידת יס"מ במשטרת ישראל וכי הותרת ההרשעה על כנה תיפגע ביכולתו לעשות כן</w:t>
      </w:r>
      <w:r>
        <w:rPr>
          <w:rFonts w:ascii="David" w:hAnsi="David" w:cs="David" w:hint="cs"/>
          <w:sz w:val="24"/>
          <w:szCs w:val="24"/>
          <w:rtl/>
        </w:rPr>
        <w:t>. הורי הנאשם תמכו בעדותם בטענות, אולם ל</w:t>
      </w:r>
      <w:r>
        <w:rPr>
          <w:rFonts w:ascii="David" w:hAnsi="David" w:cs="David"/>
          <w:sz w:val="24"/>
          <w:szCs w:val="24"/>
          <w:rtl/>
        </w:rPr>
        <w:t xml:space="preserve">א </w:t>
      </w:r>
      <w:r>
        <w:rPr>
          <w:rFonts w:ascii="David" w:hAnsi="David" w:cs="David" w:hint="cs"/>
          <w:sz w:val="24"/>
          <w:szCs w:val="24"/>
          <w:rtl/>
        </w:rPr>
        <w:t>הוגשו</w:t>
      </w:r>
      <w:r>
        <w:rPr>
          <w:rFonts w:ascii="David" w:hAnsi="David" w:cs="David"/>
          <w:sz w:val="24"/>
          <w:szCs w:val="24"/>
          <w:rtl/>
        </w:rPr>
        <w:t xml:space="preserve"> מסמכים התומכים בטענ</w:t>
      </w:r>
      <w:r>
        <w:rPr>
          <w:rFonts w:ascii="David" w:hAnsi="David" w:cs="David" w:hint="cs"/>
          <w:sz w:val="24"/>
          <w:szCs w:val="24"/>
          <w:rtl/>
        </w:rPr>
        <w:t>ו</w:t>
      </w:r>
      <w:r>
        <w:rPr>
          <w:rFonts w:ascii="David" w:hAnsi="David" w:cs="David"/>
          <w:sz w:val="24"/>
          <w:szCs w:val="24"/>
          <w:rtl/>
        </w:rPr>
        <w:t>ת</w:t>
      </w:r>
      <w:r>
        <w:rPr>
          <w:rFonts w:ascii="David" w:hAnsi="David" w:cs="David" w:hint="cs"/>
          <w:sz w:val="24"/>
          <w:szCs w:val="24"/>
          <w:rtl/>
        </w:rPr>
        <w:t xml:space="preserve"> ולפיכך לא הוכחה פגיעה קונקרטית, ברורה ומוחשית</w:t>
      </w:r>
      <w:r>
        <w:rPr>
          <w:rFonts w:ascii="David" w:hAnsi="David" w:cs="David"/>
          <w:sz w:val="24"/>
          <w:szCs w:val="24"/>
          <w:rtl/>
        </w:rPr>
        <w:t>.</w:t>
      </w:r>
    </w:p>
    <w:p w14:paraId="09B4F573"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חרף האמור, לאור גילו הצעיר של הנאשם בעת ביצוע העבירה והתקיימות רוב התנאים שקבע השופט לוין בהלכת כתב, השתכנעתי כי </w:t>
      </w:r>
      <w:r>
        <w:rPr>
          <w:rFonts w:ascii="David" w:hAnsi="David" w:cs="David" w:hint="cs"/>
          <w:sz w:val="24"/>
          <w:szCs w:val="24"/>
          <w:rtl/>
        </w:rPr>
        <w:t xml:space="preserve">מתקיימות </w:t>
      </w:r>
      <w:r>
        <w:rPr>
          <w:rFonts w:ascii="David" w:hAnsi="David" w:cs="David"/>
          <w:sz w:val="24"/>
          <w:szCs w:val="24"/>
          <w:rtl/>
        </w:rPr>
        <w:t xml:space="preserve">בעניינו של הנאשם נסיבות שיש בהן כדי להטות את הכף לטובת אי הרשעה. </w:t>
      </w:r>
    </w:p>
    <w:p w14:paraId="7E38E516"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כאמור, הנאשם ביצע את העבירה בהיותו כבן 20 והיום הוא בן 22 ונכנס ללא ספק תחת קטגוריית "צעיר-בגיר". כמו כן, מתסקיר שירות המבחן עולה הרושם כי הנאשם בעל פוטנציאל שיקום גבוה מאוד. מדובר בנאשם צעיר ונורמטיבי, נעדר הרשעות קודמות שאינו בעל דפוסי התנהלות עברייניים ואשר עולם הפשע זר לו. מתסקיר שירות המבחן עולה כי הנאשם חדל משימוש בסמים ובדיקות לאיתור שרידי סם שמסר נמצאו נקיות. </w:t>
      </w:r>
    </w:p>
    <w:p w14:paraId="67B9728D"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הנאשם הודה בביצוע העבירה, לקח אחריות אישית על מעשיו וממועד ביצוע העבירה משך מעל שנתיים לא נפתחו כנגדו תיקים חדשים. לנאשם סביבה עוטפת ותומכת אשר התגייסה לטפל בו ולעזור לו, הוריו עובדים בשירות הביטחון, סיפרו כי המשפחה עברה דירה לעיר אחרת והנאשם ניתק את קשריו השוליים. בנוסף, שירות המבחן התרשם כי הנאשם מפיק לקחים מהתנהגותו, מצר על מעורבותו בעבירה ושואף להטיב עם סביבתו ולשמור על התנהלות נורמטיבית וכי משפחתו מהווה עבורו עוגן משמעותי.</w:t>
      </w:r>
    </w:p>
    <w:p w14:paraId="506C8B46"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מתסקיר שירות המבחן עולה כי הנאשם השתתף בקבוצה טיפולית, שיתף פעולה באופן מלא, עבר תהליך משמעותי ועורך מאמצים רבים לשינוי דפוסיו והתנהגותו המכשילה. שירות המבחן התרשם כי המשך השתתפות הנאשם בקבוצה טיפולית יסייע להקטנת הסיכון להישנות התנהגות עוברת חוק בעתיד והמליץ על ביטול הרשעתו בדין של הנאשם והטלת צו של"צ בהיקף גבוה וצו מבחן למשך שנה.</w:t>
      </w:r>
    </w:p>
    <w:p w14:paraId="6F27E687" w14:textId="77777777" w:rsid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מכל האמור לעיל, הגעתי למסקנה כי יש להעדיף את שיקולי השיקום של הנאשם על פני שיקולי הענישה האחרים של גמול והרתעה.</w:t>
      </w:r>
    </w:p>
    <w:p w14:paraId="68C3AAAC" w14:textId="77777777" w:rsidR="00E71DC2" w:rsidRDefault="00E71DC2" w:rsidP="00E71DC2">
      <w:pPr>
        <w:spacing w:before="120" w:after="120" w:line="360" w:lineRule="auto"/>
        <w:ind w:left="423"/>
        <w:jc w:val="both"/>
        <w:rPr>
          <w:rFonts w:ascii="David" w:hAnsi="David"/>
          <w:b/>
          <w:bCs/>
          <w:sz w:val="28"/>
          <w:szCs w:val="28"/>
          <w:u w:val="single"/>
        </w:rPr>
      </w:pPr>
      <w:r>
        <w:rPr>
          <w:rFonts w:ascii="David" w:hAnsi="David"/>
          <w:b/>
          <w:bCs/>
          <w:sz w:val="28"/>
          <w:szCs w:val="28"/>
          <w:u w:val="single"/>
          <w:rtl/>
        </w:rPr>
        <w:t>התוצאה</w:t>
      </w:r>
    </w:p>
    <w:p w14:paraId="35777C66" w14:textId="77777777" w:rsidR="00E71DC2" w:rsidRPr="00E71DC2" w:rsidRDefault="00E71DC2" w:rsidP="00E71DC2">
      <w:pPr>
        <w:pStyle w:val="aa"/>
        <w:numPr>
          <w:ilvl w:val="0"/>
          <w:numId w:val="1"/>
        </w:numPr>
        <w:spacing w:before="120" w:after="120" w:line="360" w:lineRule="auto"/>
        <w:ind w:left="423" w:hanging="425"/>
        <w:contextualSpacing w:val="0"/>
        <w:jc w:val="both"/>
        <w:rPr>
          <w:rFonts w:ascii="David" w:hAnsi="David" w:cs="David"/>
          <w:sz w:val="24"/>
          <w:szCs w:val="24"/>
        </w:rPr>
      </w:pPr>
      <w:r>
        <w:rPr>
          <w:rFonts w:ascii="David" w:hAnsi="David" w:cs="David"/>
          <w:sz w:val="24"/>
          <w:szCs w:val="24"/>
          <w:rtl/>
        </w:rPr>
        <w:t xml:space="preserve">לאור האמור אני קובעת שהנאשם ביצע העבירה המיוחסת לו בכתב האישום, </w:t>
      </w:r>
      <w:r>
        <w:rPr>
          <w:rFonts w:ascii="David" w:hAnsi="David" w:cs="David"/>
          <w:b/>
          <w:sz w:val="24"/>
          <w:szCs w:val="24"/>
          <w:rtl/>
          <w:lang w:eastAsia="he-IL"/>
        </w:rPr>
        <w:t xml:space="preserve">אולם באיזון בין האינטרס הציבורי, הרתעת היחיד והרבים, לבין האינטרסים הנוגעים בנאשם, נוכח החשש שהרשעה תפגע בעתידו - </w:t>
      </w:r>
      <w:r>
        <w:rPr>
          <w:rFonts w:ascii="David" w:hAnsi="David" w:cs="David"/>
          <w:bCs/>
          <w:sz w:val="24"/>
          <w:szCs w:val="24"/>
          <w:rtl/>
          <w:lang w:eastAsia="he-IL"/>
        </w:rPr>
        <w:t xml:space="preserve">אני </w:t>
      </w:r>
      <w:r>
        <w:rPr>
          <w:rFonts w:ascii="David" w:hAnsi="David" w:cs="David"/>
          <w:b/>
          <w:bCs/>
          <w:sz w:val="24"/>
          <w:szCs w:val="24"/>
          <w:rtl/>
        </w:rPr>
        <w:t>מורה</w:t>
      </w:r>
      <w:r>
        <w:rPr>
          <w:rFonts w:ascii="David" w:hAnsi="David" w:cs="David"/>
          <w:bCs/>
          <w:sz w:val="24"/>
          <w:szCs w:val="24"/>
          <w:rtl/>
          <w:lang w:eastAsia="he-IL"/>
        </w:rPr>
        <w:t xml:space="preserve"> על ביטול הרשעת הנאשם, כך שההליך יסתיים ללא הרשעה וגוזרת על </w:t>
      </w:r>
      <w:r>
        <w:rPr>
          <w:rFonts w:ascii="David" w:hAnsi="David" w:cs="David"/>
          <w:b/>
          <w:bCs/>
          <w:sz w:val="24"/>
          <w:szCs w:val="24"/>
          <w:rtl/>
        </w:rPr>
        <w:t>הנאשם את העונשים הבאים:</w:t>
      </w:r>
    </w:p>
    <w:p w14:paraId="43EC2ED2" w14:textId="77777777" w:rsidR="00E71DC2" w:rsidRDefault="00E71DC2" w:rsidP="00E71DC2">
      <w:pPr>
        <w:pStyle w:val="aa"/>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300 שעות שירות לתועלת הציבור, על פי תכנית שתוגש לאישורו של בית המשפט בתוך 45 ימים מהיום.</w:t>
      </w:r>
    </w:p>
    <w:p w14:paraId="56CCF8FE" w14:textId="77777777" w:rsidR="00E71DC2" w:rsidRDefault="00E71DC2" w:rsidP="00E71DC2">
      <w:pPr>
        <w:pStyle w:val="aa"/>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הנאשם יעמוד בצו מבחן, בפיקוח שירות המבחן למשך 12 חודשים מהיום.</w:t>
      </w:r>
    </w:p>
    <w:p w14:paraId="107905CA" w14:textId="77777777" w:rsidR="00E71DC2" w:rsidRDefault="00E71DC2" w:rsidP="00E71DC2">
      <w:pPr>
        <w:pStyle w:val="aa"/>
        <w:spacing w:before="120" w:after="120" w:line="360" w:lineRule="auto"/>
        <w:contextualSpacing w:val="0"/>
        <w:jc w:val="both"/>
        <w:rPr>
          <w:rFonts w:ascii="David" w:hAnsi="David" w:cs="David"/>
          <w:sz w:val="24"/>
          <w:szCs w:val="24"/>
        </w:rPr>
      </w:pPr>
      <w:r>
        <w:rPr>
          <w:rFonts w:cs="David"/>
          <w:sz w:val="24"/>
          <w:szCs w:val="24"/>
          <w:rtl/>
        </w:rPr>
        <w:t>בית המשפט הבהיר לנאשם חובת שיתוף הפעולה עם שירות המבחן, וכן הובהר לנאשם כי ככל ולא ישתף פעולה עם שירות המבחן, בית המשפט רשאי להפקיע את צו השל"צ ו/או צו המבחן, ולדון את הנאשם מחדש במסגרת מתחם העונש ההולם.</w:t>
      </w:r>
    </w:p>
    <w:p w14:paraId="0DDFBDE0" w14:textId="77777777" w:rsidR="00E71DC2" w:rsidRDefault="00E71DC2" w:rsidP="00E71DC2">
      <w:pPr>
        <w:pStyle w:val="aa"/>
        <w:numPr>
          <w:ilvl w:val="0"/>
          <w:numId w:val="4"/>
        </w:numPr>
        <w:spacing w:before="120" w:after="120" w:line="360" w:lineRule="auto"/>
        <w:contextualSpacing w:val="0"/>
        <w:jc w:val="both"/>
        <w:rPr>
          <w:rFonts w:ascii="David" w:hAnsi="David" w:cs="David"/>
          <w:sz w:val="24"/>
          <w:szCs w:val="24"/>
          <w:rtl/>
        </w:rPr>
      </w:pPr>
      <w:r>
        <w:rPr>
          <w:rFonts w:ascii="David" w:hAnsi="David" w:cs="David"/>
          <w:sz w:val="24"/>
          <w:szCs w:val="24"/>
          <w:rtl/>
        </w:rPr>
        <w:t>התחייבות בסך 8,000 ₪ שלא יעבור עבירה בה הורשע וזאת לתקופה של שנה מהיום.</w:t>
      </w:r>
    </w:p>
    <w:p w14:paraId="5B83E349" w14:textId="77777777" w:rsidR="00E71DC2" w:rsidRDefault="00E71DC2" w:rsidP="00E71DC2">
      <w:pPr>
        <w:pStyle w:val="aa"/>
        <w:numPr>
          <w:ilvl w:val="0"/>
          <w:numId w:val="4"/>
        </w:numPr>
        <w:spacing w:before="120" w:after="120" w:line="360" w:lineRule="auto"/>
        <w:contextualSpacing w:val="0"/>
        <w:jc w:val="both"/>
        <w:rPr>
          <w:rFonts w:ascii="David" w:hAnsi="David" w:cs="David"/>
          <w:sz w:val="24"/>
          <w:szCs w:val="24"/>
        </w:rPr>
      </w:pPr>
      <w:r>
        <w:rPr>
          <w:rFonts w:ascii="David" w:hAnsi="David" w:cs="David" w:hint="cs"/>
          <w:sz w:val="24"/>
          <w:szCs w:val="24"/>
          <w:rtl/>
        </w:rPr>
        <w:t>5</w:t>
      </w:r>
      <w:r>
        <w:rPr>
          <w:rFonts w:ascii="David" w:hAnsi="David" w:cs="David"/>
          <w:sz w:val="24"/>
          <w:szCs w:val="24"/>
          <w:rtl/>
        </w:rPr>
        <w:t xml:space="preserve"> חודשי פסילה מלקבל או מלהחזיק רישיון נהיגה על תנאי שבמשך 3 שנים מהיום לא יעבור עבירה לפי </w:t>
      </w:r>
      <w:hyperlink r:id="rId53" w:history="1">
        <w:r w:rsidR="000E63A8" w:rsidRPr="000E63A8">
          <w:rPr>
            <w:rFonts w:ascii="David" w:hAnsi="David" w:cs="David"/>
            <w:color w:val="0000FF"/>
            <w:sz w:val="24"/>
            <w:szCs w:val="24"/>
            <w:u w:val="single"/>
            <w:rtl/>
          </w:rPr>
          <w:t>פקודת הסמים המסוכנים</w:t>
        </w:r>
      </w:hyperlink>
      <w:r>
        <w:rPr>
          <w:rFonts w:ascii="David" w:hAnsi="David" w:cs="David"/>
          <w:sz w:val="24"/>
          <w:szCs w:val="24"/>
          <w:rtl/>
        </w:rPr>
        <w:t xml:space="preserve"> או נהיגה תחת השפעת סמים.  </w:t>
      </w:r>
    </w:p>
    <w:p w14:paraId="6DB3481A" w14:textId="77777777" w:rsidR="00E71DC2" w:rsidRDefault="00E71DC2" w:rsidP="00E71DC2">
      <w:pPr>
        <w:pStyle w:val="aa"/>
        <w:numPr>
          <w:ilvl w:val="0"/>
          <w:numId w:val="4"/>
        </w:numPr>
        <w:spacing w:before="120" w:after="120" w:line="360" w:lineRule="auto"/>
        <w:contextualSpacing w:val="0"/>
        <w:jc w:val="both"/>
        <w:rPr>
          <w:rFonts w:ascii="David" w:hAnsi="David" w:cs="David"/>
          <w:sz w:val="24"/>
          <w:szCs w:val="24"/>
        </w:rPr>
      </w:pPr>
      <w:r>
        <w:rPr>
          <w:rFonts w:ascii="David" w:hAnsi="David" w:cs="David"/>
          <w:sz w:val="24"/>
          <w:szCs w:val="24"/>
          <w:rtl/>
        </w:rPr>
        <w:t>ניתן צו להשמדת הסמים.</w:t>
      </w:r>
    </w:p>
    <w:p w14:paraId="11E1EC75" w14:textId="77777777" w:rsidR="00E71DC2" w:rsidRDefault="00E71DC2" w:rsidP="00E71DC2">
      <w:pPr>
        <w:spacing w:before="120" w:after="120" w:line="360" w:lineRule="auto"/>
        <w:ind w:left="720"/>
        <w:jc w:val="both"/>
        <w:rPr>
          <w:rFonts w:ascii="David" w:hAnsi="David"/>
          <w:b/>
          <w:bCs/>
        </w:rPr>
      </w:pPr>
      <w:r>
        <w:rPr>
          <w:rFonts w:ascii="David" w:hAnsi="David"/>
          <w:b/>
          <w:bCs/>
          <w:rtl/>
        </w:rPr>
        <w:t>זכות ערעור תוך 45 יום לבית המשפט המחוזי בבאר שבע.</w:t>
      </w:r>
    </w:p>
    <w:p w14:paraId="23390445" w14:textId="77777777" w:rsidR="00E71DC2" w:rsidRDefault="000E63A8" w:rsidP="00E71DC2">
      <w:pPr>
        <w:spacing w:before="120" w:after="120" w:line="360" w:lineRule="auto"/>
        <w:ind w:left="720"/>
        <w:jc w:val="both"/>
        <w:rPr>
          <w:rFonts w:ascii="David" w:hAnsi="David"/>
          <w:b/>
          <w:bCs/>
          <w:u w:val="single"/>
          <w:rtl/>
        </w:rPr>
      </w:pPr>
      <w:r w:rsidRPr="000E63A8">
        <w:rPr>
          <w:rFonts w:ascii="David" w:hAnsi="David"/>
          <w:b/>
          <w:bCs/>
          <w:color w:val="FFFFFF"/>
          <w:sz w:val="2"/>
          <w:szCs w:val="2"/>
          <w:u w:val="single"/>
          <w:rtl/>
        </w:rPr>
        <w:t>5129371</w:t>
      </w:r>
      <w:r w:rsidR="00E71DC2">
        <w:rPr>
          <w:rFonts w:ascii="David" w:hAnsi="David"/>
          <w:b/>
          <w:bCs/>
          <w:u w:val="single"/>
          <w:rtl/>
        </w:rPr>
        <w:t>המזכירות תעביר העתק פסק הדין לשירות המבחן.</w:t>
      </w:r>
    </w:p>
    <w:p w14:paraId="5D6594A5" w14:textId="77777777" w:rsidR="00E71DC2" w:rsidRPr="000E63A8" w:rsidRDefault="000E63A8" w:rsidP="00E71DC2">
      <w:pPr>
        <w:spacing w:before="120" w:after="120" w:line="360" w:lineRule="auto"/>
        <w:ind w:left="366"/>
        <w:jc w:val="both"/>
        <w:rPr>
          <w:rFonts w:ascii="David" w:hAnsi="David"/>
          <w:b/>
          <w:bCs/>
          <w:color w:val="FFFFFF"/>
          <w:sz w:val="2"/>
          <w:szCs w:val="2"/>
          <w:u w:val="single"/>
          <w:rtl/>
        </w:rPr>
      </w:pPr>
      <w:r w:rsidRPr="000E63A8">
        <w:rPr>
          <w:rFonts w:ascii="David" w:hAnsi="David"/>
          <w:b/>
          <w:bCs/>
          <w:color w:val="FFFFFF"/>
          <w:sz w:val="2"/>
          <w:szCs w:val="2"/>
          <w:u w:val="single"/>
          <w:rtl/>
        </w:rPr>
        <w:t>54678313</w:t>
      </w:r>
    </w:p>
    <w:p w14:paraId="1D046605" w14:textId="77777777" w:rsidR="00E71DC2" w:rsidRDefault="000E63A8" w:rsidP="00E71DC2">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ט"ו כסלו תשפ"ה, 16 דצמבר 2024, במעמד הצדדים. </w:t>
      </w:r>
      <w:bookmarkEnd w:id="8"/>
    </w:p>
    <w:p w14:paraId="4CCA8CC1" w14:textId="77777777" w:rsidR="00E71DC2" w:rsidRPr="000F2247" w:rsidRDefault="00E71DC2" w:rsidP="00E71DC2">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1186B822" w14:textId="77777777" w:rsidR="000E63A8" w:rsidRDefault="00E71DC2" w:rsidP="000E63A8">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852B907" w14:textId="77777777" w:rsidR="000E63A8" w:rsidRDefault="000E63A8" w:rsidP="000E63A8">
      <w:pPr>
        <w:rPr>
          <w:rtl/>
        </w:rPr>
      </w:pPr>
    </w:p>
    <w:p w14:paraId="18914917" w14:textId="77777777" w:rsidR="000E63A8" w:rsidRDefault="000E63A8" w:rsidP="000E63A8">
      <w:pPr>
        <w:jc w:val="center"/>
        <w:rPr>
          <w:color w:val="0000FF"/>
          <w:u w:val="single"/>
        </w:rPr>
      </w:pPr>
      <w:hyperlink r:id="rId54" w:history="1">
        <w:r>
          <w:rPr>
            <w:color w:val="0000FF"/>
            <w:u w:val="single"/>
            <w:rtl/>
          </w:rPr>
          <w:t>בעניין עריכה ושינויים במסמכי פסיקה, חקיקה ועוד באתר נבו – הקש כאן</w:t>
        </w:r>
      </w:hyperlink>
    </w:p>
    <w:p w14:paraId="18ADC176" w14:textId="77777777" w:rsidR="00A37BC2" w:rsidRPr="00A37BC2" w:rsidRDefault="00A37BC2" w:rsidP="00A37BC2">
      <w:pPr>
        <w:keepNext/>
        <w:rPr>
          <w:rFonts w:ascii="David" w:hAnsi="David" w:hint="cs"/>
          <w:color w:val="000000"/>
          <w:sz w:val="22"/>
          <w:szCs w:val="22"/>
          <w:rtl/>
        </w:rPr>
      </w:pPr>
    </w:p>
    <w:p w14:paraId="5CE397FE" w14:textId="77777777" w:rsidR="00A37BC2" w:rsidRPr="00A37BC2" w:rsidRDefault="00A37BC2" w:rsidP="00A37BC2">
      <w:pPr>
        <w:keepNext/>
        <w:rPr>
          <w:rFonts w:ascii="David" w:hAnsi="David"/>
          <w:color w:val="000000"/>
          <w:sz w:val="22"/>
          <w:szCs w:val="22"/>
          <w:rtl/>
        </w:rPr>
      </w:pPr>
      <w:r w:rsidRPr="00A37BC2">
        <w:rPr>
          <w:rFonts w:ascii="David" w:hAnsi="David"/>
          <w:color w:val="000000"/>
          <w:sz w:val="22"/>
          <w:szCs w:val="22"/>
          <w:rtl/>
        </w:rPr>
        <w:t>אורית קרץ 54678313-/</w:t>
      </w:r>
    </w:p>
    <w:p w14:paraId="224ADA18" w14:textId="77777777" w:rsidR="000E63A8" w:rsidRPr="000E63A8" w:rsidRDefault="00A37BC2" w:rsidP="00A37BC2">
      <w:pPr>
        <w:rPr>
          <w:rFonts w:hint="cs"/>
          <w:color w:val="0000FF"/>
          <w:u w:val="single"/>
        </w:rPr>
      </w:pPr>
      <w:r w:rsidRPr="00A37BC2">
        <w:rPr>
          <w:color w:val="000000"/>
          <w:u w:val="single"/>
          <w:rtl/>
        </w:rPr>
        <w:t>נוסח מסמך זה כפוף לשינויי ניסוח ועריכה</w:t>
      </w:r>
    </w:p>
    <w:sectPr w:rsidR="000E63A8" w:rsidRPr="000E63A8" w:rsidSect="00A37BC2">
      <w:headerReference w:type="even" r:id="rId55"/>
      <w:headerReference w:type="default" r:id="rId56"/>
      <w:footerReference w:type="even" r:id="rId57"/>
      <w:footerReference w:type="default" r:id="rId5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B0353" w14:textId="77777777" w:rsidR="00213134" w:rsidRDefault="00213134" w:rsidP="00743773">
      <w:r>
        <w:separator/>
      </w:r>
    </w:p>
  </w:endnote>
  <w:endnote w:type="continuationSeparator" w:id="0">
    <w:p w14:paraId="45118B0E" w14:textId="77777777" w:rsidR="00213134" w:rsidRDefault="00213134" w:rsidP="00743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42AA0" w14:textId="77777777" w:rsidR="00A37BC2" w:rsidRDefault="00A37BC2" w:rsidP="00A37B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5E8412AA" w14:textId="77777777" w:rsidR="006128C5" w:rsidRPr="00A37BC2" w:rsidRDefault="00A37BC2" w:rsidP="00A37BC2">
    <w:pPr>
      <w:pStyle w:val="a5"/>
      <w:pBdr>
        <w:top w:val="single" w:sz="4" w:space="1" w:color="auto"/>
        <w:between w:val="single" w:sz="4" w:space="0" w:color="auto"/>
      </w:pBdr>
      <w:spacing w:after="60"/>
      <w:jc w:val="center"/>
      <w:rPr>
        <w:rFonts w:ascii="FrankRuehl" w:hAnsi="FrankRuehl" w:cs="FrankRuehl"/>
        <w:color w:val="000000"/>
      </w:rPr>
    </w:pPr>
    <w:r w:rsidRPr="00A37BC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FF39E" w14:textId="77777777" w:rsidR="00A37BC2" w:rsidRDefault="00A37BC2" w:rsidP="00A37BC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B291C">
      <w:rPr>
        <w:rFonts w:ascii="FrankRuehl" w:hAnsi="FrankRuehl" w:cs="FrankRuehl"/>
        <w:noProof/>
        <w:rtl/>
      </w:rPr>
      <w:t>1</w:t>
    </w:r>
    <w:r>
      <w:rPr>
        <w:rFonts w:ascii="FrankRuehl" w:hAnsi="FrankRuehl" w:cs="FrankRuehl"/>
        <w:rtl/>
      </w:rPr>
      <w:fldChar w:fldCharType="end"/>
    </w:r>
  </w:p>
  <w:p w14:paraId="7D61D880" w14:textId="77777777" w:rsidR="006128C5" w:rsidRPr="00A37BC2" w:rsidRDefault="00A37BC2" w:rsidP="00A37BC2">
    <w:pPr>
      <w:pStyle w:val="a5"/>
      <w:pBdr>
        <w:top w:val="single" w:sz="4" w:space="1" w:color="auto"/>
        <w:between w:val="single" w:sz="4" w:space="0" w:color="auto"/>
      </w:pBdr>
      <w:spacing w:after="60"/>
      <w:jc w:val="center"/>
      <w:rPr>
        <w:rFonts w:ascii="FrankRuehl" w:hAnsi="FrankRuehl" w:cs="FrankRuehl"/>
        <w:color w:val="000000"/>
      </w:rPr>
    </w:pPr>
    <w:r w:rsidRPr="00A37BC2">
      <w:rPr>
        <w:rFonts w:ascii="FrankRuehl" w:hAnsi="FrankRuehl" w:cs="FrankRuehl"/>
        <w:color w:val="000000"/>
      </w:rPr>
      <w:pict w14:anchorId="4E56B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B68B08" w14:textId="77777777" w:rsidR="00213134" w:rsidRDefault="00213134" w:rsidP="00743773">
      <w:r>
        <w:separator/>
      </w:r>
    </w:p>
  </w:footnote>
  <w:footnote w:type="continuationSeparator" w:id="0">
    <w:p w14:paraId="5EB975B1" w14:textId="77777777" w:rsidR="00213134" w:rsidRDefault="00213134" w:rsidP="00743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A0474" w14:textId="77777777" w:rsidR="000E63A8" w:rsidRPr="00A37BC2" w:rsidRDefault="00A37BC2" w:rsidP="00A37B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65068-11-22</w:t>
    </w:r>
    <w:r>
      <w:rPr>
        <w:rFonts w:ascii="David" w:hAnsi="David"/>
        <w:color w:val="000000"/>
        <w:sz w:val="22"/>
        <w:szCs w:val="22"/>
        <w:rtl/>
      </w:rPr>
      <w:tab/>
      <w:t xml:space="preserve"> מדינת ישראל נ' אלמוג תמיר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78A99" w14:textId="77777777" w:rsidR="000E63A8" w:rsidRPr="00A37BC2" w:rsidRDefault="00A37BC2" w:rsidP="00A37BC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65068-11-22</w:t>
    </w:r>
    <w:r>
      <w:rPr>
        <w:rFonts w:ascii="David" w:hAnsi="David"/>
        <w:color w:val="000000"/>
        <w:sz w:val="22"/>
        <w:szCs w:val="22"/>
        <w:rtl/>
      </w:rPr>
      <w:tab/>
      <w:t xml:space="preserve"> מדינת ישראל נ' אלמוג תמיר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A07A0"/>
    <w:multiLevelType w:val="hybridMultilevel"/>
    <w:tmpl w:val="F6F0E030"/>
    <w:lvl w:ilvl="0" w:tplc="74EC1932">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52016C"/>
    <w:multiLevelType w:val="hybridMultilevel"/>
    <w:tmpl w:val="57E671F4"/>
    <w:lvl w:ilvl="0" w:tplc="0409000B">
      <w:start w:val="1"/>
      <w:numFmt w:val="bullet"/>
      <w:lvlText w:val=""/>
      <w:lvlJc w:val="left"/>
      <w:pPr>
        <w:ind w:left="927" w:hanging="360"/>
      </w:pPr>
      <w:rPr>
        <w:rFonts w:ascii="Wingdings" w:hAnsi="Wingdings"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 w15:restartNumberingAfterBreak="0">
    <w:nsid w:val="163F1692"/>
    <w:multiLevelType w:val="hybridMultilevel"/>
    <w:tmpl w:val="11D0CC14"/>
    <w:lvl w:ilvl="0" w:tplc="4E58E962">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3" w15:restartNumberingAfterBreak="0">
    <w:nsid w:val="661B67B0"/>
    <w:multiLevelType w:val="hybridMultilevel"/>
    <w:tmpl w:val="F404F5BE"/>
    <w:lvl w:ilvl="0" w:tplc="68829CC8">
      <w:start w:val="1"/>
      <w:numFmt w:val="decimal"/>
      <w:lvlText w:val="%1."/>
      <w:lvlJc w:val="left"/>
      <w:pPr>
        <w:ind w:left="720" w:hanging="360"/>
      </w:pPr>
      <w:rPr>
        <w:rFonts w:ascii="David" w:hAnsi="David" w:cs="David" w:hint="default"/>
        <w:b w:val="0"/>
        <w:bCs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59839367">
    <w:abstractNumId w:val="3"/>
  </w:num>
  <w:num w:numId="2" w16cid:durableId="2071494094">
    <w:abstractNumId w:val="2"/>
  </w:num>
  <w:num w:numId="3" w16cid:durableId="170797527">
    <w:abstractNumId w:val="1"/>
  </w:num>
  <w:num w:numId="4" w16cid:durableId="1561675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71DC2"/>
    <w:rsid w:val="000E63A8"/>
    <w:rsid w:val="00213134"/>
    <w:rsid w:val="006128C5"/>
    <w:rsid w:val="00743773"/>
    <w:rsid w:val="008B1E26"/>
    <w:rsid w:val="00A37BC2"/>
    <w:rsid w:val="00A912ED"/>
    <w:rsid w:val="00DB291C"/>
    <w:rsid w:val="00E71DC2"/>
    <w:rsid w:val="00E730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D8CDDD"/>
  <w15:chartTrackingRefBased/>
  <w15:docId w15:val="{40FE37A0-1970-4811-A24F-7FC88484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71DC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71DC2"/>
    <w:pPr>
      <w:tabs>
        <w:tab w:val="center" w:pos="4153"/>
        <w:tab w:val="right" w:pos="8306"/>
      </w:tabs>
    </w:pPr>
  </w:style>
  <w:style w:type="character" w:customStyle="1" w:styleId="a4">
    <w:name w:val="כותרת עליונה תו"/>
    <w:link w:val="a3"/>
    <w:rsid w:val="00E71DC2"/>
    <w:rPr>
      <w:rFonts w:ascii="Times New Roman" w:eastAsia="Times New Roman" w:hAnsi="Times New Roman" w:cs="David"/>
      <w:sz w:val="24"/>
      <w:szCs w:val="24"/>
    </w:rPr>
  </w:style>
  <w:style w:type="paragraph" w:styleId="a5">
    <w:name w:val="footer"/>
    <w:basedOn w:val="a"/>
    <w:link w:val="a6"/>
    <w:rsid w:val="00E71DC2"/>
    <w:pPr>
      <w:tabs>
        <w:tab w:val="center" w:pos="4153"/>
        <w:tab w:val="right" w:pos="8306"/>
      </w:tabs>
    </w:pPr>
  </w:style>
  <w:style w:type="character" w:customStyle="1" w:styleId="a6">
    <w:name w:val="כותרת תחתונה תו"/>
    <w:link w:val="a5"/>
    <w:rsid w:val="00E71DC2"/>
    <w:rPr>
      <w:rFonts w:ascii="Times New Roman" w:eastAsia="Times New Roman" w:hAnsi="Times New Roman" w:cs="David"/>
      <w:sz w:val="24"/>
      <w:szCs w:val="24"/>
    </w:rPr>
  </w:style>
  <w:style w:type="table" w:styleId="a7">
    <w:name w:val="Table Grid"/>
    <w:basedOn w:val="a1"/>
    <w:rsid w:val="00E71DC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71DC2"/>
  </w:style>
  <w:style w:type="character" w:styleId="Hyperlink">
    <w:name w:val="Hyperlink"/>
    <w:rsid w:val="00E71DC2"/>
    <w:rPr>
      <w:color w:val="0000FF"/>
      <w:u w:val="single"/>
    </w:rPr>
  </w:style>
  <w:style w:type="character" w:customStyle="1" w:styleId="a9">
    <w:name w:val="פיסקת רשימה תו"/>
    <w:link w:val="aa"/>
    <w:locked/>
    <w:rsid w:val="00E71DC2"/>
  </w:style>
  <w:style w:type="paragraph" w:styleId="aa">
    <w:name w:val="List Paragraph"/>
    <w:basedOn w:val="a"/>
    <w:link w:val="a9"/>
    <w:qFormat/>
    <w:rsid w:val="00E71DC2"/>
    <w:pPr>
      <w:spacing w:after="160" w:line="256" w:lineRule="auto"/>
      <w:ind w:left="720"/>
      <w:contextualSpacing/>
    </w:pPr>
    <w:rPr>
      <w:rFonts w:ascii="Calibri" w:eastAsia="Calibri" w:hAnsi="Calibri" w:cs="Arial"/>
      <w:sz w:val="22"/>
      <w:szCs w:val="22"/>
    </w:rPr>
  </w:style>
  <w:style w:type="paragraph" w:customStyle="1" w:styleId="filenumber0">
    <w:name w:val="filenumber0"/>
    <w:basedOn w:val="a"/>
    <w:rsid w:val="00E71DC2"/>
    <w:pPr>
      <w:bidi w:val="0"/>
      <w:spacing w:before="100" w:beforeAutospacing="1" w:after="100" w:afterAutospacing="1"/>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b" TargetMode="External"/><Relationship Id="rId18" Type="http://schemas.openxmlformats.org/officeDocument/2006/relationships/hyperlink" Target="http://www.nevo.co.il/law/4216/7.a.;7.c" TargetMode="External"/><Relationship Id="rId26" Type="http://schemas.openxmlformats.org/officeDocument/2006/relationships/hyperlink" Target="http://www.nevo.co.il/law/70301"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40c" TargetMode="External"/><Relationship Id="rId34" Type="http://schemas.openxmlformats.org/officeDocument/2006/relationships/hyperlink" Target="http://www.nevo.co.il/case/16879489" TargetMode="External"/><Relationship Id="rId42" Type="http://schemas.openxmlformats.org/officeDocument/2006/relationships/hyperlink" Target="http://www.nevo.co.il/case/17943750" TargetMode="External"/><Relationship Id="rId47" Type="http://schemas.openxmlformats.org/officeDocument/2006/relationships/hyperlink" Target="http://www.nevo.co.il/case/11269559" TargetMode="External"/><Relationship Id="rId50" Type="http://schemas.openxmlformats.org/officeDocument/2006/relationships/hyperlink" Target="http://www.nevo.co.il/case/22582473" TargetMode="External"/><Relationship Id="rId55" Type="http://schemas.openxmlformats.org/officeDocument/2006/relationships/header" Target="head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182" TargetMode="External"/><Relationship Id="rId29" Type="http://schemas.openxmlformats.org/officeDocument/2006/relationships/hyperlink" Target="http://www.nevo.co.il/law/4216" TargetMode="External"/><Relationship Id="rId11" Type="http://schemas.openxmlformats.org/officeDocument/2006/relationships/hyperlink" Target="http://www.nevo.co.il/law/70301/40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3750765" TargetMode="External"/><Relationship Id="rId37" Type="http://schemas.openxmlformats.org/officeDocument/2006/relationships/hyperlink" Target="http://www.nevo.co.il/law/74903" TargetMode="External"/><Relationship Id="rId40" Type="http://schemas.openxmlformats.org/officeDocument/2006/relationships/hyperlink" Target="http://www.nevo.co.il/law/74903/192a" TargetMode="External"/><Relationship Id="rId45" Type="http://schemas.openxmlformats.org/officeDocument/2006/relationships/hyperlink" Target="http://www.nevo.co.il/case/6248029" TargetMode="External"/><Relationship Id="rId53" Type="http://schemas.openxmlformats.org/officeDocument/2006/relationships/hyperlink" Target="http://www.nevo.co.il/law/4216" TargetMode="External"/><Relationship Id="rId58"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71"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40c.b" TargetMode="External"/><Relationship Id="rId30" Type="http://schemas.openxmlformats.org/officeDocument/2006/relationships/hyperlink" Target="http://www.nevo.co.il/case/5763166" TargetMode="External"/><Relationship Id="rId35" Type="http://schemas.openxmlformats.org/officeDocument/2006/relationships/hyperlink" Target="http://www.nevo.co.il/case/20563667" TargetMode="External"/><Relationship Id="rId43" Type="http://schemas.openxmlformats.org/officeDocument/2006/relationships/hyperlink" Target="http://www.nevo.co.il/case/6161385" TargetMode="External"/><Relationship Id="rId48" Type="http://schemas.openxmlformats.org/officeDocument/2006/relationships/hyperlink" Target="http://www.nevo.co.il/case/28200101" TargetMode="External"/><Relationship Id="rId56" Type="http://schemas.openxmlformats.org/officeDocument/2006/relationships/header" Target="header2.xml"/><Relationship Id="rId8" Type="http://schemas.openxmlformats.org/officeDocument/2006/relationships/hyperlink" Target="http://www.nevo.co.il/law/4216/7.a." TargetMode="External"/><Relationship Id="rId51" Type="http://schemas.openxmlformats.org/officeDocument/2006/relationships/hyperlink" Target="http://www.nevo.co.il/case/5175431" TargetMode="External"/><Relationship Id="rId3" Type="http://schemas.openxmlformats.org/officeDocument/2006/relationships/settings" Target="settings.xml"/><Relationship Id="rId12" Type="http://schemas.openxmlformats.org/officeDocument/2006/relationships/hyperlink" Target="http://www.nevo.co.il/law/70301/40c" TargetMode="External"/><Relationship Id="rId17" Type="http://schemas.openxmlformats.org/officeDocument/2006/relationships/hyperlink" Target="http://www.nevo.co.il/law/74903/192a" TargetMode="External"/><Relationship Id="rId25" Type="http://schemas.openxmlformats.org/officeDocument/2006/relationships/hyperlink" Target="http://www.nevo.co.il/law/70301/40b" TargetMode="External"/><Relationship Id="rId33" Type="http://schemas.openxmlformats.org/officeDocument/2006/relationships/hyperlink" Target="http://www.nevo.co.il/case/20106875" TargetMode="External"/><Relationship Id="rId38" Type="http://schemas.openxmlformats.org/officeDocument/2006/relationships/hyperlink" Target="http://www.nevo.co.il/law/70301/71" TargetMode="External"/><Relationship Id="rId46" Type="http://schemas.openxmlformats.org/officeDocument/2006/relationships/hyperlink" Target="http://www.nevo.co.il/case/7688113" TargetMode="External"/><Relationship Id="rId59" Type="http://schemas.openxmlformats.org/officeDocument/2006/relationships/fontTable" Target="fontTable.xml"/><Relationship Id="rId20" Type="http://schemas.openxmlformats.org/officeDocument/2006/relationships/hyperlink" Target="http://www.nevo.co.il/law/70301" TargetMode="External"/><Relationship Id="rId41" Type="http://schemas.openxmlformats.org/officeDocument/2006/relationships/hyperlink" Target="http://www.nevo.co.il/law/74903" TargetMode="External"/><Relationship Id="rId54"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 TargetMode="External"/><Relationship Id="rId23" Type="http://schemas.openxmlformats.org/officeDocument/2006/relationships/hyperlink" Target="http://www.nevo.co.il/law/70301/40c.b"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4903/182" TargetMode="External"/><Relationship Id="rId49" Type="http://schemas.openxmlformats.org/officeDocument/2006/relationships/hyperlink" Target="http://www.nevo.co.il/case/26006493" TargetMode="External"/><Relationship Id="rId57" Type="http://schemas.openxmlformats.org/officeDocument/2006/relationships/footer" Target="footer1.xml"/><Relationship Id="rId10" Type="http://schemas.openxmlformats.org/officeDocument/2006/relationships/hyperlink" Target="http://www.nevo.co.il/law/70301" TargetMode="External"/><Relationship Id="rId31" Type="http://schemas.openxmlformats.org/officeDocument/2006/relationships/hyperlink" Target="http://www.nevo.co.il/case/29212627" TargetMode="External"/><Relationship Id="rId44" Type="http://schemas.openxmlformats.org/officeDocument/2006/relationships/hyperlink" Target="http://www.nevo.co.il/case/5810781" TargetMode="External"/><Relationship Id="rId52" Type="http://schemas.openxmlformats.org/officeDocument/2006/relationships/hyperlink" Target="http://www.nevo.co.il/case/4151601"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4188</Words>
  <Characters>20941</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25079</CharactersWithSpaces>
  <SharedDoc>false</SharedDoc>
  <HLinks>
    <vt:vector size="288" baseType="variant">
      <vt:variant>
        <vt:i4>393283</vt:i4>
      </vt:variant>
      <vt:variant>
        <vt:i4>141</vt:i4>
      </vt:variant>
      <vt:variant>
        <vt:i4>0</vt:i4>
      </vt:variant>
      <vt:variant>
        <vt:i4>5</vt:i4>
      </vt:variant>
      <vt:variant>
        <vt:lpwstr>http://www.nevo.co.il/advertisements/nevo-100.doc</vt:lpwstr>
      </vt:variant>
      <vt:variant>
        <vt:lpwstr/>
      </vt:variant>
      <vt:variant>
        <vt:i4>8257637</vt:i4>
      </vt:variant>
      <vt:variant>
        <vt:i4>138</vt:i4>
      </vt:variant>
      <vt:variant>
        <vt:i4>0</vt:i4>
      </vt:variant>
      <vt:variant>
        <vt:i4>5</vt:i4>
      </vt:variant>
      <vt:variant>
        <vt:lpwstr>http://www.nevo.co.il/law/4216</vt:lpwstr>
      </vt:variant>
      <vt:variant>
        <vt:lpwstr/>
      </vt:variant>
      <vt:variant>
        <vt:i4>3539060</vt:i4>
      </vt:variant>
      <vt:variant>
        <vt:i4>135</vt:i4>
      </vt:variant>
      <vt:variant>
        <vt:i4>0</vt:i4>
      </vt:variant>
      <vt:variant>
        <vt:i4>5</vt:i4>
      </vt:variant>
      <vt:variant>
        <vt:lpwstr>http://www.nevo.co.il/case/4151601</vt:lpwstr>
      </vt:variant>
      <vt:variant>
        <vt:lpwstr/>
      </vt:variant>
      <vt:variant>
        <vt:i4>3604595</vt:i4>
      </vt:variant>
      <vt:variant>
        <vt:i4>132</vt:i4>
      </vt:variant>
      <vt:variant>
        <vt:i4>0</vt:i4>
      </vt:variant>
      <vt:variant>
        <vt:i4>5</vt:i4>
      </vt:variant>
      <vt:variant>
        <vt:lpwstr>http://www.nevo.co.il/case/5175431</vt:lpwstr>
      </vt:variant>
      <vt:variant>
        <vt:lpwstr/>
      </vt:variant>
      <vt:variant>
        <vt:i4>3276922</vt:i4>
      </vt:variant>
      <vt:variant>
        <vt:i4>129</vt:i4>
      </vt:variant>
      <vt:variant>
        <vt:i4>0</vt:i4>
      </vt:variant>
      <vt:variant>
        <vt:i4>5</vt:i4>
      </vt:variant>
      <vt:variant>
        <vt:lpwstr>http://www.nevo.co.il/case/22582473</vt:lpwstr>
      </vt:variant>
      <vt:variant>
        <vt:lpwstr/>
      </vt:variant>
      <vt:variant>
        <vt:i4>3997814</vt:i4>
      </vt:variant>
      <vt:variant>
        <vt:i4>126</vt:i4>
      </vt:variant>
      <vt:variant>
        <vt:i4>0</vt:i4>
      </vt:variant>
      <vt:variant>
        <vt:i4>5</vt:i4>
      </vt:variant>
      <vt:variant>
        <vt:lpwstr>http://www.nevo.co.il/case/26006493</vt:lpwstr>
      </vt:variant>
      <vt:variant>
        <vt:lpwstr/>
      </vt:variant>
      <vt:variant>
        <vt:i4>3145853</vt:i4>
      </vt:variant>
      <vt:variant>
        <vt:i4>123</vt:i4>
      </vt:variant>
      <vt:variant>
        <vt:i4>0</vt:i4>
      </vt:variant>
      <vt:variant>
        <vt:i4>5</vt:i4>
      </vt:variant>
      <vt:variant>
        <vt:lpwstr>http://www.nevo.co.il/case/28200101</vt:lpwstr>
      </vt:variant>
      <vt:variant>
        <vt:lpwstr/>
      </vt:variant>
      <vt:variant>
        <vt:i4>4128886</vt:i4>
      </vt:variant>
      <vt:variant>
        <vt:i4>120</vt:i4>
      </vt:variant>
      <vt:variant>
        <vt:i4>0</vt:i4>
      </vt:variant>
      <vt:variant>
        <vt:i4>5</vt:i4>
      </vt:variant>
      <vt:variant>
        <vt:lpwstr>http://www.nevo.co.il/case/11269559</vt:lpwstr>
      </vt:variant>
      <vt:variant>
        <vt:lpwstr/>
      </vt:variant>
      <vt:variant>
        <vt:i4>3997819</vt:i4>
      </vt:variant>
      <vt:variant>
        <vt:i4>117</vt:i4>
      </vt:variant>
      <vt:variant>
        <vt:i4>0</vt:i4>
      </vt:variant>
      <vt:variant>
        <vt:i4>5</vt:i4>
      </vt:variant>
      <vt:variant>
        <vt:lpwstr>http://www.nevo.co.il/case/7688113</vt:lpwstr>
      </vt:variant>
      <vt:variant>
        <vt:lpwstr/>
      </vt:variant>
      <vt:variant>
        <vt:i4>3866748</vt:i4>
      </vt:variant>
      <vt:variant>
        <vt:i4>114</vt:i4>
      </vt:variant>
      <vt:variant>
        <vt:i4>0</vt:i4>
      </vt:variant>
      <vt:variant>
        <vt:i4>5</vt:i4>
      </vt:variant>
      <vt:variant>
        <vt:lpwstr>http://www.nevo.co.il/case/6248029</vt:lpwstr>
      </vt:variant>
      <vt:variant>
        <vt:lpwstr/>
      </vt:variant>
      <vt:variant>
        <vt:i4>3276916</vt:i4>
      </vt:variant>
      <vt:variant>
        <vt:i4>111</vt:i4>
      </vt:variant>
      <vt:variant>
        <vt:i4>0</vt:i4>
      </vt:variant>
      <vt:variant>
        <vt:i4>5</vt:i4>
      </vt:variant>
      <vt:variant>
        <vt:lpwstr>http://www.nevo.co.il/case/5810781</vt:lpwstr>
      </vt:variant>
      <vt:variant>
        <vt:lpwstr/>
      </vt:variant>
      <vt:variant>
        <vt:i4>3539068</vt:i4>
      </vt:variant>
      <vt:variant>
        <vt:i4>108</vt:i4>
      </vt:variant>
      <vt:variant>
        <vt:i4>0</vt:i4>
      </vt:variant>
      <vt:variant>
        <vt:i4>5</vt:i4>
      </vt:variant>
      <vt:variant>
        <vt:lpwstr>http://www.nevo.co.il/case/6161385</vt:lpwstr>
      </vt:variant>
      <vt:variant>
        <vt:lpwstr/>
      </vt:variant>
      <vt:variant>
        <vt:i4>4063344</vt:i4>
      </vt:variant>
      <vt:variant>
        <vt:i4>105</vt:i4>
      </vt:variant>
      <vt:variant>
        <vt:i4>0</vt:i4>
      </vt:variant>
      <vt:variant>
        <vt:i4>5</vt:i4>
      </vt:variant>
      <vt:variant>
        <vt:lpwstr>http://www.nevo.co.il/case/17943750</vt:lpwstr>
      </vt:variant>
      <vt:variant>
        <vt:lpwstr/>
      </vt:variant>
      <vt:variant>
        <vt:i4>8257646</vt:i4>
      </vt:variant>
      <vt:variant>
        <vt:i4>102</vt:i4>
      </vt:variant>
      <vt:variant>
        <vt:i4>0</vt:i4>
      </vt:variant>
      <vt:variant>
        <vt:i4>5</vt:i4>
      </vt:variant>
      <vt:variant>
        <vt:lpwstr>http://www.nevo.co.il/law/74903</vt:lpwstr>
      </vt:variant>
      <vt:variant>
        <vt:lpwstr/>
      </vt:variant>
      <vt:variant>
        <vt:i4>589918</vt:i4>
      </vt:variant>
      <vt:variant>
        <vt:i4>99</vt:i4>
      </vt:variant>
      <vt:variant>
        <vt:i4>0</vt:i4>
      </vt:variant>
      <vt:variant>
        <vt:i4>5</vt:i4>
      </vt:variant>
      <vt:variant>
        <vt:lpwstr>http://www.nevo.co.il/law/74903/192a</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6553698</vt:i4>
      </vt:variant>
      <vt:variant>
        <vt:i4>93</vt:i4>
      </vt:variant>
      <vt:variant>
        <vt:i4>0</vt:i4>
      </vt:variant>
      <vt:variant>
        <vt:i4>5</vt:i4>
      </vt:variant>
      <vt:variant>
        <vt:lpwstr>http://www.nevo.co.il/law/70301/71</vt:lpwstr>
      </vt:variant>
      <vt:variant>
        <vt:lpwstr/>
      </vt:variant>
      <vt:variant>
        <vt:i4>8257646</vt:i4>
      </vt:variant>
      <vt:variant>
        <vt:i4>90</vt:i4>
      </vt:variant>
      <vt:variant>
        <vt:i4>0</vt:i4>
      </vt:variant>
      <vt:variant>
        <vt:i4>5</vt:i4>
      </vt:variant>
      <vt:variant>
        <vt:lpwstr>http://www.nevo.co.il/law/74903</vt:lpwstr>
      </vt:variant>
      <vt:variant>
        <vt:lpwstr/>
      </vt:variant>
      <vt:variant>
        <vt:i4>6881388</vt:i4>
      </vt:variant>
      <vt:variant>
        <vt:i4>87</vt:i4>
      </vt:variant>
      <vt:variant>
        <vt:i4>0</vt:i4>
      </vt:variant>
      <vt:variant>
        <vt:i4>5</vt:i4>
      </vt:variant>
      <vt:variant>
        <vt:lpwstr>http://www.nevo.co.il/law/74903/182</vt:lpwstr>
      </vt:variant>
      <vt:variant>
        <vt:lpwstr/>
      </vt:variant>
      <vt:variant>
        <vt:i4>3276916</vt:i4>
      </vt:variant>
      <vt:variant>
        <vt:i4>84</vt:i4>
      </vt:variant>
      <vt:variant>
        <vt:i4>0</vt:i4>
      </vt:variant>
      <vt:variant>
        <vt:i4>5</vt:i4>
      </vt:variant>
      <vt:variant>
        <vt:lpwstr>http://www.nevo.co.il/case/20563667</vt:lpwstr>
      </vt:variant>
      <vt:variant>
        <vt:lpwstr/>
      </vt:variant>
      <vt:variant>
        <vt:i4>3670129</vt:i4>
      </vt:variant>
      <vt:variant>
        <vt:i4>81</vt:i4>
      </vt:variant>
      <vt:variant>
        <vt:i4>0</vt:i4>
      </vt:variant>
      <vt:variant>
        <vt:i4>5</vt:i4>
      </vt:variant>
      <vt:variant>
        <vt:lpwstr>http://www.nevo.co.il/case/16879489</vt:lpwstr>
      </vt:variant>
      <vt:variant>
        <vt:lpwstr/>
      </vt:variant>
      <vt:variant>
        <vt:i4>3276924</vt:i4>
      </vt:variant>
      <vt:variant>
        <vt:i4>78</vt:i4>
      </vt:variant>
      <vt:variant>
        <vt:i4>0</vt:i4>
      </vt:variant>
      <vt:variant>
        <vt:i4>5</vt:i4>
      </vt:variant>
      <vt:variant>
        <vt:lpwstr>http://www.nevo.co.il/case/20106875</vt:lpwstr>
      </vt:variant>
      <vt:variant>
        <vt:lpwstr/>
      </vt:variant>
      <vt:variant>
        <vt:i4>3342453</vt:i4>
      </vt:variant>
      <vt:variant>
        <vt:i4>75</vt:i4>
      </vt:variant>
      <vt:variant>
        <vt:i4>0</vt:i4>
      </vt:variant>
      <vt:variant>
        <vt:i4>5</vt:i4>
      </vt:variant>
      <vt:variant>
        <vt:lpwstr>http://www.nevo.co.il/case/23750765</vt:lpwstr>
      </vt:variant>
      <vt:variant>
        <vt:lpwstr/>
      </vt:variant>
      <vt:variant>
        <vt:i4>3145850</vt:i4>
      </vt:variant>
      <vt:variant>
        <vt:i4>72</vt:i4>
      </vt:variant>
      <vt:variant>
        <vt:i4>0</vt:i4>
      </vt:variant>
      <vt:variant>
        <vt:i4>5</vt:i4>
      </vt:variant>
      <vt:variant>
        <vt:lpwstr>http://www.nevo.co.il/case/29212627</vt:lpwstr>
      </vt:variant>
      <vt:variant>
        <vt:lpwstr/>
      </vt:variant>
      <vt:variant>
        <vt:i4>3407990</vt:i4>
      </vt:variant>
      <vt:variant>
        <vt:i4>69</vt:i4>
      </vt:variant>
      <vt:variant>
        <vt:i4>0</vt:i4>
      </vt:variant>
      <vt:variant>
        <vt:i4>5</vt:i4>
      </vt:variant>
      <vt:variant>
        <vt:lpwstr>http://www.nevo.co.il/case/5763166</vt:lpwstr>
      </vt:variant>
      <vt:variant>
        <vt:lpwstr/>
      </vt:variant>
      <vt:variant>
        <vt:i4>8257637</vt:i4>
      </vt:variant>
      <vt:variant>
        <vt:i4>66</vt:i4>
      </vt:variant>
      <vt:variant>
        <vt:i4>0</vt:i4>
      </vt:variant>
      <vt:variant>
        <vt:i4>5</vt:i4>
      </vt:variant>
      <vt:variant>
        <vt:lpwstr>http://www.nevo.co.il/law/4216</vt:lpwstr>
      </vt:variant>
      <vt:variant>
        <vt:lpwstr/>
      </vt:variant>
      <vt:variant>
        <vt:i4>7995492</vt:i4>
      </vt:variant>
      <vt:variant>
        <vt:i4>63</vt:i4>
      </vt:variant>
      <vt:variant>
        <vt:i4>0</vt:i4>
      </vt:variant>
      <vt:variant>
        <vt:i4>5</vt:i4>
      </vt:variant>
      <vt:variant>
        <vt:lpwstr>http://www.nevo.co.il/law/70301</vt:lpwstr>
      </vt:variant>
      <vt:variant>
        <vt:lpwstr/>
      </vt:variant>
      <vt:variant>
        <vt:i4>4915202</vt:i4>
      </vt:variant>
      <vt:variant>
        <vt:i4>60</vt:i4>
      </vt:variant>
      <vt:variant>
        <vt:i4>0</vt:i4>
      </vt:variant>
      <vt:variant>
        <vt:i4>5</vt:i4>
      </vt:variant>
      <vt:variant>
        <vt:lpwstr>http://www.nevo.co.il/law/70301/40c.b</vt:lpwstr>
      </vt:variant>
      <vt:variant>
        <vt:lpwstr/>
      </vt:variant>
      <vt:variant>
        <vt:i4>7995492</vt:i4>
      </vt:variant>
      <vt:variant>
        <vt:i4>57</vt:i4>
      </vt:variant>
      <vt:variant>
        <vt:i4>0</vt:i4>
      </vt:variant>
      <vt:variant>
        <vt:i4>5</vt:i4>
      </vt:variant>
      <vt:variant>
        <vt:lpwstr>http://www.nevo.co.il/law/70301</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http://www.nevo.co.il/law/70301/40c.b</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6619233</vt:i4>
      </vt:variant>
      <vt:variant>
        <vt:i4>42</vt:i4>
      </vt:variant>
      <vt:variant>
        <vt:i4>0</vt:i4>
      </vt:variant>
      <vt:variant>
        <vt:i4>5</vt:i4>
      </vt:variant>
      <vt:variant>
        <vt:lpwstr>http://www.nevo.co.il/law/70301/40c</vt:lpwstr>
      </vt:variant>
      <vt:variant>
        <vt:lpwstr/>
      </vt:variant>
      <vt:variant>
        <vt:i4>7995492</vt:i4>
      </vt:variant>
      <vt:variant>
        <vt:i4>39</vt:i4>
      </vt:variant>
      <vt:variant>
        <vt:i4>0</vt:i4>
      </vt:variant>
      <vt:variant>
        <vt:i4>5</vt:i4>
      </vt:variant>
      <vt:variant>
        <vt:lpwstr>http://www.nevo.co.il/law/70301</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589918</vt:i4>
      </vt:variant>
      <vt:variant>
        <vt:i4>30</vt:i4>
      </vt:variant>
      <vt:variant>
        <vt:i4>0</vt:i4>
      </vt:variant>
      <vt:variant>
        <vt:i4>5</vt:i4>
      </vt:variant>
      <vt:variant>
        <vt:lpwstr>http://www.nevo.co.il/law/74903/192a</vt:lpwstr>
      </vt:variant>
      <vt:variant>
        <vt:lpwstr/>
      </vt:variant>
      <vt:variant>
        <vt:i4>6881388</vt:i4>
      </vt:variant>
      <vt:variant>
        <vt:i4>27</vt:i4>
      </vt:variant>
      <vt:variant>
        <vt:i4>0</vt:i4>
      </vt:variant>
      <vt:variant>
        <vt:i4>5</vt:i4>
      </vt:variant>
      <vt:variant>
        <vt:lpwstr>http://www.nevo.co.il/law/74903/182</vt:lpwstr>
      </vt:variant>
      <vt:variant>
        <vt:lpwstr/>
      </vt:variant>
      <vt:variant>
        <vt:i4>8257646</vt:i4>
      </vt:variant>
      <vt:variant>
        <vt:i4>24</vt:i4>
      </vt:variant>
      <vt:variant>
        <vt:i4>0</vt:i4>
      </vt:variant>
      <vt:variant>
        <vt:i4>5</vt:i4>
      </vt:variant>
      <vt:variant>
        <vt:lpwstr>http://www.nevo.co.il/law/74903</vt:lpwstr>
      </vt:variant>
      <vt:variant>
        <vt:lpwstr/>
      </vt:variant>
      <vt:variant>
        <vt:i4>6553698</vt:i4>
      </vt:variant>
      <vt:variant>
        <vt:i4>21</vt:i4>
      </vt:variant>
      <vt:variant>
        <vt:i4>0</vt:i4>
      </vt:variant>
      <vt:variant>
        <vt:i4>5</vt:i4>
      </vt:variant>
      <vt:variant>
        <vt:lpwstr>http://www.nevo.co.il/law/70301/71</vt:lpwstr>
      </vt:variant>
      <vt:variant>
        <vt:lpwstr/>
      </vt:variant>
      <vt:variant>
        <vt:i4>4915202</vt:i4>
      </vt:variant>
      <vt:variant>
        <vt:i4>18</vt:i4>
      </vt:variant>
      <vt:variant>
        <vt:i4>0</vt:i4>
      </vt:variant>
      <vt:variant>
        <vt:i4>5</vt:i4>
      </vt:variant>
      <vt:variant>
        <vt:lpwstr>http://www.nevo.co.il/law/70301/40c.b</vt:lpwstr>
      </vt:variant>
      <vt:variant>
        <vt:lpwstr/>
      </vt:variant>
      <vt:variant>
        <vt:i4>6619233</vt:i4>
      </vt:variant>
      <vt:variant>
        <vt:i4>15</vt:i4>
      </vt:variant>
      <vt:variant>
        <vt:i4>0</vt:i4>
      </vt:variant>
      <vt:variant>
        <vt:i4>5</vt:i4>
      </vt:variant>
      <vt:variant>
        <vt:lpwstr>http://www.nevo.co.il/law/70301/40c</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2025-04-23T01:38:00Z</dcterms:created>
  <dcterms:modified xsi:type="dcterms:W3CDTF">2025-04-23T01:38:00Z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65068</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אלמוג תמיר</vt:lpwstr>
  </property>
  <property fmtid="{D5CDD505-2E9C-101B-9397-08002B2CF9AE}" pid="10" name="LAWYER">
    <vt:lpwstr>אפרת צרפתי</vt:lpwstr>
  </property>
  <property fmtid="{D5CDD505-2E9C-101B-9397-08002B2CF9AE}" pid="11" name="JUDGE">
    <vt:lpwstr>אורית קרץ</vt:lpwstr>
  </property>
  <property fmtid="{D5CDD505-2E9C-101B-9397-08002B2CF9AE}" pid="12" name="CITY">
    <vt:lpwstr>ב"ש</vt:lpwstr>
  </property>
  <property fmtid="{D5CDD505-2E9C-101B-9397-08002B2CF9AE}" pid="13" name="DATE">
    <vt:lpwstr>20241216</vt:lpwstr>
  </property>
  <property fmtid="{D5CDD505-2E9C-101B-9397-08002B2CF9AE}" pid="14" name="TYPE_N_DATE">
    <vt:lpwstr>38020241216</vt:lpwstr>
  </property>
  <property fmtid="{D5CDD505-2E9C-101B-9397-08002B2CF9AE}" pid="15" name="CASESLISTTMP1">
    <vt:lpwstr>5763166;29212627;23750765;20106875;16879489;20563667;17943750;6161385;5810781;6248029;7688113;11269559;28200101;26006493;22582473;5175431;4151601</vt:lpwstr>
  </property>
  <property fmtid="{D5CDD505-2E9C-101B-9397-08002B2CF9AE}" pid="16" name="CASENOTES1">
    <vt:lpwstr>ProcID=133;209&amp;PartA=26443&amp;PartB=03&amp;PartC=15</vt:lpwstr>
  </property>
  <property fmtid="{D5CDD505-2E9C-101B-9397-08002B2CF9AE}" pid="17" name="CASENOTES2">
    <vt:lpwstr>ProcID=133;209&amp;PartA=67452&amp;PartB=12&amp;PartC=18</vt:lpwstr>
  </property>
  <property fmtid="{D5CDD505-2E9C-101B-9397-08002B2CF9AE}" pid="18" name="WORDNUMPAGES">
    <vt:lpwstr>12</vt:lpwstr>
  </property>
  <property fmtid="{D5CDD505-2E9C-101B-9397-08002B2CF9AE}" pid="19" name="TYPE_ABS_DATE">
    <vt:lpwstr>380020241216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4216/007.a;007.c</vt:lpwstr>
  </property>
  <property fmtid="{D5CDD505-2E9C-101B-9397-08002B2CF9AE}" pid="38" name="LAWLISTTMP2">
    <vt:lpwstr>70301/040c;040c.b:2;040b;071</vt:lpwstr>
  </property>
  <property fmtid="{D5CDD505-2E9C-101B-9397-08002B2CF9AE}" pid="39" name="LAWLISTTMP3">
    <vt:lpwstr>74903/182;192a</vt:lpwstr>
  </property>
  <property fmtid="{D5CDD505-2E9C-101B-9397-08002B2CF9AE}" pid="40" name="ISABSTRACT">
    <vt:lpwstr>Y</vt:lpwstr>
  </property>
</Properties>
</file>