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9051F" w:rsidRPr="00670641" w14:paraId="19848A9F" w14:textId="77777777" w:rsidTr="003063E7">
        <w:trPr>
          <w:trHeight w:hRule="exact" w:val="418"/>
          <w:jc w:val="center"/>
        </w:trPr>
        <w:tc>
          <w:tcPr>
            <w:tcW w:w="8721" w:type="dxa"/>
            <w:gridSpan w:val="2"/>
          </w:tcPr>
          <w:p w14:paraId="48024100" w14:textId="77777777" w:rsidR="0049051F" w:rsidRPr="00670641" w:rsidRDefault="0049051F" w:rsidP="008177E1">
            <w:pPr>
              <w:pStyle w:val="a3"/>
              <w:jc w:val="center"/>
              <w:rPr>
                <w:rFonts w:ascii="Tahoma" w:hAnsi="Tahoma" w:cs="Tahoma"/>
                <w:color w:val="000080"/>
                <w:rtl/>
              </w:rPr>
            </w:pPr>
            <w:r w:rsidRPr="00670641">
              <w:rPr>
                <w:rFonts w:ascii="Tahoma" w:hAnsi="Tahoma" w:cs="Tahoma"/>
                <w:b/>
                <w:bCs/>
                <w:color w:val="000080"/>
                <w:rtl/>
              </w:rPr>
              <w:t>בית משפט השלום בקריות</w:t>
            </w:r>
          </w:p>
        </w:tc>
      </w:tr>
      <w:tr w:rsidR="0049051F" w:rsidRPr="00670641" w14:paraId="0587EEA5" w14:textId="77777777" w:rsidTr="003063E7">
        <w:trPr>
          <w:trHeight w:val="337"/>
          <w:jc w:val="center"/>
        </w:trPr>
        <w:tc>
          <w:tcPr>
            <w:tcW w:w="5054" w:type="dxa"/>
          </w:tcPr>
          <w:p w14:paraId="0CC6C5A4" w14:textId="77777777" w:rsidR="0049051F" w:rsidRPr="00670641" w:rsidRDefault="0049051F" w:rsidP="008177E1">
            <w:pPr>
              <w:rPr>
                <w:rFonts w:cs="FrankRuehl"/>
                <w:sz w:val="28"/>
                <w:szCs w:val="28"/>
                <w:rtl/>
              </w:rPr>
            </w:pPr>
            <w:r w:rsidRPr="00670641">
              <w:rPr>
                <w:rFonts w:cs="FrankRuehl"/>
                <w:sz w:val="28"/>
                <w:szCs w:val="28"/>
                <w:rtl/>
              </w:rPr>
              <w:t>ת"פ</w:t>
            </w:r>
            <w:r w:rsidRPr="00670641">
              <w:rPr>
                <w:rFonts w:cs="FrankRuehl" w:hint="cs"/>
                <w:sz w:val="28"/>
                <w:szCs w:val="28"/>
                <w:rtl/>
              </w:rPr>
              <w:t xml:space="preserve"> </w:t>
            </w:r>
            <w:r w:rsidRPr="00670641">
              <w:rPr>
                <w:rFonts w:cs="FrankRuehl"/>
                <w:sz w:val="28"/>
                <w:szCs w:val="28"/>
                <w:rtl/>
              </w:rPr>
              <w:t>22981-12-22</w:t>
            </w:r>
            <w:r w:rsidRPr="00670641">
              <w:rPr>
                <w:rFonts w:cs="FrankRuehl" w:hint="cs"/>
                <w:sz w:val="28"/>
                <w:szCs w:val="28"/>
                <w:rtl/>
              </w:rPr>
              <w:t xml:space="preserve"> </w:t>
            </w:r>
            <w:r w:rsidRPr="00670641">
              <w:rPr>
                <w:rFonts w:cs="FrankRuehl"/>
                <w:sz w:val="28"/>
                <w:szCs w:val="28"/>
                <w:rtl/>
              </w:rPr>
              <w:t>מדינת ישראל נ' חילף</w:t>
            </w:r>
          </w:p>
          <w:p w14:paraId="4098C9D1" w14:textId="77777777" w:rsidR="0049051F" w:rsidRPr="00670641" w:rsidRDefault="0049051F" w:rsidP="008177E1">
            <w:pPr>
              <w:pStyle w:val="a3"/>
              <w:rPr>
                <w:rFonts w:cs="FrankRuehl"/>
                <w:sz w:val="28"/>
                <w:szCs w:val="28"/>
                <w:rtl/>
              </w:rPr>
            </w:pPr>
          </w:p>
        </w:tc>
        <w:tc>
          <w:tcPr>
            <w:tcW w:w="3667" w:type="dxa"/>
          </w:tcPr>
          <w:p w14:paraId="40833B54" w14:textId="77777777" w:rsidR="0049051F" w:rsidRPr="00670641" w:rsidRDefault="0049051F" w:rsidP="008177E1">
            <w:pPr>
              <w:pStyle w:val="a3"/>
              <w:jc w:val="right"/>
              <w:rPr>
                <w:rFonts w:cs="FrankRuehl"/>
                <w:sz w:val="28"/>
                <w:szCs w:val="28"/>
                <w:rtl/>
              </w:rPr>
            </w:pPr>
          </w:p>
        </w:tc>
      </w:tr>
    </w:tbl>
    <w:p w14:paraId="4ADADD59" w14:textId="77777777" w:rsidR="0049051F" w:rsidRPr="00670641" w:rsidRDefault="0049051F" w:rsidP="0049051F">
      <w:pPr>
        <w:pStyle w:val="a3"/>
        <w:rPr>
          <w:rtl/>
        </w:rPr>
      </w:pPr>
      <w:r w:rsidRPr="00670641">
        <w:rPr>
          <w:rFonts w:hint="cs"/>
          <w:rtl/>
        </w:rPr>
        <w:t xml:space="preserve"> </w:t>
      </w:r>
    </w:p>
    <w:p w14:paraId="496A7C05" w14:textId="77777777" w:rsidR="0049051F" w:rsidRPr="00670641" w:rsidRDefault="0049051F" w:rsidP="0049051F">
      <w:pPr>
        <w:pStyle w:val="a9"/>
        <w:spacing w:before="240" w:after="240" w:line="360" w:lineRule="auto"/>
        <w:ind w:left="0"/>
        <w:jc w:val="both"/>
        <w:rPr>
          <w:rFonts w:ascii="David" w:hAnsi="David"/>
          <w:b/>
          <w:bCs/>
          <w:rtl/>
        </w:rPr>
      </w:pPr>
    </w:p>
    <w:p w14:paraId="152499BF" w14:textId="77777777" w:rsidR="0049051F" w:rsidRPr="00670641" w:rsidRDefault="0049051F" w:rsidP="0049051F">
      <w:pPr>
        <w:pStyle w:val="a9"/>
        <w:spacing w:before="240" w:after="240" w:line="360" w:lineRule="auto"/>
        <w:ind w:left="0"/>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9"/>
        <w:gridCol w:w="3961"/>
        <w:gridCol w:w="3940"/>
      </w:tblGrid>
      <w:tr w:rsidR="0049051F" w:rsidRPr="00670641" w14:paraId="4D00612F" w14:textId="77777777" w:rsidTr="0049051F">
        <w:trPr>
          <w:trHeight w:val="295"/>
          <w:jc w:val="center"/>
        </w:trPr>
        <w:tc>
          <w:tcPr>
            <w:tcW w:w="919" w:type="dxa"/>
            <w:tcBorders>
              <w:top w:val="nil"/>
              <w:left w:val="nil"/>
              <w:bottom w:val="nil"/>
              <w:right w:val="nil"/>
            </w:tcBorders>
            <w:shd w:val="clear" w:color="auto" w:fill="auto"/>
          </w:tcPr>
          <w:p w14:paraId="382AE444" w14:textId="77777777" w:rsidR="0049051F" w:rsidRPr="00670641" w:rsidRDefault="0049051F" w:rsidP="0049051F">
            <w:pPr>
              <w:jc w:val="both"/>
              <w:rPr>
                <w:rFonts w:ascii="David" w:hAnsi="David"/>
                <w:sz w:val="26"/>
                <w:szCs w:val="26"/>
              </w:rPr>
            </w:pPr>
            <w:r w:rsidRPr="00670641">
              <w:rPr>
                <w:rFonts w:ascii="David" w:hAnsi="David"/>
                <w:sz w:val="26"/>
                <w:szCs w:val="26"/>
                <w:rtl/>
              </w:rPr>
              <w:t xml:space="preserve">בפני </w:t>
            </w:r>
          </w:p>
        </w:tc>
        <w:tc>
          <w:tcPr>
            <w:tcW w:w="7901" w:type="dxa"/>
            <w:gridSpan w:val="2"/>
            <w:tcBorders>
              <w:top w:val="nil"/>
              <w:left w:val="nil"/>
              <w:bottom w:val="nil"/>
              <w:right w:val="nil"/>
            </w:tcBorders>
            <w:shd w:val="clear" w:color="auto" w:fill="auto"/>
          </w:tcPr>
          <w:p w14:paraId="6083E12A" w14:textId="77777777" w:rsidR="0049051F" w:rsidRPr="00670641" w:rsidRDefault="0049051F" w:rsidP="008177E1">
            <w:pPr>
              <w:rPr>
                <w:rFonts w:ascii="David" w:hAnsi="David"/>
                <w:sz w:val="26"/>
                <w:szCs w:val="26"/>
                <w:rtl/>
              </w:rPr>
            </w:pPr>
            <w:r w:rsidRPr="00670641">
              <w:rPr>
                <w:rFonts w:ascii="Arial" w:hAnsi="Arial"/>
                <w:b/>
                <w:bCs/>
                <w:rtl/>
              </w:rPr>
              <w:t>כב' השופט יוסי טורס , סגן הנשיאה</w:t>
            </w:r>
          </w:p>
          <w:p w14:paraId="3E61E7A4" w14:textId="77777777" w:rsidR="0049051F" w:rsidRPr="00670641" w:rsidRDefault="0049051F" w:rsidP="008177E1">
            <w:pPr>
              <w:rPr>
                <w:rFonts w:ascii="David" w:hAnsi="David"/>
                <w:sz w:val="26"/>
                <w:szCs w:val="26"/>
              </w:rPr>
            </w:pPr>
          </w:p>
        </w:tc>
      </w:tr>
      <w:tr w:rsidR="0049051F" w:rsidRPr="00670641" w14:paraId="7391F939" w14:textId="77777777" w:rsidTr="0049051F">
        <w:trPr>
          <w:trHeight w:val="355"/>
          <w:jc w:val="center"/>
        </w:trPr>
        <w:tc>
          <w:tcPr>
            <w:tcW w:w="919" w:type="dxa"/>
            <w:tcBorders>
              <w:top w:val="nil"/>
              <w:left w:val="nil"/>
              <w:bottom w:val="nil"/>
              <w:right w:val="nil"/>
            </w:tcBorders>
            <w:shd w:val="clear" w:color="auto" w:fill="auto"/>
          </w:tcPr>
          <w:p w14:paraId="229D236A" w14:textId="77777777" w:rsidR="0049051F" w:rsidRPr="00670641" w:rsidRDefault="0049051F" w:rsidP="0049051F">
            <w:pPr>
              <w:jc w:val="both"/>
              <w:rPr>
                <w:rFonts w:ascii="David" w:hAnsi="David"/>
                <w:b/>
                <w:bCs/>
              </w:rPr>
            </w:pPr>
            <w:bookmarkStart w:id="0" w:name="FirstAppellant"/>
            <w:bookmarkStart w:id="1" w:name="LastJudge"/>
            <w:bookmarkEnd w:id="1"/>
            <w:r w:rsidRPr="00670641">
              <w:rPr>
                <w:rFonts w:ascii="David" w:hAnsi="David"/>
                <w:b/>
                <w:bCs/>
                <w:rtl/>
              </w:rPr>
              <w:t>בעניין:</w:t>
            </w:r>
          </w:p>
        </w:tc>
        <w:tc>
          <w:tcPr>
            <w:tcW w:w="3961" w:type="dxa"/>
            <w:tcBorders>
              <w:top w:val="nil"/>
              <w:left w:val="nil"/>
              <w:bottom w:val="nil"/>
              <w:right w:val="nil"/>
            </w:tcBorders>
            <w:shd w:val="clear" w:color="auto" w:fill="auto"/>
          </w:tcPr>
          <w:p w14:paraId="01645D19" w14:textId="77777777" w:rsidR="0049051F" w:rsidRPr="00670641" w:rsidRDefault="0049051F" w:rsidP="008177E1">
            <w:pPr>
              <w:rPr>
                <w:rFonts w:ascii="David" w:hAnsi="David"/>
                <w:b/>
                <w:bCs/>
              </w:rPr>
            </w:pPr>
            <w:r w:rsidRPr="00670641">
              <w:rPr>
                <w:rFonts w:ascii="David" w:hAnsi="David"/>
                <w:b/>
                <w:bCs/>
                <w:rtl/>
              </w:rPr>
              <w:t>מדינת ישראל</w:t>
            </w:r>
          </w:p>
        </w:tc>
        <w:tc>
          <w:tcPr>
            <w:tcW w:w="3940" w:type="dxa"/>
            <w:tcBorders>
              <w:top w:val="nil"/>
              <w:left w:val="nil"/>
              <w:bottom w:val="nil"/>
              <w:right w:val="nil"/>
            </w:tcBorders>
            <w:shd w:val="clear" w:color="auto" w:fill="auto"/>
          </w:tcPr>
          <w:p w14:paraId="0254356B" w14:textId="77777777" w:rsidR="0049051F" w:rsidRPr="00670641" w:rsidRDefault="0049051F" w:rsidP="0049051F">
            <w:pPr>
              <w:ind w:firstLine="2787"/>
              <w:jc w:val="both"/>
              <w:rPr>
                <w:rFonts w:ascii="David" w:hAnsi="David"/>
                <w:b/>
                <w:bCs/>
              </w:rPr>
            </w:pPr>
            <w:r w:rsidRPr="00670641">
              <w:rPr>
                <w:rFonts w:ascii="David" w:hAnsi="David" w:hint="cs"/>
                <w:b/>
                <w:bCs/>
                <w:rtl/>
              </w:rPr>
              <w:t>המאשימה</w:t>
            </w:r>
          </w:p>
        </w:tc>
      </w:tr>
      <w:bookmarkEnd w:id="0"/>
      <w:tr w:rsidR="0049051F" w:rsidRPr="00670641" w14:paraId="15AF5948" w14:textId="77777777" w:rsidTr="0049051F">
        <w:trPr>
          <w:trHeight w:val="355"/>
          <w:jc w:val="center"/>
        </w:trPr>
        <w:tc>
          <w:tcPr>
            <w:tcW w:w="919" w:type="dxa"/>
            <w:tcBorders>
              <w:top w:val="nil"/>
              <w:left w:val="nil"/>
              <w:bottom w:val="nil"/>
              <w:right w:val="nil"/>
            </w:tcBorders>
            <w:shd w:val="clear" w:color="auto" w:fill="auto"/>
          </w:tcPr>
          <w:p w14:paraId="4213039E" w14:textId="77777777" w:rsidR="0049051F" w:rsidRPr="00670641" w:rsidRDefault="0049051F" w:rsidP="0049051F">
            <w:pPr>
              <w:jc w:val="both"/>
              <w:rPr>
                <w:rFonts w:ascii="David" w:hAnsi="David"/>
                <w:b/>
                <w:bCs/>
                <w:rtl/>
              </w:rPr>
            </w:pPr>
          </w:p>
        </w:tc>
        <w:tc>
          <w:tcPr>
            <w:tcW w:w="7901" w:type="dxa"/>
            <w:gridSpan w:val="2"/>
            <w:tcBorders>
              <w:top w:val="nil"/>
              <w:left w:val="nil"/>
              <w:bottom w:val="nil"/>
              <w:right w:val="nil"/>
            </w:tcBorders>
            <w:shd w:val="clear" w:color="auto" w:fill="auto"/>
          </w:tcPr>
          <w:p w14:paraId="6E7E91F2" w14:textId="77777777" w:rsidR="0049051F" w:rsidRPr="00670641" w:rsidRDefault="0049051F" w:rsidP="0049051F">
            <w:pPr>
              <w:jc w:val="center"/>
              <w:rPr>
                <w:rFonts w:ascii="David" w:hAnsi="David"/>
                <w:b/>
                <w:bCs/>
                <w:rtl/>
              </w:rPr>
            </w:pPr>
          </w:p>
          <w:p w14:paraId="08B1F10C" w14:textId="77777777" w:rsidR="0049051F" w:rsidRPr="00670641" w:rsidRDefault="0049051F" w:rsidP="0049051F">
            <w:pPr>
              <w:jc w:val="center"/>
              <w:rPr>
                <w:rFonts w:ascii="David" w:hAnsi="David"/>
                <w:b/>
                <w:bCs/>
                <w:rtl/>
              </w:rPr>
            </w:pPr>
            <w:r w:rsidRPr="00670641">
              <w:rPr>
                <w:rFonts w:ascii="David" w:hAnsi="David"/>
                <w:b/>
                <w:bCs/>
                <w:rtl/>
              </w:rPr>
              <w:t>נגד</w:t>
            </w:r>
          </w:p>
          <w:p w14:paraId="2D78FDDA" w14:textId="77777777" w:rsidR="0049051F" w:rsidRPr="00670641" w:rsidRDefault="0049051F" w:rsidP="0049051F">
            <w:pPr>
              <w:jc w:val="both"/>
              <w:rPr>
                <w:rFonts w:ascii="David" w:hAnsi="David"/>
                <w:b/>
                <w:bCs/>
              </w:rPr>
            </w:pPr>
          </w:p>
        </w:tc>
      </w:tr>
      <w:tr w:rsidR="0049051F" w:rsidRPr="00670641" w14:paraId="5B69D0D6" w14:textId="77777777" w:rsidTr="0049051F">
        <w:trPr>
          <w:trHeight w:val="355"/>
          <w:jc w:val="center"/>
        </w:trPr>
        <w:tc>
          <w:tcPr>
            <w:tcW w:w="919" w:type="dxa"/>
            <w:tcBorders>
              <w:top w:val="nil"/>
              <w:left w:val="nil"/>
              <w:bottom w:val="nil"/>
              <w:right w:val="nil"/>
            </w:tcBorders>
            <w:shd w:val="clear" w:color="auto" w:fill="auto"/>
          </w:tcPr>
          <w:p w14:paraId="0300E4C5" w14:textId="77777777" w:rsidR="0049051F" w:rsidRPr="00670641" w:rsidRDefault="0049051F" w:rsidP="008177E1">
            <w:pPr>
              <w:rPr>
                <w:rFonts w:ascii="David" w:hAnsi="David"/>
                <w:b/>
                <w:bCs/>
                <w:rtl/>
              </w:rPr>
            </w:pPr>
          </w:p>
        </w:tc>
        <w:tc>
          <w:tcPr>
            <w:tcW w:w="3961" w:type="dxa"/>
            <w:tcBorders>
              <w:top w:val="nil"/>
              <w:left w:val="nil"/>
              <w:bottom w:val="nil"/>
              <w:right w:val="nil"/>
            </w:tcBorders>
            <w:shd w:val="clear" w:color="auto" w:fill="auto"/>
          </w:tcPr>
          <w:p w14:paraId="5455033A" w14:textId="77777777" w:rsidR="0049051F" w:rsidRPr="00670641" w:rsidRDefault="0049051F" w:rsidP="008177E1">
            <w:pPr>
              <w:rPr>
                <w:rFonts w:ascii="David" w:hAnsi="David"/>
                <w:b/>
                <w:bCs/>
                <w:rtl/>
              </w:rPr>
            </w:pPr>
            <w:r w:rsidRPr="00670641">
              <w:rPr>
                <w:rFonts w:ascii="David" w:hAnsi="David"/>
                <w:b/>
                <w:bCs/>
                <w:rtl/>
              </w:rPr>
              <w:t>רשאד חילף</w:t>
            </w:r>
          </w:p>
        </w:tc>
        <w:tc>
          <w:tcPr>
            <w:tcW w:w="3940" w:type="dxa"/>
            <w:tcBorders>
              <w:top w:val="nil"/>
              <w:left w:val="nil"/>
              <w:bottom w:val="nil"/>
              <w:right w:val="nil"/>
            </w:tcBorders>
            <w:shd w:val="clear" w:color="auto" w:fill="auto"/>
          </w:tcPr>
          <w:p w14:paraId="5C69A19C" w14:textId="77777777" w:rsidR="0049051F" w:rsidRPr="00670641" w:rsidRDefault="0049051F" w:rsidP="0049051F">
            <w:pPr>
              <w:jc w:val="right"/>
              <w:rPr>
                <w:rFonts w:ascii="David" w:hAnsi="David"/>
                <w:b/>
                <w:bCs/>
              </w:rPr>
            </w:pPr>
            <w:r w:rsidRPr="00670641">
              <w:rPr>
                <w:rFonts w:ascii="David" w:hAnsi="David" w:hint="cs"/>
                <w:b/>
                <w:bCs/>
                <w:rtl/>
              </w:rPr>
              <w:t>הנאשם</w:t>
            </w:r>
          </w:p>
        </w:tc>
      </w:tr>
      <w:tr w:rsidR="0049051F" w:rsidRPr="00670641" w14:paraId="04B5305F" w14:textId="77777777" w:rsidTr="0049051F">
        <w:trPr>
          <w:trHeight w:val="355"/>
          <w:jc w:val="center"/>
        </w:trPr>
        <w:tc>
          <w:tcPr>
            <w:tcW w:w="919" w:type="dxa"/>
            <w:tcBorders>
              <w:top w:val="nil"/>
              <w:left w:val="nil"/>
              <w:bottom w:val="nil"/>
              <w:right w:val="nil"/>
            </w:tcBorders>
            <w:shd w:val="clear" w:color="auto" w:fill="auto"/>
          </w:tcPr>
          <w:p w14:paraId="057D828E" w14:textId="77777777" w:rsidR="0049051F" w:rsidRPr="00670641" w:rsidRDefault="0049051F" w:rsidP="0049051F">
            <w:pPr>
              <w:jc w:val="both"/>
              <w:rPr>
                <w:rFonts w:ascii="David" w:hAnsi="David"/>
                <w:b/>
                <w:bCs/>
                <w:rtl/>
              </w:rPr>
            </w:pPr>
          </w:p>
        </w:tc>
        <w:tc>
          <w:tcPr>
            <w:tcW w:w="3961" w:type="dxa"/>
            <w:tcBorders>
              <w:top w:val="nil"/>
              <w:left w:val="nil"/>
              <w:bottom w:val="nil"/>
              <w:right w:val="nil"/>
            </w:tcBorders>
            <w:shd w:val="clear" w:color="auto" w:fill="auto"/>
          </w:tcPr>
          <w:p w14:paraId="3B0628C6" w14:textId="77777777" w:rsidR="0049051F" w:rsidRPr="00670641" w:rsidRDefault="0049051F" w:rsidP="0049051F">
            <w:pPr>
              <w:jc w:val="both"/>
              <w:rPr>
                <w:rFonts w:ascii="David" w:hAnsi="David"/>
                <w:b/>
                <w:bCs/>
                <w:rtl/>
              </w:rPr>
            </w:pPr>
          </w:p>
        </w:tc>
        <w:tc>
          <w:tcPr>
            <w:tcW w:w="3940" w:type="dxa"/>
            <w:tcBorders>
              <w:top w:val="nil"/>
              <w:left w:val="nil"/>
              <w:bottom w:val="nil"/>
              <w:right w:val="nil"/>
            </w:tcBorders>
            <w:shd w:val="clear" w:color="auto" w:fill="auto"/>
          </w:tcPr>
          <w:p w14:paraId="76570DB1" w14:textId="77777777" w:rsidR="0049051F" w:rsidRPr="00670641" w:rsidRDefault="0049051F" w:rsidP="0049051F">
            <w:pPr>
              <w:jc w:val="right"/>
              <w:rPr>
                <w:rFonts w:ascii="David" w:hAnsi="David"/>
                <w:b/>
                <w:bCs/>
              </w:rPr>
            </w:pPr>
          </w:p>
        </w:tc>
      </w:tr>
    </w:tbl>
    <w:p w14:paraId="360D63BC" w14:textId="77777777" w:rsidR="00670641" w:rsidRDefault="00670641" w:rsidP="00670641">
      <w:pPr>
        <w:rPr>
          <w:rtl/>
        </w:rPr>
      </w:pPr>
    </w:p>
    <w:p w14:paraId="3AB7F81E" w14:textId="77777777" w:rsidR="00670641" w:rsidRPr="00670641" w:rsidRDefault="00670641" w:rsidP="00670641">
      <w:pPr>
        <w:spacing w:before="120" w:after="120" w:line="240" w:lineRule="exact"/>
        <w:ind w:left="283" w:hanging="283"/>
        <w:jc w:val="both"/>
        <w:rPr>
          <w:rFonts w:ascii="FrankRuehl" w:hAnsi="FrankRuehl" w:cs="FrankRuehl"/>
          <w:rtl/>
        </w:rPr>
      </w:pPr>
    </w:p>
    <w:p w14:paraId="3EB6620D" w14:textId="77777777" w:rsidR="00670641" w:rsidRPr="00670641" w:rsidRDefault="00670641" w:rsidP="00670641">
      <w:pPr>
        <w:spacing w:before="120" w:after="120" w:line="240" w:lineRule="exact"/>
        <w:ind w:left="283" w:hanging="283"/>
        <w:jc w:val="both"/>
        <w:rPr>
          <w:rFonts w:ascii="FrankRuehl" w:hAnsi="FrankRuehl" w:cs="FrankRuehl"/>
          <w:rtl/>
        </w:rPr>
      </w:pPr>
    </w:p>
    <w:p w14:paraId="75DC6DAD" w14:textId="77777777" w:rsidR="000B21F4" w:rsidRPr="000B21F4" w:rsidRDefault="000B21F4" w:rsidP="000B21F4">
      <w:pPr>
        <w:spacing w:before="120" w:after="120" w:line="240" w:lineRule="exact"/>
        <w:ind w:left="283" w:hanging="283"/>
        <w:jc w:val="both"/>
        <w:rPr>
          <w:rFonts w:ascii="FrankRuehl" w:hAnsi="FrankRuehl" w:cs="FrankRuehl"/>
          <w:rtl/>
        </w:rPr>
      </w:pPr>
    </w:p>
    <w:p w14:paraId="246887B3" w14:textId="77777777" w:rsidR="00FA0F32" w:rsidRDefault="00FA0F32" w:rsidP="00FA0F32">
      <w:pPr>
        <w:rPr>
          <w:rtl/>
        </w:rPr>
      </w:pPr>
      <w:bookmarkStart w:id="2" w:name="LawTable"/>
      <w:bookmarkEnd w:id="2"/>
    </w:p>
    <w:p w14:paraId="592AAF9F" w14:textId="77777777" w:rsidR="00FA0F32" w:rsidRPr="00FA0F32" w:rsidRDefault="00FA0F32" w:rsidP="00FA0F32">
      <w:pPr>
        <w:spacing w:before="120" w:after="120" w:line="240" w:lineRule="exact"/>
        <w:ind w:left="283" w:hanging="283"/>
        <w:jc w:val="both"/>
        <w:rPr>
          <w:rFonts w:ascii="FrankRuehl" w:hAnsi="FrankRuehl" w:cs="FrankRuehl"/>
          <w:rtl/>
        </w:rPr>
      </w:pPr>
    </w:p>
    <w:p w14:paraId="55A05F8C" w14:textId="77777777" w:rsidR="00FA0F32" w:rsidRPr="00FA0F32" w:rsidRDefault="00FA0F32" w:rsidP="00FA0F32">
      <w:pPr>
        <w:spacing w:before="120" w:after="120" w:line="240" w:lineRule="exact"/>
        <w:ind w:left="283" w:hanging="283"/>
        <w:jc w:val="both"/>
        <w:rPr>
          <w:rFonts w:ascii="FrankRuehl" w:hAnsi="FrankRuehl" w:cs="FrankRuehl"/>
          <w:rtl/>
        </w:rPr>
      </w:pPr>
    </w:p>
    <w:p w14:paraId="047E5036" w14:textId="77777777" w:rsidR="00FA0F32" w:rsidRPr="00FA0F32" w:rsidRDefault="00FA0F32" w:rsidP="00FA0F32">
      <w:pPr>
        <w:spacing w:before="120" w:after="120" w:line="240" w:lineRule="exact"/>
        <w:ind w:left="283" w:hanging="283"/>
        <w:jc w:val="both"/>
        <w:rPr>
          <w:rFonts w:ascii="FrankRuehl" w:hAnsi="FrankRuehl" w:cs="FrankRuehl"/>
          <w:rtl/>
        </w:rPr>
      </w:pPr>
      <w:r w:rsidRPr="00FA0F32">
        <w:rPr>
          <w:rFonts w:ascii="FrankRuehl" w:hAnsi="FrankRuehl" w:cs="FrankRuehl"/>
          <w:rtl/>
        </w:rPr>
        <w:t xml:space="preserve">חקיקה שאוזכרה: </w:t>
      </w:r>
    </w:p>
    <w:p w14:paraId="7CD7CCA1" w14:textId="77777777" w:rsidR="00FA0F32" w:rsidRPr="00FA0F32" w:rsidRDefault="00FA0F32" w:rsidP="00FA0F32">
      <w:pPr>
        <w:spacing w:before="120" w:after="120" w:line="240" w:lineRule="exact"/>
        <w:ind w:left="283" w:hanging="283"/>
        <w:jc w:val="both"/>
        <w:rPr>
          <w:rFonts w:ascii="FrankRuehl" w:hAnsi="FrankRuehl" w:cs="FrankRuehl"/>
          <w:rtl/>
        </w:rPr>
      </w:pPr>
      <w:hyperlink r:id="rId7" w:history="1">
        <w:r w:rsidRPr="00FA0F32">
          <w:rPr>
            <w:rFonts w:ascii="FrankRuehl" w:hAnsi="FrankRuehl" w:cs="FrankRuehl"/>
            <w:color w:val="0000FF"/>
            <w:rtl/>
          </w:rPr>
          <w:t>פקודת הסמים המסוכנים [נוסח חדש], תשל"ג-1973</w:t>
        </w:r>
      </w:hyperlink>
    </w:p>
    <w:p w14:paraId="7DD23259" w14:textId="77777777" w:rsidR="00FA0F32" w:rsidRPr="00FA0F32" w:rsidRDefault="00FA0F32" w:rsidP="00FA0F32">
      <w:pPr>
        <w:rPr>
          <w:rtl/>
        </w:rPr>
      </w:pPr>
      <w:bookmarkStart w:id="3" w:name="LawTable_End"/>
      <w:bookmarkEnd w:id="3"/>
    </w:p>
    <w:p w14:paraId="03E275E6" w14:textId="77777777" w:rsidR="00670641" w:rsidRPr="000B21F4" w:rsidRDefault="00670641" w:rsidP="000B21F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051F" w:rsidRPr="005713B8" w14:paraId="54E1B35F" w14:textId="77777777" w:rsidTr="0049051F">
        <w:trPr>
          <w:trHeight w:val="355"/>
          <w:jc w:val="center"/>
        </w:trPr>
        <w:tc>
          <w:tcPr>
            <w:tcW w:w="8820" w:type="dxa"/>
            <w:tcBorders>
              <w:top w:val="nil"/>
              <w:left w:val="nil"/>
              <w:bottom w:val="nil"/>
              <w:right w:val="nil"/>
            </w:tcBorders>
            <w:shd w:val="clear" w:color="auto" w:fill="auto"/>
          </w:tcPr>
          <w:p w14:paraId="21D1ABE2" w14:textId="77777777" w:rsidR="00670641" w:rsidRPr="00670641" w:rsidRDefault="00670641" w:rsidP="00670641">
            <w:pPr>
              <w:jc w:val="center"/>
              <w:rPr>
                <w:rFonts w:ascii="David" w:hAnsi="David"/>
                <w:b/>
                <w:bCs/>
                <w:sz w:val="32"/>
                <w:szCs w:val="32"/>
                <w:rtl/>
              </w:rPr>
            </w:pPr>
            <w:bookmarkStart w:id="4" w:name="PsakDin" w:colFirst="0" w:colLast="0"/>
            <w:r w:rsidRPr="00670641">
              <w:rPr>
                <w:rFonts w:ascii="David" w:hAnsi="David"/>
                <w:b/>
                <w:bCs/>
                <w:sz w:val="32"/>
                <w:szCs w:val="32"/>
                <w:rtl/>
              </w:rPr>
              <w:t>גזר דין</w:t>
            </w:r>
          </w:p>
          <w:p w14:paraId="03BBC0D7" w14:textId="77777777" w:rsidR="0049051F" w:rsidRPr="00670641" w:rsidRDefault="0049051F" w:rsidP="00670641">
            <w:pPr>
              <w:jc w:val="center"/>
              <w:rPr>
                <w:rFonts w:ascii="David" w:hAnsi="David"/>
                <w:bCs/>
                <w:sz w:val="32"/>
                <w:szCs w:val="32"/>
                <w:rtl/>
              </w:rPr>
            </w:pPr>
          </w:p>
        </w:tc>
      </w:tr>
    </w:tbl>
    <w:bookmarkEnd w:id="4"/>
    <w:p w14:paraId="71AB3759" w14:textId="77777777" w:rsidR="0049051F" w:rsidRPr="00055043" w:rsidRDefault="0049051F" w:rsidP="0049051F">
      <w:pPr>
        <w:pStyle w:val="a9"/>
        <w:spacing w:before="240" w:after="240" w:line="360" w:lineRule="auto"/>
        <w:ind w:left="0"/>
        <w:jc w:val="both"/>
        <w:rPr>
          <w:rFonts w:ascii="David" w:hAnsi="David"/>
          <w:b/>
          <w:bCs/>
          <w:u w:val="single"/>
          <w:rtl/>
        </w:rPr>
      </w:pPr>
      <w:r w:rsidRPr="00055043">
        <w:rPr>
          <w:rFonts w:ascii="David" w:hAnsi="David" w:hint="cs"/>
          <w:b/>
          <w:bCs/>
          <w:u w:val="single"/>
          <w:rtl/>
        </w:rPr>
        <w:t>כתב האישום וההליכים</w:t>
      </w:r>
    </w:p>
    <w:p w14:paraId="50774A7E" w14:textId="77777777" w:rsidR="0049051F" w:rsidRDefault="0049051F" w:rsidP="0049051F">
      <w:pPr>
        <w:pStyle w:val="a9"/>
        <w:spacing w:before="240" w:after="240"/>
        <w:ind w:left="0"/>
        <w:jc w:val="both"/>
        <w:rPr>
          <w:rFonts w:ascii="David" w:hAnsi="David"/>
        </w:rPr>
      </w:pPr>
    </w:p>
    <w:p w14:paraId="0B7192AD" w14:textId="77777777" w:rsidR="0049051F" w:rsidRPr="00055043" w:rsidRDefault="0049051F" w:rsidP="0049051F">
      <w:pPr>
        <w:pStyle w:val="a9"/>
        <w:numPr>
          <w:ilvl w:val="0"/>
          <w:numId w:val="1"/>
        </w:numPr>
        <w:spacing w:before="240" w:after="240" w:line="360" w:lineRule="auto"/>
        <w:jc w:val="both"/>
        <w:rPr>
          <w:rFonts w:ascii="David" w:hAnsi="David"/>
        </w:rPr>
      </w:pPr>
      <w:r w:rsidRPr="00055043">
        <w:rPr>
          <w:rFonts w:ascii="David" w:hAnsi="David"/>
          <w:rtl/>
        </w:rPr>
        <w:t>הנאשם הורשע על פי הודאתו, במסגרת הסדר ט</w:t>
      </w:r>
      <w:r w:rsidRPr="00055043">
        <w:rPr>
          <w:rFonts w:ascii="David" w:hAnsi="David" w:hint="cs"/>
          <w:rtl/>
        </w:rPr>
        <w:t>י</w:t>
      </w:r>
      <w:r w:rsidRPr="00055043">
        <w:rPr>
          <w:rFonts w:ascii="David" w:hAnsi="David"/>
          <w:rtl/>
        </w:rPr>
        <w:t>עון</w:t>
      </w:r>
      <w:r>
        <w:rPr>
          <w:rFonts w:ascii="David" w:hAnsi="David" w:hint="cs"/>
          <w:rtl/>
        </w:rPr>
        <w:t xml:space="preserve"> שלא כלל הסכמה עונשית</w:t>
      </w:r>
      <w:r w:rsidRPr="00055043">
        <w:rPr>
          <w:rFonts w:ascii="David" w:hAnsi="David"/>
          <w:rtl/>
        </w:rPr>
        <w:t>, בעביר</w:t>
      </w:r>
      <w:r w:rsidRPr="00055043">
        <w:rPr>
          <w:rFonts w:ascii="David" w:hAnsi="David" w:hint="cs"/>
          <w:rtl/>
        </w:rPr>
        <w:t xml:space="preserve">ה של החזקת סם שלא לצריכה עצמית </w:t>
      </w:r>
      <w:r>
        <w:rPr>
          <w:rFonts w:ascii="David" w:hAnsi="David" w:hint="cs"/>
          <w:rtl/>
        </w:rPr>
        <w:t xml:space="preserve">בלבד </w:t>
      </w:r>
      <w:r w:rsidRPr="00055043">
        <w:rPr>
          <w:rFonts w:ascii="David" w:hAnsi="David" w:hint="cs"/>
          <w:rtl/>
        </w:rPr>
        <w:t>לפי סעיף 7(א)+7(ג) רישא ל</w:t>
      </w:r>
      <w:hyperlink r:id="rId8" w:history="1">
        <w:r w:rsidR="00670641" w:rsidRPr="00670641">
          <w:rPr>
            <w:rFonts w:ascii="David" w:hAnsi="David"/>
            <w:color w:val="0000FF"/>
            <w:u w:val="single"/>
            <w:rtl/>
          </w:rPr>
          <w:t>פקודת הסמים המסוכנים</w:t>
        </w:r>
      </w:hyperlink>
      <w:r w:rsidRPr="00055043">
        <w:rPr>
          <w:rFonts w:ascii="David" w:hAnsi="David" w:hint="cs"/>
          <w:rtl/>
        </w:rPr>
        <w:t xml:space="preserve"> (נוסח חדש), תשל"ג- 1973. על פי עובדות כתב האישום המתוקן, החזיק </w:t>
      </w:r>
      <w:r>
        <w:rPr>
          <w:rFonts w:ascii="David" w:hAnsi="David" w:hint="cs"/>
          <w:rtl/>
        </w:rPr>
        <w:t xml:space="preserve">הנאשם </w:t>
      </w:r>
      <w:r w:rsidRPr="00055043">
        <w:rPr>
          <w:rFonts w:ascii="David" w:hAnsi="David" w:hint="cs"/>
          <w:rtl/>
        </w:rPr>
        <w:t xml:space="preserve">בביתו 6 שתילים של סם מסוכן מסוג קנבוס במשקל של 318.09 גרם נטו וזאת </w:t>
      </w:r>
      <w:r>
        <w:rPr>
          <w:rFonts w:ascii="David" w:hAnsi="David" w:hint="cs"/>
          <w:rtl/>
        </w:rPr>
        <w:t>ש</w:t>
      </w:r>
      <w:r w:rsidRPr="00055043">
        <w:rPr>
          <w:rFonts w:ascii="David" w:hAnsi="David" w:hint="cs"/>
          <w:rtl/>
        </w:rPr>
        <w:t xml:space="preserve">לא לצריכה עצמית. </w:t>
      </w:r>
    </w:p>
    <w:p w14:paraId="1F14B497" w14:textId="77777777" w:rsidR="0049051F" w:rsidRPr="00C669EC" w:rsidRDefault="0049051F" w:rsidP="0049051F">
      <w:pPr>
        <w:pStyle w:val="a9"/>
        <w:spacing w:before="240" w:after="240"/>
        <w:ind w:left="0"/>
        <w:jc w:val="both"/>
        <w:rPr>
          <w:rFonts w:ascii="David" w:hAnsi="David"/>
        </w:rPr>
      </w:pPr>
    </w:p>
    <w:p w14:paraId="7860D21A" w14:textId="77777777" w:rsidR="0049051F" w:rsidRDefault="0049051F" w:rsidP="0049051F">
      <w:pPr>
        <w:pStyle w:val="a9"/>
        <w:spacing w:line="360" w:lineRule="auto"/>
        <w:ind w:left="0"/>
        <w:jc w:val="both"/>
        <w:rPr>
          <w:b/>
          <w:bCs/>
          <w:u w:val="single"/>
          <w:rtl/>
        </w:rPr>
      </w:pPr>
      <w:r w:rsidRPr="00C66D0E">
        <w:rPr>
          <w:b/>
          <w:bCs/>
          <w:u w:val="single"/>
          <w:rtl/>
        </w:rPr>
        <w:t>טיעוני הצדדים והראיות לעונש</w:t>
      </w:r>
    </w:p>
    <w:p w14:paraId="35693A10" w14:textId="77777777" w:rsidR="0049051F" w:rsidRPr="00C66D0E" w:rsidRDefault="0049051F" w:rsidP="0049051F">
      <w:pPr>
        <w:pStyle w:val="a9"/>
        <w:ind w:left="0"/>
        <w:jc w:val="both"/>
        <w:rPr>
          <w:b/>
          <w:bCs/>
          <w:u w:val="single"/>
        </w:rPr>
      </w:pPr>
    </w:p>
    <w:p w14:paraId="20E55327" w14:textId="77777777" w:rsidR="0049051F" w:rsidRDefault="0049051F" w:rsidP="0049051F">
      <w:pPr>
        <w:pStyle w:val="a9"/>
        <w:numPr>
          <w:ilvl w:val="0"/>
          <w:numId w:val="1"/>
        </w:numPr>
        <w:spacing w:before="240" w:after="240" w:line="360" w:lineRule="auto"/>
        <w:jc w:val="both"/>
        <w:rPr>
          <w:rFonts w:ascii="David" w:hAnsi="David"/>
        </w:rPr>
      </w:pPr>
      <w:r>
        <w:rPr>
          <w:rtl/>
        </w:rPr>
        <w:lastRenderedPageBreak/>
        <w:t>ב"כ המאשימה הגיש טיעונים בכתב והשלימם על פה</w:t>
      </w:r>
      <w:r>
        <w:rPr>
          <w:rFonts w:ascii="David" w:hAnsi="David" w:hint="cs"/>
          <w:rtl/>
        </w:rPr>
        <w:t xml:space="preserve">. </w:t>
      </w:r>
      <w:r>
        <w:rPr>
          <w:rtl/>
        </w:rPr>
        <w:t xml:space="preserve">נטען כי הערכים המוגנים שנפגעו כתוצאה מהעבירה </w:t>
      </w:r>
      <w:r>
        <w:rPr>
          <w:rFonts w:hint="cs"/>
          <w:rtl/>
        </w:rPr>
        <w:t xml:space="preserve">הם שמירה על שלומו של הציבור ובריאותו מפני הנזקים הישירים והעקיפים הנגרמים עקב שימוש בסמים והפצתם וכי </w:t>
      </w:r>
      <w:r>
        <w:rPr>
          <w:rFonts w:ascii="David" w:hAnsi="David" w:hint="cs"/>
          <w:rtl/>
        </w:rPr>
        <w:t xml:space="preserve">פוטנציאל הנזק במקרה זה ממשי. נטען כי מתחם הענישה נע במקרה זה בין מספר חודשי מאסר ועד 12 חודשי מאסר בפועל וביחס לעונש הקונקרטי נטען שלאור העבר הנקי יש להטיל על הנאשם 3 חודשי מאסר בפועל שירוצו בדרך של עבודות שירות לצד ענישה נלווית. </w:t>
      </w:r>
    </w:p>
    <w:p w14:paraId="18B3C2C2" w14:textId="77777777" w:rsidR="0049051F" w:rsidRDefault="0049051F" w:rsidP="0049051F">
      <w:pPr>
        <w:pStyle w:val="a9"/>
        <w:spacing w:before="240" w:after="240"/>
        <w:ind w:left="0"/>
        <w:jc w:val="both"/>
        <w:rPr>
          <w:rFonts w:ascii="David" w:hAnsi="David"/>
        </w:rPr>
      </w:pPr>
    </w:p>
    <w:p w14:paraId="434339CF" w14:textId="77777777" w:rsidR="0049051F" w:rsidRDefault="0049051F" w:rsidP="0049051F">
      <w:pPr>
        <w:pStyle w:val="a9"/>
        <w:numPr>
          <w:ilvl w:val="0"/>
          <w:numId w:val="1"/>
        </w:numPr>
        <w:spacing w:before="240" w:after="240" w:line="360" w:lineRule="auto"/>
        <w:jc w:val="both"/>
        <w:rPr>
          <w:rFonts w:ascii="David" w:hAnsi="David"/>
        </w:rPr>
      </w:pPr>
      <w:r>
        <w:rPr>
          <w:rFonts w:ascii="David" w:hAnsi="David" w:hint="cs"/>
          <w:rtl/>
        </w:rPr>
        <w:t xml:space="preserve">ב"כ הנאשם טען כי מתחם הענישה מתחיל במקרה זה במאסר על תנאי ומסתיים בעבודות שירות. נטען כי מדובר בנאשם ללא עבר פלילי המחזיק בתעודת נכה וברישיון לקנאביס רפואי שקיבל אחריות למעשיו באופן מידי והביע חרטה. לאור כך, ביקש ב"כ הנאשם להסתפק במאסר צופה פני עתיד בלבד. </w:t>
      </w:r>
    </w:p>
    <w:p w14:paraId="050D8FEC" w14:textId="77777777" w:rsidR="0049051F" w:rsidRDefault="0049051F" w:rsidP="0049051F">
      <w:pPr>
        <w:pStyle w:val="a9"/>
        <w:spacing w:before="240" w:after="240"/>
        <w:ind w:left="0"/>
        <w:jc w:val="both"/>
        <w:rPr>
          <w:rFonts w:ascii="David" w:hAnsi="David"/>
        </w:rPr>
      </w:pPr>
    </w:p>
    <w:p w14:paraId="7456FC6A" w14:textId="77777777" w:rsidR="0049051F" w:rsidRDefault="0049051F" w:rsidP="0049051F">
      <w:pPr>
        <w:pStyle w:val="a9"/>
        <w:numPr>
          <w:ilvl w:val="0"/>
          <w:numId w:val="1"/>
        </w:numPr>
        <w:spacing w:line="360" w:lineRule="auto"/>
        <w:jc w:val="both"/>
        <w:rPr>
          <w:b/>
          <w:bCs/>
          <w:u w:val="single"/>
        </w:rPr>
      </w:pPr>
      <w:r>
        <w:rPr>
          <w:rtl/>
        </w:rPr>
        <w:t xml:space="preserve">הנאשם בדברו האחרון </w:t>
      </w:r>
      <w:r>
        <w:rPr>
          <w:rFonts w:hint="cs"/>
          <w:rtl/>
        </w:rPr>
        <w:t xml:space="preserve">התנצל, </w:t>
      </w:r>
      <w:r>
        <w:rPr>
          <w:rtl/>
        </w:rPr>
        <w:t>קיבל אחריות למעשיו</w:t>
      </w:r>
      <w:r>
        <w:rPr>
          <w:rFonts w:hint="cs"/>
          <w:rtl/>
        </w:rPr>
        <w:t xml:space="preserve"> וטען שהסם היה לשימושו האישי</w:t>
      </w:r>
      <w:r>
        <w:rPr>
          <w:rtl/>
        </w:rPr>
        <w:t>.</w:t>
      </w:r>
    </w:p>
    <w:p w14:paraId="481E6ABD" w14:textId="77777777" w:rsidR="0049051F" w:rsidRPr="00346132" w:rsidRDefault="0049051F" w:rsidP="0049051F">
      <w:pPr>
        <w:pStyle w:val="a9"/>
        <w:bidi w:val="0"/>
        <w:ind w:left="0"/>
        <w:jc w:val="both"/>
        <w:rPr>
          <w:b/>
          <w:bCs/>
          <w:u w:val="single"/>
        </w:rPr>
      </w:pPr>
    </w:p>
    <w:p w14:paraId="51F1B4CB" w14:textId="77777777" w:rsidR="0049051F" w:rsidRDefault="0049051F" w:rsidP="0049051F">
      <w:pPr>
        <w:spacing w:line="360" w:lineRule="auto"/>
        <w:jc w:val="both"/>
        <w:rPr>
          <w:b/>
          <w:bCs/>
          <w:u w:val="single"/>
          <w:rtl/>
        </w:rPr>
      </w:pPr>
      <w:r>
        <w:rPr>
          <w:b/>
          <w:bCs/>
          <w:u w:val="single"/>
          <w:rtl/>
        </w:rPr>
        <w:t>דיון והכרעה</w:t>
      </w:r>
    </w:p>
    <w:p w14:paraId="40B1AB4F" w14:textId="77777777" w:rsidR="0049051F" w:rsidRDefault="0049051F" w:rsidP="0049051F">
      <w:pPr>
        <w:spacing w:line="360" w:lineRule="auto"/>
        <w:jc w:val="both"/>
        <w:rPr>
          <w:rFonts w:ascii="David" w:hAnsi="David"/>
          <w:b/>
          <w:bCs/>
          <w:u w:val="single"/>
          <w:rtl/>
        </w:rPr>
      </w:pPr>
      <w:r>
        <w:rPr>
          <w:rFonts w:ascii="David" w:hAnsi="David"/>
          <w:b/>
          <w:bCs/>
          <w:u w:val="single"/>
          <w:rtl/>
        </w:rPr>
        <w:t>קביעת מתחם הענישה</w:t>
      </w:r>
    </w:p>
    <w:p w14:paraId="7B05CE30" w14:textId="77777777" w:rsidR="0049051F" w:rsidRDefault="0049051F" w:rsidP="0049051F">
      <w:pPr>
        <w:pStyle w:val="a9"/>
        <w:ind w:left="0"/>
        <w:jc w:val="both"/>
        <w:rPr>
          <w:rFonts w:ascii="David" w:hAnsi="David"/>
          <w:rtl/>
        </w:rPr>
      </w:pPr>
    </w:p>
    <w:p w14:paraId="28C3F522" w14:textId="77777777" w:rsidR="0049051F" w:rsidRPr="001944D3" w:rsidRDefault="0049051F" w:rsidP="0049051F">
      <w:pPr>
        <w:pStyle w:val="a9"/>
        <w:numPr>
          <w:ilvl w:val="0"/>
          <w:numId w:val="1"/>
        </w:numPr>
        <w:spacing w:line="360" w:lineRule="auto"/>
        <w:jc w:val="both"/>
        <w:rPr>
          <w:b/>
          <w:bCs/>
          <w:u w:val="single"/>
        </w:rPr>
      </w:pPr>
      <w:r>
        <w:rPr>
          <w:rFonts w:ascii="David" w:hAnsi="David" w:hint="cs"/>
          <w:rtl/>
        </w:rPr>
        <w:t>ב</w:t>
      </w:r>
      <w:r>
        <w:rPr>
          <w:rFonts w:ascii="David" w:hAnsi="David"/>
          <w:rtl/>
        </w:rPr>
        <w:t xml:space="preserve">מעשיו פגע הנאשם בערכים של בטחון הציבור ושלומו. הסכנות הטמונות בהחזקת סם וגידולו ידועות </w:t>
      </w:r>
      <w:r>
        <w:rPr>
          <w:rFonts w:ascii="David" w:hAnsi="David" w:hint="cs"/>
          <w:rtl/>
        </w:rPr>
        <w:t>ו</w:t>
      </w:r>
      <w:r>
        <w:rPr>
          <w:rFonts w:ascii="David" w:hAnsi="David"/>
          <w:rtl/>
        </w:rPr>
        <w:t xml:space="preserve">פעם אחר פעם נפסק שיש לראות בחומרה את עבירות הסמים אשר הפכו מכת מדינה וכי תוצאותיהן הישירות והעקיפות הן הרות אסון לשלומה של החברה, לבריאותה ולביטחונה. במקרה זה, לאור כמות </w:t>
      </w:r>
      <w:r>
        <w:rPr>
          <w:rtl/>
        </w:rPr>
        <w:t>השתילים ויתר הנסיבות שיפורטו בהמשך, מידת הפגיעה בערכים אינה גבוהה.</w:t>
      </w:r>
    </w:p>
    <w:p w14:paraId="009FF033" w14:textId="77777777" w:rsidR="0049051F" w:rsidRPr="001944D3" w:rsidRDefault="0049051F" w:rsidP="0049051F">
      <w:pPr>
        <w:pStyle w:val="a9"/>
        <w:ind w:left="0"/>
        <w:jc w:val="both"/>
        <w:rPr>
          <w:b/>
          <w:bCs/>
          <w:u w:val="single"/>
        </w:rPr>
      </w:pPr>
    </w:p>
    <w:p w14:paraId="12CE75A6" w14:textId="77777777" w:rsidR="0049051F" w:rsidRDefault="0049051F" w:rsidP="0049051F">
      <w:pPr>
        <w:pStyle w:val="a9"/>
        <w:numPr>
          <w:ilvl w:val="0"/>
          <w:numId w:val="1"/>
        </w:numPr>
        <w:spacing w:line="360" w:lineRule="auto"/>
        <w:jc w:val="both"/>
        <w:rPr>
          <w:rFonts w:ascii="David" w:hAnsi="David"/>
        </w:rPr>
      </w:pPr>
      <w:r w:rsidRPr="001944D3">
        <w:rPr>
          <w:rFonts w:ascii="David" w:hAnsi="David" w:hint="cs"/>
          <w:rtl/>
        </w:rPr>
        <w:t>ביחס לנס</w:t>
      </w:r>
      <w:r>
        <w:rPr>
          <w:rFonts w:ascii="David" w:hAnsi="David" w:hint="cs"/>
          <w:rtl/>
        </w:rPr>
        <w:t xml:space="preserve">יבות הקשורות לביצוע העבירה אציין כי אמנם צוין בכתב האישום שהנאשם החזיק בשתילים אך העבירה שיוחסה לו היא החזקת סם ולא גידול וכך יש להבין את נסיבות העניין. כמות הסם אינה מועטה והוא הוחזק בביתו של הנאשם. </w:t>
      </w:r>
    </w:p>
    <w:p w14:paraId="15841FB9" w14:textId="77777777" w:rsidR="0049051F" w:rsidRDefault="0049051F" w:rsidP="0049051F">
      <w:pPr>
        <w:pStyle w:val="a9"/>
        <w:rPr>
          <w:rtl/>
        </w:rPr>
      </w:pPr>
    </w:p>
    <w:p w14:paraId="08C1C6F4" w14:textId="77777777" w:rsidR="0049051F" w:rsidRPr="001944D3" w:rsidRDefault="0049051F" w:rsidP="0049051F">
      <w:pPr>
        <w:pStyle w:val="a9"/>
        <w:numPr>
          <w:ilvl w:val="0"/>
          <w:numId w:val="1"/>
        </w:numPr>
        <w:spacing w:line="360" w:lineRule="auto"/>
        <w:jc w:val="both"/>
        <w:rPr>
          <w:rFonts w:ascii="David" w:hAnsi="David"/>
        </w:rPr>
      </w:pPr>
      <w:r>
        <w:rPr>
          <w:rFonts w:hint="cs"/>
          <w:rtl/>
        </w:rPr>
        <w:t>מדיניות הענישה בעבירות סמים שלא לצריכה עצמית מחמירה ולא אחת מוטלים עונשים כוללים אף מאסר והכל עניין של כמות הסם, סוגו ונסיבות העניין והנאשם. לצורך הדגמת מדיניות הענישה הנוהגת בעבירות דומות אפנה ל</w:t>
      </w:r>
      <w:hyperlink r:id="rId9" w:history="1">
        <w:r w:rsidR="00670641" w:rsidRPr="00670641">
          <w:rPr>
            <w:color w:val="0000FF"/>
            <w:u w:val="single"/>
            <w:rtl/>
          </w:rPr>
          <w:t>רע"פ 636/21</w:t>
        </w:r>
      </w:hyperlink>
      <w:r>
        <w:rPr>
          <w:rFonts w:hint="cs"/>
          <w:rtl/>
        </w:rPr>
        <w:t xml:space="preserve"> ‏ </w:t>
      </w:r>
      <w:r w:rsidRPr="001944D3">
        <w:rPr>
          <w:rFonts w:hint="cs"/>
          <w:b/>
          <w:bCs/>
          <w:rtl/>
        </w:rPr>
        <w:t>ברוך לוי נ' מדינת ישראל</w:t>
      </w:r>
      <w:r>
        <w:rPr>
          <w:rFonts w:hint="cs"/>
          <w:rtl/>
        </w:rPr>
        <w:t xml:space="preserve"> (16.2.2021), בו נידון נאשם שהורשע בהחזקת חשיש במשקל כולל של כ-760 גרם נטו. בית משפט השלום קבע מתחם הנע בין 6 חודשי מאסר לריצוי בדרך של עבודות שירות ועד 12 חודשי מאסר בפועל ועל אף תסקיר חיובי שהמליץ על של"צ הוטל עונש בן 4 חודשי מאסר בעבודות שירות; </w:t>
      </w:r>
      <w:hyperlink r:id="rId10" w:history="1">
        <w:r w:rsidR="00670641" w:rsidRPr="00670641">
          <w:rPr>
            <w:color w:val="0000FF"/>
            <w:u w:val="single"/>
            <w:rtl/>
          </w:rPr>
          <w:t>רע"פ 8759/21</w:t>
        </w:r>
      </w:hyperlink>
      <w:r>
        <w:rPr>
          <w:rFonts w:hint="cs"/>
          <w:rtl/>
        </w:rPr>
        <w:t xml:space="preserve"> </w:t>
      </w:r>
      <w:r w:rsidRPr="001944D3">
        <w:rPr>
          <w:rFonts w:hint="cs"/>
          <w:b/>
          <w:bCs/>
          <w:rtl/>
        </w:rPr>
        <w:t>אלעד קסלר נ' מדינת ישראל</w:t>
      </w:r>
      <w:r>
        <w:rPr>
          <w:rFonts w:hint="cs"/>
          <w:rtl/>
        </w:rPr>
        <w:t xml:space="preserve"> (23.12.2021), בו הורשע נאשם בהחזקת 229 גרם קנבוס והחזקת סכין והוטלו עליו 30 ימי מאסר בעבודות שירות, צו מבחן ועונשים נלווים; </w:t>
      </w:r>
      <w:hyperlink r:id="rId11" w:history="1">
        <w:r w:rsidR="00670641" w:rsidRPr="00670641">
          <w:rPr>
            <w:color w:val="0000FF"/>
            <w:u w:val="single"/>
            <w:rtl/>
          </w:rPr>
          <w:t>ת"פ 51123-01-12</w:t>
        </w:r>
      </w:hyperlink>
      <w:r>
        <w:rPr>
          <w:rFonts w:hint="cs"/>
          <w:rtl/>
        </w:rPr>
        <w:t xml:space="preserve"> </w:t>
      </w:r>
      <w:r w:rsidRPr="001944D3">
        <w:rPr>
          <w:rFonts w:hint="cs"/>
          <w:b/>
          <w:bCs/>
          <w:rtl/>
        </w:rPr>
        <w:t>מדינת ישראל נ' חוטוריאנסקי</w:t>
      </w:r>
      <w:r>
        <w:rPr>
          <w:rFonts w:hint="cs"/>
          <w:rtl/>
        </w:rPr>
        <w:t xml:space="preserve"> (23.3.2014),</w:t>
      </w:r>
      <w:r w:rsidR="00670641">
        <w:rPr>
          <w:rFonts w:hint="cs"/>
          <w:rtl/>
        </w:rPr>
        <w:t xml:space="preserve"> </w:t>
      </w:r>
      <w:r>
        <w:rPr>
          <w:rFonts w:hint="cs"/>
          <w:rtl/>
        </w:rPr>
        <w:t xml:space="preserve"> בו הוטלו על נאשם 6 חודשי מאסר בעבודות שירות (הכוללים מאסר מותנה שהופעל), בגין החזקה של כ- 100 ג' סם מסוג חשיש. בית המשפט קבע כי מתחם </w:t>
      </w:r>
      <w:r>
        <w:rPr>
          <w:rFonts w:hint="cs"/>
          <w:rtl/>
        </w:rPr>
        <w:lastRenderedPageBreak/>
        <w:t xml:space="preserve">העונש ההולם נע בין מאסר מותנה ל- 8 חודשי מאסר בפועל; </w:t>
      </w:r>
      <w:hyperlink r:id="rId12" w:history="1">
        <w:r w:rsidR="00670641" w:rsidRPr="00670641">
          <w:rPr>
            <w:color w:val="0000FF"/>
            <w:u w:val="single"/>
            <w:rtl/>
          </w:rPr>
          <w:t>ת"פ 51933-05-12</w:t>
        </w:r>
      </w:hyperlink>
      <w:r>
        <w:rPr>
          <w:rFonts w:hint="cs"/>
          <w:rtl/>
        </w:rPr>
        <w:t xml:space="preserve"> </w:t>
      </w:r>
      <w:r w:rsidRPr="001944D3">
        <w:rPr>
          <w:rFonts w:hint="cs"/>
          <w:b/>
          <w:bCs/>
          <w:rtl/>
        </w:rPr>
        <w:t>מדינת ישראל נ' בוטבול</w:t>
      </w:r>
      <w:r>
        <w:rPr>
          <w:rFonts w:hint="cs"/>
          <w:rtl/>
        </w:rPr>
        <w:t xml:space="preserve"> (27.3.2014), בו הוטלו על נאשם חודשיים מאסר בעבודות שירות בגין החזקה של 254.66 גרם חשיש. </w:t>
      </w:r>
    </w:p>
    <w:p w14:paraId="0CFA2618" w14:textId="77777777" w:rsidR="0049051F" w:rsidRDefault="0049051F" w:rsidP="0049051F">
      <w:pPr>
        <w:pStyle w:val="a9"/>
        <w:rPr>
          <w:rtl/>
        </w:rPr>
      </w:pPr>
    </w:p>
    <w:p w14:paraId="73941F53" w14:textId="77777777" w:rsidR="0049051F" w:rsidRPr="001944D3" w:rsidRDefault="0049051F" w:rsidP="0049051F">
      <w:pPr>
        <w:pStyle w:val="a9"/>
        <w:numPr>
          <w:ilvl w:val="0"/>
          <w:numId w:val="1"/>
        </w:numPr>
        <w:spacing w:line="360" w:lineRule="auto"/>
        <w:jc w:val="both"/>
        <w:rPr>
          <w:rFonts w:ascii="David" w:hAnsi="David"/>
        </w:rPr>
      </w:pPr>
      <w:r>
        <w:rPr>
          <w:rFonts w:hint="cs"/>
          <w:rtl/>
        </w:rPr>
        <w:t xml:space="preserve">לאור כך אני סבור כי מתחם הענישה ההולם עבירה זו בנסיבותיה נע בין מאסר מותנה ועד 10 חודשי מאסר בפועל. </w:t>
      </w:r>
    </w:p>
    <w:p w14:paraId="1482A8FB" w14:textId="77777777" w:rsidR="0049051F" w:rsidRDefault="0049051F" w:rsidP="0049051F">
      <w:pPr>
        <w:jc w:val="both"/>
        <w:rPr>
          <w:rFonts w:ascii="David" w:hAnsi="David"/>
          <w:rtl/>
        </w:rPr>
      </w:pPr>
    </w:p>
    <w:p w14:paraId="73995DC0" w14:textId="77777777" w:rsidR="0049051F" w:rsidRDefault="0049051F" w:rsidP="0049051F">
      <w:pPr>
        <w:spacing w:line="360" w:lineRule="auto"/>
        <w:rPr>
          <w:b/>
          <w:bCs/>
          <w:u w:val="single"/>
        </w:rPr>
      </w:pPr>
      <w:r>
        <w:rPr>
          <w:b/>
          <w:bCs/>
          <w:u w:val="single"/>
          <w:rtl/>
        </w:rPr>
        <w:t>קביעת עונשו של הנאשם</w:t>
      </w:r>
    </w:p>
    <w:p w14:paraId="5DAE9445" w14:textId="77777777" w:rsidR="0049051F" w:rsidRDefault="0049051F" w:rsidP="0049051F">
      <w:pPr>
        <w:rPr>
          <w:b/>
          <w:bCs/>
          <w:u w:val="single"/>
          <w:rtl/>
        </w:rPr>
      </w:pPr>
    </w:p>
    <w:p w14:paraId="0D7B0F49" w14:textId="77777777" w:rsidR="0049051F" w:rsidRDefault="0049051F" w:rsidP="0049051F">
      <w:pPr>
        <w:pStyle w:val="a9"/>
        <w:numPr>
          <w:ilvl w:val="0"/>
          <w:numId w:val="1"/>
        </w:numPr>
        <w:spacing w:line="360" w:lineRule="auto"/>
        <w:jc w:val="both"/>
        <w:rPr>
          <w:rFonts w:ascii="David" w:hAnsi="David"/>
          <w:rtl/>
        </w:rPr>
      </w:pPr>
      <w:r>
        <w:rPr>
          <w:rFonts w:ascii="David" w:hAnsi="David"/>
          <w:rtl/>
        </w:rPr>
        <w:t xml:space="preserve">לא הייתה מחלוקת בין הצדדים כי העונש אמור להיגזר בגדרי מתחם הענישה. לא </w:t>
      </w:r>
      <w:r>
        <w:rPr>
          <w:rFonts w:ascii="David" w:hAnsi="David" w:hint="cs"/>
          <w:rtl/>
        </w:rPr>
        <w:t xml:space="preserve">התבקש תסקיר ולא </w:t>
      </w:r>
      <w:r>
        <w:rPr>
          <w:rFonts w:ascii="David" w:hAnsi="David"/>
          <w:rtl/>
        </w:rPr>
        <w:t>נטען דבר בעניין סיכויי שיקומו</w:t>
      </w:r>
      <w:r>
        <w:rPr>
          <w:rFonts w:ascii="David" w:hAnsi="David" w:hint="cs"/>
          <w:rtl/>
        </w:rPr>
        <w:t xml:space="preserve"> של הנאשם</w:t>
      </w:r>
      <w:r>
        <w:rPr>
          <w:rFonts w:ascii="David" w:hAnsi="David"/>
          <w:rtl/>
        </w:rPr>
        <w:t xml:space="preserve"> ואכן לא מצאתי הצדקה לחריגה לקולה ממתחם הענישה. </w:t>
      </w:r>
    </w:p>
    <w:p w14:paraId="45060C6E" w14:textId="77777777" w:rsidR="0049051F" w:rsidRDefault="0049051F" w:rsidP="0049051F">
      <w:pPr>
        <w:pStyle w:val="a9"/>
        <w:ind w:left="0"/>
        <w:jc w:val="both"/>
        <w:rPr>
          <w:rFonts w:ascii="David" w:hAnsi="David"/>
        </w:rPr>
      </w:pPr>
    </w:p>
    <w:p w14:paraId="1417B88C" w14:textId="77777777" w:rsidR="0049051F" w:rsidRDefault="0049051F" w:rsidP="0049051F">
      <w:pPr>
        <w:pStyle w:val="a9"/>
        <w:numPr>
          <w:ilvl w:val="0"/>
          <w:numId w:val="1"/>
        </w:numPr>
        <w:spacing w:line="360" w:lineRule="auto"/>
        <w:jc w:val="both"/>
        <w:rPr>
          <w:rFonts w:ascii="David" w:hAnsi="David"/>
        </w:rPr>
      </w:pPr>
      <w:r w:rsidRPr="00B52F03">
        <w:rPr>
          <w:rFonts w:ascii="David" w:hAnsi="David"/>
          <w:rtl/>
        </w:rPr>
        <w:t>לצורך קביעת עונשו של הנאשם הבאתי בחשבון את הודאתו בהזדמנות הראשונה</w:t>
      </w:r>
      <w:r>
        <w:rPr>
          <w:rFonts w:ascii="David" w:hAnsi="David" w:hint="cs"/>
          <w:rtl/>
        </w:rPr>
        <w:t xml:space="preserve"> אשר ביטאה הפנמת הפסול וחרטה. </w:t>
      </w:r>
      <w:r w:rsidRPr="00B52F03">
        <w:rPr>
          <w:rFonts w:ascii="David" w:hAnsi="David"/>
          <w:rtl/>
        </w:rPr>
        <w:t xml:space="preserve">הבאתי עוד בחשבון </w:t>
      </w:r>
      <w:r w:rsidRPr="00B52F03">
        <w:rPr>
          <w:rFonts w:ascii="David" w:hAnsi="David" w:hint="cs"/>
          <w:rtl/>
        </w:rPr>
        <w:t xml:space="preserve">את </w:t>
      </w:r>
      <w:r w:rsidRPr="00B52F03">
        <w:rPr>
          <w:rFonts w:ascii="David" w:hAnsi="David"/>
          <w:rtl/>
        </w:rPr>
        <w:t>עברו הפלילי הנקי</w:t>
      </w:r>
      <w:r>
        <w:rPr>
          <w:rFonts w:ascii="David" w:hAnsi="David" w:hint="cs"/>
          <w:rtl/>
        </w:rPr>
        <w:t xml:space="preserve">, את חלוף הזמן, </w:t>
      </w:r>
      <w:r w:rsidRPr="00B52F03">
        <w:rPr>
          <w:rFonts w:ascii="David" w:hAnsi="David"/>
          <w:rtl/>
        </w:rPr>
        <w:t xml:space="preserve">את מצבו הבריאותי </w:t>
      </w:r>
      <w:r w:rsidRPr="00B52F03">
        <w:rPr>
          <w:rFonts w:ascii="David" w:hAnsi="David" w:hint="cs"/>
          <w:rtl/>
        </w:rPr>
        <w:t xml:space="preserve">ואת העובדה </w:t>
      </w:r>
      <w:r>
        <w:rPr>
          <w:rFonts w:ascii="David" w:hAnsi="David" w:hint="cs"/>
          <w:rtl/>
        </w:rPr>
        <w:t xml:space="preserve">שהוא </w:t>
      </w:r>
      <w:r w:rsidRPr="00B52F03">
        <w:rPr>
          <w:rFonts w:ascii="David" w:hAnsi="David" w:hint="cs"/>
          <w:rtl/>
        </w:rPr>
        <w:t xml:space="preserve">מחזיק </w:t>
      </w:r>
      <w:r>
        <w:rPr>
          <w:rFonts w:ascii="David" w:hAnsi="David" w:hint="cs"/>
          <w:rtl/>
        </w:rPr>
        <w:t xml:space="preserve">כיום </w:t>
      </w:r>
      <w:r w:rsidRPr="00B52F03">
        <w:rPr>
          <w:rFonts w:ascii="David" w:hAnsi="David" w:hint="cs"/>
          <w:rtl/>
        </w:rPr>
        <w:t>ברישיון לקנאביס רפואי</w:t>
      </w:r>
      <w:r>
        <w:rPr>
          <w:rFonts w:ascii="David" w:hAnsi="David" w:hint="cs"/>
          <w:rtl/>
        </w:rPr>
        <w:t xml:space="preserve">. </w:t>
      </w:r>
    </w:p>
    <w:p w14:paraId="6D0F8B81" w14:textId="77777777" w:rsidR="0049051F" w:rsidRPr="00B32D68" w:rsidRDefault="0049051F" w:rsidP="0049051F">
      <w:pPr>
        <w:pStyle w:val="a9"/>
        <w:rPr>
          <w:rFonts w:ascii="David" w:hAnsi="David"/>
          <w:rtl/>
        </w:rPr>
      </w:pPr>
    </w:p>
    <w:p w14:paraId="0867B9FF" w14:textId="77777777" w:rsidR="0049051F" w:rsidRDefault="0049051F" w:rsidP="0049051F">
      <w:pPr>
        <w:pStyle w:val="a9"/>
        <w:numPr>
          <w:ilvl w:val="0"/>
          <w:numId w:val="1"/>
        </w:numPr>
        <w:spacing w:line="360" w:lineRule="auto"/>
        <w:jc w:val="both"/>
        <w:rPr>
          <w:rFonts w:ascii="David" w:hAnsi="David"/>
        </w:rPr>
      </w:pPr>
      <w:r>
        <w:rPr>
          <w:rFonts w:hint="cs"/>
          <w:rtl/>
        </w:rPr>
        <w:t xml:space="preserve">שקלתי את עתירת המאשימה לעונש מאסר קצר בעבודות שירות ומצאתיה במקרה זה כמחמירה יתר על המידה לצורך השגת תכליות הענישה השונות. </w:t>
      </w:r>
      <w:r>
        <w:rPr>
          <w:rtl/>
        </w:rPr>
        <w:t xml:space="preserve">על חומרת העבירה במקרה זה אין חולק ועמדתי לעיל על מדיניות הענישה הראויה בעבירות כגון אלו. עם זאת, הנאשם </w:t>
      </w:r>
      <w:r>
        <w:rPr>
          <w:rFonts w:hint="cs"/>
          <w:rtl/>
        </w:rPr>
        <w:t xml:space="preserve">שלפני </w:t>
      </w:r>
      <w:r>
        <w:rPr>
          <w:rtl/>
        </w:rPr>
        <w:t xml:space="preserve">אינו בעל דפוסי התנהגות עברייניים, עברו נקי </w:t>
      </w:r>
      <w:r>
        <w:rPr>
          <w:rFonts w:hint="cs"/>
          <w:rtl/>
        </w:rPr>
        <w:t>ו</w:t>
      </w:r>
      <w:r>
        <w:rPr>
          <w:rtl/>
        </w:rPr>
        <w:t xml:space="preserve">מצבו </w:t>
      </w:r>
      <w:r>
        <w:rPr>
          <w:rFonts w:hint="cs"/>
          <w:rtl/>
        </w:rPr>
        <w:t>הבריאות</w:t>
      </w:r>
      <w:r>
        <w:rPr>
          <w:rFonts w:hint="eastAsia"/>
          <w:rtl/>
        </w:rPr>
        <w:t>י</w:t>
      </w:r>
      <w:r>
        <w:rPr>
          <w:rtl/>
        </w:rPr>
        <w:t xml:space="preserve"> רעוע</w:t>
      </w:r>
      <w:r>
        <w:rPr>
          <w:rFonts w:ascii="David" w:hAnsi="David"/>
          <w:rtl/>
        </w:rPr>
        <w:t xml:space="preserve">. </w:t>
      </w:r>
      <w:r>
        <w:rPr>
          <w:rFonts w:ascii="David" w:hAnsi="David" w:hint="cs"/>
          <w:rtl/>
        </w:rPr>
        <w:t>לאור כך סברתי שהוא יתקשה בביצוע עבודות שירות ובכל מקרה שניתן במקרה זה להשיג את מלוא תכליות הענישה גם ללא עונש מוחשי ולו בעבודות שירות</w:t>
      </w:r>
      <w:r>
        <w:rPr>
          <w:rtl/>
        </w:rPr>
        <w:t>.</w:t>
      </w:r>
    </w:p>
    <w:p w14:paraId="0E570EEE" w14:textId="77777777" w:rsidR="0049051F" w:rsidRPr="004B0218" w:rsidRDefault="0049051F" w:rsidP="0049051F">
      <w:pPr>
        <w:pStyle w:val="a9"/>
        <w:ind w:left="0"/>
        <w:jc w:val="both"/>
        <w:rPr>
          <w:rFonts w:ascii="David" w:hAnsi="David"/>
        </w:rPr>
      </w:pPr>
    </w:p>
    <w:p w14:paraId="3CE48924" w14:textId="77777777" w:rsidR="0049051F" w:rsidRDefault="0049051F" w:rsidP="0049051F">
      <w:pPr>
        <w:numPr>
          <w:ilvl w:val="0"/>
          <w:numId w:val="1"/>
        </w:numPr>
        <w:spacing w:before="120" w:after="120" w:line="360" w:lineRule="auto"/>
        <w:contextualSpacing/>
        <w:jc w:val="both"/>
      </w:pPr>
      <w:r>
        <w:rPr>
          <w:rtl/>
        </w:rPr>
        <w:t>סיכומו של דבר, לאחר שבחנתי את מכלול השיקולים, הן לקולה והן לחומרה, אני מטיל על הנאשם את העונשים הבאים:</w:t>
      </w:r>
    </w:p>
    <w:p w14:paraId="266E0B43" w14:textId="77777777" w:rsidR="0049051F" w:rsidRDefault="0049051F" w:rsidP="0049051F">
      <w:pPr>
        <w:pStyle w:val="a9"/>
        <w:numPr>
          <w:ilvl w:val="0"/>
          <w:numId w:val="2"/>
        </w:numPr>
        <w:spacing w:before="120" w:after="120" w:line="360" w:lineRule="auto"/>
        <w:jc w:val="both"/>
      </w:pPr>
      <w:r>
        <w:rPr>
          <w:rtl/>
        </w:rPr>
        <w:t xml:space="preserve">מאסר על תנאי </w:t>
      </w:r>
      <w:r>
        <w:rPr>
          <w:rFonts w:hint="cs"/>
          <w:rtl/>
        </w:rPr>
        <w:t>לתקופה בת</w:t>
      </w:r>
      <w:r>
        <w:rPr>
          <w:rtl/>
        </w:rPr>
        <w:t xml:space="preserve"> 4 חודשים והתנאי הוא שלא יעבור במשך שנתיים כל עבירה על פקודת הסמים שהיא פשע.</w:t>
      </w:r>
    </w:p>
    <w:p w14:paraId="66B2D35E" w14:textId="77777777" w:rsidR="0049051F" w:rsidRDefault="00670641" w:rsidP="0049051F">
      <w:pPr>
        <w:pStyle w:val="a9"/>
        <w:numPr>
          <w:ilvl w:val="0"/>
          <w:numId w:val="2"/>
        </w:numPr>
        <w:spacing w:before="120" w:after="120" w:line="360" w:lineRule="auto"/>
        <w:jc w:val="both"/>
      </w:pPr>
      <w:r w:rsidRPr="00670641">
        <w:rPr>
          <w:color w:val="FFFFFF"/>
          <w:sz w:val="2"/>
          <w:szCs w:val="2"/>
          <w:rtl/>
        </w:rPr>
        <w:t>5129371</w:t>
      </w:r>
      <w:r w:rsidR="0049051F">
        <w:rPr>
          <w:rtl/>
        </w:rPr>
        <w:t xml:space="preserve">קנס בסך 3,000 ₪. הקנס ישולם בחמישה תשלומים שווים ורצופים מיום </w:t>
      </w:r>
      <w:r w:rsidR="0049051F">
        <w:rPr>
          <w:rFonts w:hint="cs"/>
          <w:rtl/>
        </w:rPr>
        <w:t>1.12.23</w:t>
      </w:r>
      <w:r w:rsidR="0049051F">
        <w:rPr>
          <w:rtl/>
        </w:rPr>
        <w:t xml:space="preserve"> ובכל -1 לחודש שלאחריו. לא ישולם אחד התשלומים או יותר במועדו, תעמוד היתרה לפירעון מידי.</w:t>
      </w:r>
      <w:r w:rsidR="0049051F">
        <w:rPr>
          <w:rFonts w:hint="cs"/>
          <w:rtl/>
        </w:rPr>
        <w:t xml:space="preserve"> ניתן לשלם את הקנס בסניפי בנק הדואר או באתר המרכז לגביית אגרות וקנסות.</w:t>
      </w:r>
    </w:p>
    <w:p w14:paraId="7563A8AB" w14:textId="77777777" w:rsidR="0049051F" w:rsidRDefault="00670641" w:rsidP="0049051F">
      <w:pPr>
        <w:spacing w:line="360" w:lineRule="auto"/>
        <w:ind w:left="360"/>
        <w:rPr>
          <w:b/>
          <w:bCs/>
          <w:u w:val="single"/>
        </w:rPr>
      </w:pPr>
      <w:r w:rsidRPr="00670641">
        <w:rPr>
          <w:b/>
          <w:bCs/>
          <w:color w:val="FFFFFF"/>
          <w:sz w:val="2"/>
          <w:szCs w:val="2"/>
          <w:u w:val="single"/>
          <w:rtl/>
        </w:rPr>
        <w:t>54678313</w:t>
      </w:r>
      <w:r w:rsidR="0049051F">
        <w:rPr>
          <w:b/>
          <w:bCs/>
          <w:u w:val="single"/>
          <w:rtl/>
        </w:rPr>
        <w:t>זכות ערעור בתוך 45 יום.</w:t>
      </w:r>
    </w:p>
    <w:p w14:paraId="0B4A9B11" w14:textId="77777777" w:rsidR="0049051F" w:rsidRPr="00E90CF5" w:rsidRDefault="0049051F" w:rsidP="0049051F">
      <w:pPr>
        <w:spacing w:line="360" w:lineRule="auto"/>
        <w:jc w:val="both"/>
        <w:rPr>
          <w:rFonts w:ascii="David" w:hAnsi="David"/>
        </w:rPr>
      </w:pPr>
    </w:p>
    <w:p w14:paraId="482B80DD" w14:textId="77777777" w:rsidR="0049051F" w:rsidRPr="002B7D23" w:rsidRDefault="00670641" w:rsidP="0049051F">
      <w:pPr>
        <w:rPr>
          <w:rFonts w:ascii="David" w:hAnsi="David"/>
          <w:sz w:val="26"/>
          <w:szCs w:val="26"/>
          <w:rtl/>
        </w:rPr>
      </w:pPr>
      <w:bookmarkStart w:id="5" w:name="Nitan"/>
      <w:r>
        <w:rPr>
          <w:rFonts w:ascii="David" w:hAnsi="David"/>
          <w:sz w:val="26"/>
          <w:szCs w:val="26"/>
          <w:rtl/>
        </w:rPr>
        <w:t xml:space="preserve">ניתן היום,  י"א תשרי תשפ"ד, 26 ספטמבר 2023, בהעדר הצדדים. </w:t>
      </w:r>
      <w:bookmarkEnd w:id="5"/>
    </w:p>
    <w:p w14:paraId="47FB8623" w14:textId="77777777" w:rsidR="0049051F" w:rsidRPr="002B7D23" w:rsidRDefault="0049051F" w:rsidP="00670641">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755BD1E" w14:textId="77777777" w:rsidR="0049051F" w:rsidRPr="002B7D23" w:rsidRDefault="0049051F" w:rsidP="0049051F">
      <w:pPr>
        <w:jc w:val="center"/>
        <w:rPr>
          <w:rFonts w:ascii="David" w:hAnsi="David"/>
          <w:sz w:val="26"/>
          <w:szCs w:val="26"/>
          <w:rtl/>
        </w:rPr>
      </w:pPr>
    </w:p>
    <w:p w14:paraId="4F44D78D" w14:textId="77777777" w:rsidR="00DF0979" w:rsidRPr="00670641" w:rsidRDefault="00DF0979" w:rsidP="00670641">
      <w:pPr>
        <w:keepNext/>
        <w:rPr>
          <w:rFonts w:ascii="David" w:hAnsi="David"/>
          <w:color w:val="000000"/>
          <w:sz w:val="22"/>
          <w:szCs w:val="22"/>
          <w:rtl/>
        </w:rPr>
      </w:pPr>
    </w:p>
    <w:p w14:paraId="1F0E2A25" w14:textId="77777777" w:rsidR="00670641" w:rsidRPr="00670641" w:rsidRDefault="00670641" w:rsidP="00670641">
      <w:pPr>
        <w:keepNext/>
        <w:rPr>
          <w:rFonts w:ascii="David" w:hAnsi="David"/>
          <w:color w:val="000000"/>
          <w:sz w:val="22"/>
          <w:szCs w:val="22"/>
          <w:rtl/>
        </w:rPr>
      </w:pPr>
      <w:r w:rsidRPr="00670641">
        <w:rPr>
          <w:rFonts w:ascii="David" w:hAnsi="David"/>
          <w:color w:val="000000"/>
          <w:sz w:val="22"/>
          <w:szCs w:val="22"/>
          <w:rtl/>
        </w:rPr>
        <w:t>יוסי טורס 54678313</w:t>
      </w:r>
    </w:p>
    <w:p w14:paraId="7D7392D2" w14:textId="77777777" w:rsidR="00670641" w:rsidRDefault="00670641" w:rsidP="00670641">
      <w:r w:rsidRPr="00670641">
        <w:rPr>
          <w:color w:val="000000"/>
          <w:rtl/>
        </w:rPr>
        <w:t>נוסח מסמך זה כפוף לשינויי ניסוח ועריכה</w:t>
      </w:r>
    </w:p>
    <w:p w14:paraId="55D48A22" w14:textId="77777777" w:rsidR="00670641" w:rsidRDefault="00670641" w:rsidP="00670641">
      <w:pPr>
        <w:rPr>
          <w:rtl/>
        </w:rPr>
      </w:pPr>
    </w:p>
    <w:p w14:paraId="55C42054" w14:textId="77777777" w:rsidR="00670641" w:rsidRDefault="00670641" w:rsidP="00670641">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60191885" w14:textId="77777777" w:rsidR="00670641" w:rsidRPr="00670641" w:rsidRDefault="00670641" w:rsidP="00670641">
      <w:pPr>
        <w:jc w:val="center"/>
        <w:rPr>
          <w:color w:val="0000FF"/>
          <w:u w:val="single"/>
        </w:rPr>
      </w:pPr>
    </w:p>
    <w:sectPr w:rsidR="00670641" w:rsidRPr="00670641" w:rsidSect="00670641">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C61F8" w14:textId="77777777" w:rsidR="002E4AD1" w:rsidRDefault="002E4AD1" w:rsidP="00D54992">
      <w:r>
        <w:separator/>
      </w:r>
    </w:p>
  </w:endnote>
  <w:endnote w:type="continuationSeparator" w:id="0">
    <w:p w14:paraId="17CBAD9F" w14:textId="77777777" w:rsidR="002E4AD1" w:rsidRDefault="002E4AD1" w:rsidP="00D54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6CB08" w14:textId="77777777" w:rsidR="00670641" w:rsidRDefault="00670641" w:rsidP="006706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B7BEDB" w14:textId="77777777" w:rsidR="008177E1" w:rsidRPr="00670641" w:rsidRDefault="00670641" w:rsidP="0067064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163CB" w14:textId="77777777" w:rsidR="00670641" w:rsidRDefault="00670641" w:rsidP="006706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2B76">
      <w:rPr>
        <w:rFonts w:ascii="FrankRuehl" w:hAnsi="FrankRuehl" w:cs="FrankRuehl"/>
        <w:noProof/>
        <w:rtl/>
      </w:rPr>
      <w:t>1</w:t>
    </w:r>
    <w:r>
      <w:rPr>
        <w:rFonts w:ascii="FrankRuehl" w:hAnsi="FrankRuehl" w:cs="FrankRuehl"/>
        <w:rtl/>
      </w:rPr>
      <w:fldChar w:fldCharType="end"/>
    </w:r>
  </w:p>
  <w:p w14:paraId="171E4B33" w14:textId="77777777" w:rsidR="008177E1" w:rsidRPr="00670641" w:rsidRDefault="00670641" w:rsidP="0067064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0698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5A968" w14:textId="77777777" w:rsidR="002E4AD1" w:rsidRDefault="002E4AD1" w:rsidP="00D54992">
      <w:r>
        <w:separator/>
      </w:r>
    </w:p>
  </w:footnote>
  <w:footnote w:type="continuationSeparator" w:id="0">
    <w:p w14:paraId="3DBAF936" w14:textId="77777777" w:rsidR="002E4AD1" w:rsidRDefault="002E4AD1" w:rsidP="00D54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646D6" w14:textId="77777777" w:rsidR="00670641" w:rsidRPr="00670641" w:rsidRDefault="00670641" w:rsidP="0067064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22981-12-22</w:t>
    </w:r>
    <w:r>
      <w:rPr>
        <w:rFonts w:ascii="David" w:hAnsi="David"/>
        <w:color w:val="000000"/>
        <w:sz w:val="22"/>
        <w:szCs w:val="22"/>
        <w:rtl/>
      </w:rPr>
      <w:tab/>
      <w:t xml:space="preserve"> מדינת ישראל נ' רשאד חילף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FDC0E" w14:textId="77777777" w:rsidR="00670641" w:rsidRPr="00670641" w:rsidRDefault="00670641" w:rsidP="0067064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22981-12-22</w:t>
    </w:r>
    <w:r>
      <w:rPr>
        <w:rFonts w:ascii="David" w:hAnsi="David"/>
        <w:color w:val="000000"/>
        <w:sz w:val="22"/>
        <w:szCs w:val="22"/>
        <w:rtl/>
      </w:rPr>
      <w:tab/>
      <w:t xml:space="preserve"> מדינת ישראל נ' רשאד חילף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D2B31"/>
    <w:multiLevelType w:val="hybridMultilevel"/>
    <w:tmpl w:val="5D8C169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EB5634"/>
    <w:multiLevelType w:val="hybridMultilevel"/>
    <w:tmpl w:val="66C61030"/>
    <w:lvl w:ilvl="0" w:tplc="E05E31DE">
      <w:start w:val="1"/>
      <w:numFmt w:val="decimal"/>
      <w:lvlText w:val="%1."/>
      <w:lvlJc w:val="left"/>
      <w:pPr>
        <w:tabs>
          <w:tab w:val="num" w:pos="567"/>
        </w:tabs>
        <w:ind w:left="0" w:firstLine="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27246">
    <w:abstractNumId w:val="1"/>
  </w:num>
  <w:num w:numId="2" w16cid:durableId="5866176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051F"/>
    <w:rsid w:val="000B21F4"/>
    <w:rsid w:val="000F2FD7"/>
    <w:rsid w:val="001B5A3B"/>
    <w:rsid w:val="001E5E8B"/>
    <w:rsid w:val="00245B94"/>
    <w:rsid w:val="002E4AD1"/>
    <w:rsid w:val="00302B76"/>
    <w:rsid w:val="003063E7"/>
    <w:rsid w:val="003A147E"/>
    <w:rsid w:val="0049051F"/>
    <w:rsid w:val="00670641"/>
    <w:rsid w:val="008177E1"/>
    <w:rsid w:val="008A1247"/>
    <w:rsid w:val="00D54992"/>
    <w:rsid w:val="00DF0979"/>
    <w:rsid w:val="00FA0F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1DA067"/>
  <w15:chartTrackingRefBased/>
  <w15:docId w15:val="{005B0ADB-56B2-4FEA-A090-A28CC070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051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051F"/>
    <w:pPr>
      <w:tabs>
        <w:tab w:val="center" w:pos="4153"/>
        <w:tab w:val="right" w:pos="8306"/>
      </w:tabs>
    </w:pPr>
  </w:style>
  <w:style w:type="character" w:customStyle="1" w:styleId="a4">
    <w:name w:val="כותרת עליונה תו"/>
    <w:link w:val="a3"/>
    <w:rsid w:val="0049051F"/>
    <w:rPr>
      <w:rFonts w:ascii="Times New Roman" w:eastAsia="Times New Roman" w:hAnsi="Times New Roman" w:cs="David"/>
      <w:sz w:val="24"/>
      <w:szCs w:val="24"/>
    </w:rPr>
  </w:style>
  <w:style w:type="paragraph" w:styleId="a5">
    <w:name w:val="footer"/>
    <w:basedOn w:val="a"/>
    <w:link w:val="a6"/>
    <w:rsid w:val="0049051F"/>
    <w:pPr>
      <w:tabs>
        <w:tab w:val="center" w:pos="4153"/>
        <w:tab w:val="right" w:pos="8306"/>
      </w:tabs>
    </w:pPr>
  </w:style>
  <w:style w:type="character" w:customStyle="1" w:styleId="a6">
    <w:name w:val="כותרת תחתונה תו"/>
    <w:link w:val="a5"/>
    <w:rsid w:val="0049051F"/>
    <w:rPr>
      <w:rFonts w:ascii="Times New Roman" w:eastAsia="Times New Roman" w:hAnsi="Times New Roman" w:cs="David"/>
      <w:sz w:val="24"/>
      <w:szCs w:val="24"/>
    </w:rPr>
  </w:style>
  <w:style w:type="table" w:styleId="a7">
    <w:name w:val="Table Grid"/>
    <w:basedOn w:val="a1"/>
    <w:rsid w:val="0049051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051F"/>
  </w:style>
  <w:style w:type="paragraph" w:styleId="a9">
    <w:name w:val="List Paragraph"/>
    <w:basedOn w:val="a"/>
    <w:qFormat/>
    <w:rsid w:val="0049051F"/>
    <w:pPr>
      <w:ind w:left="720"/>
      <w:contextualSpacing/>
    </w:pPr>
  </w:style>
  <w:style w:type="character" w:styleId="Hyperlink">
    <w:name w:val="Hyperlink"/>
    <w:rsid w:val="006706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case/507412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613228"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case/281909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case/2736114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4917</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3473522</vt:i4>
      </vt:variant>
      <vt:variant>
        <vt:i4>15</vt:i4>
      </vt:variant>
      <vt:variant>
        <vt:i4>0</vt:i4>
      </vt:variant>
      <vt:variant>
        <vt:i4>5</vt:i4>
      </vt:variant>
      <vt:variant>
        <vt:lpwstr>http://www.nevo.co.il/case/5074126</vt:lpwstr>
      </vt:variant>
      <vt:variant>
        <vt:lpwstr/>
      </vt:variant>
      <vt:variant>
        <vt:i4>4063347</vt:i4>
      </vt:variant>
      <vt:variant>
        <vt:i4>12</vt:i4>
      </vt:variant>
      <vt:variant>
        <vt:i4>0</vt:i4>
      </vt:variant>
      <vt:variant>
        <vt:i4>5</vt:i4>
      </vt:variant>
      <vt:variant>
        <vt:lpwstr>http://www.nevo.co.il/case/5613228</vt:lpwstr>
      </vt:variant>
      <vt:variant>
        <vt:lpwstr/>
      </vt:variant>
      <vt:variant>
        <vt:i4>3211388</vt:i4>
      </vt:variant>
      <vt:variant>
        <vt:i4>9</vt:i4>
      </vt:variant>
      <vt:variant>
        <vt:i4>0</vt:i4>
      </vt:variant>
      <vt:variant>
        <vt:i4>5</vt:i4>
      </vt:variant>
      <vt:variant>
        <vt:lpwstr>http://www.nevo.co.il/case/28190928</vt:lpwstr>
      </vt:variant>
      <vt:variant>
        <vt:lpwstr/>
      </vt:variant>
      <vt:variant>
        <vt:i4>3407988</vt:i4>
      </vt:variant>
      <vt:variant>
        <vt:i4>6</vt:i4>
      </vt:variant>
      <vt:variant>
        <vt:i4>0</vt:i4>
      </vt:variant>
      <vt:variant>
        <vt:i4>5</vt:i4>
      </vt:variant>
      <vt:variant>
        <vt:lpwstr>http://www.nevo.co.il/case/27361147</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2025-04-23T01:39:00Z</dcterms:created>
  <dcterms:modified xsi:type="dcterms:W3CDTF">2025-04-23T01:39:00Z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22981</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רשאד חילף</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20230926</vt:lpwstr>
  </property>
  <property fmtid="{D5CDD505-2E9C-101B-9397-08002B2CF9AE}" pid="13" name="TYPE_N_DATE">
    <vt:lpwstr>38020230926</vt:lpwstr>
  </property>
  <property fmtid="{D5CDD505-2E9C-101B-9397-08002B2CF9AE}" pid="14" name="WORDNUMPAGES">
    <vt:lpwstr>4</vt:lpwstr>
  </property>
  <property fmtid="{D5CDD505-2E9C-101B-9397-08002B2CF9AE}" pid="15" name="TYPE_ABS_DATE">
    <vt:lpwstr>380020230926</vt:lpwstr>
  </property>
  <property fmtid="{D5CDD505-2E9C-101B-9397-08002B2CF9AE}" pid="16" name="CASESLISTTMP1">
    <vt:lpwstr>27361147;28190928;5613228;5074126</vt:lpwstr>
  </property>
  <property fmtid="{D5CDD505-2E9C-101B-9397-08002B2CF9AE}" pid="17" name="LAWLISTTMP1">
    <vt:lpwstr>4216</vt:lpwstr>
  </property>
</Properties>
</file>