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45"/>
        <w:gridCol w:w="3211"/>
        <w:gridCol w:w="899"/>
        <w:gridCol w:w="3666"/>
        <w:gridCol w:w="99"/>
      </w:tblGrid>
      <w:tr w:rsidR="00210FE7" w:rsidRPr="00CE5912" w14:paraId="67E54D7C" w14:textId="77777777" w:rsidTr="001C6CD3">
        <w:trPr>
          <w:gridAfter w:val="1"/>
          <w:wAfter w:w="99" w:type="dxa"/>
          <w:trHeight w:hRule="exact" w:val="418"/>
          <w:jc w:val="center"/>
        </w:trPr>
        <w:tc>
          <w:tcPr>
            <w:tcW w:w="8721" w:type="dxa"/>
            <w:gridSpan w:val="4"/>
          </w:tcPr>
          <w:p w14:paraId="7CE492EB" w14:textId="77777777" w:rsidR="00210FE7" w:rsidRPr="00CE5912" w:rsidRDefault="00210FE7" w:rsidP="009B2511">
            <w:pPr>
              <w:pStyle w:val="a3"/>
              <w:jc w:val="center"/>
              <w:rPr>
                <w:rFonts w:ascii="Tahoma" w:hAnsi="Tahoma" w:cs="Tahoma"/>
                <w:color w:val="000080"/>
                <w:rtl/>
              </w:rPr>
            </w:pPr>
            <w:bookmarkStart w:id="0" w:name="LastJudge"/>
            <w:r w:rsidRPr="00CE5912">
              <w:rPr>
                <w:rFonts w:ascii="Tahoma" w:hAnsi="Tahoma" w:cs="Tahoma"/>
                <w:b/>
                <w:bCs/>
                <w:color w:val="000080"/>
                <w:rtl/>
              </w:rPr>
              <w:t>בית משפט השלום בירושלים</w:t>
            </w:r>
          </w:p>
        </w:tc>
      </w:tr>
      <w:tr w:rsidR="00210FE7" w:rsidRPr="00CE5912" w14:paraId="183F60DD" w14:textId="77777777" w:rsidTr="001C6CD3">
        <w:trPr>
          <w:gridAfter w:val="1"/>
          <w:wAfter w:w="99" w:type="dxa"/>
          <w:trHeight w:val="337"/>
          <w:jc w:val="center"/>
        </w:trPr>
        <w:tc>
          <w:tcPr>
            <w:tcW w:w="5055" w:type="dxa"/>
            <w:gridSpan w:val="3"/>
          </w:tcPr>
          <w:p w14:paraId="62DA81A9" w14:textId="77777777" w:rsidR="00210FE7" w:rsidRPr="00CE5912" w:rsidRDefault="00210FE7" w:rsidP="009B2511">
            <w:pPr>
              <w:rPr>
                <w:rFonts w:ascii="David" w:hAnsi="David"/>
                <w:b/>
                <w:bCs/>
                <w:sz w:val="28"/>
                <w:szCs w:val="28"/>
                <w:rtl/>
              </w:rPr>
            </w:pPr>
            <w:r w:rsidRPr="00CE5912">
              <w:rPr>
                <w:rFonts w:ascii="David" w:hAnsi="David"/>
                <w:b/>
                <w:bCs/>
                <w:sz w:val="28"/>
                <w:szCs w:val="28"/>
                <w:rtl/>
              </w:rPr>
              <w:t>ת"פ 54676-12-22 מדינת ישראל נ' קראמר</w:t>
            </w:r>
          </w:p>
          <w:p w14:paraId="73AD14A5" w14:textId="77777777" w:rsidR="00210FE7" w:rsidRPr="00CE5912" w:rsidRDefault="00210FE7" w:rsidP="009B2511">
            <w:pPr>
              <w:pStyle w:val="a3"/>
              <w:rPr>
                <w:rFonts w:cs="FrankRuehl"/>
                <w:sz w:val="28"/>
                <w:szCs w:val="28"/>
                <w:rtl/>
              </w:rPr>
            </w:pPr>
          </w:p>
        </w:tc>
        <w:tc>
          <w:tcPr>
            <w:tcW w:w="3666" w:type="dxa"/>
          </w:tcPr>
          <w:p w14:paraId="51FDFF7E" w14:textId="77777777" w:rsidR="00210FE7" w:rsidRPr="00CE5912" w:rsidRDefault="00210FE7" w:rsidP="009B2511">
            <w:pPr>
              <w:pStyle w:val="a3"/>
              <w:jc w:val="right"/>
              <w:rPr>
                <w:rFonts w:cs="FrankRuehl"/>
                <w:sz w:val="28"/>
                <w:szCs w:val="28"/>
                <w:rtl/>
              </w:rPr>
            </w:pPr>
          </w:p>
        </w:tc>
      </w:tr>
      <w:tr w:rsidR="00210FE7" w:rsidRPr="00CE5912" w14:paraId="0133AF8D" w14:textId="77777777" w:rsidTr="001C6C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45" w:type="dxa"/>
            <w:tcBorders>
              <w:top w:val="nil"/>
              <w:left w:val="nil"/>
              <w:bottom w:val="nil"/>
              <w:right w:val="nil"/>
            </w:tcBorders>
            <w:shd w:val="clear" w:color="auto" w:fill="auto"/>
          </w:tcPr>
          <w:p w14:paraId="5273BAD4" w14:textId="77777777" w:rsidR="00210FE7" w:rsidRPr="00CE5912" w:rsidRDefault="00210FE7" w:rsidP="00210FE7">
            <w:pPr>
              <w:jc w:val="both"/>
              <w:rPr>
                <w:rFonts w:ascii="David" w:hAnsi="David"/>
                <w:b/>
                <w:bCs/>
                <w:sz w:val="28"/>
                <w:szCs w:val="28"/>
              </w:rPr>
            </w:pPr>
            <w:r w:rsidRPr="00CE5912">
              <w:rPr>
                <w:rFonts w:hint="cs"/>
                <w:rtl/>
              </w:rPr>
              <w:t xml:space="preserve"> </w:t>
            </w:r>
            <w:r w:rsidRPr="00CE5912">
              <w:rPr>
                <w:rFonts w:ascii="David" w:hAnsi="David" w:hint="cs"/>
                <w:b/>
                <w:bCs/>
                <w:sz w:val="28"/>
                <w:szCs w:val="28"/>
                <w:rtl/>
              </w:rPr>
              <w:t>ל</w:t>
            </w:r>
            <w:r w:rsidRPr="00CE5912">
              <w:rPr>
                <w:rFonts w:ascii="David" w:hAnsi="David"/>
                <w:b/>
                <w:bCs/>
                <w:sz w:val="28"/>
                <w:szCs w:val="28"/>
                <w:rtl/>
              </w:rPr>
              <w:t xml:space="preserve">פני </w:t>
            </w:r>
          </w:p>
        </w:tc>
        <w:tc>
          <w:tcPr>
            <w:tcW w:w="7875" w:type="dxa"/>
            <w:gridSpan w:val="4"/>
            <w:tcBorders>
              <w:top w:val="nil"/>
              <w:left w:val="nil"/>
              <w:bottom w:val="nil"/>
              <w:right w:val="nil"/>
            </w:tcBorders>
            <w:shd w:val="clear" w:color="auto" w:fill="auto"/>
          </w:tcPr>
          <w:p w14:paraId="3CD327DD" w14:textId="77777777" w:rsidR="00210FE7" w:rsidRPr="00CE5912" w:rsidRDefault="00210FE7" w:rsidP="009B2511">
            <w:pPr>
              <w:rPr>
                <w:rFonts w:ascii="David" w:hAnsi="David"/>
                <w:b/>
                <w:bCs/>
                <w:sz w:val="28"/>
                <w:szCs w:val="28"/>
                <w:rtl/>
              </w:rPr>
            </w:pPr>
            <w:r w:rsidRPr="00CE5912">
              <w:rPr>
                <w:rFonts w:ascii="David" w:hAnsi="David"/>
                <w:b/>
                <w:bCs/>
                <w:sz w:val="28"/>
                <w:szCs w:val="28"/>
                <w:rtl/>
              </w:rPr>
              <w:t>כבוד השופט  דוד שאול גבאי ריכטר</w:t>
            </w:r>
          </w:p>
          <w:p w14:paraId="0BAD22C1" w14:textId="77777777" w:rsidR="00210FE7" w:rsidRPr="00CE5912" w:rsidRDefault="00210FE7" w:rsidP="009B2511">
            <w:pPr>
              <w:rPr>
                <w:rFonts w:ascii="David" w:hAnsi="David"/>
                <w:b/>
                <w:bCs/>
                <w:sz w:val="28"/>
                <w:szCs w:val="28"/>
                <w:rtl/>
              </w:rPr>
            </w:pPr>
          </w:p>
          <w:p w14:paraId="0C1AF4F2" w14:textId="77777777" w:rsidR="00210FE7" w:rsidRPr="00CE5912" w:rsidRDefault="00210FE7" w:rsidP="00210FE7">
            <w:pPr>
              <w:jc w:val="both"/>
              <w:rPr>
                <w:rFonts w:ascii="David" w:hAnsi="David"/>
                <w:b/>
                <w:bCs/>
                <w:sz w:val="28"/>
                <w:szCs w:val="28"/>
              </w:rPr>
            </w:pPr>
          </w:p>
        </w:tc>
      </w:tr>
      <w:tr w:rsidR="00210FE7" w:rsidRPr="00CE5912" w14:paraId="3B1B52C4" w14:textId="77777777" w:rsidTr="001C6C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36E25A36" w14:textId="77777777" w:rsidR="00210FE7" w:rsidRPr="00CE5912" w:rsidRDefault="00210FE7" w:rsidP="00210FE7">
            <w:pPr>
              <w:jc w:val="both"/>
              <w:rPr>
                <w:rFonts w:ascii="David" w:hAnsi="David"/>
                <w:b/>
                <w:bCs/>
                <w:sz w:val="28"/>
                <w:szCs w:val="28"/>
              </w:rPr>
            </w:pPr>
            <w:bookmarkStart w:id="1" w:name="FirstAppellant"/>
            <w:bookmarkStart w:id="2" w:name="FirstLawyer"/>
            <w:r w:rsidRPr="00CE5912">
              <w:rPr>
                <w:rFonts w:ascii="David" w:hAnsi="David"/>
                <w:b/>
                <w:bCs/>
                <w:sz w:val="28"/>
                <w:szCs w:val="28"/>
                <w:rtl/>
              </w:rPr>
              <w:t>בעניין:</w:t>
            </w:r>
          </w:p>
        </w:tc>
        <w:tc>
          <w:tcPr>
            <w:tcW w:w="3211" w:type="dxa"/>
            <w:tcBorders>
              <w:top w:val="nil"/>
              <w:left w:val="nil"/>
              <w:bottom w:val="nil"/>
              <w:right w:val="nil"/>
            </w:tcBorders>
            <w:shd w:val="clear" w:color="auto" w:fill="auto"/>
          </w:tcPr>
          <w:p w14:paraId="24ABA6FB" w14:textId="77777777" w:rsidR="00210FE7" w:rsidRPr="00CE5912" w:rsidRDefault="00210FE7" w:rsidP="00210FE7">
            <w:pPr>
              <w:suppressLineNumbers/>
              <w:rPr>
                <w:b/>
                <w:bCs/>
                <w:sz w:val="28"/>
                <w:szCs w:val="28"/>
              </w:rPr>
            </w:pPr>
            <w:r w:rsidRPr="00CE5912">
              <w:rPr>
                <w:rFonts w:ascii="Arial" w:hAnsi="Arial" w:hint="cs"/>
                <w:b/>
                <w:bCs/>
                <w:sz w:val="28"/>
                <w:szCs w:val="28"/>
                <w:rtl/>
              </w:rPr>
              <w:t>ה</w:t>
            </w:r>
            <w:r w:rsidRPr="00CE5912">
              <w:rPr>
                <w:rFonts w:ascii="Arial" w:hAnsi="Arial"/>
                <w:b/>
                <w:bCs/>
                <w:sz w:val="28"/>
                <w:szCs w:val="28"/>
                <w:rtl/>
              </w:rPr>
              <w:t>מאשימה</w:t>
            </w:r>
          </w:p>
          <w:p w14:paraId="6831B68F" w14:textId="77777777" w:rsidR="00210FE7" w:rsidRPr="00CE5912" w:rsidRDefault="00210FE7" w:rsidP="009B2511">
            <w:pPr>
              <w:rPr>
                <w:rFonts w:ascii="David" w:hAnsi="David"/>
                <w:b/>
                <w:bCs/>
                <w:sz w:val="28"/>
                <w:szCs w:val="28"/>
              </w:rPr>
            </w:pPr>
          </w:p>
        </w:tc>
        <w:tc>
          <w:tcPr>
            <w:tcW w:w="4664" w:type="dxa"/>
            <w:gridSpan w:val="3"/>
            <w:tcBorders>
              <w:top w:val="nil"/>
              <w:left w:val="nil"/>
              <w:bottom w:val="nil"/>
              <w:right w:val="nil"/>
            </w:tcBorders>
            <w:shd w:val="clear" w:color="auto" w:fill="auto"/>
            <w:vAlign w:val="center"/>
          </w:tcPr>
          <w:p w14:paraId="563581CF" w14:textId="77777777" w:rsidR="00210FE7" w:rsidRPr="00CE5912" w:rsidRDefault="00210FE7" w:rsidP="00210FE7">
            <w:pPr>
              <w:suppressLineNumbers/>
              <w:rPr>
                <w:rFonts w:ascii="Arial" w:hAnsi="Arial"/>
                <w:b/>
                <w:bCs/>
                <w:sz w:val="28"/>
                <w:szCs w:val="28"/>
                <w:rtl/>
              </w:rPr>
            </w:pPr>
            <w:r w:rsidRPr="00CE5912">
              <w:rPr>
                <w:rFonts w:ascii="Arial" w:hAnsi="Arial"/>
                <w:b/>
                <w:bCs/>
                <w:sz w:val="28"/>
                <w:szCs w:val="28"/>
                <w:rtl/>
              </w:rPr>
              <w:t>מדינת ישראל</w:t>
            </w:r>
            <w:r w:rsidRPr="00CE5912">
              <w:rPr>
                <w:rFonts w:ascii="Arial" w:hAnsi="Arial" w:hint="cs"/>
                <w:b/>
                <w:bCs/>
                <w:sz w:val="28"/>
                <w:szCs w:val="28"/>
                <w:rtl/>
              </w:rPr>
              <w:t xml:space="preserve"> </w:t>
            </w:r>
          </w:p>
          <w:p w14:paraId="5DC1D7AF" w14:textId="77777777" w:rsidR="00210FE7" w:rsidRPr="00CE5912" w:rsidRDefault="00210FE7" w:rsidP="00210FE7">
            <w:pPr>
              <w:suppressLineNumbers/>
              <w:rPr>
                <w:rFonts w:ascii="Arial" w:hAnsi="Arial"/>
                <w:b/>
                <w:bCs/>
                <w:sz w:val="28"/>
                <w:szCs w:val="28"/>
                <w:rtl/>
              </w:rPr>
            </w:pPr>
            <w:r w:rsidRPr="00CE5912">
              <w:rPr>
                <w:rFonts w:ascii="Arial" w:hAnsi="Arial"/>
                <w:b/>
                <w:bCs/>
                <w:sz w:val="28"/>
                <w:szCs w:val="28"/>
                <w:rtl/>
              </w:rPr>
              <w:t xml:space="preserve">ע"י ב"כ </w:t>
            </w:r>
            <w:r w:rsidRPr="00CE5912">
              <w:rPr>
                <w:rFonts w:ascii="Arial" w:hAnsi="Arial" w:hint="cs"/>
                <w:b/>
                <w:bCs/>
                <w:sz w:val="28"/>
                <w:szCs w:val="28"/>
                <w:rtl/>
              </w:rPr>
              <w:t>גב' תהילה לויאני, מתמחה</w:t>
            </w:r>
          </w:p>
          <w:p w14:paraId="707C4D95" w14:textId="77777777" w:rsidR="00210FE7" w:rsidRPr="00CE5912" w:rsidRDefault="00210FE7" w:rsidP="00210FE7">
            <w:pPr>
              <w:suppressLineNumbers/>
              <w:rPr>
                <w:b/>
                <w:bCs/>
                <w:sz w:val="28"/>
                <w:szCs w:val="28"/>
              </w:rPr>
            </w:pPr>
            <w:r w:rsidRPr="00CE5912">
              <w:rPr>
                <w:rFonts w:ascii="Arial" w:hAnsi="Arial" w:hint="cs"/>
                <w:b/>
                <w:bCs/>
                <w:sz w:val="28"/>
                <w:szCs w:val="28"/>
                <w:rtl/>
              </w:rPr>
              <w:t>מתביעות  ירושלים</w:t>
            </w:r>
          </w:p>
          <w:p w14:paraId="6BB93461" w14:textId="77777777" w:rsidR="00210FE7" w:rsidRPr="00CE5912" w:rsidRDefault="00210FE7" w:rsidP="009B2511">
            <w:pPr>
              <w:rPr>
                <w:rFonts w:ascii="David" w:hAnsi="David"/>
                <w:b/>
                <w:bCs/>
                <w:sz w:val="28"/>
                <w:szCs w:val="28"/>
              </w:rPr>
            </w:pPr>
          </w:p>
        </w:tc>
      </w:tr>
      <w:bookmarkEnd w:id="1"/>
      <w:bookmarkEnd w:id="2"/>
      <w:tr w:rsidR="00210FE7" w:rsidRPr="00CE5912" w14:paraId="26591AC3" w14:textId="77777777" w:rsidTr="001C6C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224307D7" w14:textId="77777777" w:rsidR="00210FE7" w:rsidRPr="00CE5912" w:rsidRDefault="00210FE7" w:rsidP="00210FE7">
            <w:pPr>
              <w:jc w:val="both"/>
              <w:rPr>
                <w:rFonts w:ascii="David" w:hAnsi="David"/>
                <w:b/>
                <w:bCs/>
                <w:sz w:val="28"/>
                <w:szCs w:val="28"/>
                <w:rtl/>
              </w:rPr>
            </w:pPr>
          </w:p>
        </w:tc>
        <w:tc>
          <w:tcPr>
            <w:tcW w:w="7875" w:type="dxa"/>
            <w:gridSpan w:val="4"/>
            <w:tcBorders>
              <w:top w:val="nil"/>
              <w:left w:val="nil"/>
              <w:bottom w:val="nil"/>
              <w:right w:val="nil"/>
            </w:tcBorders>
            <w:shd w:val="clear" w:color="auto" w:fill="auto"/>
          </w:tcPr>
          <w:p w14:paraId="00908665" w14:textId="77777777" w:rsidR="00210FE7" w:rsidRPr="00CE5912" w:rsidRDefault="00210FE7" w:rsidP="00210FE7">
            <w:pPr>
              <w:jc w:val="center"/>
              <w:rPr>
                <w:rFonts w:ascii="David" w:hAnsi="David"/>
                <w:b/>
                <w:bCs/>
                <w:sz w:val="28"/>
                <w:szCs w:val="28"/>
                <w:rtl/>
              </w:rPr>
            </w:pPr>
          </w:p>
          <w:p w14:paraId="43808883" w14:textId="77777777" w:rsidR="00210FE7" w:rsidRPr="00CE5912" w:rsidRDefault="00210FE7" w:rsidP="00210FE7">
            <w:pPr>
              <w:jc w:val="center"/>
              <w:rPr>
                <w:rFonts w:ascii="David" w:hAnsi="David"/>
                <w:b/>
                <w:bCs/>
                <w:sz w:val="28"/>
                <w:szCs w:val="28"/>
                <w:rtl/>
              </w:rPr>
            </w:pPr>
            <w:r w:rsidRPr="00CE5912">
              <w:rPr>
                <w:rFonts w:ascii="David" w:hAnsi="David"/>
                <w:b/>
                <w:bCs/>
                <w:sz w:val="28"/>
                <w:szCs w:val="28"/>
                <w:rtl/>
              </w:rPr>
              <w:t>נגד</w:t>
            </w:r>
          </w:p>
          <w:p w14:paraId="3501EFCB" w14:textId="77777777" w:rsidR="00210FE7" w:rsidRPr="00CE5912" w:rsidRDefault="00210FE7" w:rsidP="00210FE7">
            <w:pPr>
              <w:jc w:val="both"/>
              <w:rPr>
                <w:rFonts w:ascii="David" w:hAnsi="David"/>
                <w:b/>
                <w:bCs/>
                <w:sz w:val="28"/>
                <w:szCs w:val="28"/>
              </w:rPr>
            </w:pPr>
          </w:p>
        </w:tc>
      </w:tr>
      <w:tr w:rsidR="00210FE7" w:rsidRPr="00CE5912" w14:paraId="7C0E7D43" w14:textId="77777777" w:rsidTr="001C6C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4364606A" w14:textId="77777777" w:rsidR="00210FE7" w:rsidRPr="00CE5912" w:rsidRDefault="00210FE7" w:rsidP="009B2511">
            <w:pPr>
              <w:rPr>
                <w:rFonts w:ascii="David" w:hAnsi="David"/>
                <w:b/>
                <w:bCs/>
                <w:sz w:val="28"/>
                <w:szCs w:val="28"/>
                <w:rtl/>
              </w:rPr>
            </w:pPr>
          </w:p>
        </w:tc>
        <w:tc>
          <w:tcPr>
            <w:tcW w:w="3211" w:type="dxa"/>
            <w:tcBorders>
              <w:top w:val="nil"/>
              <w:left w:val="nil"/>
              <w:bottom w:val="nil"/>
              <w:right w:val="nil"/>
            </w:tcBorders>
            <w:shd w:val="clear" w:color="auto" w:fill="auto"/>
          </w:tcPr>
          <w:p w14:paraId="7CD39779" w14:textId="77777777" w:rsidR="00210FE7" w:rsidRPr="00CE5912" w:rsidRDefault="00210FE7" w:rsidP="009B2511">
            <w:pPr>
              <w:rPr>
                <w:rFonts w:ascii="Arial" w:hAnsi="Arial"/>
                <w:b/>
                <w:bCs/>
                <w:sz w:val="28"/>
                <w:szCs w:val="28"/>
                <w:rtl/>
              </w:rPr>
            </w:pPr>
            <w:r w:rsidRPr="00CE5912">
              <w:rPr>
                <w:rFonts w:ascii="Arial" w:hAnsi="Arial"/>
                <w:b/>
                <w:bCs/>
                <w:sz w:val="28"/>
                <w:szCs w:val="28"/>
                <w:rtl/>
              </w:rPr>
              <w:t>הנאשם</w:t>
            </w:r>
          </w:p>
        </w:tc>
        <w:tc>
          <w:tcPr>
            <w:tcW w:w="4664" w:type="dxa"/>
            <w:gridSpan w:val="3"/>
            <w:tcBorders>
              <w:top w:val="nil"/>
              <w:left w:val="nil"/>
              <w:bottom w:val="nil"/>
              <w:right w:val="nil"/>
            </w:tcBorders>
            <w:shd w:val="clear" w:color="auto" w:fill="auto"/>
            <w:vAlign w:val="center"/>
          </w:tcPr>
          <w:p w14:paraId="5C66FC69" w14:textId="77777777" w:rsidR="00210FE7" w:rsidRPr="00CE5912" w:rsidRDefault="00210FE7" w:rsidP="00210FE7">
            <w:pPr>
              <w:suppressLineNumbers/>
              <w:rPr>
                <w:rFonts w:ascii="Arial" w:hAnsi="Arial"/>
                <w:b/>
                <w:bCs/>
                <w:sz w:val="28"/>
                <w:szCs w:val="28"/>
                <w:rtl/>
              </w:rPr>
            </w:pPr>
            <w:r w:rsidRPr="00CE5912">
              <w:rPr>
                <w:rFonts w:ascii="Arial" w:hAnsi="Arial"/>
                <w:b/>
                <w:bCs/>
                <w:sz w:val="28"/>
                <w:szCs w:val="28"/>
                <w:rtl/>
              </w:rPr>
              <w:t>מאיר קראמר</w:t>
            </w:r>
            <w:r w:rsidRPr="00CE5912">
              <w:rPr>
                <w:rFonts w:ascii="Arial" w:hAnsi="Arial" w:hint="cs"/>
                <w:b/>
                <w:bCs/>
                <w:sz w:val="28"/>
                <w:szCs w:val="28"/>
                <w:rtl/>
              </w:rPr>
              <w:t xml:space="preserve"> </w:t>
            </w:r>
          </w:p>
          <w:p w14:paraId="75EE20EE" w14:textId="77777777" w:rsidR="00210FE7" w:rsidRPr="00CE5912" w:rsidRDefault="00210FE7" w:rsidP="00210FE7">
            <w:pPr>
              <w:suppressLineNumbers/>
              <w:rPr>
                <w:b/>
                <w:bCs/>
                <w:sz w:val="28"/>
                <w:szCs w:val="28"/>
              </w:rPr>
            </w:pPr>
            <w:r w:rsidRPr="00CE5912">
              <w:rPr>
                <w:rFonts w:ascii="Arial" w:hAnsi="Arial"/>
                <w:b/>
                <w:bCs/>
                <w:sz w:val="28"/>
                <w:szCs w:val="28"/>
                <w:rtl/>
              </w:rPr>
              <w:t>ע"י ב"כ עוה"ד</w:t>
            </w:r>
            <w:r w:rsidRPr="00CE5912">
              <w:rPr>
                <w:rFonts w:ascii="Arial" w:hAnsi="Arial" w:hint="cs"/>
                <w:b/>
                <w:bCs/>
                <w:sz w:val="28"/>
                <w:szCs w:val="28"/>
                <w:rtl/>
              </w:rPr>
              <w:t xml:space="preserve"> שלום בן שבת</w:t>
            </w:r>
          </w:p>
          <w:p w14:paraId="4B725407" w14:textId="77777777" w:rsidR="00210FE7" w:rsidRPr="00CE5912" w:rsidRDefault="00210FE7" w:rsidP="009B2511">
            <w:pPr>
              <w:rPr>
                <w:rFonts w:ascii="David" w:hAnsi="David"/>
                <w:b/>
                <w:bCs/>
                <w:sz w:val="28"/>
                <w:szCs w:val="28"/>
              </w:rPr>
            </w:pPr>
          </w:p>
        </w:tc>
      </w:tr>
    </w:tbl>
    <w:p w14:paraId="52E862AF" w14:textId="77777777" w:rsidR="001C6CD3" w:rsidRPr="001C6CD3" w:rsidRDefault="001C6CD3" w:rsidP="001C6CD3">
      <w:pPr>
        <w:spacing w:before="120" w:after="120" w:line="240" w:lineRule="exact"/>
        <w:ind w:left="283" w:hanging="283"/>
        <w:jc w:val="both"/>
        <w:rPr>
          <w:rFonts w:ascii="FrankRuehl" w:hAnsi="FrankRuehl" w:cs="FrankRuehl"/>
          <w:rtl/>
        </w:rPr>
      </w:pPr>
    </w:p>
    <w:p w14:paraId="381EAA6B" w14:textId="77777777" w:rsidR="00896E34" w:rsidRPr="00896E34" w:rsidRDefault="00896E34" w:rsidP="00896E34">
      <w:pPr>
        <w:spacing w:before="120" w:after="120" w:line="240" w:lineRule="exact"/>
        <w:ind w:left="283" w:hanging="283"/>
        <w:jc w:val="both"/>
        <w:rPr>
          <w:rFonts w:ascii="FrankRuehl" w:hAnsi="FrankRuehl" w:cs="FrankRuehl"/>
          <w:rtl/>
        </w:rPr>
      </w:pPr>
    </w:p>
    <w:p w14:paraId="0B7C925B" w14:textId="77777777" w:rsidR="004D06A1" w:rsidRDefault="004D06A1" w:rsidP="004D06A1">
      <w:pPr>
        <w:rPr>
          <w:sz w:val="26"/>
          <w:szCs w:val="26"/>
          <w:rtl/>
        </w:rPr>
      </w:pPr>
      <w:bookmarkStart w:id="3" w:name="LawTable"/>
      <w:bookmarkEnd w:id="3"/>
    </w:p>
    <w:p w14:paraId="45076B79" w14:textId="77777777" w:rsidR="004D06A1" w:rsidRPr="004D06A1" w:rsidRDefault="004D06A1" w:rsidP="004D06A1">
      <w:pPr>
        <w:spacing w:before="120" w:after="120" w:line="240" w:lineRule="exact"/>
        <w:ind w:left="283" w:hanging="283"/>
        <w:jc w:val="both"/>
        <w:rPr>
          <w:rFonts w:ascii="FrankRuehl" w:hAnsi="FrankRuehl" w:cs="FrankRuehl"/>
          <w:rtl/>
        </w:rPr>
      </w:pPr>
    </w:p>
    <w:p w14:paraId="48B2E68F" w14:textId="77777777" w:rsidR="004D06A1" w:rsidRPr="004D06A1" w:rsidRDefault="004D06A1" w:rsidP="004D06A1">
      <w:pPr>
        <w:spacing w:before="120" w:after="120" w:line="240" w:lineRule="exact"/>
        <w:ind w:left="283" w:hanging="283"/>
        <w:jc w:val="both"/>
        <w:rPr>
          <w:rFonts w:ascii="FrankRuehl" w:hAnsi="FrankRuehl" w:cs="FrankRuehl"/>
          <w:rtl/>
        </w:rPr>
      </w:pPr>
    </w:p>
    <w:p w14:paraId="1243E17B" w14:textId="77777777" w:rsidR="004D06A1" w:rsidRPr="004D06A1" w:rsidRDefault="004D06A1" w:rsidP="004D06A1">
      <w:pPr>
        <w:spacing w:before="120" w:after="120" w:line="240" w:lineRule="exact"/>
        <w:ind w:left="283" w:hanging="283"/>
        <w:jc w:val="both"/>
        <w:rPr>
          <w:rFonts w:ascii="FrankRuehl" w:hAnsi="FrankRuehl" w:cs="FrankRuehl"/>
          <w:rtl/>
        </w:rPr>
      </w:pPr>
      <w:r w:rsidRPr="004D06A1">
        <w:rPr>
          <w:rFonts w:ascii="FrankRuehl" w:hAnsi="FrankRuehl" w:cs="FrankRuehl"/>
          <w:rtl/>
        </w:rPr>
        <w:t xml:space="preserve">חקיקה שאוזכרה: </w:t>
      </w:r>
    </w:p>
    <w:p w14:paraId="512DE3E1" w14:textId="77777777" w:rsidR="004D06A1" w:rsidRPr="004D06A1" w:rsidRDefault="004D06A1" w:rsidP="004D06A1">
      <w:pPr>
        <w:spacing w:before="120" w:after="120" w:line="240" w:lineRule="exact"/>
        <w:ind w:left="283" w:hanging="283"/>
        <w:jc w:val="both"/>
        <w:rPr>
          <w:rFonts w:ascii="FrankRuehl" w:hAnsi="FrankRuehl" w:cs="FrankRuehl"/>
          <w:rtl/>
        </w:rPr>
      </w:pPr>
      <w:hyperlink r:id="rId7" w:history="1">
        <w:r w:rsidRPr="004D06A1">
          <w:rPr>
            <w:rFonts w:ascii="FrankRuehl" w:hAnsi="FrankRuehl" w:cs="FrankRuehl"/>
            <w:color w:val="0000FF"/>
            <w:rtl/>
          </w:rPr>
          <w:t>פקודת הסמים המסוכנים [נוסח חדש], תשל"ג-1973</w:t>
        </w:r>
      </w:hyperlink>
      <w:r w:rsidRPr="004D06A1">
        <w:rPr>
          <w:rFonts w:ascii="FrankRuehl" w:hAnsi="FrankRuehl" w:cs="FrankRuehl"/>
          <w:rtl/>
        </w:rPr>
        <w:t xml:space="preserve">: סע'  </w:t>
      </w:r>
      <w:hyperlink r:id="rId8" w:history="1">
        <w:r w:rsidRPr="004D06A1">
          <w:rPr>
            <w:rFonts w:ascii="FrankRuehl" w:hAnsi="FrankRuehl" w:cs="FrankRuehl"/>
            <w:color w:val="0000FF"/>
            <w:rtl/>
          </w:rPr>
          <w:t>7.א.</w:t>
        </w:r>
      </w:hyperlink>
      <w:r w:rsidRPr="004D06A1">
        <w:rPr>
          <w:rFonts w:ascii="FrankRuehl" w:hAnsi="FrankRuehl" w:cs="FrankRuehl"/>
          <w:rtl/>
        </w:rPr>
        <w:t xml:space="preserve">, </w:t>
      </w:r>
      <w:hyperlink r:id="rId9" w:history="1">
        <w:r w:rsidRPr="004D06A1">
          <w:rPr>
            <w:rFonts w:ascii="FrankRuehl" w:hAnsi="FrankRuehl" w:cs="FrankRuehl"/>
            <w:color w:val="0000FF"/>
            <w:rtl/>
          </w:rPr>
          <w:t>7.ג</w:t>
        </w:r>
      </w:hyperlink>
      <w:r w:rsidRPr="004D06A1">
        <w:rPr>
          <w:rFonts w:ascii="FrankRuehl" w:hAnsi="FrankRuehl" w:cs="FrankRuehl"/>
          <w:rtl/>
        </w:rPr>
        <w:t xml:space="preserve">, </w:t>
      </w:r>
      <w:hyperlink r:id="rId10" w:history="1">
        <w:r w:rsidRPr="004D06A1">
          <w:rPr>
            <w:rFonts w:ascii="FrankRuehl" w:hAnsi="FrankRuehl" w:cs="FrankRuehl"/>
            <w:color w:val="0000FF"/>
            <w:rtl/>
          </w:rPr>
          <w:t>13</w:t>
        </w:r>
      </w:hyperlink>
      <w:r w:rsidRPr="004D06A1">
        <w:rPr>
          <w:rFonts w:ascii="FrankRuehl" w:hAnsi="FrankRuehl" w:cs="FrankRuehl"/>
          <w:rtl/>
        </w:rPr>
        <w:t xml:space="preserve">, </w:t>
      </w:r>
      <w:hyperlink r:id="rId11" w:history="1">
        <w:r w:rsidRPr="004D06A1">
          <w:rPr>
            <w:rFonts w:ascii="FrankRuehl" w:hAnsi="FrankRuehl" w:cs="FrankRuehl"/>
            <w:color w:val="0000FF"/>
            <w:rtl/>
          </w:rPr>
          <w:t>19.א</w:t>
        </w:r>
      </w:hyperlink>
    </w:p>
    <w:p w14:paraId="688C116B" w14:textId="77777777" w:rsidR="004D06A1" w:rsidRPr="004D06A1" w:rsidRDefault="004D06A1" w:rsidP="004D06A1">
      <w:pPr>
        <w:rPr>
          <w:sz w:val="26"/>
          <w:szCs w:val="26"/>
          <w:rtl/>
        </w:rPr>
      </w:pPr>
      <w:bookmarkStart w:id="4" w:name="LawTable_End"/>
      <w:bookmarkEnd w:id="4"/>
    </w:p>
    <w:p w14:paraId="6085182D" w14:textId="77777777" w:rsidR="001C6CD3" w:rsidRPr="00896E34" w:rsidRDefault="001C6CD3" w:rsidP="00896E34">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10FE7" w14:paraId="1CBE2138" w14:textId="77777777" w:rsidTr="00210FE7">
        <w:trPr>
          <w:trHeight w:val="355"/>
          <w:jc w:val="center"/>
        </w:trPr>
        <w:tc>
          <w:tcPr>
            <w:tcW w:w="8820" w:type="dxa"/>
            <w:tcBorders>
              <w:top w:val="nil"/>
              <w:left w:val="nil"/>
              <w:bottom w:val="nil"/>
              <w:right w:val="nil"/>
            </w:tcBorders>
            <w:shd w:val="clear" w:color="auto" w:fill="auto"/>
          </w:tcPr>
          <w:p w14:paraId="6CFD5C2C" w14:textId="77777777" w:rsidR="00CE5912" w:rsidRPr="00CE5912" w:rsidRDefault="00CE5912" w:rsidP="00CE5912">
            <w:pPr>
              <w:jc w:val="center"/>
              <w:rPr>
                <w:rFonts w:ascii="David" w:hAnsi="David"/>
                <w:b/>
                <w:bCs/>
                <w:sz w:val="32"/>
                <w:szCs w:val="32"/>
                <w:u w:val="single"/>
                <w:rtl/>
              </w:rPr>
            </w:pPr>
            <w:bookmarkStart w:id="5" w:name="PsakDin" w:colFirst="0" w:colLast="0"/>
            <w:bookmarkEnd w:id="0"/>
            <w:r w:rsidRPr="00CE5912">
              <w:rPr>
                <w:rFonts w:ascii="David" w:hAnsi="David"/>
                <w:b/>
                <w:bCs/>
                <w:sz w:val="32"/>
                <w:szCs w:val="32"/>
                <w:u w:val="single"/>
                <w:rtl/>
              </w:rPr>
              <w:t>גזר דין</w:t>
            </w:r>
          </w:p>
          <w:p w14:paraId="4EC5FE6B" w14:textId="77777777" w:rsidR="00210FE7" w:rsidRPr="00CE5912" w:rsidRDefault="00210FE7" w:rsidP="00CE5912">
            <w:pPr>
              <w:jc w:val="center"/>
              <w:rPr>
                <w:rFonts w:ascii="David" w:hAnsi="David"/>
                <w:bCs/>
                <w:sz w:val="32"/>
                <w:szCs w:val="32"/>
                <w:u w:val="single"/>
                <w:rtl/>
              </w:rPr>
            </w:pPr>
          </w:p>
        </w:tc>
      </w:tr>
      <w:bookmarkEnd w:id="5"/>
    </w:tbl>
    <w:p w14:paraId="450D2CB9" w14:textId="77777777" w:rsidR="00210FE7" w:rsidRPr="000F2247" w:rsidRDefault="00210FE7" w:rsidP="00210FE7">
      <w:pPr>
        <w:rPr>
          <w:rFonts w:ascii="Arial" w:hAnsi="Arial"/>
          <w:b/>
          <w:bCs/>
          <w:sz w:val="26"/>
          <w:szCs w:val="26"/>
          <w:rtl/>
        </w:rPr>
      </w:pPr>
    </w:p>
    <w:p w14:paraId="257984B5" w14:textId="77777777" w:rsidR="00210FE7" w:rsidRDefault="00210FE7" w:rsidP="00210FE7">
      <w:pPr>
        <w:spacing w:after="160" w:line="252" w:lineRule="auto"/>
        <w:rPr>
          <w:rFonts w:ascii="David" w:hAnsi="David"/>
          <w:b/>
          <w:bCs/>
          <w:sz w:val="26"/>
          <w:szCs w:val="26"/>
          <w:u w:val="single"/>
        </w:rPr>
      </w:pPr>
      <w:r>
        <w:rPr>
          <w:rFonts w:ascii="David" w:hAnsi="David"/>
          <w:b/>
          <w:bCs/>
          <w:sz w:val="26"/>
          <w:szCs w:val="26"/>
          <w:u w:val="single"/>
          <w:rtl/>
        </w:rPr>
        <w:t>כתב האישום</w:t>
      </w:r>
      <w:r>
        <w:rPr>
          <w:rFonts w:ascii="David" w:hAnsi="David" w:hint="cs"/>
          <w:b/>
          <w:bCs/>
          <w:sz w:val="26"/>
          <w:szCs w:val="26"/>
          <w:u w:val="single"/>
          <w:rtl/>
        </w:rPr>
        <w:t xml:space="preserve"> המתוקן</w:t>
      </w:r>
    </w:p>
    <w:p w14:paraId="41E4E2E1" w14:textId="77777777" w:rsidR="00210FE7" w:rsidRDefault="00210FE7" w:rsidP="00210FE7">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 xml:space="preserve">הנאשם הורשע על פי הודאתו </w:t>
      </w:r>
      <w:r>
        <w:rPr>
          <w:rFonts w:ascii="David" w:hAnsi="David" w:hint="cs"/>
          <w:sz w:val="26"/>
          <w:szCs w:val="26"/>
          <w:rtl/>
        </w:rPr>
        <w:t xml:space="preserve">בכתב אישום מתוקן בביצוע עבירה של </w:t>
      </w:r>
      <w:r w:rsidRPr="00671857">
        <w:rPr>
          <w:rFonts w:ascii="David" w:hAnsi="David" w:hint="cs"/>
          <w:b/>
          <w:bCs/>
          <w:sz w:val="26"/>
          <w:szCs w:val="26"/>
          <w:rtl/>
        </w:rPr>
        <w:t>החזקת סם שלא לצריכה עצמית</w:t>
      </w:r>
      <w:r>
        <w:rPr>
          <w:rFonts w:ascii="David" w:hAnsi="David" w:hint="cs"/>
          <w:sz w:val="26"/>
          <w:szCs w:val="26"/>
          <w:rtl/>
        </w:rPr>
        <w:t xml:space="preserve">, לפי סעיפים </w:t>
      </w:r>
      <w:hyperlink r:id="rId12" w:history="1">
        <w:r w:rsidR="001C6CD3" w:rsidRPr="001C6CD3">
          <w:rPr>
            <w:rStyle w:val="Hyperlink"/>
            <w:rFonts w:ascii="David" w:hAnsi="David"/>
            <w:sz w:val="26"/>
            <w:szCs w:val="26"/>
            <w:rtl/>
          </w:rPr>
          <w:t>7(א)(ג)</w:t>
        </w:r>
      </w:hyperlink>
      <w:r>
        <w:rPr>
          <w:rFonts w:ascii="David" w:hAnsi="David" w:hint="cs"/>
          <w:sz w:val="26"/>
          <w:szCs w:val="26"/>
          <w:rtl/>
        </w:rPr>
        <w:t xml:space="preserve"> רישא </w:t>
      </w:r>
      <w:r w:rsidR="001C6CD3" w:rsidRPr="001C6CD3">
        <w:rPr>
          <w:rFonts w:ascii="David" w:hAnsi="David" w:hint="eastAsia"/>
          <w:sz w:val="26"/>
          <w:szCs w:val="26"/>
          <w:rtl/>
        </w:rPr>
        <w:t>לפקודת</w:t>
      </w:r>
      <w:r w:rsidR="001C6CD3" w:rsidRPr="001C6CD3">
        <w:rPr>
          <w:rFonts w:ascii="David" w:hAnsi="David"/>
          <w:sz w:val="26"/>
          <w:szCs w:val="26"/>
          <w:rtl/>
        </w:rPr>
        <w:t xml:space="preserve"> הסמים</w:t>
      </w:r>
      <w:r>
        <w:rPr>
          <w:rFonts w:ascii="David" w:hAnsi="David" w:hint="cs"/>
          <w:sz w:val="26"/>
          <w:szCs w:val="26"/>
          <w:rtl/>
        </w:rPr>
        <w:t xml:space="preserve">, וכן בשלוש עבירות של </w:t>
      </w:r>
      <w:r w:rsidRPr="00671857">
        <w:rPr>
          <w:rFonts w:ascii="David" w:hAnsi="David" w:hint="cs"/>
          <w:b/>
          <w:bCs/>
          <w:sz w:val="26"/>
          <w:szCs w:val="26"/>
          <w:rtl/>
        </w:rPr>
        <w:t>סחר בסמים</w:t>
      </w:r>
      <w:r>
        <w:rPr>
          <w:rFonts w:ascii="David" w:hAnsi="David" w:hint="cs"/>
          <w:sz w:val="26"/>
          <w:szCs w:val="26"/>
          <w:rtl/>
        </w:rPr>
        <w:t xml:space="preserve">, לפי סעיפים </w:t>
      </w:r>
      <w:hyperlink r:id="rId13" w:history="1">
        <w:r w:rsidR="001C6CD3" w:rsidRPr="001C6CD3">
          <w:rPr>
            <w:rStyle w:val="Hyperlink"/>
            <w:rFonts w:ascii="David" w:hAnsi="David"/>
            <w:sz w:val="26"/>
            <w:szCs w:val="26"/>
            <w:rtl/>
          </w:rPr>
          <w:t>13 ו-19א</w:t>
        </w:r>
      </w:hyperlink>
      <w:r>
        <w:rPr>
          <w:rFonts w:ascii="David" w:hAnsi="David" w:hint="cs"/>
          <w:sz w:val="26"/>
          <w:szCs w:val="26"/>
          <w:rtl/>
        </w:rPr>
        <w:t xml:space="preserve"> לפקודת הסמים.</w:t>
      </w:r>
    </w:p>
    <w:p w14:paraId="04E0A463" w14:textId="77777777" w:rsidR="00210FE7" w:rsidRDefault="00210FE7" w:rsidP="00210FE7">
      <w:pPr>
        <w:pStyle w:val="a9"/>
        <w:numPr>
          <w:ilvl w:val="0"/>
          <w:numId w:val="4"/>
        </w:numPr>
        <w:spacing w:after="160" w:line="360" w:lineRule="auto"/>
        <w:jc w:val="both"/>
        <w:rPr>
          <w:rFonts w:ascii="David" w:hAnsi="David"/>
          <w:sz w:val="26"/>
          <w:szCs w:val="26"/>
        </w:rPr>
      </w:pPr>
      <w:bookmarkStart w:id="7" w:name="ABSTRACT_END"/>
      <w:bookmarkEnd w:id="7"/>
      <w:r w:rsidRPr="003719C7">
        <w:rPr>
          <w:rFonts w:ascii="David" w:hAnsi="David" w:hint="cs"/>
          <w:b/>
          <w:bCs/>
          <w:sz w:val="26"/>
          <w:szCs w:val="26"/>
          <w:rtl/>
        </w:rPr>
        <w:t>מהאישום הראשון</w:t>
      </w:r>
      <w:r>
        <w:rPr>
          <w:rFonts w:ascii="David" w:hAnsi="David" w:hint="cs"/>
          <w:sz w:val="26"/>
          <w:szCs w:val="26"/>
          <w:rtl/>
        </w:rPr>
        <w:t xml:space="preserve"> עולה, כי ביום 15.12.2022 בוצע חיפוש על-פי צו ברכבו של הנאשם, ובמסגרתו נתפסו ברכב סם מסוג קנביס במשקל 149.16 גרם נטו ארוז ב-38 שקיות חלוקה, כסף מזומן בסכום של 1,880 ₪ ושני טלפונים ניידים. </w:t>
      </w:r>
    </w:p>
    <w:p w14:paraId="390F2ADA" w14:textId="77777777" w:rsidR="00210FE7" w:rsidRDefault="00210FE7" w:rsidP="00210FE7">
      <w:pPr>
        <w:pStyle w:val="a9"/>
        <w:numPr>
          <w:ilvl w:val="0"/>
          <w:numId w:val="4"/>
        </w:numPr>
        <w:spacing w:after="160" w:line="360" w:lineRule="auto"/>
        <w:jc w:val="both"/>
        <w:rPr>
          <w:rFonts w:ascii="David" w:hAnsi="David"/>
          <w:sz w:val="26"/>
          <w:szCs w:val="26"/>
        </w:rPr>
      </w:pPr>
      <w:r w:rsidRPr="003719C7">
        <w:rPr>
          <w:rFonts w:ascii="David" w:hAnsi="David" w:hint="cs"/>
          <w:b/>
          <w:bCs/>
          <w:sz w:val="26"/>
          <w:szCs w:val="26"/>
          <w:rtl/>
        </w:rPr>
        <w:t>מהאישום השלישי</w:t>
      </w:r>
      <w:r>
        <w:rPr>
          <w:rFonts w:ascii="David" w:hAnsi="David" w:hint="cs"/>
          <w:sz w:val="26"/>
          <w:szCs w:val="26"/>
          <w:rtl/>
        </w:rPr>
        <w:t xml:space="preserve"> עולה, כי ביום 15.12.2022 הנאשם מכר סם מסוג קנביס במשקל 5 גרם תמורת 300 ₪ לקטינה, כאשר העסקה תואמה באמצעות יישומון הטלגרם.</w:t>
      </w:r>
    </w:p>
    <w:p w14:paraId="15EBD294" w14:textId="77777777" w:rsidR="00210FE7" w:rsidRDefault="00210FE7" w:rsidP="00210FE7">
      <w:pPr>
        <w:pStyle w:val="a9"/>
        <w:numPr>
          <w:ilvl w:val="0"/>
          <w:numId w:val="4"/>
        </w:numPr>
        <w:spacing w:after="160" w:line="360" w:lineRule="auto"/>
        <w:jc w:val="both"/>
        <w:rPr>
          <w:rFonts w:ascii="David" w:hAnsi="David"/>
          <w:sz w:val="26"/>
          <w:szCs w:val="26"/>
        </w:rPr>
      </w:pPr>
      <w:r w:rsidRPr="003719C7">
        <w:rPr>
          <w:rFonts w:ascii="David" w:hAnsi="David" w:hint="cs"/>
          <w:b/>
          <w:bCs/>
          <w:sz w:val="26"/>
          <w:szCs w:val="26"/>
          <w:rtl/>
        </w:rPr>
        <w:lastRenderedPageBreak/>
        <w:t>מהאישום הרביעי</w:t>
      </w:r>
      <w:r>
        <w:rPr>
          <w:rFonts w:ascii="David" w:hAnsi="David" w:hint="cs"/>
          <w:sz w:val="26"/>
          <w:szCs w:val="26"/>
          <w:rtl/>
        </w:rPr>
        <w:t xml:space="preserve"> עולה, כי ביום 29.11.2022 מכר הנאשם לאחרת קנביס במשקל 20 גרם תמורת 850 ₪, כשהעסקה תואמה בטלגרם.</w:t>
      </w:r>
    </w:p>
    <w:p w14:paraId="12FA2207" w14:textId="77777777" w:rsidR="00210FE7" w:rsidRDefault="00210FE7" w:rsidP="00210FE7">
      <w:pPr>
        <w:spacing w:after="160" w:line="360" w:lineRule="auto"/>
        <w:jc w:val="both"/>
        <w:rPr>
          <w:rFonts w:ascii="David" w:hAnsi="David"/>
          <w:b/>
          <w:bCs/>
          <w:sz w:val="26"/>
          <w:szCs w:val="26"/>
          <w:u w:val="single"/>
        </w:rPr>
      </w:pPr>
    </w:p>
    <w:p w14:paraId="20F82B1B" w14:textId="77777777" w:rsidR="00210FE7" w:rsidRDefault="00210FE7" w:rsidP="00210FE7">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14:paraId="6B9A6600" w14:textId="77777777" w:rsidR="00210FE7" w:rsidRDefault="00210FE7" w:rsidP="00210FE7">
      <w:pPr>
        <w:pStyle w:val="a9"/>
        <w:numPr>
          <w:ilvl w:val="0"/>
          <w:numId w:val="2"/>
        </w:numPr>
        <w:spacing w:after="160" w:line="360" w:lineRule="auto"/>
        <w:jc w:val="both"/>
        <w:rPr>
          <w:rFonts w:ascii="David" w:hAnsi="David"/>
          <w:sz w:val="26"/>
          <w:szCs w:val="26"/>
        </w:rPr>
      </w:pPr>
      <w:r>
        <w:rPr>
          <w:rFonts w:ascii="David" w:hAnsi="David" w:hint="cs"/>
          <w:sz w:val="26"/>
          <w:szCs w:val="26"/>
          <w:rtl/>
        </w:rPr>
        <w:t xml:space="preserve">הנאשם נעצר ביום 15.12.2022 ושוחרר למעצר בית מלא במסגרת מעצר הימים ביום 23.12.2022 (החלטה שאושרה בבית המשפט המחוזי </w:t>
      </w:r>
      <w:r>
        <w:rPr>
          <w:rFonts w:ascii="David" w:hAnsi="David"/>
          <w:sz w:val="26"/>
          <w:szCs w:val="26"/>
          <w:rtl/>
        </w:rPr>
        <w:t>–</w:t>
      </w:r>
      <w:r>
        <w:rPr>
          <w:rFonts w:ascii="David" w:hAnsi="David" w:hint="cs"/>
          <w:sz w:val="26"/>
          <w:szCs w:val="26"/>
          <w:rtl/>
        </w:rPr>
        <w:t xml:space="preserve"> </w:t>
      </w:r>
      <w:hyperlink r:id="rId14" w:history="1">
        <w:r w:rsidR="00CE5912" w:rsidRPr="00CE5912">
          <w:rPr>
            <w:rFonts w:ascii="David" w:hAnsi="David"/>
            <w:color w:val="0000FF"/>
            <w:sz w:val="26"/>
            <w:szCs w:val="26"/>
            <w:u w:val="single"/>
            <w:rtl/>
          </w:rPr>
          <w:t>עמ"י 49687-12-22</w:t>
        </w:r>
      </w:hyperlink>
      <w:r>
        <w:rPr>
          <w:rFonts w:ascii="David" w:hAnsi="David" w:hint="cs"/>
          <w:sz w:val="26"/>
          <w:szCs w:val="26"/>
          <w:rtl/>
        </w:rPr>
        <w:t>). במסגרת הגשת כתב האישום והגשת בקשה להותרת התנאים המגבילים על כנם עד לתום ההליכים, נותר הנאשם במעצר בית ממש, אם כי התנאים הוקלו מעת לעת, עד שאלו בוטלו בחודש נובמבר 2023.</w:t>
      </w:r>
    </w:p>
    <w:p w14:paraId="1D47FAE0" w14:textId="77777777" w:rsidR="00210FE7" w:rsidRDefault="00210FE7" w:rsidP="00210FE7">
      <w:pPr>
        <w:spacing w:after="160" w:line="360" w:lineRule="auto"/>
        <w:jc w:val="both"/>
        <w:rPr>
          <w:rFonts w:ascii="David" w:hAnsi="David"/>
          <w:b/>
          <w:bCs/>
          <w:sz w:val="26"/>
          <w:szCs w:val="26"/>
          <w:u w:val="single"/>
        </w:rPr>
      </w:pPr>
    </w:p>
    <w:p w14:paraId="6D701400" w14:textId="77777777" w:rsidR="00210FE7" w:rsidRDefault="00210FE7" w:rsidP="00210FE7">
      <w:pPr>
        <w:spacing w:after="160" w:line="360" w:lineRule="auto"/>
        <w:jc w:val="both"/>
        <w:rPr>
          <w:rFonts w:ascii="David" w:hAnsi="David"/>
          <w:b/>
          <w:bCs/>
          <w:sz w:val="26"/>
          <w:szCs w:val="26"/>
          <w:u w:val="single"/>
        </w:rPr>
      </w:pPr>
      <w:r>
        <w:rPr>
          <w:rFonts w:ascii="David" w:hAnsi="David"/>
          <w:b/>
          <w:bCs/>
          <w:sz w:val="26"/>
          <w:szCs w:val="26"/>
          <w:u w:val="single"/>
          <w:rtl/>
        </w:rPr>
        <w:t>תסקיר שירות המבחן</w:t>
      </w:r>
    </w:p>
    <w:p w14:paraId="7FBC3FC7" w14:textId="77777777" w:rsidR="00210FE7" w:rsidRDefault="00210FE7" w:rsidP="00210FE7">
      <w:pPr>
        <w:pStyle w:val="a9"/>
        <w:numPr>
          <w:ilvl w:val="0"/>
          <w:numId w:val="2"/>
        </w:numPr>
        <w:spacing w:after="160" w:line="360" w:lineRule="auto"/>
        <w:jc w:val="both"/>
        <w:rPr>
          <w:rFonts w:ascii="David" w:hAnsi="David"/>
          <w:sz w:val="26"/>
          <w:szCs w:val="26"/>
        </w:rPr>
      </w:pPr>
      <w:r>
        <w:rPr>
          <w:rFonts w:ascii="David" w:hAnsi="David"/>
          <w:sz w:val="26"/>
          <w:szCs w:val="26"/>
          <w:rtl/>
        </w:rPr>
        <w:t>מהתסקיר שהוגש בעניינו של הנאשם עולה</w:t>
      </w:r>
      <w:r>
        <w:rPr>
          <w:rFonts w:ascii="David" w:hAnsi="David" w:hint="cs"/>
          <w:sz w:val="26"/>
          <w:szCs w:val="26"/>
          <w:rtl/>
        </w:rPr>
        <w:t xml:space="preserve">, כי הנאשם כבן 21, רווק, מתגורר בבית הוריו. הנאשם משתייך לקהילה החרדית והוא למד במסגרות לימוד תואמות, אך חש מיצוי בהקשר זה, ולכן החל להיחשף לעולם שמחוץ לקהילתו. דרך חבריו, עמם התגורר, נחשף לעולם הסמים, והחל להשתמש בקנביס ולנהל אורח חיים שהצריך מימון, אותו מצא דרך הסחר בסמים. השירות עמד על פערי אורחות החיים שמנהל הנאשם לבין אלו המצופים ממנו בבית הוריו כרקע נוסף למעשים. הנאשם מסר כי לא הבין את השלכות מעשיו ואת המחירים שבצדם, והביע עליהם חרטה. הוא מסר בדיקות נקיות משרידי סם ושירות המבחן לא מצא כי הנאשם מתמודד עם בעיית התמכרות. הנאשם היה תחת צו פיקוח מעצרים במשך מספר חודשים, השתלב בטיפול קבוצתי ושיתף פעולה וחש מסופק מכך. הוא הביע נכונות להמשיך טיפול. שירות המבחן מצא כי מדובר בצעיר נורמטיבי שאישיותו טרם התגבשה אשר נכון להמשך לטיפול. על-כן בא בהמלצה טיפולית להטיל על הנאשם 300 שעות של"ץ וצו מבחן למשך 18 חודשים. </w:t>
      </w:r>
    </w:p>
    <w:p w14:paraId="73E7B831" w14:textId="77777777" w:rsidR="00210FE7" w:rsidRPr="00FE26E4" w:rsidRDefault="00210FE7" w:rsidP="00210FE7">
      <w:pPr>
        <w:spacing w:after="160" w:line="360" w:lineRule="auto"/>
        <w:jc w:val="both"/>
        <w:rPr>
          <w:rFonts w:ascii="David" w:hAnsi="David"/>
          <w:b/>
          <w:bCs/>
          <w:sz w:val="26"/>
          <w:szCs w:val="26"/>
          <w:u w:val="single"/>
          <w:rtl/>
        </w:rPr>
      </w:pPr>
    </w:p>
    <w:p w14:paraId="1B92163B" w14:textId="77777777" w:rsidR="00210FE7" w:rsidRDefault="00210FE7" w:rsidP="00210FE7">
      <w:pPr>
        <w:spacing w:after="160" w:line="360" w:lineRule="auto"/>
        <w:jc w:val="both"/>
        <w:rPr>
          <w:rFonts w:ascii="David" w:hAnsi="David"/>
          <w:b/>
          <w:bCs/>
          <w:sz w:val="26"/>
          <w:szCs w:val="26"/>
          <w:u w:val="single"/>
          <w:rtl/>
        </w:rPr>
      </w:pPr>
      <w:r>
        <w:rPr>
          <w:rFonts w:ascii="David" w:hAnsi="David"/>
          <w:b/>
          <w:bCs/>
          <w:sz w:val="26"/>
          <w:szCs w:val="26"/>
          <w:u w:val="single"/>
          <w:rtl/>
        </w:rPr>
        <w:t>חוות הדעת של הממונה על עבודות השירות</w:t>
      </w:r>
    </w:p>
    <w:p w14:paraId="4E6B9499" w14:textId="77777777" w:rsidR="00210FE7" w:rsidRDefault="00210FE7" w:rsidP="00210FE7">
      <w:pPr>
        <w:pStyle w:val="a9"/>
        <w:numPr>
          <w:ilvl w:val="0"/>
          <w:numId w:val="2"/>
        </w:numPr>
        <w:spacing w:after="160" w:line="360" w:lineRule="auto"/>
        <w:jc w:val="both"/>
        <w:rPr>
          <w:rFonts w:ascii="David" w:hAnsi="David"/>
          <w:sz w:val="26"/>
          <w:szCs w:val="26"/>
          <w:rtl/>
        </w:rPr>
      </w:pPr>
      <w:r>
        <w:rPr>
          <w:rFonts w:ascii="David" w:hAnsi="David"/>
          <w:sz w:val="26"/>
          <w:szCs w:val="26"/>
          <w:rtl/>
        </w:rPr>
        <w:t xml:space="preserve">הממונה הגיש חוות דעת על אודות כשירות הנאשם לבצע מאסר בעבודות שירות. מחוות הדעת עולה, כי </w:t>
      </w:r>
      <w:r>
        <w:rPr>
          <w:rFonts w:ascii="David" w:hAnsi="David" w:hint="cs"/>
          <w:sz w:val="26"/>
          <w:szCs w:val="26"/>
          <w:rtl/>
        </w:rPr>
        <w:t>הנאשם נמצא כשיר לבצע עבודות שירות בבית העלמין בסנהדריה החל מיום 30.11.2023.</w:t>
      </w:r>
    </w:p>
    <w:p w14:paraId="10309025" w14:textId="77777777" w:rsidR="00210FE7" w:rsidRDefault="00210FE7" w:rsidP="00210FE7">
      <w:pPr>
        <w:spacing w:after="160" w:line="360" w:lineRule="auto"/>
        <w:jc w:val="both"/>
        <w:rPr>
          <w:rFonts w:ascii="David" w:hAnsi="David"/>
          <w:sz w:val="26"/>
          <w:szCs w:val="26"/>
        </w:rPr>
      </w:pPr>
    </w:p>
    <w:p w14:paraId="321697C3" w14:textId="77777777" w:rsidR="00210FE7" w:rsidRDefault="00210FE7" w:rsidP="00210FE7">
      <w:pPr>
        <w:spacing w:after="160" w:line="360" w:lineRule="auto"/>
        <w:jc w:val="both"/>
        <w:rPr>
          <w:rFonts w:ascii="David" w:hAnsi="David"/>
          <w:b/>
          <w:bCs/>
          <w:sz w:val="26"/>
          <w:szCs w:val="26"/>
          <w:u w:val="single"/>
          <w:rtl/>
        </w:rPr>
      </w:pPr>
      <w:r>
        <w:rPr>
          <w:rFonts w:ascii="David" w:hAnsi="David"/>
          <w:b/>
          <w:bCs/>
          <w:sz w:val="26"/>
          <w:szCs w:val="26"/>
          <w:u w:val="single"/>
          <w:rtl/>
        </w:rPr>
        <w:t>טיעונים לעונש</w:t>
      </w:r>
    </w:p>
    <w:p w14:paraId="27C8CFC9" w14:textId="77777777" w:rsidR="00210FE7" w:rsidRPr="00FE26E4" w:rsidRDefault="00210FE7" w:rsidP="00210FE7">
      <w:pPr>
        <w:pStyle w:val="a9"/>
        <w:numPr>
          <w:ilvl w:val="0"/>
          <w:numId w:val="2"/>
        </w:numPr>
        <w:spacing w:after="160" w:line="360" w:lineRule="auto"/>
        <w:jc w:val="both"/>
        <w:rPr>
          <w:rFonts w:ascii="David" w:hAnsi="David"/>
          <w:sz w:val="26"/>
          <w:szCs w:val="26"/>
          <w:rtl/>
        </w:rPr>
      </w:pPr>
      <w:r w:rsidRPr="00FE26E4">
        <w:rPr>
          <w:rFonts w:ascii="David" w:hAnsi="David"/>
          <w:sz w:val="26"/>
          <w:szCs w:val="26"/>
          <w:rtl/>
        </w:rPr>
        <w:t xml:space="preserve">הצדדים לא הגיעו להסכמה עונשית. </w:t>
      </w:r>
      <w:r>
        <w:rPr>
          <w:rFonts w:ascii="David" w:hAnsi="David" w:hint="cs"/>
          <w:sz w:val="26"/>
          <w:szCs w:val="26"/>
          <w:rtl/>
        </w:rPr>
        <w:t xml:space="preserve">ב"כ המאשימה עתרה למתחמי עונש שונים לגבי כל אחת מן העבירות ובסופו של דבר עתרה להטיל על הנאשם עונש מאסר לריצוי בעבודות שירות למלוא התקופה וענישה נלווית. הסניגור מנגד ביקש להתחשב בנסיבותיו של הנאשם, בהיעדר עברו הפלילי, בתהליך שעבר ובנזקים שכבר נגרמו לו, ולכן ביקש לאמץ את המלצת שירות המבחן. </w:t>
      </w:r>
    </w:p>
    <w:p w14:paraId="5DD8117B" w14:textId="77777777" w:rsidR="00210FE7" w:rsidRDefault="00210FE7" w:rsidP="00210FE7">
      <w:pPr>
        <w:spacing w:after="160" w:line="360" w:lineRule="auto"/>
        <w:jc w:val="both"/>
        <w:rPr>
          <w:rFonts w:ascii="David" w:hAnsi="David"/>
          <w:b/>
          <w:bCs/>
          <w:sz w:val="26"/>
          <w:szCs w:val="26"/>
          <w:u w:val="single"/>
          <w:rtl/>
        </w:rPr>
      </w:pPr>
    </w:p>
    <w:p w14:paraId="4523961E" w14:textId="77777777" w:rsidR="00210FE7" w:rsidRDefault="00210FE7" w:rsidP="00210FE7">
      <w:pPr>
        <w:spacing w:after="160" w:line="360" w:lineRule="auto"/>
        <w:jc w:val="both"/>
        <w:rPr>
          <w:rFonts w:ascii="David" w:hAnsi="David"/>
          <w:b/>
          <w:bCs/>
          <w:sz w:val="26"/>
          <w:szCs w:val="26"/>
          <w:u w:val="single"/>
          <w:rtl/>
        </w:rPr>
      </w:pPr>
    </w:p>
    <w:p w14:paraId="0142CF19" w14:textId="77777777" w:rsidR="00210FE7" w:rsidRDefault="00210FE7" w:rsidP="00210FE7">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14:paraId="7B0FAF85" w14:textId="77777777" w:rsidR="00210FE7" w:rsidRDefault="00210FE7" w:rsidP="00210FE7">
      <w:pPr>
        <w:pStyle w:val="a9"/>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23CD7F6D" w14:textId="77777777" w:rsidR="00210FE7" w:rsidRDefault="00210FE7" w:rsidP="00210FE7">
      <w:pPr>
        <w:spacing w:after="160" w:line="360" w:lineRule="auto"/>
        <w:jc w:val="both"/>
        <w:rPr>
          <w:rFonts w:ascii="David" w:hAnsi="David"/>
          <w:b/>
          <w:bCs/>
          <w:sz w:val="26"/>
          <w:szCs w:val="26"/>
          <w:u w:val="single"/>
          <w:rtl/>
        </w:rPr>
      </w:pPr>
    </w:p>
    <w:p w14:paraId="1D9E2C3A" w14:textId="77777777" w:rsidR="00210FE7" w:rsidRDefault="00210FE7" w:rsidP="00210FE7">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לערך המוגן, </w:t>
      </w:r>
      <w:r>
        <w:rPr>
          <w:rFonts w:ascii="David" w:hAnsi="David"/>
          <w:sz w:val="26"/>
          <w:szCs w:val="26"/>
          <w:rtl/>
        </w:rPr>
        <w:t xml:space="preserve">העבירות אותן עבר הנאשם פוגעות בערך המוגן של </w:t>
      </w:r>
      <w:r>
        <w:rPr>
          <w:rFonts w:ascii="David" w:hAnsi="David" w:hint="cs"/>
          <w:sz w:val="26"/>
          <w:szCs w:val="26"/>
          <w:rtl/>
        </w:rPr>
        <w:t xml:space="preserve">שלום הציבור, בריאותו וביטחונו. מכירת סמים לכל דורש גם אם מדובר ב"סם קל" פוגעת בערכים המוגנים, ובנסיבות העניין הפגיעה בהם היא במידה בינונית-נמוכה. </w:t>
      </w:r>
    </w:p>
    <w:p w14:paraId="58136650" w14:textId="77777777" w:rsidR="00210FE7" w:rsidRDefault="00210FE7" w:rsidP="00210FE7">
      <w:pPr>
        <w:pStyle w:val="a9"/>
        <w:rPr>
          <w:rFonts w:ascii="David" w:hAnsi="David"/>
          <w:sz w:val="26"/>
          <w:szCs w:val="26"/>
          <w:rtl/>
        </w:rPr>
      </w:pPr>
    </w:p>
    <w:p w14:paraId="7B490292" w14:textId="77777777" w:rsidR="00210FE7" w:rsidRDefault="00210FE7" w:rsidP="00210FE7">
      <w:pPr>
        <w:spacing w:after="160" w:line="360" w:lineRule="auto"/>
        <w:jc w:val="both"/>
        <w:rPr>
          <w:rFonts w:ascii="David" w:hAnsi="David"/>
          <w:sz w:val="26"/>
          <w:szCs w:val="26"/>
        </w:rPr>
      </w:pPr>
    </w:p>
    <w:p w14:paraId="3AF49061" w14:textId="77777777" w:rsidR="00210FE7" w:rsidRDefault="00210FE7" w:rsidP="00210FE7">
      <w:pPr>
        <w:pStyle w:val="a9"/>
        <w:numPr>
          <w:ilvl w:val="0"/>
          <w:numId w:val="2"/>
        </w:numPr>
        <w:spacing w:after="160" w:line="360" w:lineRule="auto"/>
        <w:jc w:val="both"/>
        <w:rPr>
          <w:rFonts w:ascii="David" w:hAnsi="David"/>
          <w:sz w:val="26"/>
          <w:szCs w:val="26"/>
          <w:rtl/>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מדובר בעבירות מתוכננות שבוצעו באופן "מקצועי" תוך הפצת הסמים לכל דורש. אין מדובר בכמויות קטנות או גדולות במיוחד, ונראה כי הנאשם לא היה פוסק ממעשיו אלמלא נעצר ונתפס בכף. מדובר ב"סם קל" אך כאמור, הפסיקה רואה בחומרה הפצת סמים מכל סוג שהוא. הנאשם אחראי למעשים, על אף גילו הצעיר, ובפועל גרם נזק בעצם הפצתם. הנזק הפוטנציאלי בינוני-נמוך. </w:t>
      </w:r>
    </w:p>
    <w:p w14:paraId="53539E19" w14:textId="77777777" w:rsidR="00210FE7" w:rsidRDefault="00210FE7" w:rsidP="00210FE7">
      <w:pPr>
        <w:spacing w:after="160" w:line="360" w:lineRule="auto"/>
        <w:jc w:val="both"/>
        <w:rPr>
          <w:rFonts w:ascii="David" w:hAnsi="David"/>
          <w:b/>
          <w:bCs/>
          <w:sz w:val="26"/>
          <w:szCs w:val="26"/>
          <w:u w:val="single"/>
          <w:rtl/>
        </w:rPr>
      </w:pPr>
    </w:p>
    <w:p w14:paraId="49E4FC26" w14:textId="77777777" w:rsidR="00210FE7" w:rsidRPr="00436059" w:rsidRDefault="00210FE7" w:rsidP="00210FE7">
      <w:pPr>
        <w:pStyle w:val="a9"/>
        <w:numPr>
          <w:ilvl w:val="0"/>
          <w:numId w:val="2"/>
        </w:numPr>
        <w:spacing w:after="160" w:line="360" w:lineRule="auto"/>
        <w:jc w:val="both"/>
        <w:rPr>
          <w:rFonts w:ascii="David" w:hAnsi="David"/>
          <w:sz w:val="26"/>
          <w:szCs w:val="26"/>
        </w:rPr>
      </w:pPr>
      <w:r>
        <w:rPr>
          <w:rFonts w:ascii="David" w:hAnsi="David"/>
          <w:b/>
          <w:bCs/>
          <w:sz w:val="26"/>
          <w:szCs w:val="26"/>
          <w:rtl/>
        </w:rPr>
        <w:t xml:space="preserve">אשר למדיניות הענישה הנוהגת, </w:t>
      </w:r>
      <w:r w:rsidRPr="00436059">
        <w:rPr>
          <w:rFonts w:ascii="David" w:hAnsi="David" w:hint="cs"/>
          <w:sz w:val="26"/>
          <w:szCs w:val="26"/>
          <w:rtl/>
        </w:rPr>
        <w:t xml:space="preserve">לרוב בעבירות סחר סמים הענישה עומדת על עבודות שירות או מאסר בפועל, בהתאם לנסיבות כל מקרה ומקרה. חריגה ממתחם העונש לעונש פחות, תתאפשר רק בנסיבות של שיקום מובהק, ואין זה מקרנו. </w:t>
      </w:r>
    </w:p>
    <w:p w14:paraId="70AA1A30" w14:textId="77777777" w:rsidR="00210FE7" w:rsidRPr="00D856E3" w:rsidRDefault="00CE5912" w:rsidP="00210FE7">
      <w:pPr>
        <w:pStyle w:val="a9"/>
        <w:numPr>
          <w:ilvl w:val="0"/>
          <w:numId w:val="5"/>
        </w:numPr>
        <w:spacing w:line="360" w:lineRule="auto"/>
        <w:jc w:val="both"/>
        <w:rPr>
          <w:rFonts w:ascii="David" w:hAnsi="David"/>
          <w:sz w:val="26"/>
          <w:szCs w:val="26"/>
        </w:rPr>
      </w:pPr>
      <w:hyperlink r:id="rId15" w:history="1">
        <w:r w:rsidRPr="00CE5912">
          <w:rPr>
            <w:rFonts w:ascii="David" w:hAnsi="David"/>
            <w:color w:val="0000FF"/>
            <w:sz w:val="26"/>
            <w:szCs w:val="26"/>
            <w:u w:val="single"/>
            <w:rtl/>
          </w:rPr>
          <w:t>רע"פ 3059/21</w:t>
        </w:r>
      </w:hyperlink>
      <w:r w:rsidR="00210FE7" w:rsidRPr="00D856E3">
        <w:rPr>
          <w:rFonts w:ascii="David" w:hAnsi="David"/>
          <w:sz w:val="26"/>
          <w:szCs w:val="26"/>
          <w:rtl/>
        </w:rPr>
        <w:t xml:space="preserve"> </w:t>
      </w:r>
      <w:r w:rsidR="00210FE7" w:rsidRPr="00D856E3">
        <w:rPr>
          <w:rFonts w:ascii="David" w:hAnsi="David"/>
          <w:b/>
          <w:bCs/>
          <w:sz w:val="26"/>
          <w:szCs w:val="26"/>
          <w:rtl/>
        </w:rPr>
        <w:t>ימין נ' מ"י</w:t>
      </w:r>
      <w:r w:rsidR="00210FE7" w:rsidRPr="00D856E3">
        <w:rPr>
          <w:rFonts w:ascii="David" w:hAnsi="David"/>
          <w:sz w:val="26"/>
          <w:szCs w:val="26"/>
          <w:rtl/>
        </w:rPr>
        <w:t xml:space="preserve"> (מיום 5.5.2021) – אושר עונש של 8 חודשי עבודות שירות בנסיבות של חמישה מקרי סחר בקנביס ומציאת 50 גרם קנביס שלא לצריכה עצמית וסכום גדול במזומן. </w:t>
      </w:r>
    </w:p>
    <w:p w14:paraId="48BBA237" w14:textId="77777777" w:rsidR="00210FE7" w:rsidRPr="00D856E3" w:rsidRDefault="00CE5912" w:rsidP="00210FE7">
      <w:pPr>
        <w:pStyle w:val="a9"/>
        <w:numPr>
          <w:ilvl w:val="0"/>
          <w:numId w:val="5"/>
        </w:numPr>
        <w:spacing w:line="360" w:lineRule="auto"/>
        <w:jc w:val="both"/>
        <w:rPr>
          <w:rFonts w:ascii="David" w:hAnsi="David"/>
          <w:sz w:val="26"/>
          <w:szCs w:val="26"/>
        </w:rPr>
      </w:pPr>
      <w:hyperlink r:id="rId16" w:history="1">
        <w:r w:rsidRPr="00CE5912">
          <w:rPr>
            <w:rFonts w:ascii="David" w:hAnsi="David"/>
            <w:color w:val="0000FF"/>
            <w:sz w:val="26"/>
            <w:szCs w:val="26"/>
            <w:u w:val="single"/>
            <w:rtl/>
          </w:rPr>
          <w:t>ע"פ 6161/16</w:t>
        </w:r>
      </w:hyperlink>
      <w:r w:rsidR="00210FE7" w:rsidRPr="00D856E3">
        <w:rPr>
          <w:rFonts w:ascii="David" w:hAnsi="David"/>
          <w:sz w:val="26"/>
          <w:szCs w:val="26"/>
          <w:rtl/>
        </w:rPr>
        <w:t xml:space="preserve"> </w:t>
      </w:r>
      <w:r w:rsidR="00210FE7" w:rsidRPr="00D856E3">
        <w:rPr>
          <w:rFonts w:ascii="David" w:hAnsi="David"/>
          <w:b/>
          <w:bCs/>
          <w:sz w:val="26"/>
          <w:szCs w:val="26"/>
          <w:rtl/>
        </w:rPr>
        <w:t>יזרעאלוב נ' מ"י</w:t>
      </w:r>
      <w:r w:rsidR="00210FE7" w:rsidRPr="00D856E3">
        <w:rPr>
          <w:rFonts w:ascii="David" w:hAnsi="David"/>
          <w:sz w:val="26"/>
          <w:szCs w:val="26"/>
          <w:rtl/>
        </w:rPr>
        <w:t xml:space="preserve"> (מיום 20.2.2017) – אושר מתחם שבין 8 חודשי מאסר ל-20 חודשים, בנסיבות של ריבוי מקרי סחר בנייס גאי וקנאבואידים סינתטיים, ועונש של 6 חודשי מאסר לריצוי בעבודות שירות, כשדובר על חריגה מן המתחם בשל טעמי שיקום.</w:t>
      </w:r>
    </w:p>
    <w:p w14:paraId="614AFEB5" w14:textId="77777777" w:rsidR="00210FE7" w:rsidRPr="00D856E3" w:rsidRDefault="00CE5912" w:rsidP="00210FE7">
      <w:pPr>
        <w:pStyle w:val="a9"/>
        <w:numPr>
          <w:ilvl w:val="0"/>
          <w:numId w:val="5"/>
        </w:numPr>
        <w:spacing w:line="360" w:lineRule="auto"/>
        <w:jc w:val="both"/>
        <w:rPr>
          <w:rFonts w:ascii="David" w:hAnsi="David"/>
          <w:sz w:val="26"/>
          <w:szCs w:val="26"/>
        </w:rPr>
      </w:pPr>
      <w:hyperlink r:id="rId17" w:history="1">
        <w:r w:rsidRPr="00CE5912">
          <w:rPr>
            <w:rFonts w:ascii="David" w:hAnsi="David"/>
            <w:color w:val="0000FF"/>
            <w:sz w:val="26"/>
            <w:szCs w:val="26"/>
            <w:u w:val="single"/>
            <w:rtl/>
          </w:rPr>
          <w:t>עפ"ג (ירושלים) 37531-07-21</w:t>
        </w:r>
      </w:hyperlink>
      <w:r w:rsidR="00210FE7" w:rsidRPr="00D856E3">
        <w:rPr>
          <w:rFonts w:ascii="David" w:hAnsi="David"/>
          <w:sz w:val="26"/>
          <w:szCs w:val="26"/>
          <w:rtl/>
        </w:rPr>
        <w:t xml:space="preserve"> </w:t>
      </w:r>
      <w:r w:rsidR="00210FE7" w:rsidRPr="00D856E3">
        <w:rPr>
          <w:rFonts w:ascii="David" w:hAnsi="David"/>
          <w:b/>
          <w:bCs/>
          <w:sz w:val="26"/>
          <w:szCs w:val="26"/>
          <w:rtl/>
        </w:rPr>
        <w:t>קפלן נ' מ"י (</w:t>
      </w:r>
      <w:r w:rsidR="00210FE7" w:rsidRPr="00D856E3">
        <w:rPr>
          <w:rFonts w:ascii="David" w:hAnsi="David"/>
          <w:sz w:val="26"/>
          <w:szCs w:val="26"/>
          <w:rtl/>
        </w:rPr>
        <w:t>מיום 12.1.2022) – בית המשפט המחוזי דחה את ערעור הנאשם על-גזר דיני, בו הטלתי עליו בין היתר, 6 חודשי מאסר בעבודות שירות, בגין ביצוע 12 עבירות סחר בסמים ועבירות נוספות. בין היתר קבעתי שם מתחמים המתחילים ממאסר בפועל ועד מספר חודשים בעבירות סחר בכמות קטנה של קנביס, וקביעה זו לא שונתה.</w:t>
      </w:r>
    </w:p>
    <w:p w14:paraId="151A40B8" w14:textId="77777777" w:rsidR="00210FE7" w:rsidRDefault="00210FE7" w:rsidP="00210FE7">
      <w:pPr>
        <w:pStyle w:val="a9"/>
        <w:spacing w:after="160" w:line="360" w:lineRule="auto"/>
        <w:ind w:left="360"/>
        <w:jc w:val="both"/>
        <w:rPr>
          <w:rFonts w:ascii="David" w:hAnsi="David"/>
          <w:sz w:val="26"/>
          <w:szCs w:val="26"/>
          <w:rtl/>
        </w:rPr>
      </w:pPr>
    </w:p>
    <w:p w14:paraId="2B3199F4" w14:textId="77777777" w:rsidR="00210FE7" w:rsidRDefault="00210FE7" w:rsidP="00210FE7">
      <w:pPr>
        <w:pStyle w:val="a9"/>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לפיכך, מתחם הענישה צריך לעמוד על </w:t>
      </w:r>
      <w:r>
        <w:rPr>
          <w:rFonts w:ascii="David" w:hAnsi="David" w:hint="cs"/>
          <w:sz w:val="26"/>
          <w:szCs w:val="26"/>
          <w:rtl/>
        </w:rPr>
        <w:t>מאסר קצר ועד 6 חודשי מאסר שיכול ויבוצעו בעבודות שירות. קבעתי מתחם אחד לכלל המעשים כיוון שמתקיים ביניהם קשר הדוק, הן מבחינת סוג הסמים, הן מבחינת שיטת הפעולה והן בשל סמיכות הזמנים.</w:t>
      </w:r>
    </w:p>
    <w:p w14:paraId="28EBE794" w14:textId="77777777" w:rsidR="00210FE7" w:rsidRDefault="00210FE7" w:rsidP="00210FE7">
      <w:pPr>
        <w:spacing w:after="160" w:line="360" w:lineRule="auto"/>
        <w:jc w:val="both"/>
        <w:rPr>
          <w:rFonts w:ascii="David" w:hAnsi="David"/>
          <w:b/>
          <w:bCs/>
          <w:sz w:val="26"/>
          <w:szCs w:val="26"/>
          <w:rtl/>
        </w:rPr>
      </w:pPr>
    </w:p>
    <w:p w14:paraId="7D1FEC9B" w14:textId="77777777" w:rsidR="00210FE7" w:rsidRDefault="00210FE7" w:rsidP="00210FE7">
      <w:pPr>
        <w:spacing w:after="160" w:line="360" w:lineRule="auto"/>
        <w:jc w:val="both"/>
        <w:rPr>
          <w:rFonts w:ascii="David" w:hAnsi="David"/>
          <w:b/>
          <w:bCs/>
          <w:sz w:val="26"/>
          <w:szCs w:val="26"/>
          <w:u w:val="single"/>
          <w:rtl/>
        </w:rPr>
      </w:pPr>
      <w:r>
        <w:rPr>
          <w:rFonts w:ascii="David" w:hAnsi="David"/>
          <w:b/>
          <w:bCs/>
          <w:sz w:val="26"/>
          <w:szCs w:val="26"/>
          <w:u w:val="single"/>
          <w:rtl/>
        </w:rPr>
        <w:t xml:space="preserve">נסיבות שאינן קשורות בביצוע העבירה </w:t>
      </w:r>
      <w:r>
        <w:rPr>
          <w:rFonts w:ascii="David" w:hAnsi="David" w:hint="cs"/>
          <w:b/>
          <w:bCs/>
          <w:sz w:val="26"/>
          <w:szCs w:val="26"/>
          <w:u w:val="single"/>
          <w:rtl/>
        </w:rPr>
        <w:t>והמיקום במתחם</w:t>
      </w:r>
    </w:p>
    <w:p w14:paraId="4CC50053" w14:textId="77777777" w:rsidR="00210FE7" w:rsidRDefault="00210FE7" w:rsidP="00210FE7">
      <w:pPr>
        <w:pStyle w:val="a9"/>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הנאשם צעיר מאוד לימים, ללא כל עבר פלילי. עד להסתבכותו לפני כשנה לא הסתבך, ובסך הכל ניהל אורח חיים נורמטיבי. הוא קיבל אחריות למעשים, שהה במעצר ממש כ-10 ימים ולאחר מכן שוחרר בתנאים אותם לא הפר, ולא פתח תיקים חדשים. יש בכל אלה להוביל להעמדת הנאשם בתחילת המתחם. אני ער להמלצת שירות המבחן בדבר השל"ץ, אך לא סברתי שמתקיימים טעמים מיוחדים של שיקום המצדיקים סטייה ממתחם הענישה, וסברתי שעונש מוחשי בדמות מאסר בעבודות שירות, הוא העונש הראוי וההולם בנסיבות העניין. </w:t>
      </w:r>
    </w:p>
    <w:p w14:paraId="3CAA6078" w14:textId="77777777" w:rsidR="00210FE7" w:rsidRDefault="00210FE7" w:rsidP="00210FE7">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6F43C025" w14:textId="77777777" w:rsidR="00210FE7" w:rsidRDefault="00210FE7" w:rsidP="00210FE7">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152F4281" w14:textId="77777777" w:rsidR="00210FE7" w:rsidRDefault="00210FE7" w:rsidP="00210FE7">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45 ימי </w:t>
      </w:r>
      <w:r>
        <w:rPr>
          <w:rFonts w:ascii="David" w:hAnsi="David"/>
          <w:sz w:val="26"/>
          <w:szCs w:val="26"/>
          <w:rtl/>
        </w:rPr>
        <w:t>מאסר, אשר ירוצו בעבודות שירות ב</w:t>
      </w:r>
      <w:r>
        <w:rPr>
          <w:rFonts w:ascii="David" w:hAnsi="David" w:hint="cs"/>
          <w:sz w:val="26"/>
          <w:szCs w:val="26"/>
          <w:rtl/>
        </w:rPr>
        <w:t>בית העלמין בסנהדריה</w:t>
      </w:r>
      <w:r>
        <w:rPr>
          <w:rFonts w:ascii="David" w:hAnsi="David"/>
          <w:sz w:val="26"/>
          <w:szCs w:val="26"/>
          <w:rtl/>
        </w:rPr>
        <w:t xml:space="preserve">, וזאת על פי חוות דעת הממונה על עבודות השירות. על הנאשם להתייצב ביום </w:t>
      </w:r>
      <w:r>
        <w:rPr>
          <w:rFonts w:ascii="David" w:hAnsi="David" w:hint="cs"/>
          <w:sz w:val="26"/>
          <w:szCs w:val="26"/>
          <w:rtl/>
        </w:rPr>
        <w:t>25.2.2024</w:t>
      </w:r>
      <w:r>
        <w:rPr>
          <w:rFonts w:ascii="David" w:hAnsi="David"/>
          <w:sz w:val="26"/>
          <w:szCs w:val="26"/>
          <w:rtl/>
        </w:rPr>
        <w:t xml:space="preserve"> עד לשעה 08:00 במשרד הממונה על עבודות שירות בבאר שבע 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w:t>
      </w:r>
    </w:p>
    <w:p w14:paraId="51171A77" w14:textId="77777777" w:rsidR="00210FE7" w:rsidRDefault="00210FE7" w:rsidP="00210FE7">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6 </w:t>
      </w:r>
      <w:r>
        <w:rPr>
          <w:rFonts w:ascii="David" w:hAnsi="David"/>
          <w:sz w:val="26"/>
          <w:szCs w:val="26"/>
          <w:rtl/>
        </w:rPr>
        <w:t xml:space="preserve">חודשי מאסר על-תנאי, שלא יעבור הנאשם בתוך </w:t>
      </w:r>
      <w:r>
        <w:rPr>
          <w:rFonts w:ascii="David" w:hAnsi="David" w:hint="cs"/>
          <w:sz w:val="26"/>
          <w:szCs w:val="26"/>
          <w:rtl/>
        </w:rPr>
        <w:t xml:space="preserve">3 </w:t>
      </w:r>
      <w:r>
        <w:rPr>
          <w:rFonts w:ascii="David" w:hAnsi="David"/>
          <w:sz w:val="26"/>
          <w:szCs w:val="26"/>
          <w:rtl/>
        </w:rPr>
        <w:t>שנים מסיום עבודות השירות כל עביר</w:t>
      </w:r>
      <w:r>
        <w:rPr>
          <w:rFonts w:ascii="David" w:hAnsi="David" w:hint="cs"/>
          <w:sz w:val="26"/>
          <w:szCs w:val="26"/>
          <w:rtl/>
        </w:rPr>
        <w:t>ת פשע לפי פקודת הסמים</w:t>
      </w:r>
      <w:r>
        <w:rPr>
          <w:rFonts w:ascii="David" w:hAnsi="David"/>
          <w:sz w:val="26"/>
          <w:szCs w:val="26"/>
          <w:rtl/>
        </w:rPr>
        <w:t>;</w:t>
      </w:r>
    </w:p>
    <w:p w14:paraId="7E5F2BA2" w14:textId="77777777" w:rsidR="00210FE7" w:rsidRDefault="00210FE7" w:rsidP="00210FE7">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חודשיים </w:t>
      </w:r>
      <w:r>
        <w:rPr>
          <w:rFonts w:ascii="David" w:hAnsi="David"/>
          <w:sz w:val="26"/>
          <w:szCs w:val="26"/>
          <w:rtl/>
        </w:rPr>
        <w:t xml:space="preserve">מאסר על-תנאי, שלא יעבור הנאשם בתוך </w:t>
      </w:r>
      <w:r>
        <w:rPr>
          <w:rFonts w:ascii="David" w:hAnsi="David" w:hint="cs"/>
          <w:sz w:val="26"/>
          <w:szCs w:val="26"/>
          <w:rtl/>
        </w:rPr>
        <w:t xml:space="preserve">3 </w:t>
      </w:r>
      <w:r>
        <w:rPr>
          <w:rFonts w:ascii="David" w:hAnsi="David"/>
          <w:sz w:val="26"/>
          <w:szCs w:val="26"/>
          <w:rtl/>
        </w:rPr>
        <w:t>שנים מסיום עבודות השירות כל עביר</w:t>
      </w:r>
      <w:r>
        <w:rPr>
          <w:rFonts w:ascii="David" w:hAnsi="David" w:hint="cs"/>
          <w:sz w:val="26"/>
          <w:szCs w:val="26"/>
          <w:rtl/>
        </w:rPr>
        <w:t>ת עוון לפי פקודת הסמים</w:t>
      </w:r>
      <w:r>
        <w:rPr>
          <w:rFonts w:ascii="David" w:hAnsi="David"/>
          <w:sz w:val="26"/>
          <w:szCs w:val="26"/>
          <w:rtl/>
        </w:rPr>
        <w:t>;</w:t>
      </w:r>
    </w:p>
    <w:p w14:paraId="2419CEFA" w14:textId="77777777" w:rsidR="00210FE7" w:rsidRDefault="00210FE7" w:rsidP="00210FE7">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קנס בסך </w:t>
      </w:r>
      <w:r>
        <w:rPr>
          <w:rFonts w:ascii="David" w:hAnsi="David" w:hint="cs"/>
          <w:sz w:val="26"/>
          <w:szCs w:val="26"/>
          <w:rtl/>
        </w:rPr>
        <w:t>3,000</w:t>
      </w:r>
      <w:r>
        <w:rPr>
          <w:rFonts w:ascii="David" w:hAnsi="David"/>
          <w:sz w:val="26"/>
          <w:szCs w:val="26"/>
          <w:rtl/>
        </w:rPr>
        <w:t xml:space="preserve"> ₪, או </w:t>
      </w:r>
      <w:r>
        <w:rPr>
          <w:rFonts w:ascii="David" w:hAnsi="David" w:hint="cs"/>
          <w:sz w:val="26"/>
          <w:szCs w:val="26"/>
          <w:rtl/>
        </w:rPr>
        <w:t xml:space="preserve">12 </w:t>
      </w:r>
      <w:r>
        <w:rPr>
          <w:rFonts w:ascii="David" w:hAnsi="David"/>
          <w:sz w:val="26"/>
          <w:szCs w:val="26"/>
          <w:rtl/>
        </w:rPr>
        <w:t xml:space="preserve">ימי מאסר תמורתו אם לא ישולם. הקנס ישולם עד ליום </w:t>
      </w:r>
      <w:r>
        <w:rPr>
          <w:rFonts w:ascii="David" w:hAnsi="David" w:hint="cs"/>
          <w:sz w:val="26"/>
          <w:szCs w:val="26"/>
          <w:rtl/>
        </w:rPr>
        <w:t>1.5.2024</w:t>
      </w:r>
      <w:r>
        <w:rPr>
          <w:rFonts w:ascii="David" w:hAnsi="David"/>
          <w:sz w:val="26"/>
          <w:szCs w:val="26"/>
          <w:rtl/>
        </w:rPr>
        <w:t xml:space="preserve">; </w:t>
      </w:r>
    </w:p>
    <w:p w14:paraId="0D2620AB" w14:textId="77777777" w:rsidR="00210FE7" w:rsidRDefault="00210FE7" w:rsidP="00210FE7">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צו מבחן לתקופה של </w:t>
      </w:r>
      <w:r>
        <w:rPr>
          <w:rFonts w:ascii="David" w:hAnsi="David" w:hint="cs"/>
          <w:sz w:val="26"/>
          <w:szCs w:val="26"/>
          <w:rtl/>
        </w:rPr>
        <w:t xml:space="preserve">18 </w:t>
      </w:r>
      <w:r>
        <w:rPr>
          <w:rFonts w:ascii="David" w:hAnsi="David"/>
          <w:sz w:val="26"/>
          <w:szCs w:val="26"/>
          <w:rtl/>
        </w:rPr>
        <w:t>חודשים;</w:t>
      </w:r>
    </w:p>
    <w:p w14:paraId="0ABFFD6B" w14:textId="77777777" w:rsidR="00210FE7" w:rsidRDefault="00210FE7" w:rsidP="00210FE7">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10,000</w:t>
      </w:r>
      <w:r>
        <w:rPr>
          <w:rFonts w:ascii="David" w:hAnsi="David"/>
          <w:sz w:val="26"/>
          <w:szCs w:val="26"/>
          <w:rtl/>
        </w:rPr>
        <w:t xml:space="preserve"> ₪ שלא לעבור כל </w:t>
      </w:r>
      <w:r>
        <w:rPr>
          <w:rFonts w:ascii="David" w:hAnsi="David" w:hint="cs"/>
          <w:sz w:val="26"/>
          <w:szCs w:val="26"/>
          <w:rtl/>
        </w:rPr>
        <w:t xml:space="preserve">עבירת פשע לפי פקודת הסמים </w:t>
      </w:r>
      <w:r>
        <w:rPr>
          <w:rFonts w:ascii="David" w:hAnsi="David"/>
          <w:sz w:val="26"/>
          <w:szCs w:val="26"/>
          <w:rtl/>
        </w:rPr>
        <w:t xml:space="preserve">במשך שנתיים </w:t>
      </w:r>
      <w:r>
        <w:rPr>
          <w:rFonts w:ascii="David" w:hAnsi="David" w:hint="cs"/>
          <w:sz w:val="26"/>
          <w:szCs w:val="26"/>
          <w:rtl/>
        </w:rPr>
        <w:t>מסיום עבודות השירות</w:t>
      </w:r>
      <w:r>
        <w:rPr>
          <w:rFonts w:ascii="David" w:hAnsi="David"/>
          <w:sz w:val="26"/>
          <w:szCs w:val="26"/>
          <w:rtl/>
        </w:rPr>
        <w:t>. הובהר לנאשם שמשמעות ההתחייבות היא, כי אם יעבור את העבירה בתוך התקופה שצוינה, בית המשפט שיגזור את הדין יהא חייב לחלט את ההתחייבות כקנס</w:t>
      </w:r>
      <w:r>
        <w:rPr>
          <w:rFonts w:ascii="David" w:hAnsi="David" w:hint="cs"/>
          <w:sz w:val="26"/>
          <w:szCs w:val="26"/>
          <w:rtl/>
        </w:rPr>
        <w:t>.</w:t>
      </w:r>
    </w:p>
    <w:p w14:paraId="02699551" w14:textId="77777777" w:rsidR="00210FE7" w:rsidRDefault="00210FE7" w:rsidP="00210FE7">
      <w:pPr>
        <w:spacing w:after="160"/>
        <w:rPr>
          <w:rFonts w:ascii="David" w:hAnsi="David"/>
          <w:sz w:val="26"/>
          <w:szCs w:val="26"/>
          <w:rtl/>
        </w:rPr>
      </w:pPr>
    </w:p>
    <w:p w14:paraId="2791F4AE" w14:textId="77777777" w:rsidR="00210FE7" w:rsidRDefault="00210FE7" w:rsidP="00210FE7">
      <w:pPr>
        <w:spacing w:after="160" w:line="360" w:lineRule="auto"/>
        <w:jc w:val="both"/>
        <w:rPr>
          <w:rFonts w:ascii="David" w:hAnsi="David"/>
          <w:b/>
          <w:bCs/>
          <w:sz w:val="26"/>
          <w:szCs w:val="26"/>
          <w:rtl/>
        </w:rPr>
      </w:pPr>
      <w:r>
        <w:rPr>
          <w:rFonts w:ascii="David" w:hAnsi="David"/>
          <w:b/>
          <w:bCs/>
          <w:sz w:val="26"/>
          <w:szCs w:val="26"/>
          <w:rtl/>
        </w:rPr>
        <w:t>הנאשם הוזהר כי אי ביצוע צו המבחן עלול להוביל להפקעת</w:t>
      </w:r>
      <w:r>
        <w:rPr>
          <w:rFonts w:ascii="David" w:hAnsi="David" w:hint="cs"/>
          <w:b/>
          <w:bCs/>
          <w:sz w:val="26"/>
          <w:szCs w:val="26"/>
          <w:rtl/>
        </w:rPr>
        <w:t>ו</w:t>
      </w:r>
      <w:r>
        <w:rPr>
          <w:rFonts w:ascii="David" w:hAnsi="David"/>
          <w:b/>
          <w:bCs/>
          <w:sz w:val="26"/>
          <w:szCs w:val="26"/>
          <w:rtl/>
        </w:rPr>
        <w:t xml:space="preserve"> ולהטלת כל עונש חלופי לרבות מאסר.</w:t>
      </w:r>
    </w:p>
    <w:p w14:paraId="25649028" w14:textId="77777777" w:rsidR="00210FE7" w:rsidRDefault="00210FE7" w:rsidP="00210FE7">
      <w:pPr>
        <w:jc w:val="both"/>
        <w:rPr>
          <w:rFonts w:ascii="David" w:hAnsi="David"/>
          <w:b/>
          <w:bCs/>
          <w:sz w:val="26"/>
          <w:szCs w:val="26"/>
          <w:rtl/>
        </w:rPr>
      </w:pPr>
    </w:p>
    <w:p w14:paraId="1DFB09F4" w14:textId="77777777" w:rsidR="00210FE7" w:rsidRDefault="00210FE7" w:rsidP="00210FE7">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42B98AB1" w14:textId="77777777" w:rsidR="00210FE7" w:rsidRDefault="00210FE7" w:rsidP="00210FE7">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18"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630A72DA" w14:textId="77777777" w:rsidR="00210FE7" w:rsidRDefault="00210FE7" w:rsidP="00210FE7">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22E50B22" w14:textId="77777777" w:rsidR="00210FE7" w:rsidRDefault="00210FE7" w:rsidP="00210FE7">
      <w:pPr>
        <w:pStyle w:val="a9"/>
        <w:numPr>
          <w:ilvl w:val="0"/>
          <w:numId w:val="3"/>
        </w:numPr>
        <w:spacing w:line="360" w:lineRule="auto"/>
        <w:jc w:val="both"/>
        <w:rPr>
          <w:rFonts w:ascii="David" w:hAnsi="David"/>
          <w:b/>
          <w:bCs/>
          <w:sz w:val="26"/>
          <w:szCs w:val="26"/>
        </w:rPr>
      </w:pPr>
      <w:r>
        <w:rPr>
          <w:rFonts w:ascii="David" w:hAnsi="David"/>
          <w:b/>
          <w:bCs/>
          <w:sz w:val="26"/>
          <w:szCs w:val="26"/>
          <w:rtl/>
        </w:rPr>
        <w:t>במזומן בכל סניף של בנק הדואר בהצגת תעודת זהות בלבד</w:t>
      </w:r>
    </w:p>
    <w:p w14:paraId="47E8ED72" w14:textId="77777777" w:rsidR="00210FE7" w:rsidRDefault="00210FE7" w:rsidP="00210FE7">
      <w:pPr>
        <w:spacing w:line="360" w:lineRule="auto"/>
        <w:jc w:val="both"/>
        <w:rPr>
          <w:rFonts w:ascii="David" w:hAnsi="David"/>
          <w:b/>
          <w:bCs/>
          <w:sz w:val="26"/>
          <w:szCs w:val="26"/>
        </w:rPr>
      </w:pPr>
      <w:r>
        <w:rPr>
          <w:rFonts w:ascii="David" w:hAnsi="David"/>
          <w:b/>
          <w:bCs/>
          <w:sz w:val="26"/>
          <w:szCs w:val="26"/>
          <w:rtl/>
        </w:rPr>
        <w:t>לא יונפקו שוברי תשלום.</w:t>
      </w:r>
    </w:p>
    <w:p w14:paraId="4DE9FCF0" w14:textId="77777777" w:rsidR="00210FE7" w:rsidRDefault="00210FE7" w:rsidP="00210FE7">
      <w:pPr>
        <w:spacing w:line="360" w:lineRule="auto"/>
        <w:jc w:val="both"/>
        <w:rPr>
          <w:b/>
          <w:bCs/>
          <w:sz w:val="26"/>
          <w:szCs w:val="26"/>
        </w:rPr>
      </w:pPr>
      <w:r>
        <w:rPr>
          <w:b/>
          <w:bCs/>
          <w:sz w:val="26"/>
          <w:szCs w:val="26"/>
          <w:rtl/>
        </w:rPr>
        <w:t>ניתן לקזז מכל הפקדה שבתיק או בתיק קשור על אף הודעת עיקול. ככל שקיימות יתרות זכות ואין עיקולים ניתן להשיב למפקיד.</w:t>
      </w:r>
    </w:p>
    <w:p w14:paraId="24996AD1" w14:textId="77777777" w:rsidR="00210FE7" w:rsidRDefault="00210FE7" w:rsidP="00210FE7">
      <w:pPr>
        <w:rPr>
          <w:rtl/>
        </w:rPr>
      </w:pPr>
    </w:p>
    <w:p w14:paraId="2CA38F6C" w14:textId="77777777" w:rsidR="00210FE7" w:rsidRPr="00903E93" w:rsidRDefault="00210FE7" w:rsidP="00210FE7">
      <w:pPr>
        <w:rPr>
          <w:b/>
          <w:bCs/>
          <w:sz w:val="26"/>
          <w:szCs w:val="26"/>
        </w:rPr>
      </w:pPr>
      <w:r w:rsidRPr="00903E93">
        <w:rPr>
          <w:rFonts w:hint="cs"/>
          <w:b/>
          <w:bCs/>
          <w:sz w:val="26"/>
          <w:szCs w:val="26"/>
          <w:rtl/>
        </w:rPr>
        <w:t>מכריז על הנאשם סוחר סמים ומורה על חילוט הכספים והטלפונים ועל השמדת הסמים.</w:t>
      </w:r>
    </w:p>
    <w:p w14:paraId="19C1DE41" w14:textId="77777777" w:rsidR="00210FE7" w:rsidRDefault="00210FE7" w:rsidP="00210FE7">
      <w:pPr>
        <w:spacing w:after="160"/>
        <w:rPr>
          <w:rFonts w:ascii="David" w:hAnsi="David"/>
          <w:sz w:val="26"/>
          <w:szCs w:val="26"/>
          <w:rtl/>
        </w:rPr>
      </w:pPr>
    </w:p>
    <w:p w14:paraId="3D782A0C" w14:textId="77777777" w:rsidR="00210FE7" w:rsidRDefault="00210FE7" w:rsidP="00210FE7">
      <w:pPr>
        <w:spacing w:after="160" w:line="360" w:lineRule="auto"/>
        <w:rPr>
          <w:rFonts w:ascii="David" w:hAnsi="David"/>
          <w:sz w:val="26"/>
          <w:szCs w:val="26"/>
        </w:rPr>
      </w:pPr>
      <w:r>
        <w:rPr>
          <w:rFonts w:ascii="David" w:hAnsi="David"/>
          <w:sz w:val="26"/>
          <w:szCs w:val="26"/>
          <w:rtl/>
        </w:rPr>
        <w:t>יש לשלוח לשירות המבחן ולממונה על עבודות שירות.</w:t>
      </w:r>
    </w:p>
    <w:p w14:paraId="45F1DE4F" w14:textId="77777777" w:rsidR="00210FE7" w:rsidRPr="00CE5912" w:rsidRDefault="00CE5912" w:rsidP="00210FE7">
      <w:pPr>
        <w:spacing w:after="160"/>
        <w:rPr>
          <w:rFonts w:ascii="David" w:hAnsi="David"/>
          <w:color w:val="FFFFFF"/>
          <w:sz w:val="2"/>
          <w:szCs w:val="2"/>
          <w:rtl/>
        </w:rPr>
      </w:pPr>
      <w:r w:rsidRPr="00CE5912">
        <w:rPr>
          <w:rFonts w:ascii="David" w:hAnsi="David"/>
          <w:color w:val="FFFFFF"/>
          <w:sz w:val="2"/>
          <w:szCs w:val="2"/>
          <w:rtl/>
        </w:rPr>
        <w:t>5129371</w:t>
      </w:r>
    </w:p>
    <w:p w14:paraId="6AEA4F45" w14:textId="77777777" w:rsidR="00210FE7" w:rsidRDefault="00CE5912" w:rsidP="00210FE7">
      <w:pPr>
        <w:spacing w:after="160" w:line="252" w:lineRule="auto"/>
        <w:rPr>
          <w:rFonts w:ascii="David" w:hAnsi="David"/>
          <w:sz w:val="26"/>
          <w:szCs w:val="26"/>
          <w:rtl/>
        </w:rPr>
      </w:pPr>
      <w:r w:rsidRPr="00CE5912">
        <w:rPr>
          <w:rFonts w:ascii="David" w:hAnsi="David"/>
          <w:color w:val="FFFFFF"/>
          <w:sz w:val="2"/>
          <w:szCs w:val="2"/>
          <w:rtl/>
        </w:rPr>
        <w:t>54678313</w:t>
      </w:r>
      <w:r w:rsidR="00210FE7">
        <w:rPr>
          <w:rFonts w:ascii="David" w:hAnsi="David"/>
          <w:sz w:val="26"/>
          <w:szCs w:val="26"/>
          <w:rtl/>
        </w:rPr>
        <w:t>זכות ערעור כחוק לבית המשפט המחוזי בירושלים בתוך 45 יום מהיום.</w:t>
      </w:r>
    </w:p>
    <w:p w14:paraId="39EFEA5A" w14:textId="77777777" w:rsidR="00210FE7" w:rsidRPr="000F2247" w:rsidRDefault="00210FE7" w:rsidP="00210FE7">
      <w:pPr>
        <w:rPr>
          <w:rFonts w:ascii="Arial" w:hAnsi="Arial"/>
          <w:b/>
          <w:bCs/>
          <w:sz w:val="26"/>
          <w:szCs w:val="26"/>
          <w:rtl/>
        </w:rPr>
      </w:pPr>
    </w:p>
    <w:p w14:paraId="43FE41E8" w14:textId="77777777" w:rsidR="00210FE7" w:rsidRPr="000F2247" w:rsidRDefault="00CE5912" w:rsidP="00210FE7">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י"ח שבט תשפ"ד, 28 ינואר 2024, במעמד הצדדים. </w:t>
      </w:r>
      <w:bookmarkEnd w:id="8"/>
      <w:r w:rsidR="00210FE7">
        <w:rPr>
          <w:rFonts w:ascii="Arial" w:hAnsi="Arial"/>
          <w:b/>
          <w:bCs/>
          <w:sz w:val="26"/>
          <w:szCs w:val="26"/>
          <w:rtl/>
        </w:rPr>
        <w:tab/>
      </w:r>
      <w:r w:rsidR="00210FE7">
        <w:rPr>
          <w:rFonts w:ascii="Arial" w:hAnsi="Arial"/>
          <w:b/>
          <w:bCs/>
          <w:sz w:val="26"/>
          <w:szCs w:val="26"/>
          <w:rtl/>
        </w:rPr>
        <w:tab/>
      </w:r>
      <w:r w:rsidR="00210FE7">
        <w:rPr>
          <w:rFonts w:ascii="Arial" w:hAnsi="Arial"/>
          <w:b/>
          <w:bCs/>
          <w:sz w:val="26"/>
          <w:szCs w:val="26"/>
          <w:rtl/>
        </w:rPr>
        <w:tab/>
      </w:r>
      <w:r w:rsidR="00210FE7">
        <w:rPr>
          <w:rFonts w:ascii="Arial" w:hAnsi="Arial" w:hint="cs"/>
          <w:b/>
          <w:bCs/>
          <w:sz w:val="26"/>
          <w:szCs w:val="26"/>
          <w:rtl/>
        </w:rPr>
        <w:t xml:space="preserve">         </w:t>
      </w:r>
    </w:p>
    <w:p w14:paraId="0C333880" w14:textId="77777777" w:rsidR="00210FE7" w:rsidRPr="000F2247" w:rsidRDefault="00210FE7" w:rsidP="00CE591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40B4A76" w14:textId="77777777" w:rsidR="00210FE7" w:rsidRPr="000F2247" w:rsidRDefault="00210FE7" w:rsidP="00210FE7">
      <w:pPr>
        <w:jc w:val="center"/>
        <w:rPr>
          <w:rFonts w:ascii="Arial" w:hAnsi="Arial"/>
          <w:b/>
          <w:bCs/>
          <w:sz w:val="26"/>
          <w:szCs w:val="26"/>
          <w:rtl/>
        </w:rPr>
      </w:pPr>
    </w:p>
    <w:p w14:paraId="6034610A" w14:textId="77777777" w:rsidR="00E86BD6" w:rsidRPr="00CE5912" w:rsidRDefault="00E86BD6" w:rsidP="00CE5912">
      <w:pPr>
        <w:keepNext/>
        <w:rPr>
          <w:rFonts w:ascii="David" w:hAnsi="David"/>
          <w:color w:val="000000"/>
          <w:sz w:val="22"/>
          <w:szCs w:val="22"/>
          <w:rtl/>
        </w:rPr>
      </w:pPr>
    </w:p>
    <w:p w14:paraId="547BA41C" w14:textId="77777777" w:rsidR="00CE5912" w:rsidRPr="00CE5912" w:rsidRDefault="00CE5912" w:rsidP="00CE5912">
      <w:pPr>
        <w:keepNext/>
        <w:rPr>
          <w:rFonts w:ascii="David" w:hAnsi="David"/>
          <w:color w:val="000000"/>
          <w:sz w:val="22"/>
          <w:szCs w:val="22"/>
          <w:rtl/>
        </w:rPr>
      </w:pPr>
      <w:r w:rsidRPr="00CE5912">
        <w:rPr>
          <w:rFonts w:ascii="David" w:hAnsi="David"/>
          <w:color w:val="000000"/>
          <w:sz w:val="22"/>
          <w:szCs w:val="22"/>
          <w:rtl/>
        </w:rPr>
        <w:t>דוד שאול גבאי ריכטר 54678313</w:t>
      </w:r>
    </w:p>
    <w:p w14:paraId="26539A18" w14:textId="77777777" w:rsidR="00CE5912" w:rsidRDefault="00CE5912" w:rsidP="00CE5912">
      <w:r w:rsidRPr="00CE5912">
        <w:rPr>
          <w:color w:val="000000"/>
          <w:rtl/>
        </w:rPr>
        <w:t>נוסח מסמך זה כפוף לשינויי ניסוח ועריכה</w:t>
      </w:r>
    </w:p>
    <w:p w14:paraId="704B4EFA" w14:textId="77777777" w:rsidR="00CE5912" w:rsidRDefault="00CE5912" w:rsidP="00CE5912">
      <w:pPr>
        <w:rPr>
          <w:rtl/>
        </w:rPr>
      </w:pPr>
    </w:p>
    <w:p w14:paraId="1421B8DF" w14:textId="77777777" w:rsidR="00CE5912" w:rsidRDefault="00CE5912" w:rsidP="00CE5912">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6CBDF3CA" w14:textId="77777777" w:rsidR="00CE5912" w:rsidRPr="00CE5912" w:rsidRDefault="00CE5912" w:rsidP="00CE5912">
      <w:pPr>
        <w:jc w:val="center"/>
        <w:rPr>
          <w:color w:val="0000FF"/>
          <w:u w:val="single"/>
        </w:rPr>
      </w:pPr>
    </w:p>
    <w:sectPr w:rsidR="00CE5912" w:rsidRPr="00CE5912" w:rsidSect="00CE5912">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F03381" w14:textId="77777777" w:rsidR="00E12772" w:rsidRDefault="00E12772" w:rsidP="007E0C7F">
      <w:r>
        <w:separator/>
      </w:r>
    </w:p>
  </w:endnote>
  <w:endnote w:type="continuationSeparator" w:id="0">
    <w:p w14:paraId="7A56C0D3" w14:textId="77777777" w:rsidR="00E12772" w:rsidRDefault="00E12772" w:rsidP="007E0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D9A01" w14:textId="77777777" w:rsidR="00CE5912" w:rsidRDefault="00CE5912" w:rsidP="00CE591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0F1A1798" w14:textId="77777777" w:rsidR="009B2511" w:rsidRPr="00CE5912" w:rsidRDefault="00CE5912" w:rsidP="00CE591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642E3" w14:textId="77777777" w:rsidR="00CE5912" w:rsidRDefault="00CE5912" w:rsidP="00CE591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10459">
      <w:rPr>
        <w:rFonts w:ascii="FrankRuehl" w:hAnsi="FrankRuehl" w:cs="FrankRuehl"/>
        <w:noProof/>
        <w:rtl/>
      </w:rPr>
      <w:t>1</w:t>
    </w:r>
    <w:r>
      <w:rPr>
        <w:rFonts w:ascii="FrankRuehl" w:hAnsi="FrankRuehl" w:cs="FrankRuehl"/>
        <w:rtl/>
      </w:rPr>
      <w:fldChar w:fldCharType="end"/>
    </w:r>
  </w:p>
  <w:p w14:paraId="4210BFBA" w14:textId="77777777" w:rsidR="009B2511" w:rsidRPr="00CE5912" w:rsidRDefault="00CE5912" w:rsidP="00CE591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001A2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17A1B" w14:textId="77777777" w:rsidR="00E12772" w:rsidRDefault="00E12772" w:rsidP="007E0C7F">
      <w:r>
        <w:separator/>
      </w:r>
    </w:p>
  </w:footnote>
  <w:footnote w:type="continuationSeparator" w:id="0">
    <w:p w14:paraId="09A56040" w14:textId="77777777" w:rsidR="00E12772" w:rsidRDefault="00E12772" w:rsidP="007E0C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59576" w14:textId="77777777" w:rsidR="00CE5912" w:rsidRPr="00CE5912" w:rsidRDefault="00CE5912" w:rsidP="00CE591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54676-12-22</w:t>
    </w:r>
    <w:r>
      <w:rPr>
        <w:rFonts w:ascii="David" w:hAnsi="David"/>
        <w:color w:val="000000"/>
        <w:sz w:val="22"/>
        <w:szCs w:val="22"/>
        <w:rtl/>
      </w:rPr>
      <w:tab/>
      <w:t xml:space="preserve"> מדינת ישראל נ' מאיר קראמר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F04A7" w14:textId="77777777" w:rsidR="00CE5912" w:rsidRPr="00CE5912" w:rsidRDefault="00CE5912" w:rsidP="00CE591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54676-12-22</w:t>
    </w:r>
    <w:r>
      <w:rPr>
        <w:rFonts w:ascii="David" w:hAnsi="David"/>
        <w:color w:val="000000"/>
        <w:sz w:val="22"/>
        <w:szCs w:val="22"/>
        <w:rtl/>
      </w:rPr>
      <w:tab/>
      <w:t xml:space="preserve"> מדינת ישראל נ' מאיר קראמר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56B61"/>
    <w:multiLevelType w:val="hybridMultilevel"/>
    <w:tmpl w:val="8CB8D88E"/>
    <w:lvl w:ilvl="0" w:tplc="04090013">
      <w:start w:val="1"/>
      <w:numFmt w:val="hebrew1"/>
      <w:lvlText w:val="%1."/>
      <w:lvlJc w:val="center"/>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3B072859"/>
    <w:multiLevelType w:val="hybridMultilevel"/>
    <w:tmpl w:val="11B0E138"/>
    <w:lvl w:ilvl="0" w:tplc="04090013">
      <w:start w:val="1"/>
      <w:numFmt w:val="hebrew1"/>
      <w:lvlText w:val="%1."/>
      <w:lvlJc w:val="center"/>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5801396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83163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83021631">
    <w:abstractNumId w:val="1"/>
  </w:num>
  <w:num w:numId="4" w16cid:durableId="1492212691">
    <w:abstractNumId w:val="0"/>
  </w:num>
  <w:num w:numId="5" w16cid:durableId="1915385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10FE7"/>
    <w:rsid w:val="001B5A3B"/>
    <w:rsid w:val="001C6CD3"/>
    <w:rsid w:val="00210459"/>
    <w:rsid w:val="00210FE7"/>
    <w:rsid w:val="004D06A1"/>
    <w:rsid w:val="00792285"/>
    <w:rsid w:val="007E0C7F"/>
    <w:rsid w:val="00896E34"/>
    <w:rsid w:val="009B2511"/>
    <w:rsid w:val="00AC5817"/>
    <w:rsid w:val="00B5744E"/>
    <w:rsid w:val="00CE5912"/>
    <w:rsid w:val="00E12772"/>
    <w:rsid w:val="00E86BD6"/>
    <w:rsid w:val="00EF37D9"/>
    <w:rsid w:val="00F71B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CBC3E7"/>
  <w15:chartTrackingRefBased/>
  <w15:docId w15:val="{0926D462-C4D9-450C-83F7-3B67BFE0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10FE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10FE7"/>
    <w:pPr>
      <w:tabs>
        <w:tab w:val="center" w:pos="4153"/>
        <w:tab w:val="right" w:pos="8306"/>
      </w:tabs>
    </w:pPr>
  </w:style>
  <w:style w:type="character" w:customStyle="1" w:styleId="a4">
    <w:name w:val="כותרת עליונה תו"/>
    <w:link w:val="a3"/>
    <w:rsid w:val="00210FE7"/>
    <w:rPr>
      <w:rFonts w:ascii="Times New Roman" w:eastAsia="Times New Roman" w:hAnsi="Times New Roman" w:cs="David"/>
      <w:sz w:val="24"/>
      <w:szCs w:val="24"/>
    </w:rPr>
  </w:style>
  <w:style w:type="paragraph" w:styleId="a5">
    <w:name w:val="footer"/>
    <w:basedOn w:val="a"/>
    <w:link w:val="a6"/>
    <w:rsid w:val="00210FE7"/>
    <w:pPr>
      <w:tabs>
        <w:tab w:val="center" w:pos="4153"/>
        <w:tab w:val="right" w:pos="8306"/>
      </w:tabs>
    </w:pPr>
  </w:style>
  <w:style w:type="character" w:customStyle="1" w:styleId="a6">
    <w:name w:val="כותרת תחתונה תו"/>
    <w:link w:val="a5"/>
    <w:rsid w:val="00210FE7"/>
    <w:rPr>
      <w:rFonts w:ascii="Times New Roman" w:eastAsia="Times New Roman" w:hAnsi="Times New Roman" w:cs="David"/>
      <w:sz w:val="24"/>
      <w:szCs w:val="24"/>
    </w:rPr>
  </w:style>
  <w:style w:type="table" w:styleId="a7">
    <w:name w:val="Table Grid"/>
    <w:basedOn w:val="a1"/>
    <w:rsid w:val="00210FE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10FE7"/>
  </w:style>
  <w:style w:type="character" w:styleId="Hyperlink">
    <w:name w:val="Hyperlink"/>
    <w:rsid w:val="00210FE7"/>
    <w:rPr>
      <w:noProof w:val="0"/>
      <w:color w:val="0000FF"/>
      <w:u w:val="single"/>
    </w:rPr>
  </w:style>
  <w:style w:type="paragraph" w:styleId="a9">
    <w:name w:val="List Paragraph"/>
    <w:basedOn w:val="a"/>
    <w:qFormat/>
    <w:rsid w:val="00210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13;19.a" TargetMode="External"/><Relationship Id="rId18" Type="http://schemas.openxmlformats.org/officeDocument/2006/relationships/hyperlink" Target="http://www.eca.gov.il"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2779302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1477656"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7592536" TargetMode="External"/><Relationship Id="rId23"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9241740"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1294</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7753</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7864368</vt:i4>
      </vt:variant>
      <vt:variant>
        <vt:i4>33</vt:i4>
      </vt:variant>
      <vt:variant>
        <vt:i4>0</vt:i4>
      </vt:variant>
      <vt:variant>
        <vt:i4>5</vt:i4>
      </vt:variant>
      <vt:variant>
        <vt:lpwstr>http://www.eca.gov.il/</vt:lpwstr>
      </vt:variant>
      <vt:variant>
        <vt:lpwstr/>
      </vt:variant>
      <vt:variant>
        <vt:i4>3407994</vt:i4>
      </vt:variant>
      <vt:variant>
        <vt:i4>30</vt:i4>
      </vt:variant>
      <vt:variant>
        <vt:i4>0</vt:i4>
      </vt:variant>
      <vt:variant>
        <vt:i4>5</vt:i4>
      </vt:variant>
      <vt:variant>
        <vt:lpwstr>http://www.nevo.co.il/case/27793023</vt:lpwstr>
      </vt:variant>
      <vt:variant>
        <vt:lpwstr/>
      </vt:variant>
      <vt:variant>
        <vt:i4>3407988</vt:i4>
      </vt:variant>
      <vt:variant>
        <vt:i4>27</vt:i4>
      </vt:variant>
      <vt:variant>
        <vt:i4>0</vt:i4>
      </vt:variant>
      <vt:variant>
        <vt:i4>5</vt:i4>
      </vt:variant>
      <vt:variant>
        <vt:lpwstr>http://www.nevo.co.il/case/21477656</vt:lpwstr>
      </vt:variant>
      <vt:variant>
        <vt:lpwstr/>
      </vt:variant>
      <vt:variant>
        <vt:i4>3539071</vt:i4>
      </vt:variant>
      <vt:variant>
        <vt:i4>24</vt:i4>
      </vt:variant>
      <vt:variant>
        <vt:i4>0</vt:i4>
      </vt:variant>
      <vt:variant>
        <vt:i4>5</vt:i4>
      </vt:variant>
      <vt:variant>
        <vt:lpwstr>http://www.nevo.co.il/case/27592536</vt:lpwstr>
      </vt:variant>
      <vt:variant>
        <vt:lpwstr/>
      </vt:variant>
      <vt:variant>
        <vt:i4>3473534</vt:i4>
      </vt:variant>
      <vt:variant>
        <vt:i4>21</vt:i4>
      </vt:variant>
      <vt:variant>
        <vt:i4>0</vt:i4>
      </vt:variant>
      <vt:variant>
        <vt:i4>5</vt:i4>
      </vt:variant>
      <vt:variant>
        <vt:lpwstr>http://www.nevo.co.il/case/29241740</vt:lpwstr>
      </vt:variant>
      <vt:variant>
        <vt:lpwstr/>
      </vt:variant>
      <vt:variant>
        <vt:i4>2883686</vt:i4>
      </vt:variant>
      <vt:variant>
        <vt:i4>18</vt:i4>
      </vt:variant>
      <vt:variant>
        <vt:i4>0</vt:i4>
      </vt:variant>
      <vt:variant>
        <vt:i4>5</vt:i4>
      </vt:variant>
      <vt:variant>
        <vt:lpwstr>http://www.nevo.co.il/law/4216/13;19.a</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2025-04-23T01:39:00Z</dcterms:created>
  <dcterms:modified xsi:type="dcterms:W3CDTF">2025-04-23T01:39:00Z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54676</vt:lpwstr>
  </property>
  <property fmtid="{D5CDD505-2E9C-101B-9397-08002B2CF9AE}" pid="6" name="NEWPARTB">
    <vt:lpwstr>12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מאיר קראמר</vt:lpwstr>
  </property>
  <property fmtid="{D5CDD505-2E9C-101B-9397-08002B2CF9AE}" pid="10" name="LAWYER">
    <vt:lpwstr>שלום בן שבת</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20240128</vt:lpwstr>
  </property>
  <property fmtid="{D5CDD505-2E9C-101B-9397-08002B2CF9AE}" pid="14" name="TYPE_N_DATE">
    <vt:lpwstr>38020240128</vt:lpwstr>
  </property>
  <property fmtid="{D5CDD505-2E9C-101B-9397-08002B2CF9AE}" pid="15" name="WORDNUMPAGES">
    <vt:lpwstr>5</vt:lpwstr>
  </property>
  <property fmtid="{D5CDD505-2E9C-101B-9397-08002B2CF9AE}" pid="16" name="TYPE_ABS_DATE">
    <vt:lpwstr>380020240128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29241740;27592536;21477656;27793023</vt:lpwstr>
  </property>
  <property fmtid="{D5CDD505-2E9C-101B-9397-08002B2CF9AE}" pid="36" name="LAWLISTTMP1">
    <vt:lpwstr>4216/007.a;007.c;013;019.a</vt:lpwstr>
  </property>
</Properties>
</file>