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E54EA" w:rsidRPr="00835D6A" w14:paraId="29A9138F" w14:textId="77777777" w:rsidTr="004A3D44">
        <w:trPr>
          <w:trHeight w:hRule="exact" w:val="418"/>
          <w:jc w:val="center"/>
        </w:trPr>
        <w:tc>
          <w:tcPr>
            <w:tcW w:w="8721" w:type="dxa"/>
            <w:gridSpan w:val="2"/>
          </w:tcPr>
          <w:p w14:paraId="4600D99C" w14:textId="77777777" w:rsidR="006E54EA" w:rsidRPr="00835D6A" w:rsidRDefault="006E54EA" w:rsidP="00926067">
            <w:pPr>
              <w:pStyle w:val="a3"/>
              <w:jc w:val="center"/>
              <w:rPr>
                <w:rFonts w:ascii="Tahoma" w:hAnsi="Tahoma" w:cs="Tahoma"/>
                <w:color w:val="000080"/>
                <w:rtl/>
              </w:rPr>
            </w:pPr>
            <w:bookmarkStart w:id="0" w:name="LastJudge"/>
            <w:r w:rsidRPr="00835D6A">
              <w:rPr>
                <w:rFonts w:ascii="Tahoma" w:hAnsi="Tahoma" w:cs="Tahoma"/>
                <w:b/>
                <w:bCs/>
                <w:color w:val="000080"/>
                <w:rtl/>
              </w:rPr>
              <w:t>בית משפט השלום בבאר שבע</w:t>
            </w:r>
          </w:p>
        </w:tc>
      </w:tr>
      <w:tr w:rsidR="006E54EA" w:rsidRPr="00835D6A" w14:paraId="08651B94" w14:textId="77777777" w:rsidTr="004A3D44">
        <w:trPr>
          <w:trHeight w:val="337"/>
          <w:jc w:val="center"/>
        </w:trPr>
        <w:tc>
          <w:tcPr>
            <w:tcW w:w="5054" w:type="dxa"/>
          </w:tcPr>
          <w:p w14:paraId="56601F47" w14:textId="77777777" w:rsidR="006E54EA" w:rsidRPr="00835D6A" w:rsidRDefault="006E54EA" w:rsidP="00926067">
            <w:pPr>
              <w:rPr>
                <w:rFonts w:cs="FrankRuehl"/>
                <w:sz w:val="28"/>
                <w:szCs w:val="28"/>
                <w:rtl/>
              </w:rPr>
            </w:pPr>
            <w:r w:rsidRPr="00835D6A">
              <w:rPr>
                <w:rFonts w:cs="FrankRuehl"/>
                <w:sz w:val="28"/>
                <w:szCs w:val="28"/>
                <w:rtl/>
              </w:rPr>
              <w:t>ת"פ</w:t>
            </w:r>
            <w:r w:rsidRPr="00835D6A">
              <w:rPr>
                <w:rFonts w:cs="FrankRuehl" w:hint="cs"/>
                <w:sz w:val="28"/>
                <w:szCs w:val="28"/>
                <w:rtl/>
              </w:rPr>
              <w:t xml:space="preserve"> </w:t>
            </w:r>
            <w:r w:rsidRPr="00835D6A">
              <w:rPr>
                <w:rFonts w:cs="FrankRuehl"/>
                <w:sz w:val="28"/>
                <w:szCs w:val="28"/>
                <w:rtl/>
              </w:rPr>
              <w:t>31271-01-23</w:t>
            </w:r>
            <w:r w:rsidRPr="00835D6A">
              <w:rPr>
                <w:rFonts w:cs="FrankRuehl" w:hint="cs"/>
                <w:sz w:val="28"/>
                <w:szCs w:val="28"/>
                <w:rtl/>
              </w:rPr>
              <w:t xml:space="preserve"> </w:t>
            </w:r>
            <w:r w:rsidRPr="00835D6A">
              <w:rPr>
                <w:rFonts w:cs="FrankRuehl"/>
                <w:sz w:val="28"/>
                <w:szCs w:val="28"/>
                <w:rtl/>
              </w:rPr>
              <w:t>מדינת ישראל נ' אל קרעאן</w:t>
            </w:r>
          </w:p>
          <w:p w14:paraId="409CC7D3" w14:textId="77777777" w:rsidR="006E54EA" w:rsidRPr="00835D6A" w:rsidRDefault="006E54EA" w:rsidP="00926067">
            <w:pPr>
              <w:pStyle w:val="a3"/>
              <w:rPr>
                <w:rFonts w:cs="FrankRuehl"/>
                <w:sz w:val="28"/>
                <w:szCs w:val="28"/>
                <w:rtl/>
              </w:rPr>
            </w:pPr>
          </w:p>
        </w:tc>
        <w:tc>
          <w:tcPr>
            <w:tcW w:w="3667" w:type="dxa"/>
          </w:tcPr>
          <w:p w14:paraId="59AACC1B" w14:textId="77777777" w:rsidR="006E54EA" w:rsidRPr="00835D6A" w:rsidRDefault="006E54EA" w:rsidP="00926067">
            <w:pPr>
              <w:pStyle w:val="a3"/>
              <w:jc w:val="right"/>
              <w:rPr>
                <w:rFonts w:cs="FrankRuehl"/>
                <w:sz w:val="28"/>
                <w:szCs w:val="28"/>
                <w:rtl/>
              </w:rPr>
            </w:pPr>
          </w:p>
        </w:tc>
      </w:tr>
    </w:tbl>
    <w:p w14:paraId="29DFA23B" w14:textId="77777777" w:rsidR="006E54EA" w:rsidRPr="00835D6A" w:rsidRDefault="006E54EA" w:rsidP="006E54EA">
      <w:pPr>
        <w:pStyle w:val="a3"/>
        <w:rPr>
          <w:rtl/>
        </w:rPr>
      </w:pPr>
      <w:r w:rsidRPr="00835D6A">
        <w:rPr>
          <w:rFonts w:hint="cs"/>
          <w:rtl/>
        </w:rPr>
        <w:t xml:space="preserve"> </w:t>
      </w:r>
    </w:p>
    <w:p w14:paraId="035F8462" w14:textId="77777777" w:rsidR="006E54EA" w:rsidRPr="00835D6A" w:rsidRDefault="006E54EA" w:rsidP="006E54EA">
      <w:pPr>
        <w:rPr>
          <w:sz w:val="26"/>
          <w:szCs w:val="26"/>
          <w:rtl/>
        </w:rPr>
      </w:pPr>
    </w:p>
    <w:p w14:paraId="02665A01" w14:textId="77777777" w:rsidR="006E54EA" w:rsidRPr="00835D6A" w:rsidRDefault="006E54EA" w:rsidP="006E54EA">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E54EA" w:rsidRPr="00835D6A" w14:paraId="47B0300C" w14:textId="77777777" w:rsidTr="006E54EA">
        <w:trPr>
          <w:trHeight w:val="295"/>
          <w:jc w:val="center"/>
        </w:trPr>
        <w:tc>
          <w:tcPr>
            <w:tcW w:w="923" w:type="dxa"/>
            <w:tcBorders>
              <w:top w:val="nil"/>
              <w:left w:val="nil"/>
              <w:bottom w:val="nil"/>
              <w:right w:val="nil"/>
            </w:tcBorders>
            <w:shd w:val="clear" w:color="auto" w:fill="auto"/>
          </w:tcPr>
          <w:p w14:paraId="2B9786E5" w14:textId="77777777" w:rsidR="006E54EA" w:rsidRPr="00835D6A" w:rsidRDefault="006E54EA" w:rsidP="006E54EA">
            <w:pPr>
              <w:jc w:val="both"/>
              <w:rPr>
                <w:rFonts w:ascii="David" w:hAnsi="David"/>
                <w:sz w:val="26"/>
                <w:szCs w:val="26"/>
              </w:rPr>
            </w:pPr>
            <w:r w:rsidRPr="00835D6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F1ED150" w14:textId="77777777" w:rsidR="006E54EA" w:rsidRPr="00835D6A" w:rsidRDefault="006E54EA" w:rsidP="00926067">
            <w:pPr>
              <w:rPr>
                <w:rFonts w:ascii="David" w:hAnsi="David"/>
                <w:b/>
                <w:bCs/>
                <w:sz w:val="26"/>
                <w:szCs w:val="26"/>
                <w:rtl/>
              </w:rPr>
            </w:pPr>
            <w:r w:rsidRPr="00835D6A">
              <w:rPr>
                <w:rFonts w:ascii="David" w:hAnsi="David"/>
                <w:b/>
                <w:bCs/>
                <w:sz w:val="26"/>
                <w:szCs w:val="26"/>
                <w:rtl/>
              </w:rPr>
              <w:t>כבוד השופטת שוש שטרית</w:t>
            </w:r>
            <w:r w:rsidRPr="00835D6A">
              <w:rPr>
                <w:rFonts w:ascii="David" w:hAnsi="David"/>
                <w:b/>
                <w:bCs/>
                <w:sz w:val="26"/>
                <w:szCs w:val="26"/>
                <w:rtl/>
              </w:rPr>
              <w:br/>
            </w:r>
          </w:p>
          <w:p w14:paraId="0C50DDE8" w14:textId="77777777" w:rsidR="006E54EA" w:rsidRPr="00835D6A" w:rsidRDefault="006E54EA" w:rsidP="00926067">
            <w:pPr>
              <w:rPr>
                <w:rFonts w:ascii="David" w:hAnsi="David"/>
                <w:sz w:val="26"/>
                <w:szCs w:val="26"/>
                <w:rtl/>
              </w:rPr>
            </w:pPr>
          </w:p>
          <w:p w14:paraId="155DB9DE" w14:textId="77777777" w:rsidR="006E54EA" w:rsidRPr="00835D6A" w:rsidRDefault="006E54EA" w:rsidP="006E54EA">
            <w:pPr>
              <w:jc w:val="both"/>
              <w:rPr>
                <w:rFonts w:ascii="David" w:hAnsi="David"/>
                <w:sz w:val="26"/>
                <w:szCs w:val="26"/>
              </w:rPr>
            </w:pPr>
          </w:p>
        </w:tc>
      </w:tr>
      <w:tr w:rsidR="006E54EA" w:rsidRPr="00835D6A" w14:paraId="38B41908" w14:textId="77777777" w:rsidTr="006E54EA">
        <w:trPr>
          <w:trHeight w:val="355"/>
          <w:jc w:val="center"/>
        </w:trPr>
        <w:tc>
          <w:tcPr>
            <w:tcW w:w="923" w:type="dxa"/>
            <w:tcBorders>
              <w:top w:val="nil"/>
              <w:left w:val="nil"/>
              <w:bottom w:val="nil"/>
              <w:right w:val="nil"/>
            </w:tcBorders>
            <w:shd w:val="clear" w:color="auto" w:fill="auto"/>
          </w:tcPr>
          <w:p w14:paraId="4D301141" w14:textId="77777777" w:rsidR="006E54EA" w:rsidRPr="00835D6A" w:rsidRDefault="006E54EA" w:rsidP="006E54EA">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4812BCBC" w14:textId="77777777" w:rsidR="006E54EA" w:rsidRPr="00835D6A" w:rsidRDefault="006E54EA" w:rsidP="006E54EA">
            <w:pPr>
              <w:suppressLineNumbers/>
            </w:pPr>
            <w:r w:rsidRPr="00835D6A">
              <w:rPr>
                <w:rFonts w:ascii="Arial" w:hAnsi="Arial" w:hint="cs"/>
                <w:b/>
                <w:bCs/>
                <w:sz w:val="26"/>
                <w:szCs w:val="26"/>
                <w:rtl/>
              </w:rPr>
              <w:t>ה</w:t>
            </w:r>
            <w:r w:rsidRPr="00835D6A">
              <w:rPr>
                <w:rFonts w:ascii="Arial" w:hAnsi="Arial"/>
                <w:b/>
                <w:bCs/>
                <w:sz w:val="26"/>
                <w:szCs w:val="26"/>
                <w:rtl/>
              </w:rPr>
              <w:t>מאשימה</w:t>
            </w:r>
          </w:p>
          <w:p w14:paraId="11DF5523" w14:textId="77777777" w:rsidR="006E54EA" w:rsidRPr="00835D6A" w:rsidRDefault="006E54EA" w:rsidP="00926067">
            <w:pPr>
              <w:rPr>
                <w:rFonts w:ascii="David" w:hAnsi="David"/>
                <w:sz w:val="26"/>
                <w:szCs w:val="26"/>
              </w:rPr>
            </w:pPr>
          </w:p>
        </w:tc>
        <w:tc>
          <w:tcPr>
            <w:tcW w:w="4678" w:type="dxa"/>
            <w:tcBorders>
              <w:top w:val="nil"/>
              <w:left w:val="nil"/>
              <w:bottom w:val="nil"/>
              <w:right w:val="nil"/>
            </w:tcBorders>
            <w:shd w:val="clear" w:color="auto" w:fill="auto"/>
            <w:vAlign w:val="center"/>
          </w:tcPr>
          <w:p w14:paraId="3FD1D537" w14:textId="77777777" w:rsidR="006E54EA" w:rsidRPr="00835D6A" w:rsidRDefault="006E54EA" w:rsidP="006E54EA">
            <w:pPr>
              <w:suppressLineNumbers/>
              <w:rPr>
                <w:rFonts w:ascii="Arial" w:hAnsi="Arial"/>
                <w:b/>
                <w:bCs/>
                <w:sz w:val="26"/>
                <w:szCs w:val="26"/>
                <w:rtl/>
              </w:rPr>
            </w:pPr>
            <w:r w:rsidRPr="00835D6A">
              <w:rPr>
                <w:rFonts w:ascii="Arial" w:hAnsi="Arial"/>
                <w:b/>
                <w:bCs/>
                <w:sz w:val="26"/>
                <w:szCs w:val="26"/>
                <w:rtl/>
              </w:rPr>
              <w:t>מדינת ישראל</w:t>
            </w:r>
            <w:r w:rsidRPr="00835D6A">
              <w:rPr>
                <w:rFonts w:ascii="Arial" w:hAnsi="Arial" w:hint="cs"/>
                <w:b/>
                <w:bCs/>
                <w:sz w:val="26"/>
                <w:szCs w:val="26"/>
                <w:rtl/>
              </w:rPr>
              <w:t xml:space="preserve"> </w:t>
            </w:r>
            <w:r w:rsidRPr="00835D6A">
              <w:rPr>
                <w:rFonts w:ascii="Arial" w:hAnsi="Arial"/>
                <w:b/>
                <w:bCs/>
                <w:sz w:val="26"/>
                <w:szCs w:val="26"/>
                <w:rtl/>
              </w:rPr>
              <w:t>–</w:t>
            </w:r>
            <w:r w:rsidRPr="00835D6A">
              <w:rPr>
                <w:rFonts w:ascii="Arial" w:hAnsi="Arial" w:hint="cs"/>
                <w:b/>
                <w:bCs/>
                <w:sz w:val="26"/>
                <w:szCs w:val="26"/>
                <w:rtl/>
              </w:rPr>
              <w:t xml:space="preserve"> תביעות  נגב</w:t>
            </w:r>
          </w:p>
          <w:p w14:paraId="6FED6CFA" w14:textId="77777777" w:rsidR="006E54EA" w:rsidRPr="00835D6A" w:rsidRDefault="006E54EA" w:rsidP="006E54EA">
            <w:pPr>
              <w:suppressLineNumbers/>
            </w:pPr>
            <w:r w:rsidRPr="00835D6A">
              <w:rPr>
                <w:rFonts w:ascii="Arial" w:hAnsi="Arial"/>
                <w:b/>
                <w:bCs/>
                <w:sz w:val="26"/>
                <w:szCs w:val="26"/>
                <w:rtl/>
              </w:rPr>
              <w:t>ע"י ב"כ עוה"ד</w:t>
            </w:r>
            <w:r w:rsidRPr="00835D6A">
              <w:rPr>
                <w:rFonts w:hint="cs"/>
                <w:rtl/>
              </w:rPr>
              <w:t xml:space="preserve"> </w:t>
            </w:r>
            <w:r w:rsidRPr="00835D6A">
              <w:rPr>
                <w:rFonts w:hint="cs"/>
                <w:b/>
                <w:bCs/>
                <w:rtl/>
              </w:rPr>
              <w:t>שגיא אבנעים</w:t>
            </w:r>
          </w:p>
          <w:p w14:paraId="027AB666" w14:textId="77777777" w:rsidR="006E54EA" w:rsidRPr="00835D6A" w:rsidRDefault="006E54EA" w:rsidP="00926067">
            <w:pPr>
              <w:rPr>
                <w:rFonts w:ascii="David" w:hAnsi="David"/>
                <w:sz w:val="26"/>
                <w:szCs w:val="26"/>
              </w:rPr>
            </w:pPr>
          </w:p>
        </w:tc>
      </w:tr>
      <w:bookmarkEnd w:id="1"/>
      <w:bookmarkEnd w:id="2"/>
      <w:tr w:rsidR="006E54EA" w:rsidRPr="00835D6A" w14:paraId="7C8B5907" w14:textId="77777777" w:rsidTr="006E54EA">
        <w:trPr>
          <w:trHeight w:val="355"/>
          <w:jc w:val="center"/>
        </w:trPr>
        <w:tc>
          <w:tcPr>
            <w:tcW w:w="923" w:type="dxa"/>
            <w:tcBorders>
              <w:top w:val="nil"/>
              <w:left w:val="nil"/>
              <w:bottom w:val="nil"/>
              <w:right w:val="nil"/>
            </w:tcBorders>
            <w:shd w:val="clear" w:color="auto" w:fill="auto"/>
          </w:tcPr>
          <w:p w14:paraId="703127AA" w14:textId="77777777" w:rsidR="006E54EA" w:rsidRPr="00835D6A" w:rsidRDefault="006E54EA" w:rsidP="006E54E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8CB9AD9" w14:textId="77777777" w:rsidR="006E54EA" w:rsidRPr="00835D6A" w:rsidRDefault="006E54EA" w:rsidP="006E54EA">
            <w:pPr>
              <w:jc w:val="center"/>
              <w:rPr>
                <w:rFonts w:ascii="David" w:hAnsi="David"/>
                <w:b/>
                <w:bCs/>
                <w:sz w:val="26"/>
                <w:szCs w:val="26"/>
                <w:rtl/>
              </w:rPr>
            </w:pPr>
          </w:p>
          <w:p w14:paraId="26003480" w14:textId="77777777" w:rsidR="006E54EA" w:rsidRPr="00835D6A" w:rsidRDefault="006E54EA" w:rsidP="006E54EA">
            <w:pPr>
              <w:jc w:val="center"/>
              <w:rPr>
                <w:rFonts w:ascii="David" w:hAnsi="David"/>
                <w:b/>
                <w:bCs/>
                <w:sz w:val="26"/>
                <w:szCs w:val="26"/>
                <w:rtl/>
              </w:rPr>
            </w:pPr>
            <w:r w:rsidRPr="00835D6A">
              <w:rPr>
                <w:rFonts w:ascii="David" w:hAnsi="David"/>
                <w:b/>
                <w:bCs/>
                <w:sz w:val="26"/>
                <w:szCs w:val="26"/>
                <w:rtl/>
              </w:rPr>
              <w:t>נגד</w:t>
            </w:r>
          </w:p>
          <w:p w14:paraId="70EAD8C8" w14:textId="77777777" w:rsidR="006E54EA" w:rsidRPr="00835D6A" w:rsidRDefault="006E54EA" w:rsidP="006E54EA">
            <w:pPr>
              <w:jc w:val="both"/>
              <w:rPr>
                <w:rFonts w:ascii="David" w:hAnsi="David"/>
                <w:sz w:val="26"/>
                <w:szCs w:val="26"/>
              </w:rPr>
            </w:pPr>
          </w:p>
        </w:tc>
      </w:tr>
      <w:tr w:rsidR="006E54EA" w:rsidRPr="00835D6A" w14:paraId="7EB036E2" w14:textId="77777777" w:rsidTr="006E54EA">
        <w:trPr>
          <w:trHeight w:val="355"/>
          <w:jc w:val="center"/>
        </w:trPr>
        <w:tc>
          <w:tcPr>
            <w:tcW w:w="923" w:type="dxa"/>
            <w:tcBorders>
              <w:top w:val="nil"/>
              <w:left w:val="nil"/>
              <w:bottom w:val="nil"/>
              <w:right w:val="nil"/>
            </w:tcBorders>
            <w:shd w:val="clear" w:color="auto" w:fill="auto"/>
          </w:tcPr>
          <w:p w14:paraId="08E362CC" w14:textId="77777777" w:rsidR="006E54EA" w:rsidRPr="00835D6A" w:rsidRDefault="006E54EA" w:rsidP="00926067">
            <w:pPr>
              <w:rPr>
                <w:rFonts w:ascii="David" w:hAnsi="David"/>
                <w:sz w:val="26"/>
                <w:szCs w:val="26"/>
                <w:rtl/>
              </w:rPr>
            </w:pPr>
          </w:p>
        </w:tc>
        <w:tc>
          <w:tcPr>
            <w:tcW w:w="3219" w:type="dxa"/>
            <w:tcBorders>
              <w:top w:val="nil"/>
              <w:left w:val="nil"/>
              <w:bottom w:val="nil"/>
              <w:right w:val="nil"/>
            </w:tcBorders>
            <w:shd w:val="clear" w:color="auto" w:fill="auto"/>
          </w:tcPr>
          <w:p w14:paraId="1651EC53" w14:textId="77777777" w:rsidR="006E54EA" w:rsidRPr="00835D6A" w:rsidRDefault="006E54EA" w:rsidP="00926067">
            <w:pPr>
              <w:rPr>
                <w:rFonts w:ascii="Arial" w:hAnsi="Arial"/>
                <w:b/>
                <w:bCs/>
                <w:sz w:val="26"/>
                <w:szCs w:val="26"/>
                <w:rtl/>
              </w:rPr>
            </w:pPr>
            <w:r w:rsidRPr="00835D6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FE3F92D" w14:textId="77777777" w:rsidR="006E54EA" w:rsidRPr="00835D6A" w:rsidRDefault="006E54EA" w:rsidP="006E54EA">
            <w:pPr>
              <w:suppressLineNumbers/>
              <w:rPr>
                <w:rFonts w:ascii="Arial" w:hAnsi="Arial"/>
                <w:b/>
                <w:bCs/>
                <w:sz w:val="26"/>
                <w:szCs w:val="26"/>
                <w:rtl/>
              </w:rPr>
            </w:pPr>
            <w:r w:rsidRPr="00835D6A">
              <w:rPr>
                <w:rFonts w:ascii="Arial" w:hAnsi="Arial"/>
                <w:b/>
                <w:bCs/>
                <w:sz w:val="26"/>
                <w:szCs w:val="26"/>
                <w:rtl/>
              </w:rPr>
              <w:t>אברהים אל קרעאן</w:t>
            </w:r>
            <w:r w:rsidRPr="00835D6A">
              <w:rPr>
                <w:rFonts w:ascii="Arial" w:hAnsi="Arial" w:hint="cs"/>
                <w:b/>
                <w:bCs/>
                <w:sz w:val="26"/>
                <w:szCs w:val="26"/>
                <w:rtl/>
              </w:rPr>
              <w:t xml:space="preserve"> </w:t>
            </w:r>
            <w:r w:rsidRPr="00835D6A">
              <w:rPr>
                <w:rFonts w:ascii="Arial" w:hAnsi="Arial"/>
                <w:b/>
                <w:bCs/>
                <w:sz w:val="26"/>
                <w:szCs w:val="26"/>
                <w:rtl/>
              </w:rPr>
              <w:t>–</w:t>
            </w:r>
            <w:r w:rsidRPr="00835D6A">
              <w:rPr>
                <w:rFonts w:ascii="Arial" w:hAnsi="Arial" w:hint="cs"/>
                <w:b/>
                <w:bCs/>
                <w:sz w:val="26"/>
                <w:szCs w:val="26"/>
                <w:rtl/>
              </w:rPr>
              <w:t xml:space="preserve"> </w:t>
            </w:r>
          </w:p>
          <w:p w14:paraId="47DB290F" w14:textId="77777777" w:rsidR="006E54EA" w:rsidRPr="00835D6A" w:rsidRDefault="006E54EA" w:rsidP="006E54EA">
            <w:pPr>
              <w:suppressLineNumbers/>
            </w:pPr>
            <w:r w:rsidRPr="00835D6A">
              <w:rPr>
                <w:rFonts w:ascii="Arial" w:hAnsi="Arial"/>
                <w:b/>
                <w:bCs/>
                <w:sz w:val="26"/>
                <w:szCs w:val="26"/>
                <w:rtl/>
              </w:rPr>
              <w:t>ע"י ב"כ עוה"ד</w:t>
            </w:r>
            <w:r w:rsidRPr="00835D6A">
              <w:rPr>
                <w:rFonts w:ascii="Arial" w:hAnsi="Arial" w:hint="cs"/>
                <w:b/>
                <w:bCs/>
                <w:sz w:val="26"/>
                <w:szCs w:val="26"/>
                <w:rtl/>
              </w:rPr>
              <w:t xml:space="preserve"> טאהר אלמכאווי </w:t>
            </w:r>
          </w:p>
          <w:p w14:paraId="3DC30C00" w14:textId="77777777" w:rsidR="006E54EA" w:rsidRPr="00835D6A" w:rsidRDefault="006E54EA" w:rsidP="00926067">
            <w:pPr>
              <w:rPr>
                <w:rFonts w:ascii="David" w:hAnsi="David"/>
                <w:sz w:val="26"/>
                <w:szCs w:val="26"/>
              </w:rPr>
            </w:pPr>
          </w:p>
        </w:tc>
      </w:tr>
      <w:tr w:rsidR="006E54EA" w:rsidRPr="00835D6A" w14:paraId="1F058B65" w14:textId="77777777" w:rsidTr="006E54EA">
        <w:trPr>
          <w:trHeight w:val="355"/>
          <w:jc w:val="center"/>
        </w:trPr>
        <w:tc>
          <w:tcPr>
            <w:tcW w:w="923" w:type="dxa"/>
            <w:tcBorders>
              <w:top w:val="nil"/>
              <w:left w:val="nil"/>
              <w:bottom w:val="nil"/>
              <w:right w:val="nil"/>
            </w:tcBorders>
            <w:shd w:val="clear" w:color="auto" w:fill="auto"/>
          </w:tcPr>
          <w:p w14:paraId="493688F7" w14:textId="77777777" w:rsidR="006E54EA" w:rsidRPr="00835D6A" w:rsidRDefault="006E54EA" w:rsidP="006E54EA">
            <w:pPr>
              <w:jc w:val="both"/>
              <w:rPr>
                <w:rFonts w:ascii="David" w:hAnsi="David"/>
                <w:sz w:val="26"/>
                <w:szCs w:val="26"/>
                <w:rtl/>
              </w:rPr>
            </w:pPr>
          </w:p>
        </w:tc>
        <w:tc>
          <w:tcPr>
            <w:tcW w:w="3219" w:type="dxa"/>
            <w:tcBorders>
              <w:top w:val="nil"/>
              <w:left w:val="nil"/>
              <w:bottom w:val="nil"/>
              <w:right w:val="nil"/>
            </w:tcBorders>
            <w:shd w:val="clear" w:color="auto" w:fill="auto"/>
          </w:tcPr>
          <w:p w14:paraId="4C315827" w14:textId="77777777" w:rsidR="006E54EA" w:rsidRPr="00835D6A" w:rsidRDefault="006E54EA" w:rsidP="006E54EA">
            <w:pPr>
              <w:jc w:val="both"/>
              <w:rPr>
                <w:rFonts w:ascii="David" w:hAnsi="David"/>
                <w:sz w:val="26"/>
                <w:szCs w:val="26"/>
                <w:rtl/>
              </w:rPr>
            </w:pPr>
          </w:p>
        </w:tc>
        <w:tc>
          <w:tcPr>
            <w:tcW w:w="4678" w:type="dxa"/>
            <w:tcBorders>
              <w:top w:val="nil"/>
              <w:left w:val="nil"/>
              <w:bottom w:val="nil"/>
              <w:right w:val="nil"/>
            </w:tcBorders>
            <w:shd w:val="clear" w:color="auto" w:fill="auto"/>
          </w:tcPr>
          <w:p w14:paraId="1C0FA3A4" w14:textId="77777777" w:rsidR="006E54EA" w:rsidRPr="00835D6A" w:rsidRDefault="006E54EA" w:rsidP="006E54EA">
            <w:pPr>
              <w:jc w:val="right"/>
              <w:rPr>
                <w:rFonts w:ascii="David" w:hAnsi="David"/>
                <w:sz w:val="26"/>
                <w:szCs w:val="26"/>
              </w:rPr>
            </w:pPr>
          </w:p>
        </w:tc>
      </w:tr>
    </w:tbl>
    <w:p w14:paraId="32C159BD" w14:textId="77777777" w:rsidR="006E54EA" w:rsidRPr="00835D6A" w:rsidRDefault="006E54EA" w:rsidP="006E54EA">
      <w:pPr>
        <w:rPr>
          <w:sz w:val="26"/>
          <w:szCs w:val="26"/>
        </w:rPr>
      </w:pPr>
    </w:p>
    <w:p w14:paraId="3E9C7C68" w14:textId="77777777" w:rsidR="00BF4621" w:rsidRPr="00BF4621" w:rsidRDefault="00BF4621" w:rsidP="00BF4621">
      <w:pPr>
        <w:spacing w:before="120" w:after="120" w:line="240" w:lineRule="exact"/>
        <w:ind w:left="283" w:hanging="283"/>
        <w:jc w:val="both"/>
        <w:rPr>
          <w:rFonts w:ascii="FrankRuehl" w:hAnsi="FrankRuehl" w:cs="FrankRuehl"/>
          <w:rtl/>
        </w:rPr>
      </w:pPr>
    </w:p>
    <w:p w14:paraId="145D65F8" w14:textId="77777777" w:rsidR="002B334B" w:rsidRDefault="002B334B" w:rsidP="002B334B">
      <w:pPr>
        <w:spacing w:line="360" w:lineRule="auto"/>
        <w:jc w:val="both"/>
        <w:rPr>
          <w:rtl/>
        </w:rPr>
      </w:pPr>
      <w:bookmarkStart w:id="3" w:name="LawTable"/>
      <w:bookmarkEnd w:id="3"/>
    </w:p>
    <w:p w14:paraId="5E1D99CF" w14:textId="77777777" w:rsidR="002B334B" w:rsidRPr="002B334B" w:rsidRDefault="002B334B" w:rsidP="002B334B">
      <w:pPr>
        <w:spacing w:before="120" w:after="120" w:line="240" w:lineRule="exact"/>
        <w:ind w:left="283" w:hanging="283"/>
        <w:jc w:val="both"/>
        <w:rPr>
          <w:rFonts w:ascii="FrankRuehl" w:hAnsi="FrankRuehl" w:cs="FrankRuehl"/>
          <w:rtl/>
        </w:rPr>
      </w:pPr>
    </w:p>
    <w:p w14:paraId="30A27550" w14:textId="77777777" w:rsidR="002B334B" w:rsidRPr="002B334B" w:rsidRDefault="002B334B" w:rsidP="002B334B">
      <w:pPr>
        <w:spacing w:before="120" w:after="120" w:line="240" w:lineRule="exact"/>
        <w:ind w:left="283" w:hanging="283"/>
        <w:jc w:val="both"/>
        <w:rPr>
          <w:rFonts w:ascii="FrankRuehl" w:hAnsi="FrankRuehl" w:cs="FrankRuehl"/>
          <w:rtl/>
        </w:rPr>
      </w:pPr>
    </w:p>
    <w:p w14:paraId="637B531B" w14:textId="77777777" w:rsidR="002B334B" w:rsidRPr="002B334B" w:rsidRDefault="002B334B" w:rsidP="002B334B">
      <w:pPr>
        <w:spacing w:before="120" w:after="120" w:line="240" w:lineRule="exact"/>
        <w:ind w:left="283" w:hanging="283"/>
        <w:jc w:val="both"/>
        <w:rPr>
          <w:rFonts w:ascii="FrankRuehl" w:hAnsi="FrankRuehl" w:cs="FrankRuehl"/>
          <w:rtl/>
        </w:rPr>
      </w:pPr>
      <w:r w:rsidRPr="002B334B">
        <w:rPr>
          <w:rFonts w:ascii="FrankRuehl" w:hAnsi="FrankRuehl" w:cs="FrankRuehl"/>
          <w:rtl/>
        </w:rPr>
        <w:t xml:space="preserve">חקיקה שאוזכרה: </w:t>
      </w:r>
    </w:p>
    <w:p w14:paraId="0D3012DF" w14:textId="77777777" w:rsidR="002B334B" w:rsidRPr="002B334B" w:rsidRDefault="002B334B" w:rsidP="002B334B">
      <w:pPr>
        <w:spacing w:before="120" w:after="120" w:line="240" w:lineRule="exact"/>
        <w:ind w:left="283" w:hanging="283"/>
        <w:jc w:val="both"/>
        <w:rPr>
          <w:rFonts w:ascii="FrankRuehl" w:hAnsi="FrankRuehl" w:cs="FrankRuehl"/>
          <w:rtl/>
        </w:rPr>
      </w:pPr>
      <w:hyperlink r:id="rId7" w:history="1">
        <w:r w:rsidRPr="002B334B">
          <w:rPr>
            <w:rFonts w:ascii="FrankRuehl" w:hAnsi="FrankRuehl" w:cs="FrankRuehl"/>
            <w:color w:val="0000FF"/>
            <w:rtl/>
          </w:rPr>
          <w:t>פקודת הסמים המסוכנים [נוסח חדש], תשל"ג-1973</w:t>
        </w:r>
      </w:hyperlink>
      <w:r w:rsidRPr="002B334B">
        <w:rPr>
          <w:rFonts w:ascii="FrankRuehl" w:hAnsi="FrankRuehl" w:cs="FrankRuehl"/>
          <w:rtl/>
        </w:rPr>
        <w:t xml:space="preserve">: סע'  </w:t>
      </w:r>
      <w:hyperlink r:id="rId8" w:history="1">
        <w:r w:rsidRPr="002B334B">
          <w:rPr>
            <w:rFonts w:ascii="FrankRuehl" w:hAnsi="FrankRuehl" w:cs="FrankRuehl"/>
            <w:color w:val="0000FF"/>
            <w:rtl/>
          </w:rPr>
          <w:t>7.א.</w:t>
        </w:r>
      </w:hyperlink>
      <w:r w:rsidRPr="002B334B">
        <w:rPr>
          <w:rFonts w:ascii="FrankRuehl" w:hAnsi="FrankRuehl" w:cs="FrankRuehl"/>
          <w:rtl/>
        </w:rPr>
        <w:t xml:space="preserve">, </w:t>
      </w:r>
      <w:hyperlink r:id="rId9" w:history="1">
        <w:r w:rsidRPr="002B334B">
          <w:rPr>
            <w:rFonts w:ascii="FrankRuehl" w:hAnsi="FrankRuehl" w:cs="FrankRuehl"/>
            <w:color w:val="0000FF"/>
            <w:rtl/>
          </w:rPr>
          <w:t>7.ג</w:t>
        </w:r>
      </w:hyperlink>
    </w:p>
    <w:p w14:paraId="0850A33F" w14:textId="77777777" w:rsidR="002B334B" w:rsidRPr="002B334B" w:rsidRDefault="002B334B" w:rsidP="002B334B">
      <w:pPr>
        <w:spacing w:before="120" w:after="120" w:line="240" w:lineRule="exact"/>
        <w:ind w:left="283" w:hanging="283"/>
        <w:jc w:val="both"/>
        <w:rPr>
          <w:rFonts w:ascii="FrankRuehl" w:hAnsi="FrankRuehl" w:cs="FrankRuehl"/>
          <w:rtl/>
        </w:rPr>
      </w:pPr>
      <w:hyperlink r:id="rId10" w:history="1">
        <w:r w:rsidRPr="002B334B">
          <w:rPr>
            <w:rFonts w:ascii="FrankRuehl" w:hAnsi="FrankRuehl" w:cs="FrankRuehl"/>
            <w:color w:val="0000FF"/>
            <w:rtl/>
          </w:rPr>
          <w:t>חוק העונשין, תשל"ז-1977</w:t>
        </w:r>
      </w:hyperlink>
    </w:p>
    <w:p w14:paraId="18935E23" w14:textId="77777777" w:rsidR="002B334B" w:rsidRPr="002B334B" w:rsidRDefault="002B334B" w:rsidP="002B334B">
      <w:pPr>
        <w:spacing w:line="360" w:lineRule="auto"/>
        <w:jc w:val="both"/>
        <w:rPr>
          <w:rtl/>
        </w:rPr>
      </w:pPr>
      <w:bookmarkStart w:id="4" w:name="LawTable_End"/>
      <w:bookmarkEnd w:id="4"/>
    </w:p>
    <w:p w14:paraId="688F2BAB" w14:textId="77777777" w:rsidR="006E54EA" w:rsidRPr="00BF4621" w:rsidRDefault="006E54EA" w:rsidP="00BF4621">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E54EA" w14:paraId="41C37147" w14:textId="77777777" w:rsidTr="006E54EA">
        <w:trPr>
          <w:trHeight w:val="355"/>
          <w:jc w:val="center"/>
        </w:trPr>
        <w:tc>
          <w:tcPr>
            <w:tcW w:w="8820" w:type="dxa"/>
            <w:tcBorders>
              <w:top w:val="nil"/>
              <w:left w:val="nil"/>
              <w:bottom w:val="nil"/>
              <w:right w:val="nil"/>
            </w:tcBorders>
            <w:shd w:val="clear" w:color="auto" w:fill="auto"/>
          </w:tcPr>
          <w:p w14:paraId="578B3FD9" w14:textId="77777777" w:rsidR="00835D6A" w:rsidRPr="00835D6A" w:rsidRDefault="00835D6A" w:rsidP="00835D6A">
            <w:pPr>
              <w:jc w:val="center"/>
              <w:rPr>
                <w:rFonts w:ascii="David" w:hAnsi="David"/>
                <w:b/>
                <w:bCs/>
                <w:sz w:val="32"/>
                <w:szCs w:val="32"/>
                <w:u w:val="single"/>
                <w:rtl/>
              </w:rPr>
            </w:pPr>
            <w:bookmarkStart w:id="5" w:name="PsakDin" w:colFirst="0" w:colLast="0"/>
            <w:bookmarkEnd w:id="0"/>
            <w:r w:rsidRPr="00835D6A">
              <w:rPr>
                <w:rFonts w:ascii="David" w:hAnsi="David"/>
                <w:b/>
                <w:bCs/>
                <w:sz w:val="32"/>
                <w:szCs w:val="32"/>
                <w:u w:val="single"/>
                <w:rtl/>
              </w:rPr>
              <w:t>גזר דין</w:t>
            </w:r>
          </w:p>
          <w:p w14:paraId="141D43EC" w14:textId="77777777" w:rsidR="006E54EA" w:rsidRPr="00835D6A" w:rsidRDefault="006E54EA" w:rsidP="00835D6A">
            <w:pPr>
              <w:jc w:val="center"/>
              <w:rPr>
                <w:rFonts w:ascii="David" w:hAnsi="David"/>
                <w:bCs/>
                <w:sz w:val="32"/>
                <w:szCs w:val="32"/>
                <w:u w:val="single"/>
                <w:rtl/>
              </w:rPr>
            </w:pPr>
          </w:p>
        </w:tc>
      </w:tr>
      <w:bookmarkEnd w:id="5"/>
    </w:tbl>
    <w:p w14:paraId="01DD81A5" w14:textId="77777777" w:rsidR="006E54EA" w:rsidRDefault="006E54EA" w:rsidP="006E54EA">
      <w:pPr>
        <w:spacing w:line="360" w:lineRule="auto"/>
        <w:jc w:val="both"/>
        <w:rPr>
          <w:rtl/>
        </w:rPr>
      </w:pPr>
    </w:p>
    <w:p w14:paraId="29C34A0B" w14:textId="77777777" w:rsidR="006E54EA" w:rsidRDefault="006E54EA" w:rsidP="006E54EA">
      <w:pPr>
        <w:spacing w:line="360" w:lineRule="auto"/>
        <w:jc w:val="both"/>
      </w:pPr>
      <w:bookmarkStart w:id="6" w:name="ABSTRACT_START"/>
      <w:bookmarkEnd w:id="6"/>
      <w:r>
        <w:rPr>
          <w:rtl/>
        </w:rPr>
        <w:t>על יסוד הודאתו</w:t>
      </w:r>
      <w:r>
        <w:rPr>
          <w:rFonts w:hint="cs"/>
          <w:rtl/>
        </w:rPr>
        <w:t xml:space="preserve"> בעובדות כתב האישום המתוקן</w:t>
      </w:r>
      <w:r>
        <w:rPr>
          <w:rtl/>
        </w:rPr>
        <w:t>, הורשע הנאשם</w:t>
      </w:r>
      <w:r>
        <w:rPr>
          <w:rFonts w:hint="cs"/>
          <w:rtl/>
        </w:rPr>
        <w:t xml:space="preserve"> </w:t>
      </w:r>
      <w:r>
        <w:rPr>
          <w:rtl/>
        </w:rPr>
        <w:t xml:space="preserve">בהחזקת סם מסוכן שלא לצריכה עצמית, עבירה לפי </w:t>
      </w:r>
      <w:hyperlink r:id="rId11" w:history="1">
        <w:r w:rsidR="004A3D44" w:rsidRPr="004A3D44">
          <w:rPr>
            <w:rStyle w:val="Hyperlink"/>
            <w:rtl/>
          </w:rPr>
          <w:t>סעיף 7(א)+(ג)</w:t>
        </w:r>
      </w:hyperlink>
      <w:r>
        <w:rPr>
          <w:rtl/>
        </w:rPr>
        <w:t xml:space="preserve"> רישא ב</w:t>
      </w:r>
      <w:hyperlink r:id="rId12" w:history="1">
        <w:r w:rsidR="00835D6A" w:rsidRPr="00835D6A">
          <w:rPr>
            <w:color w:val="0000FF"/>
            <w:u w:val="single"/>
            <w:rtl/>
          </w:rPr>
          <w:t>פקודת הסמים המסוכנים</w:t>
        </w:r>
      </w:hyperlink>
      <w:r>
        <w:rPr>
          <w:rtl/>
        </w:rPr>
        <w:t xml:space="preserve"> [נוסח חדש] תשל"ג – 1973</w:t>
      </w:r>
      <w:bookmarkStart w:id="7" w:name="ABSTRACT_END"/>
      <w:bookmarkEnd w:id="7"/>
      <w:r>
        <w:rPr>
          <w:rtl/>
        </w:rPr>
        <w:t>.</w:t>
      </w:r>
    </w:p>
    <w:p w14:paraId="43FC5D31" w14:textId="77777777" w:rsidR="006E54EA" w:rsidRDefault="006E54EA" w:rsidP="006E54EA">
      <w:pPr>
        <w:spacing w:line="360" w:lineRule="auto"/>
        <w:jc w:val="both"/>
        <w:rPr>
          <w:rtl/>
        </w:rPr>
      </w:pPr>
    </w:p>
    <w:p w14:paraId="438FFF6F" w14:textId="77777777" w:rsidR="006E54EA" w:rsidRDefault="006E54EA" w:rsidP="006E54EA">
      <w:pPr>
        <w:spacing w:line="360" w:lineRule="auto"/>
        <w:jc w:val="both"/>
        <w:rPr>
          <w:b/>
          <w:bCs/>
          <w:sz w:val="26"/>
          <w:szCs w:val="26"/>
          <w:u w:val="single"/>
          <w:rtl/>
        </w:rPr>
      </w:pPr>
      <w:r>
        <w:rPr>
          <w:b/>
          <w:bCs/>
          <w:sz w:val="26"/>
          <w:szCs w:val="26"/>
          <w:u w:val="single"/>
          <w:rtl/>
        </w:rPr>
        <w:t xml:space="preserve">כתב </w:t>
      </w:r>
      <w:r>
        <w:rPr>
          <w:rFonts w:hint="cs"/>
          <w:b/>
          <w:bCs/>
          <w:sz w:val="26"/>
          <w:szCs w:val="26"/>
          <w:u w:val="single"/>
          <w:rtl/>
        </w:rPr>
        <w:t>ה</w:t>
      </w:r>
      <w:r>
        <w:rPr>
          <w:b/>
          <w:bCs/>
          <w:sz w:val="26"/>
          <w:szCs w:val="26"/>
          <w:u w:val="single"/>
          <w:rtl/>
        </w:rPr>
        <w:t xml:space="preserve">אישום </w:t>
      </w:r>
      <w:r>
        <w:rPr>
          <w:rFonts w:hint="cs"/>
          <w:b/>
          <w:bCs/>
          <w:sz w:val="26"/>
          <w:szCs w:val="26"/>
          <w:u w:val="single"/>
          <w:rtl/>
        </w:rPr>
        <w:t>ה</w:t>
      </w:r>
      <w:r>
        <w:rPr>
          <w:b/>
          <w:bCs/>
          <w:sz w:val="26"/>
          <w:szCs w:val="26"/>
          <w:u w:val="single"/>
          <w:rtl/>
        </w:rPr>
        <w:t>מתוקן</w:t>
      </w:r>
    </w:p>
    <w:p w14:paraId="06472EFA" w14:textId="77777777" w:rsidR="006E54EA" w:rsidRDefault="006E54EA" w:rsidP="006E54EA">
      <w:pPr>
        <w:spacing w:line="360" w:lineRule="auto"/>
        <w:jc w:val="both"/>
        <w:rPr>
          <w:rFonts w:ascii="Arial" w:hAnsi="Arial"/>
          <w:rtl/>
        </w:rPr>
      </w:pPr>
      <w:r>
        <w:rPr>
          <w:rFonts w:ascii="Arial" w:hAnsi="Arial"/>
          <w:rtl/>
        </w:rPr>
        <w:t>מעובדות כתב האישום המתוקן עולה כי ביום 01.01.2023, נמצא הנאשם מחזיק בביתו שבעיר רהט</w:t>
      </w:r>
      <w:r>
        <w:rPr>
          <w:rFonts w:ascii="Arial" w:hAnsi="Arial" w:hint="cs"/>
          <w:rtl/>
        </w:rPr>
        <w:t>,</w:t>
      </w:r>
      <w:r>
        <w:rPr>
          <w:rFonts w:ascii="Arial" w:hAnsi="Arial"/>
          <w:rtl/>
        </w:rPr>
        <w:t xml:space="preserve"> סם מסוכן מסוג קנבוס במשקל כולל של כ 610 גרם</w:t>
      </w:r>
      <w:r>
        <w:rPr>
          <w:rFonts w:ascii="Arial" w:hAnsi="Arial" w:hint="cs"/>
          <w:rtl/>
        </w:rPr>
        <w:t>,</w:t>
      </w:r>
      <w:r>
        <w:rPr>
          <w:rFonts w:ascii="Arial" w:hAnsi="Arial"/>
          <w:rtl/>
        </w:rPr>
        <w:t xml:space="preserve"> שלא לצריכתו העצמית. </w:t>
      </w:r>
    </w:p>
    <w:p w14:paraId="73E1E4A4" w14:textId="77777777" w:rsidR="006E54EA" w:rsidRDefault="006E54EA" w:rsidP="006E54EA">
      <w:pPr>
        <w:spacing w:line="360" w:lineRule="auto"/>
        <w:jc w:val="both"/>
        <w:rPr>
          <w:rFonts w:ascii="Arial" w:hAnsi="Arial"/>
          <w:rtl/>
        </w:rPr>
      </w:pPr>
    </w:p>
    <w:p w14:paraId="3C0D4DC8" w14:textId="77777777" w:rsidR="006E54EA" w:rsidRPr="00F06004" w:rsidRDefault="006E54EA" w:rsidP="006E54EA">
      <w:pPr>
        <w:spacing w:line="360" w:lineRule="auto"/>
        <w:jc w:val="both"/>
        <w:rPr>
          <w:rFonts w:ascii="Arial" w:hAnsi="Arial"/>
          <w:b/>
          <w:bCs/>
          <w:sz w:val="26"/>
          <w:szCs w:val="26"/>
          <w:u w:val="single"/>
          <w:rtl/>
        </w:rPr>
      </w:pPr>
      <w:r w:rsidRPr="00F06004">
        <w:rPr>
          <w:rFonts w:ascii="Arial" w:hAnsi="Arial"/>
          <w:b/>
          <w:bCs/>
          <w:sz w:val="26"/>
          <w:szCs w:val="26"/>
          <w:u w:val="single"/>
          <w:rtl/>
        </w:rPr>
        <w:t xml:space="preserve">ראיות וטיעוני הצדדים </w:t>
      </w:r>
    </w:p>
    <w:p w14:paraId="656DC234" w14:textId="77777777" w:rsidR="006E54EA" w:rsidRDefault="006E54EA" w:rsidP="006E54EA">
      <w:pPr>
        <w:spacing w:line="360" w:lineRule="auto"/>
        <w:jc w:val="both"/>
        <w:rPr>
          <w:noProof/>
          <w:rtl/>
        </w:rPr>
      </w:pPr>
      <w:r>
        <w:rPr>
          <w:rFonts w:ascii="Arial" w:hAnsi="Arial"/>
          <w:b/>
          <w:bCs/>
          <w:rtl/>
        </w:rPr>
        <w:lastRenderedPageBreak/>
        <w:t>ב"כ התביעה, עוה"ד שגיא אב</w:t>
      </w:r>
      <w:r w:rsidRPr="00F06004">
        <w:rPr>
          <w:rFonts w:ascii="Arial" w:hAnsi="Arial"/>
          <w:b/>
          <w:bCs/>
          <w:rtl/>
        </w:rPr>
        <w:t>נעים</w:t>
      </w:r>
      <w:r>
        <w:rPr>
          <w:rFonts w:ascii="Arial" w:hAnsi="Arial"/>
          <w:rtl/>
        </w:rPr>
        <w:t xml:space="preserve">, טען לפגיעת הנאשם בערכים המוגנים שבבסיס האיסור בעבירות הסמים, ובשים לב לסוג הסם והכמות אותה החזיק הנאשם שלא לצריכתו העצמית , </w:t>
      </w:r>
      <w:r>
        <w:rPr>
          <w:rtl/>
        </w:rPr>
        <w:t xml:space="preserve">עתר לקבוע את מתחם העונש כך שינוע בין   9 </w:t>
      </w:r>
      <w:r>
        <w:rPr>
          <w:rFonts w:hint="cs"/>
          <w:rtl/>
        </w:rPr>
        <w:t xml:space="preserve"> ל</w:t>
      </w:r>
      <w:r>
        <w:rPr>
          <w:rtl/>
        </w:rPr>
        <w:t>– 18 חודשי מאסר בפועל</w:t>
      </w:r>
      <w:r>
        <w:rPr>
          <w:rFonts w:hint="cs"/>
          <w:rtl/>
        </w:rPr>
        <w:t xml:space="preserve">.  </w:t>
      </w:r>
      <w:r>
        <w:rPr>
          <w:rtl/>
        </w:rPr>
        <w:t xml:space="preserve">בתימוכין </w:t>
      </w:r>
      <w:r>
        <w:rPr>
          <w:rFonts w:hint="cs"/>
          <w:rtl/>
        </w:rPr>
        <w:t xml:space="preserve">למתחם </w:t>
      </w:r>
      <w:r>
        <w:rPr>
          <w:rtl/>
        </w:rPr>
        <w:t xml:space="preserve">הפנה למקרים </w:t>
      </w:r>
      <w:r>
        <w:rPr>
          <w:rFonts w:hint="cs"/>
          <w:rtl/>
        </w:rPr>
        <w:t xml:space="preserve">שונים </w:t>
      </w:r>
      <w:r>
        <w:rPr>
          <w:rtl/>
        </w:rPr>
        <w:t xml:space="preserve">בפסיקה.  </w:t>
      </w:r>
    </w:p>
    <w:p w14:paraId="3EC028D8" w14:textId="77777777" w:rsidR="006E54EA" w:rsidRDefault="006E54EA" w:rsidP="006E54EA">
      <w:pPr>
        <w:spacing w:line="360" w:lineRule="auto"/>
        <w:jc w:val="both"/>
        <w:rPr>
          <w:rtl/>
        </w:rPr>
      </w:pPr>
      <w:r>
        <w:rPr>
          <w:rtl/>
        </w:rPr>
        <w:t>באשר לעונשו של הנאשם</w:t>
      </w:r>
      <w:r>
        <w:rPr>
          <w:rFonts w:hint="cs"/>
          <w:rtl/>
        </w:rPr>
        <w:t>,</w:t>
      </w:r>
      <w:r>
        <w:rPr>
          <w:rtl/>
        </w:rPr>
        <w:t xml:space="preserve"> ציין בהעדר עבר פלילי קודם ועתר לגזור את עונשו בחלקו הנמוך של המתחם, ובנוס להשית עליו מאסר על תנאי שהיה בו להרתיעו מחזור על עבירות סמים, קנס ופסילת רישיון נהיגה בפועל בהתאם למדיניות הענישה בעבירות של החזקת סמים שלא לצריכה עצמית. </w:t>
      </w:r>
    </w:p>
    <w:p w14:paraId="6CEBCC25" w14:textId="77777777" w:rsidR="006E54EA" w:rsidRDefault="006E54EA" w:rsidP="006E54EA">
      <w:pPr>
        <w:spacing w:line="360" w:lineRule="auto"/>
        <w:jc w:val="both"/>
        <w:rPr>
          <w:rtl/>
        </w:rPr>
      </w:pPr>
    </w:p>
    <w:p w14:paraId="2D0393F0" w14:textId="77777777" w:rsidR="006E54EA" w:rsidRDefault="006E54EA" w:rsidP="006E54EA">
      <w:pPr>
        <w:spacing w:line="360" w:lineRule="auto"/>
        <w:jc w:val="both"/>
        <w:rPr>
          <w:rtl/>
        </w:rPr>
      </w:pPr>
      <w:r>
        <w:rPr>
          <w:b/>
          <w:bCs/>
          <w:rtl/>
        </w:rPr>
        <w:t>ב"כ הנאשם, עוה"ד טהאר אלמכאוי</w:t>
      </w:r>
      <w:r>
        <w:rPr>
          <w:rtl/>
        </w:rPr>
        <w:t>, טען כי הגם שאין להקל ראש במעשי הנאשם, עם זאת, משמדובר בסם הקנבוס שאינו מהקשים שבפקודת הסמים, במשקל  כ 600 גרם שהוחזק בבית בתוך חדר השינה, באופן הנעדר כל א</w:t>
      </w:r>
      <w:r>
        <w:rPr>
          <w:rFonts w:hint="cs"/>
          <w:rtl/>
        </w:rPr>
        <w:t>י</w:t>
      </w:r>
      <w:r>
        <w:rPr>
          <w:rtl/>
        </w:rPr>
        <w:t>נד</w:t>
      </w:r>
      <w:r>
        <w:rPr>
          <w:rFonts w:hint="cs"/>
          <w:rtl/>
        </w:rPr>
        <w:t>י</w:t>
      </w:r>
      <w:r>
        <w:rPr>
          <w:rtl/>
        </w:rPr>
        <w:t>קציה להפצה וסחר, ובשים לב לתיקון החוק באשר לענישה בדמות בררת קנס בעבירה של החזקת קנבוס לצריכה עצמית - מתחם העונש ההולם ראוי כי יחל ממספר חודשי מאסר על תנאי ועד מספר חודשי עבודות שירות.</w:t>
      </w:r>
    </w:p>
    <w:p w14:paraId="7D4F389F" w14:textId="77777777" w:rsidR="006E54EA" w:rsidRDefault="006E54EA" w:rsidP="006E54EA">
      <w:pPr>
        <w:spacing w:line="360" w:lineRule="auto"/>
        <w:jc w:val="both"/>
        <w:rPr>
          <w:rtl/>
        </w:rPr>
      </w:pPr>
      <w:r>
        <w:rPr>
          <w:rtl/>
        </w:rPr>
        <w:t xml:space="preserve">בהקשר עם המתחם הוסיף, כי אין כל משמעות לעובדה כי חלק מהסם הוחזק בסלון הבית וחלק בחדר השינה, כפי שמבקשת התביעה לתת לנתון זה. </w:t>
      </w:r>
    </w:p>
    <w:p w14:paraId="633C352E" w14:textId="77777777" w:rsidR="006E54EA" w:rsidRDefault="006E54EA" w:rsidP="006E54EA">
      <w:pPr>
        <w:spacing w:line="360" w:lineRule="auto"/>
        <w:jc w:val="both"/>
        <w:rPr>
          <w:rtl/>
        </w:rPr>
      </w:pPr>
      <w:r>
        <w:rPr>
          <w:rtl/>
        </w:rPr>
        <w:t xml:space="preserve">נטען כי מתחם העונש לו עתרה התביעה אינו הולם את מעשי הנאשם, כך גם המקרים אליהם הפנתה בתימוכין למתחם העונש לו עתר. מצדו, הפנה למקרים שנסיבותיהם חמורות יותר, שם נגזרו עונשים בדמות מאסר על תנאי ושעות של"צ. </w:t>
      </w:r>
    </w:p>
    <w:p w14:paraId="17D104A6" w14:textId="77777777" w:rsidR="006E54EA" w:rsidRDefault="006E54EA" w:rsidP="006E54EA">
      <w:pPr>
        <w:spacing w:line="360" w:lineRule="auto"/>
        <w:jc w:val="both"/>
        <w:rPr>
          <w:rtl/>
        </w:rPr>
      </w:pPr>
      <w:r>
        <w:rPr>
          <w:rtl/>
        </w:rPr>
        <w:t>אשר לעונשו של הנאשם, הדגיש בגילו, 40 שנים</w:t>
      </w:r>
      <w:r>
        <w:rPr>
          <w:rFonts w:hint="cs"/>
          <w:rtl/>
        </w:rPr>
        <w:t>,</w:t>
      </w:r>
      <w:r>
        <w:rPr>
          <w:rtl/>
        </w:rPr>
        <w:t xml:space="preserve"> לצד העובדה כי זהו מעמדו המשפטי הראשון וכי לא מדובר בעבריין בכלל או עבריין סמים</w:t>
      </w:r>
      <w:r>
        <w:rPr>
          <w:rFonts w:hint="cs"/>
          <w:rtl/>
        </w:rPr>
        <w:t>, ועל כן לא יהיה זה מידתי להחמיר עמו</w:t>
      </w:r>
      <w:r>
        <w:rPr>
          <w:rtl/>
        </w:rPr>
        <w:t>.</w:t>
      </w:r>
    </w:p>
    <w:p w14:paraId="48AC0D1A" w14:textId="77777777" w:rsidR="006E54EA" w:rsidRDefault="006E54EA" w:rsidP="006E54EA">
      <w:pPr>
        <w:spacing w:line="360" w:lineRule="auto"/>
        <w:jc w:val="both"/>
        <w:rPr>
          <w:rtl/>
        </w:rPr>
      </w:pPr>
      <w:r>
        <w:rPr>
          <w:rFonts w:hint="cs"/>
          <w:rtl/>
        </w:rPr>
        <w:t xml:space="preserve">נטען כי יש להביא בחשבון את מעצרו של </w:t>
      </w:r>
      <w:r>
        <w:rPr>
          <w:rtl/>
        </w:rPr>
        <w:t>הנאשם</w:t>
      </w:r>
      <w:r>
        <w:rPr>
          <w:rFonts w:hint="cs"/>
          <w:rtl/>
        </w:rPr>
        <w:t>, משך 10 ימים מאחורי סורג ובריח לראשונה בחייו, כשלאחר שחרורו ממעצר</w:t>
      </w:r>
      <w:r>
        <w:rPr>
          <w:rtl/>
        </w:rPr>
        <w:t xml:space="preserve"> היה נתון בתנאים מגבילים בהם נתון עד היום, כשלדידו, די באלה </w:t>
      </w:r>
      <w:r>
        <w:rPr>
          <w:rFonts w:hint="cs"/>
          <w:rtl/>
        </w:rPr>
        <w:t xml:space="preserve">ללמד אותו לקח </w:t>
      </w:r>
      <w:r>
        <w:rPr>
          <w:rtl/>
        </w:rPr>
        <w:t xml:space="preserve">ולהרתיעו מלחזור ולבצע עבירה דומה ובכלל. </w:t>
      </w:r>
    </w:p>
    <w:p w14:paraId="0B7F6C26" w14:textId="77777777" w:rsidR="006E54EA" w:rsidRDefault="006E54EA" w:rsidP="006E54EA">
      <w:pPr>
        <w:spacing w:line="360" w:lineRule="auto"/>
        <w:jc w:val="both"/>
        <w:rPr>
          <w:rtl/>
        </w:rPr>
      </w:pPr>
      <w:r>
        <w:rPr>
          <w:rtl/>
        </w:rPr>
        <w:t xml:space="preserve">אשר לעתירת התביעה לפסול את הנאשם מלנהוג, טען כי יש לדחותה בהינתן כי הנאשם לא עשה שימוש ברכב.  </w:t>
      </w:r>
    </w:p>
    <w:p w14:paraId="3264AF25" w14:textId="77777777" w:rsidR="006E54EA" w:rsidRDefault="006E54EA" w:rsidP="006E54EA">
      <w:pPr>
        <w:spacing w:line="360" w:lineRule="auto"/>
        <w:jc w:val="both"/>
        <w:rPr>
          <w:b/>
          <w:bCs/>
          <w:rtl/>
        </w:rPr>
      </w:pPr>
    </w:p>
    <w:p w14:paraId="5B9FE0E7" w14:textId="77777777" w:rsidR="006E54EA" w:rsidRDefault="006E54EA" w:rsidP="006E54EA">
      <w:pPr>
        <w:spacing w:line="360" w:lineRule="auto"/>
        <w:jc w:val="both"/>
        <w:rPr>
          <w:rtl/>
        </w:rPr>
      </w:pPr>
      <w:r w:rsidRPr="000A2194">
        <w:rPr>
          <w:b/>
          <w:bCs/>
          <w:rtl/>
        </w:rPr>
        <w:t>הנאשם בדבריו</w:t>
      </w:r>
      <w:r>
        <w:rPr>
          <w:rtl/>
        </w:rPr>
        <w:t xml:space="preserve">, מסר כי הגם שמדובר בכמות שאינה לצריכה עצמית, החזיק את הסמים לצריכתו </w:t>
      </w:r>
      <w:r>
        <w:rPr>
          <w:rFonts w:hint="cs"/>
          <w:rtl/>
        </w:rPr>
        <w:t xml:space="preserve">בלבד </w:t>
      </w:r>
      <w:r>
        <w:rPr>
          <w:rtl/>
        </w:rPr>
        <w:t xml:space="preserve">ובכל מקרה הביע צער וחרטה ובקש שלא להחמיר בעונשו. </w:t>
      </w:r>
    </w:p>
    <w:p w14:paraId="1F83DC2E" w14:textId="77777777" w:rsidR="006E54EA" w:rsidRDefault="006E54EA" w:rsidP="006E54EA">
      <w:pPr>
        <w:spacing w:line="360" w:lineRule="auto"/>
        <w:jc w:val="both"/>
        <w:rPr>
          <w:b/>
          <w:bCs/>
          <w:u w:val="single"/>
          <w:rtl/>
        </w:rPr>
      </w:pPr>
    </w:p>
    <w:p w14:paraId="20A29785" w14:textId="77777777" w:rsidR="006E54EA" w:rsidRDefault="006E54EA" w:rsidP="006E54EA">
      <w:pPr>
        <w:spacing w:line="360" w:lineRule="auto"/>
        <w:jc w:val="both"/>
        <w:rPr>
          <w:rFonts w:ascii="Arial" w:hAnsi="Arial"/>
          <w:b/>
          <w:bCs/>
          <w:sz w:val="28"/>
          <w:szCs w:val="28"/>
          <w:u w:val="single"/>
          <w:rtl/>
        </w:rPr>
      </w:pPr>
    </w:p>
    <w:p w14:paraId="189B95BF" w14:textId="77777777" w:rsidR="006E54EA" w:rsidRDefault="006E54EA" w:rsidP="006E54EA">
      <w:pPr>
        <w:spacing w:line="360" w:lineRule="auto"/>
        <w:jc w:val="both"/>
        <w:rPr>
          <w:rFonts w:ascii="Arial" w:hAnsi="Arial"/>
          <w:b/>
          <w:bCs/>
          <w:sz w:val="28"/>
          <w:szCs w:val="28"/>
          <w:u w:val="single"/>
          <w:rtl/>
        </w:rPr>
      </w:pPr>
      <w:r>
        <w:rPr>
          <w:rFonts w:ascii="Arial" w:hAnsi="Arial"/>
          <w:b/>
          <w:bCs/>
          <w:sz w:val="28"/>
          <w:szCs w:val="28"/>
          <w:u w:val="single"/>
          <w:rtl/>
        </w:rPr>
        <w:t xml:space="preserve">דיון והכרעה </w:t>
      </w:r>
    </w:p>
    <w:p w14:paraId="23CC7E5B" w14:textId="77777777" w:rsidR="006E54EA" w:rsidRDefault="006E54EA" w:rsidP="006E54EA">
      <w:pPr>
        <w:spacing w:line="360" w:lineRule="auto"/>
        <w:jc w:val="both"/>
        <w:rPr>
          <w:rFonts w:ascii="Arial" w:hAnsi="Arial"/>
          <w:b/>
          <w:bCs/>
          <w:rtl/>
        </w:rPr>
      </w:pPr>
    </w:p>
    <w:p w14:paraId="771824D9" w14:textId="77777777" w:rsidR="006E54EA" w:rsidRPr="000E6583" w:rsidRDefault="006E54EA" w:rsidP="006E54EA">
      <w:pPr>
        <w:spacing w:line="360" w:lineRule="auto"/>
        <w:jc w:val="both"/>
        <w:rPr>
          <w:rFonts w:ascii="Arial" w:hAnsi="Arial"/>
          <w:b/>
          <w:bCs/>
          <w:sz w:val="26"/>
          <w:szCs w:val="26"/>
          <w:rtl/>
        </w:rPr>
      </w:pPr>
      <w:r w:rsidRPr="000E6583">
        <w:rPr>
          <w:rFonts w:ascii="Arial" w:hAnsi="Arial"/>
          <w:b/>
          <w:bCs/>
          <w:sz w:val="26"/>
          <w:szCs w:val="26"/>
          <w:rtl/>
        </w:rPr>
        <w:t>מתחם העונש ההולם</w:t>
      </w:r>
    </w:p>
    <w:p w14:paraId="744A9715" w14:textId="77777777" w:rsidR="006E54EA" w:rsidRDefault="006E54EA" w:rsidP="006E54EA">
      <w:pPr>
        <w:snapToGrid w:val="0"/>
        <w:spacing w:line="360" w:lineRule="auto"/>
        <w:jc w:val="both"/>
        <w:rPr>
          <w:rtl/>
          <w:lang w:eastAsia="he-IL"/>
        </w:rPr>
      </w:pPr>
      <w:r>
        <w:rPr>
          <w:rtl/>
          <w:lang w:eastAsia="he-IL"/>
        </w:rPr>
        <w:t>מתחם העונש למעשה העבירה נקבע בהתאם לעיקרון ההלימה, לפיו נדרש יחס הולם בין חומרת מעשה העבירה בנסיבותיו ומידת האשם של הנאשם, לבין סוג ומידת העונש המוטל עליו. ביישום עיקרון זה, על בית המשפט להתחשב בערך החברתי שנפגע ומידת הפגיעה בו; בנסיבות הקשורות בביצוע העבירה ובמדיניות הענישה הנוהגת.</w:t>
      </w:r>
    </w:p>
    <w:p w14:paraId="6C930360" w14:textId="77777777" w:rsidR="006E54EA" w:rsidRDefault="006E54EA" w:rsidP="006E54EA">
      <w:pPr>
        <w:snapToGrid w:val="0"/>
        <w:spacing w:line="360" w:lineRule="auto"/>
        <w:jc w:val="both"/>
        <w:rPr>
          <w:rtl/>
          <w:lang w:eastAsia="he-IL"/>
        </w:rPr>
      </w:pPr>
    </w:p>
    <w:p w14:paraId="5EF578BA" w14:textId="77777777" w:rsidR="006E54EA" w:rsidRDefault="006E54EA" w:rsidP="006E54EA">
      <w:pPr>
        <w:spacing w:line="360" w:lineRule="auto"/>
        <w:jc w:val="both"/>
        <w:rPr>
          <w:b/>
          <w:bCs/>
          <w:noProof/>
        </w:rPr>
      </w:pPr>
      <w:r>
        <w:rPr>
          <w:b/>
          <w:bCs/>
          <w:rtl/>
        </w:rPr>
        <w:t>הערכים המוגנים</w:t>
      </w:r>
      <w:r>
        <w:rPr>
          <w:rtl/>
        </w:rPr>
        <w:t xml:space="preserve"> בבסיס האיסור על עבירות סמים, נועדו להגן על שלומו ובריאותו של הציבור מפני פגיעתם הקשה של הסמים  אשר היקפה רחב והשפעתה משלחת בחברה בריאותית, חברתית וכלכלית. </w:t>
      </w:r>
    </w:p>
    <w:p w14:paraId="0A256558" w14:textId="77777777" w:rsidR="006E54EA" w:rsidRDefault="006E54EA" w:rsidP="006E54EA">
      <w:pPr>
        <w:spacing w:line="360" w:lineRule="auto"/>
        <w:ind w:left="720" w:right="993"/>
        <w:jc w:val="both"/>
        <w:rPr>
          <w:b/>
          <w:bCs/>
          <w:rtl/>
        </w:rPr>
      </w:pPr>
    </w:p>
    <w:p w14:paraId="57AD986A" w14:textId="77777777" w:rsidR="006E54EA" w:rsidRDefault="006E54EA" w:rsidP="006E54EA">
      <w:pPr>
        <w:spacing w:line="360" w:lineRule="auto"/>
        <w:jc w:val="both"/>
        <w:rPr>
          <w:rtl/>
        </w:rPr>
      </w:pPr>
      <w:r>
        <w:rPr>
          <w:b/>
          <w:bCs/>
          <w:rtl/>
        </w:rPr>
        <w:t xml:space="preserve">מידת פגיעת הנאשם בערכים המוגנים, אינה משמעותית. בחינת הנסיבות הקשורות לעבירה, </w:t>
      </w:r>
      <w:r>
        <w:rPr>
          <w:rtl/>
        </w:rPr>
        <w:t xml:space="preserve">על פי רוב, תביא בחשבון את סוג וכמות הסם, אופן החזקתו ועד כמה נראה כי ההחזקה קרובה יותר להפצה וסחר (חלוקה למספר רב של מנות לצריכה עצמית, כספים שנתפסו, משקל אלקטרוני, רשימת שמות וכדומה). </w:t>
      </w:r>
    </w:p>
    <w:p w14:paraId="39BD043B" w14:textId="77777777" w:rsidR="006E54EA" w:rsidRDefault="006E54EA" w:rsidP="006E54EA">
      <w:pPr>
        <w:spacing w:line="360" w:lineRule="auto"/>
        <w:jc w:val="both"/>
        <w:rPr>
          <w:rFonts w:ascii="Calibri" w:eastAsia="Calibri" w:hAnsi="Calibri"/>
          <w:rtl/>
        </w:rPr>
      </w:pPr>
      <w:r>
        <w:rPr>
          <w:rtl/>
        </w:rPr>
        <w:t xml:space="preserve">במקרה הנדון נמצא </w:t>
      </w:r>
      <w:r>
        <w:rPr>
          <w:rFonts w:ascii="Calibri" w:hAnsi="Calibri"/>
          <w:rtl/>
        </w:rPr>
        <w:t xml:space="preserve">בנסיבותיהן של העבירות מאפיינם יחסיים לקולא, אשר מבדילים בין פרשה פלילית זו לפרשות חמורות יותר בעבירה של החזקת סמים שלא לצריכה עצמית. בכלל זה יש לראות </w:t>
      </w:r>
      <w:r>
        <w:rPr>
          <w:rtl/>
        </w:rPr>
        <w:t xml:space="preserve">את סוג הסם, קנבוס, שאינו נמנה עם הסמים הקשים שבפקודת הסמים, אם כי נציין שזה ידוע כסם מסוכן ובעל פוטנציאל לסכן את בריאות הציבור, ונכלל במאבק </w:t>
      </w:r>
      <w:r>
        <w:rPr>
          <w:rFonts w:ascii="Calibri" w:eastAsia="Calibri" w:hAnsi="Calibri"/>
          <w:rtl/>
        </w:rPr>
        <w:t xml:space="preserve">בהפצת הסמים.  </w:t>
      </w:r>
    </w:p>
    <w:p w14:paraId="23583097" w14:textId="77777777" w:rsidR="006E54EA" w:rsidRDefault="006E54EA" w:rsidP="006E54EA">
      <w:pPr>
        <w:spacing w:line="360" w:lineRule="auto"/>
        <w:jc w:val="both"/>
        <w:rPr>
          <w:rFonts w:ascii="Calibri" w:eastAsia="Calibri" w:hAnsi="Calibri"/>
          <w:rtl/>
        </w:rPr>
      </w:pPr>
      <w:r>
        <w:rPr>
          <w:rFonts w:ascii="Calibri" w:eastAsia="Calibri" w:hAnsi="Calibri"/>
          <w:rtl/>
        </w:rPr>
        <w:t>כמות הסמים, כ 610 גרם אמנם אינה מבוטלת, אם כי כטענת ההגנה, הסמים הוחזקו בביתו של הנאשם, הרוב בשקית בחדר השינה וחלק קטן יותר בשקית בסלון הבית, ולא נמצאה אינד</w:t>
      </w:r>
      <w:r>
        <w:rPr>
          <w:rFonts w:ascii="Calibri" w:eastAsia="Calibri" w:hAnsi="Calibri" w:hint="cs"/>
          <w:rtl/>
        </w:rPr>
        <w:t>י</w:t>
      </w:r>
      <w:r>
        <w:rPr>
          <w:rFonts w:ascii="Calibri" w:eastAsia="Calibri" w:hAnsi="Calibri"/>
          <w:rtl/>
        </w:rPr>
        <w:t xml:space="preserve">קציה בדמות חלוקה למנות, משקל, כספים, רשימות וכדומה, ללמד על מטרה להפצתם או סחר בהם.   </w:t>
      </w:r>
    </w:p>
    <w:p w14:paraId="094CCC94" w14:textId="77777777" w:rsidR="006E54EA" w:rsidRDefault="006E54EA" w:rsidP="006E54EA">
      <w:pPr>
        <w:spacing w:line="360" w:lineRule="auto"/>
        <w:jc w:val="both"/>
        <w:rPr>
          <w:b/>
          <w:bCs/>
          <w:rtl/>
        </w:rPr>
      </w:pPr>
    </w:p>
    <w:p w14:paraId="6250F453" w14:textId="77777777" w:rsidR="006E54EA" w:rsidRDefault="006E54EA" w:rsidP="006E54EA">
      <w:pPr>
        <w:spacing w:line="360" w:lineRule="auto"/>
        <w:jc w:val="both"/>
        <w:rPr>
          <w:rFonts w:ascii="David" w:hAnsi="David"/>
          <w:b/>
          <w:bCs/>
          <w:rtl/>
        </w:rPr>
      </w:pPr>
      <w:r>
        <w:rPr>
          <w:b/>
          <w:bCs/>
          <w:rtl/>
        </w:rPr>
        <w:t>בחינת הענישה הנוהגת בעבירה של החזקת סמים שלא לצריכה עצמית</w:t>
      </w:r>
      <w:r>
        <w:rPr>
          <w:rtl/>
        </w:rPr>
        <w:t xml:space="preserve">, מעלה מתחמי ענישה של עונש מאסר קצר שיכול וירוצה בעבודות שירות ועד 18 חודשי מאסר בפועל,  אשר נקבעו ואושרו במנעד רחב של כמויות סמים מסוג קנבוס שהוחזקו שלא לצריכה עצמית. </w:t>
      </w:r>
      <w:r>
        <w:rPr>
          <w:rFonts w:ascii="David" w:hAnsi="David"/>
          <w:rtl/>
        </w:rPr>
        <w:t xml:space="preserve">כך למשל: </w:t>
      </w:r>
    </w:p>
    <w:p w14:paraId="56B9F496" w14:textId="77777777" w:rsidR="006E54EA" w:rsidRDefault="006E54EA" w:rsidP="006E54EA">
      <w:pPr>
        <w:spacing w:line="360" w:lineRule="auto"/>
        <w:jc w:val="both"/>
        <w:rPr>
          <w:rFonts w:ascii="David" w:hAnsi="David"/>
          <w:b/>
          <w:bCs/>
          <w:rtl/>
        </w:rPr>
      </w:pPr>
    </w:p>
    <w:p w14:paraId="36E8EF91" w14:textId="77777777" w:rsidR="006E54EA" w:rsidRDefault="006E54EA" w:rsidP="006E54EA">
      <w:pPr>
        <w:spacing w:line="360" w:lineRule="auto"/>
        <w:jc w:val="both"/>
        <w:rPr>
          <w:rFonts w:ascii="David" w:hAnsi="David"/>
          <w:rtl/>
        </w:rPr>
      </w:pPr>
      <w:r>
        <w:rPr>
          <w:rFonts w:ascii="David" w:hAnsi="David"/>
          <w:rtl/>
        </w:rPr>
        <w:t>ב</w:t>
      </w:r>
      <w:hyperlink r:id="rId13" w:history="1">
        <w:r w:rsidR="00835D6A" w:rsidRPr="00835D6A">
          <w:rPr>
            <w:rFonts w:ascii="David" w:hAnsi="David"/>
            <w:color w:val="0000FF"/>
            <w:u w:val="single"/>
            <w:rtl/>
          </w:rPr>
          <w:t>רע"פ 1830/16</w:t>
        </w:r>
      </w:hyperlink>
      <w:r>
        <w:rPr>
          <w:rFonts w:ascii="David" w:hAnsi="David"/>
          <w:b/>
          <w:bCs/>
          <w:rtl/>
        </w:rPr>
        <w:t xml:space="preserve"> רקיבי נגד מדינת ישראל</w:t>
      </w:r>
      <w:r>
        <w:rPr>
          <w:rFonts w:ascii="David" w:hAnsi="David"/>
          <w:rtl/>
        </w:rPr>
        <w:t xml:space="preserve"> (11.4.16) אושר מתחם עונש הנע בין 6 ל 15 חודשי מאסר בפועל, בנסיבות בהן החזיק הנאשם ברכבו, סם מסוג חשיש </w:t>
      </w:r>
      <w:r>
        <w:rPr>
          <w:rFonts w:ascii="David" w:hAnsi="David"/>
          <w:b/>
          <w:bCs/>
          <w:rtl/>
        </w:rPr>
        <w:t>מחולק לאריזות רבות</w:t>
      </w:r>
      <w:r>
        <w:rPr>
          <w:rFonts w:ascii="David" w:hAnsi="David"/>
          <w:rtl/>
        </w:rPr>
        <w:t xml:space="preserve"> במשקל כולל של כ - 2,300 גרם. עונשו של הנאשם, נעדר עבר פלילי ותסקיר חיובי, נגזר ל  8 חודשי מאסר בפועל.</w:t>
      </w:r>
    </w:p>
    <w:p w14:paraId="213B55AF" w14:textId="77777777" w:rsidR="006E54EA" w:rsidRDefault="006E54EA" w:rsidP="006E54EA">
      <w:pPr>
        <w:spacing w:after="160" w:line="360" w:lineRule="auto"/>
        <w:contextualSpacing/>
        <w:jc w:val="both"/>
        <w:rPr>
          <w:rFonts w:ascii="David" w:hAnsi="David"/>
          <w:b/>
          <w:bCs/>
          <w:rtl/>
        </w:rPr>
      </w:pPr>
    </w:p>
    <w:p w14:paraId="7C52E367" w14:textId="77777777" w:rsidR="006E54EA" w:rsidRPr="006E54EA" w:rsidRDefault="006E54EA" w:rsidP="006E54EA">
      <w:pPr>
        <w:spacing w:after="160" w:line="360" w:lineRule="auto"/>
        <w:contextualSpacing/>
        <w:jc w:val="both"/>
        <w:rPr>
          <w:rFonts w:ascii="Calibri" w:hAnsi="Calibri"/>
          <w:rtl/>
        </w:rPr>
      </w:pPr>
      <w:r w:rsidRPr="006E54EA">
        <w:rPr>
          <w:rFonts w:ascii="Calibri" w:hAnsi="Calibri"/>
          <w:rtl/>
        </w:rPr>
        <w:t>ב</w:t>
      </w:r>
      <w:hyperlink r:id="rId14" w:history="1">
        <w:r w:rsidR="00835D6A" w:rsidRPr="00835D6A">
          <w:rPr>
            <w:rFonts w:ascii="Calibri" w:hAnsi="Calibri" w:hint="eastAsia"/>
            <w:color w:val="0000FF"/>
            <w:u w:val="single"/>
            <w:rtl/>
          </w:rPr>
          <w:t>רע</w:t>
        </w:r>
        <w:r w:rsidR="00835D6A" w:rsidRPr="00835D6A">
          <w:rPr>
            <w:rFonts w:ascii="Calibri" w:hAnsi="Calibri"/>
            <w:color w:val="0000FF"/>
            <w:u w:val="single"/>
            <w:rtl/>
          </w:rPr>
          <w:t>"</w:t>
        </w:r>
        <w:r w:rsidR="00835D6A" w:rsidRPr="00835D6A">
          <w:rPr>
            <w:rFonts w:ascii="Calibri" w:hAnsi="Calibri" w:hint="eastAsia"/>
            <w:color w:val="0000FF"/>
            <w:u w:val="single"/>
            <w:rtl/>
          </w:rPr>
          <w:t>פ</w:t>
        </w:r>
        <w:r w:rsidR="00835D6A" w:rsidRPr="00835D6A">
          <w:rPr>
            <w:rFonts w:ascii="Calibri" w:hAnsi="Calibri"/>
            <w:color w:val="0000FF"/>
            <w:u w:val="single"/>
            <w:rtl/>
          </w:rPr>
          <w:t xml:space="preserve"> 322/15</w:t>
        </w:r>
      </w:hyperlink>
      <w:r w:rsidRPr="006E54EA">
        <w:rPr>
          <w:rFonts w:ascii="Calibri" w:hAnsi="Calibri"/>
          <w:b/>
          <w:bCs/>
          <w:rtl/>
        </w:rPr>
        <w:t xml:space="preserve"> ג'אנח נ' מדינת ישראל </w:t>
      </w:r>
      <w:r w:rsidRPr="006E54EA">
        <w:rPr>
          <w:rFonts w:ascii="Calibri" w:hAnsi="Calibri"/>
          <w:rtl/>
        </w:rPr>
        <w:t xml:space="preserve">(22.1.15)  אושר מתחם עונש בין 7 ל - 18 חודשי מאסר בפועל, בנסיבות בהן החזיק הנאשם בבית מגוריו, סם מסוג חשיש במשקל של  כ - 400 גרם. </w:t>
      </w:r>
    </w:p>
    <w:p w14:paraId="12EAD58A" w14:textId="77777777" w:rsidR="006E54EA" w:rsidRDefault="006E54EA" w:rsidP="006E54EA">
      <w:pPr>
        <w:spacing w:after="160" w:line="360" w:lineRule="auto"/>
        <w:contextualSpacing/>
        <w:jc w:val="both"/>
        <w:rPr>
          <w:rFonts w:ascii="David" w:hAnsi="David"/>
          <w:rtl/>
        </w:rPr>
      </w:pPr>
    </w:p>
    <w:p w14:paraId="560ED0FE" w14:textId="77777777" w:rsidR="006E54EA" w:rsidRDefault="006E54EA" w:rsidP="006E54EA">
      <w:pPr>
        <w:spacing w:line="360" w:lineRule="auto"/>
        <w:jc w:val="both"/>
        <w:rPr>
          <w:rtl/>
          <w:lang w:eastAsia="he-IL"/>
        </w:rPr>
      </w:pPr>
      <w:r>
        <w:rPr>
          <w:rtl/>
          <w:lang w:eastAsia="he-IL"/>
        </w:rPr>
        <w:t>ב</w:t>
      </w:r>
      <w:hyperlink r:id="rId15" w:history="1">
        <w:r w:rsidR="00835D6A" w:rsidRPr="00835D6A">
          <w:rPr>
            <w:color w:val="0000FF"/>
            <w:u w:val="single"/>
            <w:rtl/>
            <w:lang w:eastAsia="he-IL"/>
          </w:rPr>
          <w:t>רע"פ 2590/10</w:t>
        </w:r>
      </w:hyperlink>
      <w:r>
        <w:rPr>
          <w:rtl/>
          <w:lang w:eastAsia="he-IL"/>
        </w:rPr>
        <w:t xml:space="preserve"> </w:t>
      </w:r>
      <w:r>
        <w:rPr>
          <w:b/>
          <w:bCs/>
          <w:rtl/>
          <w:lang w:eastAsia="he-IL"/>
        </w:rPr>
        <w:t xml:space="preserve">שגיא נ' מ"י </w:t>
      </w:r>
      <w:r>
        <w:rPr>
          <w:rtl/>
          <w:lang w:eastAsia="he-IL"/>
        </w:rPr>
        <w:t>(8.4.2010), נדחתה בקשה על חומרת העונש שהושת על המבקש - 6 חודשי מאסר שירוצו בעבודות שירות. המדובר  בנאשם צעיר ונעדר עבר פלילי, עליו המליץ שירות המבחן לביטול הרשעתו ושעות של"צ. המבקש</w:t>
      </w:r>
      <w:r>
        <w:rPr>
          <w:b/>
          <w:bCs/>
          <w:rtl/>
          <w:lang w:eastAsia="he-IL"/>
        </w:rPr>
        <w:t xml:space="preserve"> </w:t>
      </w:r>
      <w:r>
        <w:rPr>
          <w:rtl/>
          <w:lang w:eastAsia="he-IL"/>
        </w:rPr>
        <w:t xml:space="preserve">הורשע בהחזקת סמים מסוג </w:t>
      </w:r>
      <w:r>
        <w:rPr>
          <w:b/>
          <w:bCs/>
          <w:rtl/>
          <w:lang w:eastAsia="he-IL"/>
        </w:rPr>
        <w:t>חשיש במשקל 256</w:t>
      </w:r>
      <w:r>
        <w:rPr>
          <w:rtl/>
          <w:lang w:eastAsia="he-IL"/>
        </w:rPr>
        <w:t xml:space="preserve"> גרם נטו, וסם סוג </w:t>
      </w:r>
      <w:r>
        <w:rPr>
          <w:b/>
          <w:bCs/>
          <w:rtl/>
          <w:lang w:eastAsia="he-IL"/>
        </w:rPr>
        <w:t>קנבוס במשקל של 13.11 גרם נטו</w:t>
      </w:r>
      <w:r>
        <w:rPr>
          <w:rtl/>
          <w:lang w:eastAsia="he-IL"/>
        </w:rPr>
        <w:t xml:space="preserve">, </w:t>
      </w:r>
      <w:r>
        <w:rPr>
          <w:b/>
          <w:bCs/>
          <w:rtl/>
          <w:lang w:eastAsia="he-IL"/>
        </w:rPr>
        <w:t>וכלים להכנת סם ומשקל אלקטרוני</w:t>
      </w:r>
      <w:r>
        <w:rPr>
          <w:rtl/>
          <w:lang w:eastAsia="he-IL"/>
        </w:rPr>
        <w:t xml:space="preserve">.  </w:t>
      </w:r>
    </w:p>
    <w:p w14:paraId="11749384" w14:textId="77777777" w:rsidR="006E54EA" w:rsidRDefault="006E54EA" w:rsidP="006E54EA">
      <w:pPr>
        <w:spacing w:line="360" w:lineRule="auto"/>
        <w:jc w:val="both"/>
        <w:rPr>
          <w:rtl/>
          <w:lang w:eastAsia="he-IL"/>
        </w:rPr>
      </w:pPr>
    </w:p>
    <w:p w14:paraId="404BF05E" w14:textId="77777777" w:rsidR="006E54EA" w:rsidRDefault="006E54EA" w:rsidP="006E54EA">
      <w:pPr>
        <w:suppressLineNumbers/>
        <w:spacing w:line="360" w:lineRule="auto"/>
        <w:jc w:val="both"/>
        <w:rPr>
          <w:rFonts w:ascii="David" w:hAnsi="David"/>
          <w:rtl/>
          <w:lang w:eastAsia="he-IL"/>
        </w:rPr>
      </w:pPr>
      <w:r>
        <w:rPr>
          <w:rtl/>
          <w:lang w:eastAsia="he-IL"/>
        </w:rPr>
        <w:t>ב</w:t>
      </w:r>
      <w:hyperlink r:id="rId16" w:history="1">
        <w:r w:rsidR="00835D6A" w:rsidRPr="00835D6A">
          <w:rPr>
            <w:color w:val="0000FF"/>
            <w:u w:val="single"/>
            <w:rtl/>
            <w:lang w:eastAsia="he-IL"/>
          </w:rPr>
          <w:t>רע"פ 10423/09</w:t>
        </w:r>
      </w:hyperlink>
      <w:r>
        <w:rPr>
          <w:rtl/>
          <w:lang w:eastAsia="he-IL"/>
        </w:rPr>
        <w:t xml:space="preserve"> </w:t>
      </w:r>
      <w:r>
        <w:rPr>
          <w:b/>
          <w:bCs/>
          <w:rtl/>
          <w:lang w:eastAsia="he-IL"/>
        </w:rPr>
        <w:t xml:space="preserve">שורר נ' מ"י </w:t>
      </w:r>
      <w:r>
        <w:rPr>
          <w:rtl/>
          <w:lang w:eastAsia="he-IL"/>
        </w:rPr>
        <w:t xml:space="preserve">(26.4.2010), נדחתה בקשה של מי שהיה בן 51 שנים, נעדר עבר פלילי, עליו נגזרו 6 חודשי מאסר על דרך עבודות שירות, בניגוד להמלצת שירות המבחן להימנע מהרשעתו. המדובר במי שהחזיק סם מסוג </w:t>
      </w:r>
      <w:r>
        <w:rPr>
          <w:b/>
          <w:bCs/>
          <w:rtl/>
          <w:lang w:eastAsia="he-IL"/>
        </w:rPr>
        <w:t xml:space="preserve">קנבוס במשקל של 574.75 גרם, </w:t>
      </w:r>
      <w:r>
        <w:rPr>
          <w:rtl/>
          <w:lang w:eastAsia="he-IL"/>
        </w:rPr>
        <w:t>אשר ערעורו למחוזי ובקשת רשות ערעור, נדחו.</w:t>
      </w:r>
    </w:p>
    <w:p w14:paraId="3C510F94" w14:textId="77777777" w:rsidR="006E54EA" w:rsidRDefault="006E54EA" w:rsidP="006E54EA">
      <w:pPr>
        <w:spacing w:after="160" w:line="360" w:lineRule="auto"/>
        <w:contextualSpacing/>
        <w:jc w:val="both"/>
        <w:rPr>
          <w:rFonts w:ascii="David" w:hAnsi="David"/>
          <w:rtl/>
        </w:rPr>
      </w:pPr>
    </w:p>
    <w:p w14:paraId="0CCF7AE8" w14:textId="77777777" w:rsidR="006E54EA" w:rsidRDefault="006E54EA" w:rsidP="006E54EA">
      <w:pPr>
        <w:suppressLineNumbers/>
        <w:spacing w:line="360" w:lineRule="auto"/>
        <w:jc w:val="both"/>
        <w:rPr>
          <w:rFonts w:ascii="Arial" w:hAnsi="Arial"/>
          <w:b/>
          <w:bCs/>
          <w:rtl/>
        </w:rPr>
      </w:pPr>
      <w:r>
        <w:rPr>
          <w:rFonts w:ascii="David" w:hAnsi="David"/>
          <w:rtl/>
          <w:lang w:eastAsia="he-IL"/>
        </w:rPr>
        <w:t>ב</w:t>
      </w:r>
      <w:hyperlink r:id="rId17" w:history="1">
        <w:r w:rsidR="00835D6A" w:rsidRPr="00835D6A">
          <w:rPr>
            <w:rFonts w:ascii="David" w:hAnsi="David"/>
            <w:color w:val="0000FF"/>
            <w:u w:val="single"/>
            <w:rtl/>
            <w:lang w:eastAsia="he-IL"/>
          </w:rPr>
          <w:t>ת"פ (שלום ב"ש) 51742-07-21</w:t>
        </w:r>
      </w:hyperlink>
      <w:r>
        <w:rPr>
          <w:rFonts w:ascii="David" w:hAnsi="David"/>
          <w:rtl/>
          <w:lang w:eastAsia="he-IL"/>
        </w:rPr>
        <w:t xml:space="preserve">מדינת ישראל נ' אלעסלה (14.11.22) </w:t>
      </w:r>
      <w:r>
        <w:rPr>
          <w:rFonts w:ascii="Arial" w:hAnsi="Arial"/>
          <w:rtl/>
        </w:rPr>
        <w:t xml:space="preserve">נקבע מתחם עונש הולם בין </w:t>
      </w:r>
      <w:r>
        <w:rPr>
          <w:rtl/>
          <w:lang w:eastAsia="he-IL"/>
        </w:rPr>
        <w:t xml:space="preserve">מספר חודשים קצר שיכול וירוצו בעבודות שירות ועד 12 חודשי מאסר בפועל, בנסיבות בהן הורשע נאשם </w:t>
      </w:r>
      <w:r>
        <w:rPr>
          <w:rFonts w:ascii="Arial" w:hAnsi="Arial"/>
          <w:rtl/>
        </w:rPr>
        <w:t>בהחזקת</w:t>
      </w:r>
      <w:r>
        <w:rPr>
          <w:rFonts w:ascii="Arial" w:hAnsi="Arial"/>
          <w:b/>
          <w:bCs/>
          <w:rtl/>
        </w:rPr>
        <w:t xml:space="preserve"> 600 גרם סם מסוג קנבוס</w:t>
      </w:r>
      <w:r>
        <w:rPr>
          <w:rFonts w:ascii="Arial" w:hAnsi="Arial"/>
          <w:rtl/>
        </w:rPr>
        <w:t>, מתחת למושב האחורי ברכב בו נהג על כביש 40, במטרה להעבירם לאחר.</w:t>
      </w:r>
      <w:r>
        <w:rPr>
          <w:rFonts w:ascii="Arial" w:hAnsi="Arial"/>
          <w:b/>
          <w:bCs/>
          <w:rtl/>
        </w:rPr>
        <w:t xml:space="preserve"> </w:t>
      </w:r>
    </w:p>
    <w:p w14:paraId="0EAADD77" w14:textId="77777777" w:rsidR="006E54EA" w:rsidRDefault="006E54EA" w:rsidP="006E54EA">
      <w:pPr>
        <w:snapToGrid w:val="0"/>
        <w:rPr>
          <w:rFonts w:ascii="David" w:hAnsi="David"/>
          <w:rtl/>
          <w:lang w:eastAsia="he-IL"/>
        </w:rPr>
      </w:pPr>
    </w:p>
    <w:p w14:paraId="4BFEE723" w14:textId="77777777" w:rsidR="006E54EA" w:rsidRDefault="00835D6A" w:rsidP="006E54EA">
      <w:pPr>
        <w:spacing w:line="360" w:lineRule="auto"/>
        <w:jc w:val="both"/>
        <w:rPr>
          <w:rFonts w:ascii="David" w:hAnsi="David"/>
          <w:rtl/>
        </w:rPr>
      </w:pPr>
      <w:hyperlink r:id="rId18" w:history="1">
        <w:r w:rsidRPr="00835D6A">
          <w:rPr>
            <w:rFonts w:ascii="David" w:hAnsi="David"/>
            <w:color w:val="0000FF"/>
            <w:u w:val="single"/>
            <w:rtl/>
          </w:rPr>
          <w:t>ת.פ (שלום ב"ש) 14656-12-20</w:t>
        </w:r>
      </w:hyperlink>
      <w:r w:rsidR="006E54EA">
        <w:rPr>
          <w:rFonts w:ascii="David" w:hAnsi="David"/>
          <w:rtl/>
        </w:rPr>
        <w:t xml:space="preserve"> </w:t>
      </w:r>
      <w:r w:rsidR="006E54EA">
        <w:rPr>
          <w:rFonts w:ascii="David" w:hAnsi="David"/>
          <w:b/>
          <w:bCs/>
          <w:rtl/>
        </w:rPr>
        <w:t>מדינת ישראל נ' אלעלאוין</w:t>
      </w:r>
      <w:r w:rsidR="006E54EA">
        <w:rPr>
          <w:rFonts w:ascii="David" w:hAnsi="David"/>
          <w:rtl/>
        </w:rPr>
        <w:t xml:space="preserve">, נקבע מתחם עונש הולם בין מספר חודשים ועד 18 חודשי מאסר בפועל  בעניינו של מי שהורשע </w:t>
      </w:r>
      <w:r w:rsidR="006E54EA">
        <w:rPr>
          <w:rFonts w:ascii="David" w:hAnsi="David"/>
          <w:b/>
          <w:bCs/>
          <w:rtl/>
        </w:rPr>
        <w:t xml:space="preserve">בהחזקת 457 גרם קנבוס </w:t>
      </w:r>
      <w:r w:rsidR="006E54EA">
        <w:rPr>
          <w:rFonts w:ascii="David" w:hAnsi="David"/>
          <w:rtl/>
        </w:rPr>
        <w:t xml:space="preserve">שלא לצריכה עצמית, בביתו. עונשו של הנאשם, בעל הרשעה אחת קודמת בעבירת סמים (החזקה לצריכה עצמית) נגזר ל 8 חודשים והופעל מאסר על תנאי בן 4 חודשים כך שחציו ירוצה בחופף וחציו במצטבר. </w:t>
      </w:r>
    </w:p>
    <w:p w14:paraId="0CF5F971" w14:textId="77777777" w:rsidR="006E54EA" w:rsidRDefault="006E54EA" w:rsidP="006E54EA">
      <w:pPr>
        <w:rPr>
          <w:rFonts w:ascii="Arial" w:hAnsi="Arial" w:cs="Arial"/>
          <w:rtl/>
        </w:rPr>
      </w:pPr>
    </w:p>
    <w:p w14:paraId="536F21B7" w14:textId="77777777" w:rsidR="006E54EA" w:rsidRDefault="006E54EA" w:rsidP="006E54EA">
      <w:pPr>
        <w:spacing w:after="160" w:line="360" w:lineRule="auto"/>
        <w:contextualSpacing/>
        <w:jc w:val="both"/>
        <w:rPr>
          <w:rFonts w:ascii="David" w:hAnsi="David"/>
          <w:rtl/>
        </w:rPr>
      </w:pPr>
      <w:r>
        <w:rPr>
          <w:rFonts w:ascii="David" w:hAnsi="David"/>
          <w:rtl/>
        </w:rPr>
        <w:t>ב</w:t>
      </w:r>
      <w:hyperlink r:id="rId19" w:history="1">
        <w:r w:rsidR="00835D6A" w:rsidRPr="00835D6A">
          <w:rPr>
            <w:rFonts w:ascii="David" w:hAnsi="David"/>
            <w:color w:val="0000FF"/>
            <w:u w:val="single"/>
            <w:rtl/>
          </w:rPr>
          <w:t>ת"פ (ב"ש) 14782-06-18</w:t>
        </w:r>
      </w:hyperlink>
      <w:r>
        <w:rPr>
          <w:rFonts w:ascii="David" w:hAnsi="David"/>
          <w:b/>
          <w:bCs/>
          <w:rtl/>
        </w:rPr>
        <w:t xml:space="preserve"> מדינת ישראל נ' אלעול </w:t>
      </w:r>
      <w:r>
        <w:rPr>
          <w:rFonts w:ascii="David" w:hAnsi="David"/>
          <w:rtl/>
        </w:rPr>
        <w:t xml:space="preserve">(7.1.20) נגזרו 9 חודשי מאסר לריצוי בעבודות שירות, על הנאשם, צעיר נעדר עבר פלילי שבעניינו הוגש תסקיר חיובי, אשר הורשע בהחזקת סמים מסוג </w:t>
      </w:r>
      <w:r>
        <w:rPr>
          <w:rFonts w:ascii="David" w:hAnsi="David"/>
          <w:b/>
          <w:bCs/>
          <w:rtl/>
        </w:rPr>
        <w:t xml:space="preserve">קנבוס במשקל  3.8 ק"ג </w:t>
      </w:r>
      <w:r>
        <w:rPr>
          <w:rFonts w:ascii="David" w:hAnsi="David"/>
          <w:rtl/>
        </w:rPr>
        <w:t xml:space="preserve">שלא לצריכתו העצמית. </w:t>
      </w:r>
    </w:p>
    <w:p w14:paraId="696D5620" w14:textId="77777777" w:rsidR="006E54EA" w:rsidRDefault="006E54EA" w:rsidP="006E54EA">
      <w:pPr>
        <w:spacing w:line="360" w:lineRule="auto"/>
        <w:jc w:val="both"/>
        <w:rPr>
          <w:noProof/>
          <w:rtl/>
        </w:rPr>
      </w:pPr>
    </w:p>
    <w:p w14:paraId="228DF201" w14:textId="77777777" w:rsidR="006E54EA" w:rsidRDefault="006E54EA" w:rsidP="006E54EA">
      <w:pPr>
        <w:spacing w:line="360" w:lineRule="auto"/>
        <w:jc w:val="both"/>
        <w:rPr>
          <w:rFonts w:ascii="Arial" w:hAnsi="Arial"/>
        </w:rPr>
      </w:pPr>
      <w:r>
        <w:rPr>
          <w:rtl/>
        </w:rPr>
        <w:t xml:space="preserve">סיכום הדברים אמורים, לאחר שנתתי דעתי למכלול השיקולים הנדרשים לקביעת מתחם העונש ההולם את מעשה הנאשם ונסיבות ביצועו, לרבות מידת הפגיעה בערכים המוגנים והענישה הנוהגת במקרים הקרובים בנסיבותיהם, לרבות למקרים אליהם הפנו ב"כ הצדדים, הנני לקבוע את מתחם העונש ההולם, </w:t>
      </w:r>
      <w:r>
        <w:rPr>
          <w:b/>
          <w:bCs/>
          <w:rtl/>
        </w:rPr>
        <w:t>מאסר קצר שיכול וירוצה בעבודות שירות ועד 12 חודשי מאסר בפועל</w:t>
      </w:r>
      <w:r>
        <w:rPr>
          <w:rtl/>
        </w:rPr>
        <w:t xml:space="preserve">. </w:t>
      </w:r>
    </w:p>
    <w:p w14:paraId="3A89C4D0" w14:textId="77777777" w:rsidR="006E54EA" w:rsidRPr="006E54EA" w:rsidRDefault="006E54EA" w:rsidP="006E54EA">
      <w:pPr>
        <w:spacing w:line="360" w:lineRule="auto"/>
        <w:jc w:val="both"/>
        <w:rPr>
          <w:rFonts w:ascii="Calibri" w:hAnsi="Calibri"/>
          <w:rtl/>
        </w:rPr>
      </w:pPr>
    </w:p>
    <w:p w14:paraId="52503F18" w14:textId="77777777" w:rsidR="006E54EA" w:rsidRPr="006E54EA" w:rsidRDefault="006E54EA" w:rsidP="006E54EA">
      <w:pPr>
        <w:spacing w:line="360" w:lineRule="auto"/>
        <w:jc w:val="both"/>
        <w:rPr>
          <w:rFonts w:ascii="Calibri" w:hAnsi="Calibri"/>
          <w:b/>
          <w:bCs/>
          <w:sz w:val="26"/>
          <w:szCs w:val="26"/>
          <w:u w:val="single"/>
        </w:rPr>
      </w:pPr>
      <w:r w:rsidRPr="006E54EA">
        <w:rPr>
          <w:rFonts w:ascii="Calibri" w:hAnsi="Calibri"/>
          <w:b/>
          <w:bCs/>
          <w:sz w:val="26"/>
          <w:szCs w:val="26"/>
          <w:u w:val="single"/>
          <w:rtl/>
        </w:rPr>
        <w:t>עונשו של הנאשם</w:t>
      </w:r>
    </w:p>
    <w:p w14:paraId="6B916C42" w14:textId="77777777" w:rsidR="006E54EA" w:rsidRDefault="006E54EA" w:rsidP="006E54EA">
      <w:pPr>
        <w:spacing w:line="360" w:lineRule="auto"/>
        <w:jc w:val="both"/>
        <w:rPr>
          <w:rtl/>
          <w:lang w:eastAsia="he-IL"/>
        </w:rPr>
      </w:pPr>
      <w:r>
        <w:rPr>
          <w:rFonts w:ascii="Arial" w:hAnsi="Arial"/>
          <w:rtl/>
        </w:rPr>
        <w:t xml:space="preserve">בעבירות </w:t>
      </w:r>
      <w:r>
        <w:rPr>
          <w:rtl/>
        </w:rPr>
        <w:t>סמים, הבכורה היא לשיקולי הרתעת היחיד והרבים ולאינטרס הציבורי</w:t>
      </w:r>
      <w:r>
        <w:rPr>
          <w:rFonts w:hint="cs"/>
          <w:rtl/>
        </w:rPr>
        <w:t>,</w:t>
      </w:r>
      <w:r>
        <w:rPr>
          <w:rtl/>
        </w:rPr>
        <w:t xml:space="preserve"> על פני נסיבותיו האישיות של הנאשם (</w:t>
      </w:r>
      <w:hyperlink r:id="rId20" w:history="1">
        <w:r w:rsidR="00835D6A" w:rsidRPr="00835D6A">
          <w:rPr>
            <w:color w:val="0000FF"/>
            <w:u w:val="single"/>
            <w:rtl/>
          </w:rPr>
          <w:t>ע"פ 3820/09</w:t>
        </w:r>
      </w:hyperlink>
      <w:r>
        <w:rPr>
          <w:rtl/>
        </w:rPr>
        <w:t xml:space="preserve"> </w:t>
      </w:r>
      <w:r>
        <w:rPr>
          <w:b/>
          <w:bCs/>
          <w:rtl/>
        </w:rPr>
        <w:t>מדינת ישראל נ' אוחיון</w:t>
      </w:r>
      <w:r>
        <w:rPr>
          <w:rtl/>
        </w:rPr>
        <w:t xml:space="preserve">). עם זאת, בית המשפט מצווה כי </w:t>
      </w:r>
      <w:r>
        <w:rPr>
          <w:rtl/>
          <w:lang w:eastAsia="he-IL"/>
        </w:rPr>
        <w:t xml:space="preserve">בגזירת העונש המתאים לנאשם בגדרי מתחם העונש ההולם שנקבע, להתחשב בנסיבות שאינן קשורות בביצוע העבירות, ככל שישנן כאלה. </w:t>
      </w:r>
    </w:p>
    <w:p w14:paraId="44F3196F" w14:textId="77777777" w:rsidR="006E54EA" w:rsidRDefault="006E54EA" w:rsidP="006E54EA">
      <w:pPr>
        <w:spacing w:line="360" w:lineRule="auto"/>
        <w:jc w:val="both"/>
        <w:rPr>
          <w:rtl/>
        </w:rPr>
      </w:pPr>
      <w:r>
        <w:rPr>
          <w:rtl/>
        </w:rPr>
        <w:t>בגדרי השיקולים לקולא יובא בחשבון גילו של הנאשם, 40 שנים</w:t>
      </w:r>
      <w:r>
        <w:rPr>
          <w:rFonts w:hint="cs"/>
          <w:rtl/>
        </w:rPr>
        <w:t>,</w:t>
      </w:r>
      <w:r>
        <w:rPr>
          <w:rtl/>
        </w:rPr>
        <w:t xml:space="preserve"> אל מול העובדה כי הוא נעדר עבר פלילי קודם. </w:t>
      </w:r>
    </w:p>
    <w:p w14:paraId="3D23A219" w14:textId="77777777" w:rsidR="006E54EA" w:rsidRDefault="006E54EA" w:rsidP="006E54EA">
      <w:pPr>
        <w:spacing w:line="360" w:lineRule="auto"/>
        <w:jc w:val="both"/>
        <w:rPr>
          <w:rtl/>
        </w:rPr>
      </w:pPr>
    </w:p>
    <w:p w14:paraId="1B0E6CB4" w14:textId="77777777" w:rsidR="006E54EA" w:rsidRDefault="006E54EA" w:rsidP="006E54EA">
      <w:pPr>
        <w:spacing w:line="360" w:lineRule="auto"/>
        <w:jc w:val="both"/>
        <w:rPr>
          <w:rtl/>
        </w:rPr>
      </w:pPr>
      <w:r>
        <w:rPr>
          <w:rtl/>
        </w:rPr>
        <w:t xml:space="preserve">הנאשם נטל אחריות על מעשיו בהזדמנות הראשונה, הודה והתחרט בכנות על מעשיו. </w:t>
      </w:r>
      <w:r>
        <w:rPr>
          <w:rFonts w:hint="cs"/>
          <w:rtl/>
        </w:rPr>
        <w:t>בנוסף, יש להביא בחשבון את העובדה לפיה</w:t>
      </w:r>
      <w:r>
        <w:rPr>
          <w:rtl/>
        </w:rPr>
        <w:t xml:space="preserve"> הנאשם היה נתון במעצר מאחורי סורג ובריח משך 10 ימים, לראשונה בחייו, </w:t>
      </w:r>
      <w:r>
        <w:rPr>
          <w:rFonts w:hint="cs"/>
          <w:rtl/>
        </w:rPr>
        <w:t>ו</w:t>
      </w:r>
      <w:r>
        <w:rPr>
          <w:rtl/>
        </w:rPr>
        <w:t xml:space="preserve">לאחר שחרורו </w:t>
      </w:r>
      <w:r>
        <w:rPr>
          <w:rFonts w:hint="cs"/>
          <w:rtl/>
        </w:rPr>
        <w:t xml:space="preserve">היה נתון </w:t>
      </w:r>
      <w:r>
        <w:rPr>
          <w:rtl/>
        </w:rPr>
        <w:t xml:space="preserve">בתנאים מגבילים תקופה ממושכת. סבורני, </w:t>
      </w:r>
      <w:r>
        <w:rPr>
          <w:rFonts w:hint="cs"/>
          <w:rtl/>
        </w:rPr>
        <w:t xml:space="preserve">כי </w:t>
      </w:r>
      <w:r>
        <w:rPr>
          <w:rtl/>
        </w:rPr>
        <w:t xml:space="preserve">המחירים אותם שילם הנאשם עוד קודם גזירת </w:t>
      </w:r>
      <w:r>
        <w:rPr>
          <w:rFonts w:hint="cs"/>
          <w:rtl/>
        </w:rPr>
        <w:t xml:space="preserve">דינו מאז החל ההליך המשפטי נגדו, לצד העונשים שיושתו עליו, יש די כדי להרתיעו מלשוב ולבצע עבירות סמים ובכלל. </w:t>
      </w:r>
      <w:r>
        <w:rPr>
          <w:rtl/>
        </w:rPr>
        <w:t xml:space="preserve"> </w:t>
      </w:r>
    </w:p>
    <w:p w14:paraId="136D0425" w14:textId="77777777" w:rsidR="006E54EA" w:rsidRDefault="006E54EA" w:rsidP="006E54EA">
      <w:pPr>
        <w:spacing w:line="360" w:lineRule="auto"/>
        <w:jc w:val="both"/>
        <w:rPr>
          <w:rtl/>
        </w:rPr>
      </w:pPr>
    </w:p>
    <w:p w14:paraId="5844AF3F" w14:textId="77777777" w:rsidR="006E54EA" w:rsidRDefault="006E54EA" w:rsidP="006E54EA">
      <w:pPr>
        <w:spacing w:line="360" w:lineRule="auto"/>
        <w:jc w:val="both"/>
        <w:rPr>
          <w:rtl/>
        </w:rPr>
      </w:pPr>
      <w:r>
        <w:rPr>
          <w:rFonts w:hint="cs"/>
          <w:rtl/>
        </w:rPr>
        <w:t xml:space="preserve">לעתירת התביעה </w:t>
      </w:r>
      <w:r>
        <w:rPr>
          <w:rtl/>
        </w:rPr>
        <w:t xml:space="preserve">לפסול את הנאשם מלנהוג/ להחזיק רישיון נהיגה, </w:t>
      </w:r>
      <w:r>
        <w:rPr>
          <w:rFonts w:hint="cs"/>
          <w:rtl/>
        </w:rPr>
        <w:t xml:space="preserve">אין מקום, </w:t>
      </w:r>
      <w:r>
        <w:rPr>
          <w:rtl/>
        </w:rPr>
        <w:t xml:space="preserve">מקרה בו הסמים הוחזקו </w:t>
      </w:r>
      <w:r>
        <w:rPr>
          <w:rFonts w:hint="cs"/>
          <w:rtl/>
        </w:rPr>
        <w:t xml:space="preserve">בביתו והוא </w:t>
      </w:r>
      <w:r>
        <w:rPr>
          <w:rtl/>
        </w:rPr>
        <w:t xml:space="preserve">לא עשה שימוש ברכב בכלל ולא הסתייע ברכב להחזקת הסמים.  </w:t>
      </w:r>
    </w:p>
    <w:p w14:paraId="5E03D961" w14:textId="77777777" w:rsidR="006E54EA" w:rsidRDefault="006E54EA" w:rsidP="006E54EA">
      <w:pPr>
        <w:spacing w:line="360" w:lineRule="auto"/>
        <w:jc w:val="both"/>
        <w:rPr>
          <w:rFonts w:ascii="Arial" w:hAnsi="Arial"/>
        </w:rPr>
      </w:pPr>
    </w:p>
    <w:p w14:paraId="54B741BE" w14:textId="77777777" w:rsidR="006E54EA" w:rsidRDefault="006E54EA" w:rsidP="006E54EA">
      <w:pPr>
        <w:spacing w:line="360" w:lineRule="auto"/>
        <w:jc w:val="both"/>
        <w:rPr>
          <w:rFonts w:ascii="Arial" w:hAnsi="Arial"/>
          <w:b/>
          <w:bCs/>
          <w:noProof/>
          <w:sz w:val="26"/>
          <w:szCs w:val="26"/>
          <w:rtl/>
        </w:rPr>
      </w:pPr>
      <w:r>
        <w:rPr>
          <w:b/>
          <w:bCs/>
          <w:rtl/>
        </w:rPr>
        <w:t xml:space="preserve">סוף דבר - אני גוזרת על הנאשם את העונשים הבאים: </w:t>
      </w:r>
    </w:p>
    <w:p w14:paraId="1561F842" w14:textId="77777777" w:rsidR="006E54EA" w:rsidRDefault="006E54EA" w:rsidP="006E54EA">
      <w:pPr>
        <w:pStyle w:val="a9"/>
        <w:numPr>
          <w:ilvl w:val="0"/>
          <w:numId w:val="1"/>
        </w:numPr>
        <w:spacing w:line="360" w:lineRule="auto"/>
        <w:ind w:left="509"/>
        <w:jc w:val="both"/>
      </w:pPr>
      <w:r>
        <w:rPr>
          <w:rFonts w:hint="cs"/>
          <w:rtl/>
        </w:rPr>
        <w:t xml:space="preserve">3 חודשי מאסר שירוצו בעבודות שירות. מקום </w:t>
      </w:r>
      <w:r w:rsidRPr="006262C8">
        <w:rPr>
          <w:rFonts w:hint="cs"/>
          <w:rtl/>
        </w:rPr>
        <w:t>העסקה – "אצטדיון טרנר</w:t>
      </w:r>
      <w:r>
        <w:rPr>
          <w:rFonts w:hint="cs"/>
          <w:rtl/>
        </w:rPr>
        <w:t>"</w:t>
      </w:r>
      <w:r w:rsidRPr="006262C8">
        <w:rPr>
          <w:rFonts w:hint="cs"/>
          <w:rtl/>
        </w:rPr>
        <w:t xml:space="preserve"> חברת כיוונים לתרבות וספורט בעיריית באר שבע"</w:t>
      </w:r>
      <w:r>
        <w:rPr>
          <w:rFonts w:hint="cs"/>
          <w:rtl/>
        </w:rPr>
        <w:t xml:space="preserve">. </w:t>
      </w:r>
      <w:r w:rsidRPr="006262C8">
        <w:rPr>
          <w:rFonts w:hint="cs"/>
          <w:rtl/>
        </w:rPr>
        <w:t>בהתאם לחוו"ד הממונה על עבודות השירות מיום 02.07.2023. הנאשם הונחה להתייצב ביום 10.10.2023</w:t>
      </w:r>
      <w:r>
        <w:rPr>
          <w:rFonts w:hint="cs"/>
          <w:rtl/>
        </w:rPr>
        <w:t xml:space="preserve"> </w:t>
      </w:r>
      <w:r>
        <w:rPr>
          <w:rtl/>
        </w:rPr>
        <w:t>–</w:t>
      </w:r>
      <w:r>
        <w:rPr>
          <w:rFonts w:hint="cs"/>
          <w:rtl/>
        </w:rPr>
        <w:t xml:space="preserve"> הוא מועד תחילת ריצוי עבודות השירות, במשרדי הממונה על עבודות השירות בשעה 08:00 (יחידת עבודות שירות), מפקדת מחוז דרום. (אוטובוסים להגעה ליד כלא אשל, אוטובוס קו אגד מס' 46 מתחנה מרכזית באר שבע).</w:t>
      </w:r>
    </w:p>
    <w:p w14:paraId="6A7DB478" w14:textId="77777777" w:rsidR="006E54EA" w:rsidRDefault="006E54EA" w:rsidP="006E54EA">
      <w:pPr>
        <w:pStyle w:val="a9"/>
        <w:spacing w:line="360" w:lineRule="auto"/>
        <w:ind w:left="509"/>
        <w:jc w:val="both"/>
        <w:rPr>
          <w:rtl/>
        </w:rPr>
      </w:pPr>
      <w:r>
        <w:rPr>
          <w:rFonts w:hint="cs"/>
          <w:rtl/>
        </w:rPr>
        <w:t>עבודות השירות יבוצעו 5 ימים בשבוע על פי טווח השעות המתאפשר ב</w:t>
      </w:r>
      <w:hyperlink r:id="rId21" w:history="1">
        <w:r w:rsidR="00835D6A" w:rsidRPr="00835D6A">
          <w:rPr>
            <w:color w:val="0000FF"/>
            <w:u w:val="single"/>
            <w:rtl/>
          </w:rPr>
          <w:t>חוק העונשין</w:t>
        </w:r>
      </w:hyperlink>
      <w:r>
        <w:rPr>
          <w:rFonts w:hint="cs"/>
          <w:rtl/>
        </w:rPr>
        <w:t xml:space="preserve">. הנאשם הוזהר כי מדובר בתנאי העסקה קפדניים המצריכים התייצבות רציפה ועל פי הנחיות החוק והממונה וכל חריג מכללים אלו יהיה בה להביא להפסקת ריצוי עונשו בדרך זו וריצוי יתרת העונש במאסר בפועל. </w:t>
      </w:r>
    </w:p>
    <w:p w14:paraId="73815E25" w14:textId="77777777" w:rsidR="006E54EA" w:rsidRDefault="006E54EA" w:rsidP="006E54EA">
      <w:pPr>
        <w:pStyle w:val="a9"/>
        <w:spacing w:line="360" w:lineRule="auto"/>
        <w:ind w:left="509"/>
        <w:jc w:val="both"/>
        <w:rPr>
          <w:rtl/>
        </w:rPr>
      </w:pPr>
    </w:p>
    <w:p w14:paraId="4505A9A0" w14:textId="77777777" w:rsidR="006E54EA" w:rsidRPr="00CE251A" w:rsidRDefault="006E54EA" w:rsidP="006E54EA">
      <w:pPr>
        <w:pStyle w:val="a9"/>
        <w:numPr>
          <w:ilvl w:val="0"/>
          <w:numId w:val="1"/>
        </w:numPr>
        <w:spacing w:line="360" w:lineRule="auto"/>
        <w:ind w:left="509"/>
        <w:jc w:val="both"/>
        <w:rPr>
          <w:rtl/>
        </w:rPr>
      </w:pPr>
      <w:r>
        <w:rPr>
          <w:rFonts w:hint="cs"/>
          <w:rtl/>
        </w:rPr>
        <w:t xml:space="preserve">6 חודשי מאסר על תנאי, לתקופה של שלוש שנים מהיום, והתנאי הוא שהנאשם לא יעבור </w:t>
      </w:r>
      <w:r w:rsidRPr="00CE251A">
        <w:rPr>
          <w:rFonts w:hint="cs"/>
          <w:rtl/>
        </w:rPr>
        <w:t>עבירות סמים מסוג פשע.</w:t>
      </w:r>
    </w:p>
    <w:p w14:paraId="05494674" w14:textId="77777777" w:rsidR="006E54EA" w:rsidRPr="00CE251A" w:rsidRDefault="006E54EA" w:rsidP="006E54EA">
      <w:pPr>
        <w:pStyle w:val="a9"/>
        <w:numPr>
          <w:ilvl w:val="0"/>
          <w:numId w:val="1"/>
        </w:numPr>
        <w:spacing w:line="360" w:lineRule="auto"/>
        <w:ind w:left="509"/>
        <w:jc w:val="both"/>
        <w:rPr>
          <w:rtl/>
        </w:rPr>
      </w:pPr>
      <w:r w:rsidRPr="00CE251A">
        <w:rPr>
          <w:rFonts w:hint="cs"/>
          <w:rtl/>
        </w:rPr>
        <w:t xml:space="preserve">קנס בסך </w:t>
      </w:r>
      <w:r>
        <w:rPr>
          <w:rFonts w:hint="cs"/>
          <w:rtl/>
        </w:rPr>
        <w:t>2000</w:t>
      </w:r>
      <w:r w:rsidRPr="00CE251A">
        <w:rPr>
          <w:rFonts w:hint="cs"/>
          <w:rtl/>
        </w:rPr>
        <w:t xml:space="preserve"> ₪ או 12  ימי מאסר תמורתו. הקנס ישולם  ב 4 תשלומים שווים ורצופים החל  10.08.23 ובכל 10 בחודש שלאחריו. פיגור באחד התשלומים יעמיד את יתרת הקנס לפירעון מידי.</w:t>
      </w:r>
    </w:p>
    <w:p w14:paraId="6720961F" w14:textId="77777777" w:rsidR="006E54EA" w:rsidRDefault="006E54EA" w:rsidP="006E54EA">
      <w:pPr>
        <w:pStyle w:val="a9"/>
      </w:pPr>
    </w:p>
    <w:p w14:paraId="682C1620" w14:textId="77777777" w:rsidR="006E54EA" w:rsidRDefault="006E54EA" w:rsidP="006E54EA">
      <w:r>
        <w:rPr>
          <w:rFonts w:hint="cs"/>
          <w:b/>
          <w:bCs/>
          <w:rtl/>
        </w:rPr>
        <w:t xml:space="preserve">ניתן לשלם את </w:t>
      </w:r>
      <w:r>
        <w:rPr>
          <w:b/>
          <w:bCs/>
          <w:rtl/>
        </w:rPr>
        <w:t xml:space="preserve">הקנס </w:t>
      </w:r>
      <w:r>
        <w:rPr>
          <w:rFonts w:hint="cs"/>
          <w:b/>
          <w:bCs/>
          <w:rtl/>
        </w:rPr>
        <w:t>ב</w:t>
      </w:r>
      <w:r>
        <w:rPr>
          <w:b/>
          <w:bCs/>
          <w:rtl/>
        </w:rPr>
        <w:t xml:space="preserve">דרכים הבאות: </w:t>
      </w:r>
      <w:r>
        <w:rPr>
          <w:rtl/>
        </w:rPr>
        <w:t xml:space="preserve">בכרטיס אשראי – באתר המקוון של רשות האכיפה והגבייה </w:t>
      </w:r>
      <w:hyperlink r:id="rId22" w:history="1">
        <w:r>
          <w:rPr>
            <w:rStyle w:val="Hyperlink"/>
          </w:rPr>
          <w:t>WWW.eca.gov.il</w:t>
        </w:r>
      </w:hyperlink>
      <w:r>
        <w:rPr>
          <w:rtl/>
        </w:rPr>
        <w:t xml:space="preserve"> </w:t>
      </w:r>
      <w:r>
        <w:rPr>
          <w:rFonts w:hint="cs"/>
          <w:rtl/>
        </w:rPr>
        <w:t xml:space="preserve">מוקד שירות טלפוני בשרות עצמי (מרכב גבייה) – בטלפון 35592* או בטלפון 073-2055000.  במזומן בכל סניף של בנק הדואר – בהצגת תעודת זהות בלבד (אין צורך בהצגת שוברי תשלום). </w:t>
      </w:r>
    </w:p>
    <w:p w14:paraId="7E59B4EB" w14:textId="77777777" w:rsidR="006E54EA" w:rsidRDefault="006E54EA" w:rsidP="006E54EA">
      <w:pPr>
        <w:rPr>
          <w:rtl/>
        </w:rPr>
      </w:pPr>
    </w:p>
    <w:p w14:paraId="527E9FC5" w14:textId="77777777" w:rsidR="006E54EA" w:rsidRDefault="006E54EA" w:rsidP="006E54EA">
      <w:pPr>
        <w:spacing w:line="360" w:lineRule="auto"/>
        <w:rPr>
          <w:b/>
          <w:bCs/>
          <w:rtl/>
        </w:rPr>
      </w:pPr>
    </w:p>
    <w:p w14:paraId="5EC420E8" w14:textId="77777777" w:rsidR="006E54EA" w:rsidRDefault="00835D6A" w:rsidP="006E54EA">
      <w:pPr>
        <w:spacing w:line="360" w:lineRule="auto"/>
        <w:rPr>
          <w:b/>
          <w:bCs/>
        </w:rPr>
      </w:pPr>
      <w:r w:rsidRPr="00835D6A">
        <w:rPr>
          <w:b/>
          <w:bCs/>
          <w:color w:val="FFFFFF"/>
          <w:sz w:val="2"/>
          <w:szCs w:val="2"/>
          <w:rtl/>
        </w:rPr>
        <w:t>5129371</w:t>
      </w:r>
      <w:r w:rsidR="006E54EA">
        <w:rPr>
          <w:b/>
          <w:bCs/>
          <w:rtl/>
        </w:rPr>
        <w:t>צו להשמדת מוצג הסמים.</w:t>
      </w:r>
    </w:p>
    <w:p w14:paraId="252F440B" w14:textId="77777777" w:rsidR="006E54EA" w:rsidRDefault="00835D6A" w:rsidP="006E54EA">
      <w:pPr>
        <w:spacing w:line="360" w:lineRule="auto"/>
        <w:jc w:val="both"/>
        <w:rPr>
          <w:rtl/>
        </w:rPr>
      </w:pPr>
      <w:r w:rsidRPr="00835D6A">
        <w:rPr>
          <w:b/>
          <w:bCs/>
          <w:color w:val="FFFFFF"/>
          <w:sz w:val="2"/>
          <w:szCs w:val="2"/>
          <w:rtl/>
        </w:rPr>
        <w:t>54678313</w:t>
      </w:r>
      <w:r w:rsidR="006E54EA">
        <w:rPr>
          <w:b/>
          <w:bCs/>
          <w:rtl/>
        </w:rPr>
        <w:t xml:space="preserve">הודעה זכות ערעור. </w:t>
      </w:r>
    </w:p>
    <w:p w14:paraId="215212B8" w14:textId="77777777" w:rsidR="006E54EA" w:rsidRDefault="006E54EA" w:rsidP="006E54EA">
      <w:pPr>
        <w:rPr>
          <w:rFonts w:ascii="Arial" w:hAnsi="Arial"/>
          <w:b/>
          <w:bCs/>
          <w:sz w:val="26"/>
          <w:szCs w:val="26"/>
        </w:rPr>
      </w:pPr>
    </w:p>
    <w:p w14:paraId="64A4E393" w14:textId="77777777" w:rsidR="006E54EA" w:rsidRPr="000F2247" w:rsidRDefault="00835D6A" w:rsidP="006E54E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א' אב תשפ"ג, 19 יולי 2023, במעמד הצדדים. </w:t>
      </w:r>
      <w:bookmarkEnd w:id="8"/>
      <w:r w:rsidR="006E54EA">
        <w:rPr>
          <w:rFonts w:ascii="Arial" w:hAnsi="Arial"/>
          <w:b/>
          <w:bCs/>
          <w:sz w:val="26"/>
          <w:szCs w:val="26"/>
          <w:rtl/>
        </w:rPr>
        <w:tab/>
      </w:r>
      <w:r w:rsidR="006E54EA">
        <w:rPr>
          <w:rFonts w:ascii="Arial" w:hAnsi="Arial"/>
          <w:b/>
          <w:bCs/>
          <w:sz w:val="26"/>
          <w:szCs w:val="26"/>
          <w:rtl/>
        </w:rPr>
        <w:tab/>
      </w:r>
      <w:r w:rsidR="006E54EA">
        <w:rPr>
          <w:rFonts w:ascii="Arial" w:hAnsi="Arial"/>
          <w:b/>
          <w:bCs/>
          <w:sz w:val="26"/>
          <w:szCs w:val="26"/>
          <w:rtl/>
        </w:rPr>
        <w:tab/>
      </w:r>
      <w:r w:rsidR="006E54EA">
        <w:rPr>
          <w:rFonts w:ascii="Arial" w:hAnsi="Arial"/>
          <w:b/>
          <w:bCs/>
          <w:sz w:val="26"/>
          <w:szCs w:val="26"/>
          <w:rtl/>
        </w:rPr>
        <w:tab/>
      </w:r>
      <w:r w:rsidR="006E54EA">
        <w:rPr>
          <w:rFonts w:ascii="Arial" w:hAnsi="Arial"/>
          <w:b/>
          <w:bCs/>
          <w:sz w:val="26"/>
          <w:szCs w:val="26"/>
          <w:rtl/>
        </w:rPr>
        <w:tab/>
      </w:r>
      <w:r w:rsidR="006E54EA">
        <w:rPr>
          <w:rFonts w:ascii="Arial" w:hAnsi="Arial"/>
          <w:b/>
          <w:bCs/>
          <w:sz w:val="26"/>
          <w:szCs w:val="26"/>
          <w:rtl/>
        </w:rPr>
        <w:tab/>
      </w:r>
      <w:r w:rsidR="006E54EA">
        <w:rPr>
          <w:rFonts w:ascii="Arial" w:hAnsi="Arial"/>
          <w:b/>
          <w:bCs/>
          <w:sz w:val="26"/>
          <w:szCs w:val="26"/>
          <w:rtl/>
        </w:rPr>
        <w:tab/>
      </w:r>
      <w:r w:rsidR="006E54EA">
        <w:rPr>
          <w:rFonts w:ascii="Arial" w:hAnsi="Arial" w:hint="cs"/>
          <w:b/>
          <w:bCs/>
          <w:sz w:val="26"/>
          <w:szCs w:val="26"/>
          <w:rtl/>
        </w:rPr>
        <w:t xml:space="preserve">         </w:t>
      </w:r>
    </w:p>
    <w:p w14:paraId="24BB6A3A" w14:textId="77777777" w:rsidR="006E54EA" w:rsidRPr="000F2247" w:rsidRDefault="006E54EA" w:rsidP="00835D6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4E6F528" w14:textId="77777777" w:rsidR="006E54EA" w:rsidRPr="000F2247" w:rsidRDefault="006E54EA" w:rsidP="006E54EA">
      <w:pPr>
        <w:jc w:val="center"/>
        <w:rPr>
          <w:rFonts w:ascii="Arial" w:hAnsi="Arial"/>
          <w:b/>
          <w:bCs/>
          <w:sz w:val="26"/>
          <w:szCs w:val="26"/>
          <w:rtl/>
        </w:rPr>
      </w:pPr>
    </w:p>
    <w:p w14:paraId="6B57E14F" w14:textId="77777777" w:rsidR="0038109A" w:rsidRPr="00835D6A" w:rsidRDefault="0038109A" w:rsidP="00835D6A">
      <w:pPr>
        <w:keepNext/>
        <w:rPr>
          <w:rFonts w:ascii="David" w:hAnsi="David"/>
          <w:color w:val="000000"/>
          <w:sz w:val="22"/>
          <w:szCs w:val="22"/>
          <w:rtl/>
        </w:rPr>
      </w:pPr>
    </w:p>
    <w:p w14:paraId="256B957A" w14:textId="77777777" w:rsidR="00835D6A" w:rsidRPr="00835D6A" w:rsidRDefault="00835D6A" w:rsidP="00835D6A">
      <w:pPr>
        <w:keepNext/>
        <w:rPr>
          <w:rFonts w:ascii="David" w:hAnsi="David"/>
          <w:color w:val="000000"/>
          <w:sz w:val="22"/>
          <w:szCs w:val="22"/>
          <w:rtl/>
        </w:rPr>
      </w:pPr>
      <w:r w:rsidRPr="00835D6A">
        <w:rPr>
          <w:rFonts w:ascii="David" w:hAnsi="David"/>
          <w:color w:val="000000"/>
          <w:sz w:val="22"/>
          <w:szCs w:val="22"/>
          <w:rtl/>
        </w:rPr>
        <w:t>שוש שטרית 54678313</w:t>
      </w:r>
    </w:p>
    <w:p w14:paraId="2B5233E0" w14:textId="77777777" w:rsidR="00835D6A" w:rsidRDefault="00835D6A" w:rsidP="00835D6A">
      <w:r w:rsidRPr="00835D6A">
        <w:rPr>
          <w:color w:val="000000"/>
          <w:rtl/>
        </w:rPr>
        <w:t>נוסח מסמך זה כפוף לשינויי ניסוח ועריכה</w:t>
      </w:r>
    </w:p>
    <w:p w14:paraId="0B9CE7F4" w14:textId="77777777" w:rsidR="00835D6A" w:rsidRDefault="00835D6A" w:rsidP="00835D6A">
      <w:pPr>
        <w:rPr>
          <w:rtl/>
        </w:rPr>
      </w:pPr>
    </w:p>
    <w:p w14:paraId="1D7B2B5F" w14:textId="77777777" w:rsidR="00835D6A" w:rsidRDefault="00835D6A" w:rsidP="00835D6A">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193BAA0A" w14:textId="77777777" w:rsidR="00835D6A" w:rsidRPr="00835D6A" w:rsidRDefault="00835D6A" w:rsidP="00835D6A">
      <w:pPr>
        <w:jc w:val="center"/>
        <w:rPr>
          <w:color w:val="0000FF"/>
          <w:u w:val="single"/>
        </w:rPr>
      </w:pPr>
    </w:p>
    <w:sectPr w:rsidR="00835D6A" w:rsidRPr="00835D6A" w:rsidSect="00835D6A">
      <w:headerReference w:type="even" r:id="rId24"/>
      <w:headerReference w:type="default" r:id="rId25"/>
      <w:footerReference w:type="even" r:id="rId26"/>
      <w:footerReference w:type="default" r:id="rId27"/>
      <w:pgSz w:w="11907" w:h="16840" w:code="9"/>
      <w:pgMar w:top="1701" w:right="1701" w:bottom="170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8586B5" w14:textId="77777777" w:rsidR="00030FED" w:rsidRDefault="00030FED" w:rsidP="00B601B4">
      <w:r>
        <w:separator/>
      </w:r>
    </w:p>
  </w:endnote>
  <w:endnote w:type="continuationSeparator" w:id="0">
    <w:p w14:paraId="411FF65F" w14:textId="77777777" w:rsidR="00030FED" w:rsidRDefault="00030FED" w:rsidP="00B60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9DB53" w14:textId="77777777" w:rsidR="00835D6A" w:rsidRDefault="00835D6A" w:rsidP="00835D6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AFDCE4" w14:textId="77777777" w:rsidR="00926067" w:rsidRPr="00835D6A" w:rsidRDefault="00835D6A" w:rsidP="00835D6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8F49E" w14:textId="77777777" w:rsidR="00835D6A" w:rsidRDefault="00835D6A" w:rsidP="00835D6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6C78">
      <w:rPr>
        <w:rFonts w:ascii="FrankRuehl" w:hAnsi="FrankRuehl" w:cs="FrankRuehl"/>
        <w:noProof/>
        <w:rtl/>
      </w:rPr>
      <w:t>1</w:t>
    </w:r>
    <w:r>
      <w:rPr>
        <w:rFonts w:ascii="FrankRuehl" w:hAnsi="FrankRuehl" w:cs="FrankRuehl"/>
        <w:rtl/>
      </w:rPr>
      <w:fldChar w:fldCharType="end"/>
    </w:r>
  </w:p>
  <w:p w14:paraId="29FD331B" w14:textId="77777777" w:rsidR="00926067" w:rsidRPr="00835D6A" w:rsidRDefault="00835D6A" w:rsidP="00835D6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B7AA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6ED0C" w14:textId="77777777" w:rsidR="00030FED" w:rsidRDefault="00030FED" w:rsidP="00B601B4">
      <w:r>
        <w:separator/>
      </w:r>
    </w:p>
  </w:footnote>
  <w:footnote w:type="continuationSeparator" w:id="0">
    <w:p w14:paraId="1F6B8A75" w14:textId="77777777" w:rsidR="00030FED" w:rsidRDefault="00030FED" w:rsidP="00B60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AA51F" w14:textId="77777777" w:rsidR="00835D6A" w:rsidRPr="00835D6A" w:rsidRDefault="00835D6A" w:rsidP="00835D6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31271-01-23</w:t>
    </w:r>
    <w:r>
      <w:rPr>
        <w:rFonts w:ascii="David" w:hAnsi="David"/>
        <w:color w:val="000000"/>
        <w:sz w:val="22"/>
        <w:szCs w:val="22"/>
        <w:rtl/>
      </w:rPr>
      <w:tab/>
      <w:t xml:space="preserve"> מדינת ישראל תביעות נגב נ' אברהים אל קרעאן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17AF6" w14:textId="77777777" w:rsidR="00835D6A" w:rsidRPr="00835D6A" w:rsidRDefault="00835D6A" w:rsidP="00835D6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31271-01-23</w:t>
    </w:r>
    <w:r>
      <w:rPr>
        <w:rFonts w:ascii="David" w:hAnsi="David"/>
        <w:color w:val="000000"/>
        <w:sz w:val="22"/>
        <w:szCs w:val="22"/>
        <w:rtl/>
      </w:rPr>
      <w:tab/>
      <w:t xml:space="preserve"> מדינת ישראל תביעות נגב נ' אברהים אל קרעאן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310373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E54EA"/>
    <w:rsid w:val="00006299"/>
    <w:rsid w:val="00030FED"/>
    <w:rsid w:val="000B340B"/>
    <w:rsid w:val="001E56DE"/>
    <w:rsid w:val="002B334B"/>
    <w:rsid w:val="00340BA6"/>
    <w:rsid w:val="0038109A"/>
    <w:rsid w:val="004A3D44"/>
    <w:rsid w:val="006E54EA"/>
    <w:rsid w:val="00835D6A"/>
    <w:rsid w:val="00926067"/>
    <w:rsid w:val="00926C78"/>
    <w:rsid w:val="009519C3"/>
    <w:rsid w:val="009A4E4C"/>
    <w:rsid w:val="00B601B4"/>
    <w:rsid w:val="00BF4621"/>
    <w:rsid w:val="00E734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720D70"/>
  <w15:chartTrackingRefBased/>
  <w15:docId w15:val="{337E99DD-DEC8-49A5-8AD8-19DC85C9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54E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E54EA"/>
    <w:pPr>
      <w:tabs>
        <w:tab w:val="center" w:pos="4153"/>
        <w:tab w:val="right" w:pos="8306"/>
      </w:tabs>
    </w:pPr>
  </w:style>
  <w:style w:type="character" w:customStyle="1" w:styleId="a4">
    <w:name w:val="כותרת עליונה תו"/>
    <w:link w:val="a3"/>
    <w:rsid w:val="006E54EA"/>
    <w:rPr>
      <w:rFonts w:ascii="Times New Roman" w:eastAsia="Times New Roman" w:hAnsi="Times New Roman" w:cs="David"/>
      <w:sz w:val="24"/>
      <w:szCs w:val="24"/>
    </w:rPr>
  </w:style>
  <w:style w:type="paragraph" w:styleId="a5">
    <w:name w:val="footer"/>
    <w:basedOn w:val="a"/>
    <w:link w:val="a6"/>
    <w:rsid w:val="006E54EA"/>
    <w:pPr>
      <w:tabs>
        <w:tab w:val="center" w:pos="4153"/>
        <w:tab w:val="right" w:pos="8306"/>
      </w:tabs>
    </w:pPr>
  </w:style>
  <w:style w:type="character" w:customStyle="1" w:styleId="a6">
    <w:name w:val="כותרת תחתונה תו"/>
    <w:link w:val="a5"/>
    <w:rsid w:val="006E54EA"/>
    <w:rPr>
      <w:rFonts w:ascii="Times New Roman" w:eastAsia="Times New Roman" w:hAnsi="Times New Roman" w:cs="David"/>
      <w:sz w:val="24"/>
      <w:szCs w:val="24"/>
    </w:rPr>
  </w:style>
  <w:style w:type="table" w:styleId="a7">
    <w:name w:val="Table Grid"/>
    <w:basedOn w:val="a1"/>
    <w:rsid w:val="006E54E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E54EA"/>
  </w:style>
  <w:style w:type="character" w:styleId="Hyperlink">
    <w:name w:val="Hyperlink"/>
    <w:rsid w:val="006E54EA"/>
    <w:rPr>
      <w:color w:val="0000FF"/>
      <w:u w:val="single"/>
    </w:rPr>
  </w:style>
  <w:style w:type="paragraph" w:styleId="a9">
    <w:name w:val="List Paragraph"/>
    <w:basedOn w:val="a"/>
    <w:qFormat/>
    <w:rsid w:val="006E54EA"/>
    <w:pPr>
      <w:ind w:left="720"/>
      <w:contextualSpacing/>
    </w:pPr>
    <w:rPr>
      <w:rFonts w:ascii="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1017469" TargetMode="External"/><Relationship Id="rId18" Type="http://schemas.openxmlformats.org/officeDocument/2006/relationships/hyperlink" Target="http://www.nevo.co.il/case/27217205"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7808933"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6169989" TargetMode="External"/><Relationship Id="rId20" Type="http://schemas.openxmlformats.org/officeDocument/2006/relationships/hyperlink" Target="http://www.nevo.co.il/case/591776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7.c"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5844852"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4282715"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19999565" TargetMode="External"/><Relationship Id="rId22" Type="http://schemas.openxmlformats.org/officeDocument/2006/relationships/hyperlink" Target="http://WWW.eca.gov.il"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1598</Words>
  <Characters>7992</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9571</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7864368</vt:i4>
      </vt:variant>
      <vt:variant>
        <vt:i4>45</vt:i4>
      </vt:variant>
      <vt:variant>
        <vt:i4>0</vt:i4>
      </vt:variant>
      <vt:variant>
        <vt:i4>5</vt:i4>
      </vt:variant>
      <vt:variant>
        <vt:lpwstr>http://www.eca.gov.il/</vt:lpwstr>
      </vt:variant>
      <vt:variant>
        <vt:lpwstr/>
      </vt:variant>
      <vt:variant>
        <vt:i4>7995492</vt:i4>
      </vt:variant>
      <vt:variant>
        <vt:i4>42</vt:i4>
      </vt:variant>
      <vt:variant>
        <vt:i4>0</vt:i4>
      </vt:variant>
      <vt:variant>
        <vt:i4>5</vt:i4>
      </vt:variant>
      <vt:variant>
        <vt:lpwstr>http://www.nevo.co.il/law/70301</vt:lpwstr>
      </vt:variant>
      <vt:variant>
        <vt:lpwstr/>
      </vt:variant>
      <vt:variant>
        <vt:i4>3407996</vt:i4>
      </vt:variant>
      <vt:variant>
        <vt:i4>39</vt:i4>
      </vt:variant>
      <vt:variant>
        <vt:i4>0</vt:i4>
      </vt:variant>
      <vt:variant>
        <vt:i4>5</vt:i4>
      </vt:variant>
      <vt:variant>
        <vt:lpwstr>http://www.nevo.co.il/case/5917767</vt:lpwstr>
      </vt:variant>
      <vt:variant>
        <vt:lpwstr/>
      </vt:variant>
      <vt:variant>
        <vt:i4>3342463</vt:i4>
      </vt:variant>
      <vt:variant>
        <vt:i4>36</vt:i4>
      </vt:variant>
      <vt:variant>
        <vt:i4>0</vt:i4>
      </vt:variant>
      <vt:variant>
        <vt:i4>5</vt:i4>
      </vt:variant>
      <vt:variant>
        <vt:lpwstr>http://www.nevo.co.il/case/24282715</vt:lpwstr>
      </vt:variant>
      <vt:variant>
        <vt:lpwstr/>
      </vt:variant>
      <vt:variant>
        <vt:i4>3604592</vt:i4>
      </vt:variant>
      <vt:variant>
        <vt:i4>33</vt:i4>
      </vt:variant>
      <vt:variant>
        <vt:i4>0</vt:i4>
      </vt:variant>
      <vt:variant>
        <vt:i4>5</vt:i4>
      </vt:variant>
      <vt:variant>
        <vt:lpwstr>http://www.nevo.co.il/case/27217205</vt:lpwstr>
      </vt:variant>
      <vt:variant>
        <vt:lpwstr/>
      </vt:variant>
      <vt:variant>
        <vt:i4>3211386</vt:i4>
      </vt:variant>
      <vt:variant>
        <vt:i4>30</vt:i4>
      </vt:variant>
      <vt:variant>
        <vt:i4>0</vt:i4>
      </vt:variant>
      <vt:variant>
        <vt:i4>5</vt:i4>
      </vt:variant>
      <vt:variant>
        <vt:lpwstr>http://www.nevo.co.il/case/27808933</vt:lpwstr>
      </vt:variant>
      <vt:variant>
        <vt:lpwstr/>
      </vt:variant>
      <vt:variant>
        <vt:i4>3145844</vt:i4>
      </vt:variant>
      <vt:variant>
        <vt:i4>27</vt:i4>
      </vt:variant>
      <vt:variant>
        <vt:i4>0</vt:i4>
      </vt:variant>
      <vt:variant>
        <vt:i4>5</vt:i4>
      </vt:variant>
      <vt:variant>
        <vt:lpwstr>http://www.nevo.co.il/case/6169989</vt:lpwstr>
      </vt:variant>
      <vt:variant>
        <vt:lpwstr/>
      </vt:variant>
      <vt:variant>
        <vt:i4>3866749</vt:i4>
      </vt:variant>
      <vt:variant>
        <vt:i4>24</vt:i4>
      </vt:variant>
      <vt:variant>
        <vt:i4>0</vt:i4>
      </vt:variant>
      <vt:variant>
        <vt:i4>5</vt:i4>
      </vt:variant>
      <vt:variant>
        <vt:lpwstr>http://www.nevo.co.il/case/5844852</vt:lpwstr>
      </vt:variant>
      <vt:variant>
        <vt:lpwstr/>
      </vt:variant>
      <vt:variant>
        <vt:i4>3604593</vt:i4>
      </vt:variant>
      <vt:variant>
        <vt:i4>21</vt:i4>
      </vt:variant>
      <vt:variant>
        <vt:i4>0</vt:i4>
      </vt:variant>
      <vt:variant>
        <vt:i4>5</vt:i4>
      </vt:variant>
      <vt:variant>
        <vt:lpwstr>http://www.nevo.co.il/case/19999565</vt:lpwstr>
      </vt:variant>
      <vt:variant>
        <vt:lpwstr/>
      </vt:variant>
      <vt:variant>
        <vt:i4>3342448</vt:i4>
      </vt:variant>
      <vt:variant>
        <vt:i4>18</vt:i4>
      </vt:variant>
      <vt:variant>
        <vt:i4>0</vt:i4>
      </vt:variant>
      <vt:variant>
        <vt:i4>5</vt:i4>
      </vt:variant>
      <vt:variant>
        <vt:lpwstr>http://www.nevo.co.il/case/21017469</vt:lpwstr>
      </vt:variant>
      <vt:variant>
        <vt:lpwstr/>
      </vt:variant>
      <vt:variant>
        <vt:i4>8257637</vt:i4>
      </vt:variant>
      <vt:variant>
        <vt:i4>15</vt:i4>
      </vt:variant>
      <vt:variant>
        <vt:i4>0</vt:i4>
      </vt:variant>
      <vt:variant>
        <vt:i4>5</vt:i4>
      </vt:variant>
      <vt:variant>
        <vt:lpwstr>http://www.nevo.co.il/law/4216</vt:lpwstr>
      </vt:variant>
      <vt:variant>
        <vt:lpwstr/>
      </vt:variant>
      <vt:variant>
        <vt:i4>3997821</vt:i4>
      </vt:variant>
      <vt:variant>
        <vt:i4>12</vt:i4>
      </vt:variant>
      <vt:variant>
        <vt:i4>0</vt:i4>
      </vt:variant>
      <vt:variant>
        <vt:i4>5</vt:i4>
      </vt:variant>
      <vt:variant>
        <vt:lpwstr>http://www.nevo.co.il/law/4216/7.a.;7.c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2025-04-23T01:40:00Z</dcterms:created>
  <dcterms:modified xsi:type="dcterms:W3CDTF">2025-04-23T01:40:00Z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31271</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 תביעות נגב</vt:lpwstr>
  </property>
  <property fmtid="{D5CDD505-2E9C-101B-9397-08002B2CF9AE}" pid="9" name="APPELLEE">
    <vt:lpwstr>אברהים אל קרעאן</vt:lpwstr>
  </property>
  <property fmtid="{D5CDD505-2E9C-101B-9397-08002B2CF9AE}" pid="10" name="LAWYER">
    <vt:lpwstr>שגיא אבנעים;טאהר אלמכאווי</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20230719</vt:lpwstr>
  </property>
  <property fmtid="{D5CDD505-2E9C-101B-9397-08002B2CF9AE}" pid="14" name="TYPE_N_DATE">
    <vt:lpwstr>38020230719</vt:lpwstr>
  </property>
  <property fmtid="{D5CDD505-2E9C-101B-9397-08002B2CF9AE}" pid="15" name="WORDNUMPAGES">
    <vt:lpwstr>5</vt:lpwstr>
  </property>
  <property fmtid="{D5CDD505-2E9C-101B-9397-08002B2CF9AE}" pid="16" name="TYPE_ABS_DATE">
    <vt:lpwstr>380020230719</vt:lpwstr>
  </property>
  <property fmtid="{D5CDD505-2E9C-101B-9397-08002B2CF9AE}" pid="17" name="ISABSTRACT">
    <vt:lpwstr>Y</vt:lpwstr>
  </property>
  <property fmtid="{D5CDD505-2E9C-101B-9397-08002B2CF9AE}" pid="18" name="CASESLISTTMP1">
    <vt:lpwstr>21017469;19999565;5844852;6169989;27808933;27217205;24282715;5917767</vt:lpwstr>
  </property>
  <property fmtid="{D5CDD505-2E9C-101B-9397-08002B2CF9AE}" pid="19" name="LAWLISTTMP1">
    <vt:lpwstr>4216/007.a;007.c</vt:lpwstr>
  </property>
  <property fmtid="{D5CDD505-2E9C-101B-9397-08002B2CF9AE}" pid="20" name="LAWLISTTMP2">
    <vt:lpwstr>70301</vt:lpwstr>
  </property>
</Properties>
</file>