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D6379C" w:rsidRPr="00022586" w14:paraId="044C9F69" w14:textId="77777777" w:rsidTr="00577009">
        <w:trPr>
          <w:gridAfter w:val="1"/>
          <w:wAfter w:w="99" w:type="dxa"/>
          <w:trHeight w:hRule="exact" w:val="418"/>
          <w:jc w:val="center"/>
        </w:trPr>
        <w:tc>
          <w:tcPr>
            <w:tcW w:w="8721" w:type="dxa"/>
            <w:gridSpan w:val="4"/>
          </w:tcPr>
          <w:p w14:paraId="1346202A" w14:textId="77777777" w:rsidR="00D6379C" w:rsidRPr="00022586" w:rsidRDefault="00D6379C" w:rsidP="00C5599E">
            <w:pPr>
              <w:pStyle w:val="a4"/>
              <w:jc w:val="center"/>
              <w:rPr>
                <w:rFonts w:ascii="Tahoma" w:hAnsi="Tahoma" w:cs="Tahoma"/>
                <w:color w:val="000080"/>
                <w:rtl/>
              </w:rPr>
            </w:pPr>
            <w:r w:rsidRPr="00022586">
              <w:rPr>
                <w:rFonts w:ascii="Tahoma" w:hAnsi="Tahoma" w:cs="Tahoma"/>
                <w:b/>
                <w:bCs/>
                <w:color w:val="000080"/>
                <w:rtl/>
              </w:rPr>
              <w:t>בית משפט השלום בבאר שבע</w:t>
            </w:r>
          </w:p>
        </w:tc>
      </w:tr>
      <w:tr w:rsidR="00D6379C" w:rsidRPr="00022586" w14:paraId="07E71C82" w14:textId="77777777" w:rsidTr="00577009">
        <w:trPr>
          <w:gridAfter w:val="1"/>
          <w:wAfter w:w="99" w:type="dxa"/>
          <w:trHeight w:val="337"/>
          <w:jc w:val="center"/>
        </w:trPr>
        <w:tc>
          <w:tcPr>
            <w:tcW w:w="5059" w:type="dxa"/>
            <w:gridSpan w:val="3"/>
          </w:tcPr>
          <w:p w14:paraId="0A8C42CF" w14:textId="77777777" w:rsidR="00D6379C" w:rsidRPr="00022586" w:rsidRDefault="00D6379C" w:rsidP="00C5599E">
            <w:pPr>
              <w:rPr>
                <w:rFonts w:cs="FrankRuehl"/>
                <w:sz w:val="28"/>
                <w:szCs w:val="28"/>
                <w:rtl/>
              </w:rPr>
            </w:pPr>
            <w:r w:rsidRPr="00022586">
              <w:rPr>
                <w:rFonts w:cs="FrankRuehl"/>
                <w:sz w:val="28"/>
                <w:szCs w:val="28"/>
                <w:rtl/>
              </w:rPr>
              <w:t>ת"פ</w:t>
            </w:r>
            <w:r w:rsidRPr="00022586">
              <w:rPr>
                <w:rFonts w:cs="FrankRuehl" w:hint="cs"/>
                <w:sz w:val="28"/>
                <w:szCs w:val="28"/>
                <w:rtl/>
              </w:rPr>
              <w:t xml:space="preserve"> </w:t>
            </w:r>
            <w:r w:rsidRPr="00022586">
              <w:rPr>
                <w:rFonts w:cs="FrankRuehl"/>
                <w:sz w:val="28"/>
                <w:szCs w:val="28"/>
                <w:rtl/>
              </w:rPr>
              <w:t>44503-01-23</w:t>
            </w:r>
            <w:r w:rsidRPr="00022586">
              <w:rPr>
                <w:rFonts w:cs="FrankRuehl" w:hint="cs"/>
                <w:sz w:val="28"/>
                <w:szCs w:val="28"/>
                <w:rtl/>
              </w:rPr>
              <w:t xml:space="preserve"> </w:t>
            </w:r>
            <w:r w:rsidRPr="00022586">
              <w:rPr>
                <w:rFonts w:cs="FrankRuehl"/>
                <w:sz w:val="28"/>
                <w:szCs w:val="28"/>
                <w:rtl/>
              </w:rPr>
              <w:t>מדינת ישראל נ' שומוב(עציר)</w:t>
            </w:r>
          </w:p>
          <w:p w14:paraId="41EBB380" w14:textId="77777777" w:rsidR="00D6379C" w:rsidRPr="00022586" w:rsidRDefault="00D6379C" w:rsidP="00C5599E">
            <w:pPr>
              <w:pStyle w:val="a4"/>
              <w:rPr>
                <w:rFonts w:cs="FrankRuehl"/>
                <w:sz w:val="28"/>
                <w:szCs w:val="28"/>
                <w:rtl/>
              </w:rPr>
            </w:pPr>
          </w:p>
        </w:tc>
        <w:tc>
          <w:tcPr>
            <w:tcW w:w="3662" w:type="dxa"/>
          </w:tcPr>
          <w:p w14:paraId="0A52071A" w14:textId="77777777" w:rsidR="00D6379C" w:rsidRPr="00022586" w:rsidRDefault="00D6379C" w:rsidP="00C5599E">
            <w:pPr>
              <w:pStyle w:val="a4"/>
              <w:jc w:val="right"/>
              <w:rPr>
                <w:rFonts w:cs="FrankRuehl"/>
                <w:sz w:val="28"/>
                <w:szCs w:val="28"/>
                <w:rtl/>
              </w:rPr>
            </w:pPr>
          </w:p>
        </w:tc>
      </w:tr>
      <w:tr w:rsidR="00D6379C" w:rsidRPr="00022586" w14:paraId="439886B2" w14:textId="77777777" w:rsidTr="00577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83D5336" w14:textId="77777777" w:rsidR="00D6379C" w:rsidRPr="00022586" w:rsidRDefault="00D6379C" w:rsidP="00D6379C">
            <w:pPr>
              <w:jc w:val="both"/>
              <w:rPr>
                <w:rFonts w:ascii="David" w:hAnsi="David"/>
                <w:sz w:val="26"/>
                <w:szCs w:val="26"/>
              </w:rPr>
            </w:pPr>
            <w:r w:rsidRPr="00022586">
              <w:rPr>
                <w:rFonts w:hint="cs"/>
                <w:rtl/>
              </w:rPr>
              <w:t xml:space="preserve"> </w:t>
            </w:r>
            <w:r w:rsidRPr="0002258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3AE09FE" w14:textId="77777777" w:rsidR="00D6379C" w:rsidRPr="00022586" w:rsidRDefault="00D6379C" w:rsidP="00C5599E">
            <w:pPr>
              <w:rPr>
                <w:rFonts w:ascii="David" w:hAnsi="David"/>
                <w:b/>
                <w:bCs/>
                <w:sz w:val="26"/>
                <w:szCs w:val="26"/>
                <w:rtl/>
              </w:rPr>
            </w:pPr>
            <w:r w:rsidRPr="00022586">
              <w:rPr>
                <w:rFonts w:ascii="David" w:hAnsi="David"/>
                <w:b/>
                <w:bCs/>
                <w:sz w:val="26"/>
                <w:szCs w:val="26"/>
                <w:rtl/>
              </w:rPr>
              <w:t>כבוד השופט, סגן הנשיא  אבישי כהן</w:t>
            </w:r>
          </w:p>
          <w:p w14:paraId="76C24B22" w14:textId="77777777" w:rsidR="00D6379C" w:rsidRPr="00022586" w:rsidRDefault="00D6379C" w:rsidP="00C5599E">
            <w:pPr>
              <w:rPr>
                <w:rFonts w:ascii="David" w:hAnsi="David"/>
                <w:sz w:val="26"/>
                <w:szCs w:val="26"/>
                <w:rtl/>
              </w:rPr>
            </w:pPr>
          </w:p>
          <w:p w14:paraId="16C94CEB" w14:textId="77777777" w:rsidR="00D6379C" w:rsidRPr="00022586" w:rsidRDefault="00D6379C" w:rsidP="00D6379C">
            <w:pPr>
              <w:jc w:val="both"/>
              <w:rPr>
                <w:rFonts w:ascii="David" w:hAnsi="David"/>
                <w:sz w:val="26"/>
                <w:szCs w:val="26"/>
              </w:rPr>
            </w:pPr>
          </w:p>
        </w:tc>
      </w:tr>
      <w:tr w:rsidR="00D6379C" w:rsidRPr="00022586" w14:paraId="2DA7E8A5" w14:textId="77777777" w:rsidTr="00577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7444C3" w14:textId="77777777" w:rsidR="00D6379C" w:rsidRPr="00022586" w:rsidRDefault="00D6379C" w:rsidP="00D6379C">
            <w:pPr>
              <w:jc w:val="both"/>
              <w:rPr>
                <w:rFonts w:ascii="David" w:hAnsi="David"/>
                <w:sz w:val="26"/>
                <w:szCs w:val="26"/>
              </w:rPr>
            </w:pPr>
            <w:bookmarkStart w:id="0" w:name="FirstAppellant"/>
            <w:bookmarkStart w:id="1" w:name="FirstLawyer"/>
            <w:bookmarkStart w:id="2" w:name="LastJudge"/>
            <w:bookmarkEnd w:id="2"/>
            <w:r w:rsidRPr="00022586">
              <w:rPr>
                <w:rFonts w:ascii="David" w:hAnsi="David"/>
                <w:sz w:val="26"/>
                <w:szCs w:val="26"/>
                <w:rtl/>
              </w:rPr>
              <w:t>בעניין:</w:t>
            </w:r>
          </w:p>
        </w:tc>
        <w:tc>
          <w:tcPr>
            <w:tcW w:w="3219" w:type="dxa"/>
            <w:tcBorders>
              <w:top w:val="nil"/>
              <w:left w:val="nil"/>
              <w:bottom w:val="nil"/>
              <w:right w:val="nil"/>
            </w:tcBorders>
            <w:shd w:val="clear" w:color="auto" w:fill="auto"/>
          </w:tcPr>
          <w:p w14:paraId="007ECE7A" w14:textId="77777777" w:rsidR="00D6379C" w:rsidRPr="00022586" w:rsidRDefault="00D6379C" w:rsidP="00D6379C">
            <w:pPr>
              <w:suppressLineNumbers/>
            </w:pPr>
            <w:r w:rsidRPr="00022586">
              <w:rPr>
                <w:rFonts w:ascii="Arial" w:hAnsi="Arial" w:hint="cs"/>
                <w:b/>
                <w:bCs/>
                <w:sz w:val="26"/>
                <w:szCs w:val="26"/>
                <w:rtl/>
              </w:rPr>
              <w:t>ה</w:t>
            </w:r>
            <w:r w:rsidRPr="00022586">
              <w:rPr>
                <w:rFonts w:ascii="Arial" w:hAnsi="Arial"/>
                <w:b/>
                <w:bCs/>
                <w:sz w:val="26"/>
                <w:szCs w:val="26"/>
                <w:rtl/>
              </w:rPr>
              <w:t>מאשימה</w:t>
            </w:r>
          </w:p>
          <w:p w14:paraId="1BC3C56F" w14:textId="77777777" w:rsidR="00D6379C" w:rsidRPr="00022586" w:rsidRDefault="00D6379C" w:rsidP="00C5599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07A061F" w14:textId="77777777" w:rsidR="00D6379C" w:rsidRPr="00022586" w:rsidRDefault="00D6379C" w:rsidP="00D6379C">
            <w:pPr>
              <w:suppressLineNumbers/>
              <w:rPr>
                <w:rFonts w:ascii="Arial" w:hAnsi="Arial"/>
                <w:b/>
                <w:bCs/>
                <w:sz w:val="26"/>
                <w:szCs w:val="26"/>
                <w:rtl/>
              </w:rPr>
            </w:pPr>
            <w:r w:rsidRPr="00022586">
              <w:rPr>
                <w:rFonts w:ascii="Arial" w:hAnsi="Arial"/>
                <w:b/>
                <w:bCs/>
                <w:sz w:val="26"/>
                <w:szCs w:val="26"/>
                <w:rtl/>
              </w:rPr>
              <w:t>מדינת ישראל</w:t>
            </w:r>
            <w:r w:rsidRPr="00022586">
              <w:rPr>
                <w:rFonts w:ascii="Arial" w:hAnsi="Arial" w:hint="cs"/>
                <w:b/>
                <w:bCs/>
                <w:sz w:val="26"/>
                <w:szCs w:val="26"/>
                <w:rtl/>
              </w:rPr>
              <w:t xml:space="preserve"> </w:t>
            </w:r>
          </w:p>
          <w:p w14:paraId="2449AD97" w14:textId="77777777" w:rsidR="00D6379C" w:rsidRPr="00022586" w:rsidRDefault="00D6379C" w:rsidP="00D6379C">
            <w:pPr>
              <w:suppressLineNumbers/>
            </w:pPr>
            <w:r w:rsidRPr="00022586">
              <w:rPr>
                <w:rFonts w:ascii="Arial" w:hAnsi="Arial"/>
                <w:b/>
                <w:bCs/>
                <w:sz w:val="26"/>
                <w:szCs w:val="26"/>
                <w:rtl/>
              </w:rPr>
              <w:t>ע"י ב"כ עוה"ד</w:t>
            </w:r>
            <w:r w:rsidRPr="00022586">
              <w:rPr>
                <w:rFonts w:ascii="Arial" w:hAnsi="Arial" w:hint="cs"/>
                <w:b/>
                <w:bCs/>
                <w:sz w:val="26"/>
                <w:szCs w:val="26"/>
                <w:rtl/>
              </w:rPr>
              <w:t xml:space="preserve"> לי מגן</w:t>
            </w:r>
          </w:p>
          <w:p w14:paraId="39953F3D" w14:textId="77777777" w:rsidR="00D6379C" w:rsidRPr="00022586" w:rsidRDefault="00D6379C" w:rsidP="00C5599E">
            <w:pPr>
              <w:rPr>
                <w:rFonts w:ascii="David" w:hAnsi="David"/>
                <w:sz w:val="26"/>
                <w:szCs w:val="26"/>
              </w:rPr>
            </w:pPr>
          </w:p>
        </w:tc>
      </w:tr>
      <w:bookmarkEnd w:id="0"/>
      <w:bookmarkEnd w:id="1"/>
      <w:tr w:rsidR="00D6379C" w:rsidRPr="00022586" w14:paraId="31C7AA34" w14:textId="77777777" w:rsidTr="00577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94C17C" w14:textId="77777777" w:rsidR="00D6379C" w:rsidRPr="00022586" w:rsidRDefault="00D6379C" w:rsidP="00D6379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ECF66B8" w14:textId="77777777" w:rsidR="00D6379C" w:rsidRPr="00022586" w:rsidRDefault="00D6379C" w:rsidP="00D6379C">
            <w:pPr>
              <w:jc w:val="center"/>
              <w:rPr>
                <w:rFonts w:ascii="David" w:hAnsi="David"/>
                <w:b/>
                <w:bCs/>
                <w:sz w:val="26"/>
                <w:szCs w:val="26"/>
                <w:rtl/>
              </w:rPr>
            </w:pPr>
          </w:p>
          <w:p w14:paraId="25A49549" w14:textId="77777777" w:rsidR="00D6379C" w:rsidRPr="00022586" w:rsidRDefault="00D6379C" w:rsidP="00D6379C">
            <w:pPr>
              <w:jc w:val="center"/>
              <w:rPr>
                <w:rFonts w:ascii="David" w:hAnsi="David"/>
                <w:b/>
                <w:bCs/>
                <w:sz w:val="26"/>
                <w:szCs w:val="26"/>
                <w:rtl/>
              </w:rPr>
            </w:pPr>
            <w:r w:rsidRPr="00022586">
              <w:rPr>
                <w:rFonts w:ascii="David" w:hAnsi="David"/>
                <w:b/>
                <w:bCs/>
                <w:sz w:val="26"/>
                <w:szCs w:val="26"/>
                <w:rtl/>
              </w:rPr>
              <w:t>נגד</w:t>
            </w:r>
          </w:p>
          <w:p w14:paraId="35FFCF7C" w14:textId="77777777" w:rsidR="00D6379C" w:rsidRPr="00022586" w:rsidRDefault="00D6379C" w:rsidP="00D6379C">
            <w:pPr>
              <w:jc w:val="both"/>
              <w:rPr>
                <w:rFonts w:ascii="David" w:hAnsi="David"/>
                <w:sz w:val="26"/>
                <w:szCs w:val="26"/>
              </w:rPr>
            </w:pPr>
          </w:p>
        </w:tc>
      </w:tr>
      <w:tr w:rsidR="00D6379C" w:rsidRPr="00022586" w14:paraId="18C898A3" w14:textId="77777777" w:rsidTr="00577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D964C8" w14:textId="77777777" w:rsidR="00D6379C" w:rsidRPr="00022586" w:rsidRDefault="00D6379C" w:rsidP="00C5599E">
            <w:pPr>
              <w:rPr>
                <w:rFonts w:ascii="David" w:hAnsi="David"/>
                <w:sz w:val="26"/>
                <w:szCs w:val="26"/>
                <w:rtl/>
              </w:rPr>
            </w:pPr>
          </w:p>
        </w:tc>
        <w:tc>
          <w:tcPr>
            <w:tcW w:w="3219" w:type="dxa"/>
            <w:tcBorders>
              <w:top w:val="nil"/>
              <w:left w:val="nil"/>
              <w:bottom w:val="nil"/>
              <w:right w:val="nil"/>
            </w:tcBorders>
            <w:shd w:val="clear" w:color="auto" w:fill="auto"/>
          </w:tcPr>
          <w:p w14:paraId="55FC28F8" w14:textId="77777777" w:rsidR="00D6379C" w:rsidRPr="00022586" w:rsidRDefault="00D6379C" w:rsidP="00C5599E">
            <w:pPr>
              <w:rPr>
                <w:rFonts w:ascii="Arial" w:hAnsi="Arial"/>
                <w:b/>
                <w:bCs/>
                <w:sz w:val="26"/>
                <w:szCs w:val="26"/>
                <w:rtl/>
              </w:rPr>
            </w:pPr>
            <w:r w:rsidRPr="0002258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5BC838A" w14:textId="77777777" w:rsidR="00D6379C" w:rsidRPr="00022586" w:rsidRDefault="00D6379C" w:rsidP="00D6379C">
            <w:pPr>
              <w:suppressLineNumbers/>
              <w:rPr>
                <w:rFonts w:ascii="Arial" w:hAnsi="Arial"/>
                <w:b/>
                <w:bCs/>
                <w:sz w:val="26"/>
                <w:szCs w:val="26"/>
                <w:rtl/>
              </w:rPr>
            </w:pPr>
            <w:r w:rsidRPr="00022586">
              <w:rPr>
                <w:rFonts w:ascii="Arial" w:hAnsi="Arial"/>
                <w:b/>
                <w:bCs/>
                <w:sz w:val="26"/>
                <w:szCs w:val="26"/>
                <w:rtl/>
              </w:rPr>
              <w:t>רוני שומוב (עציר)</w:t>
            </w:r>
            <w:r w:rsidRPr="00022586">
              <w:rPr>
                <w:rFonts w:ascii="Arial" w:hAnsi="Arial" w:hint="cs"/>
                <w:b/>
                <w:bCs/>
                <w:sz w:val="26"/>
                <w:szCs w:val="26"/>
                <w:rtl/>
              </w:rPr>
              <w:t xml:space="preserve"> </w:t>
            </w:r>
            <w:r w:rsidRPr="00022586">
              <w:rPr>
                <w:rFonts w:ascii="Arial" w:hAnsi="Arial"/>
                <w:b/>
                <w:bCs/>
                <w:sz w:val="26"/>
                <w:szCs w:val="26"/>
                <w:rtl/>
              </w:rPr>
              <w:t>–</w:t>
            </w:r>
            <w:r w:rsidRPr="00022586">
              <w:rPr>
                <w:rFonts w:ascii="Arial" w:hAnsi="Arial" w:hint="cs"/>
                <w:b/>
                <w:bCs/>
                <w:sz w:val="26"/>
                <w:szCs w:val="26"/>
                <w:rtl/>
              </w:rPr>
              <w:t xml:space="preserve"> בעצמו (הובא ע"י שב"ס)</w:t>
            </w:r>
          </w:p>
          <w:p w14:paraId="6C0F2FFA" w14:textId="77777777" w:rsidR="00D6379C" w:rsidRPr="00022586" w:rsidRDefault="00D6379C" w:rsidP="00D6379C">
            <w:pPr>
              <w:suppressLineNumbers/>
            </w:pPr>
            <w:r w:rsidRPr="00022586">
              <w:rPr>
                <w:rFonts w:ascii="Arial" w:hAnsi="Arial"/>
                <w:b/>
                <w:bCs/>
                <w:sz w:val="26"/>
                <w:szCs w:val="26"/>
                <w:rtl/>
              </w:rPr>
              <w:t>ע"י ב"כ עוה"ד</w:t>
            </w:r>
            <w:r w:rsidRPr="00022586">
              <w:rPr>
                <w:rFonts w:ascii="Arial" w:hAnsi="Arial" w:hint="cs"/>
                <w:b/>
                <w:bCs/>
                <w:sz w:val="26"/>
                <w:szCs w:val="26"/>
                <w:rtl/>
              </w:rPr>
              <w:t xml:space="preserve"> פאולה ברוש</w:t>
            </w:r>
          </w:p>
          <w:p w14:paraId="1DB08AC6" w14:textId="77777777" w:rsidR="00D6379C" w:rsidRPr="00022586" w:rsidRDefault="00D6379C" w:rsidP="00C5599E">
            <w:pPr>
              <w:rPr>
                <w:rFonts w:ascii="David" w:hAnsi="David"/>
                <w:sz w:val="26"/>
                <w:szCs w:val="26"/>
              </w:rPr>
            </w:pPr>
          </w:p>
        </w:tc>
      </w:tr>
    </w:tbl>
    <w:p w14:paraId="62945C5C" w14:textId="77777777" w:rsidR="00577009" w:rsidRDefault="00577009" w:rsidP="00022586">
      <w:pPr>
        <w:rPr>
          <w:rtl/>
        </w:rPr>
      </w:pPr>
    </w:p>
    <w:p w14:paraId="70A829A2" w14:textId="77777777" w:rsidR="00577009" w:rsidRPr="00577009" w:rsidRDefault="00577009" w:rsidP="00577009">
      <w:pPr>
        <w:spacing w:after="120" w:line="240" w:lineRule="exact"/>
        <w:ind w:left="283" w:hanging="283"/>
        <w:jc w:val="both"/>
        <w:rPr>
          <w:rFonts w:ascii="FrankRuehl" w:hAnsi="FrankRuehl" w:cs="FrankRuehl"/>
          <w:rtl/>
        </w:rPr>
      </w:pPr>
    </w:p>
    <w:p w14:paraId="7E52217C" w14:textId="77777777" w:rsidR="00256C2C" w:rsidRPr="00256C2C" w:rsidRDefault="00256C2C" w:rsidP="00256C2C">
      <w:pPr>
        <w:spacing w:before="120" w:after="120" w:line="240" w:lineRule="exact"/>
        <w:ind w:left="283" w:hanging="283"/>
        <w:jc w:val="both"/>
        <w:rPr>
          <w:rFonts w:ascii="FrankRuehl" w:hAnsi="FrankRuehl" w:cs="FrankRuehl"/>
          <w:rtl/>
        </w:rPr>
      </w:pPr>
    </w:p>
    <w:p w14:paraId="2FDB9925" w14:textId="77777777" w:rsidR="00DC4870" w:rsidRDefault="00DC4870" w:rsidP="00DC4870">
      <w:pPr>
        <w:rPr>
          <w:rtl/>
        </w:rPr>
      </w:pPr>
      <w:bookmarkStart w:id="3" w:name="LawTable"/>
      <w:bookmarkEnd w:id="3"/>
    </w:p>
    <w:p w14:paraId="168EE71A" w14:textId="77777777" w:rsidR="00DC4870" w:rsidRPr="00DC4870" w:rsidRDefault="00DC4870" w:rsidP="00DC4870">
      <w:pPr>
        <w:spacing w:before="120" w:after="120" w:line="240" w:lineRule="exact"/>
        <w:ind w:left="283" w:hanging="283"/>
        <w:jc w:val="both"/>
        <w:rPr>
          <w:rFonts w:ascii="FrankRuehl" w:hAnsi="FrankRuehl" w:cs="FrankRuehl"/>
          <w:rtl/>
        </w:rPr>
      </w:pPr>
    </w:p>
    <w:p w14:paraId="03448EF1" w14:textId="77777777" w:rsidR="00DC4870" w:rsidRPr="00DC4870" w:rsidRDefault="00DC4870" w:rsidP="00DC4870">
      <w:pPr>
        <w:spacing w:before="120" w:after="120" w:line="240" w:lineRule="exact"/>
        <w:ind w:left="283" w:hanging="283"/>
        <w:jc w:val="both"/>
        <w:rPr>
          <w:rFonts w:ascii="FrankRuehl" w:hAnsi="FrankRuehl" w:cs="FrankRuehl"/>
          <w:rtl/>
        </w:rPr>
      </w:pPr>
    </w:p>
    <w:p w14:paraId="782C5364" w14:textId="77777777" w:rsidR="00DC4870" w:rsidRPr="00DC4870" w:rsidRDefault="00DC4870" w:rsidP="00DC4870">
      <w:pPr>
        <w:spacing w:before="120" w:after="120" w:line="240" w:lineRule="exact"/>
        <w:ind w:left="283" w:hanging="283"/>
        <w:jc w:val="both"/>
        <w:rPr>
          <w:rFonts w:ascii="FrankRuehl" w:hAnsi="FrankRuehl" w:cs="FrankRuehl"/>
          <w:rtl/>
        </w:rPr>
      </w:pPr>
      <w:r w:rsidRPr="00DC4870">
        <w:rPr>
          <w:rFonts w:ascii="FrankRuehl" w:hAnsi="FrankRuehl" w:cs="FrankRuehl"/>
          <w:rtl/>
        </w:rPr>
        <w:t xml:space="preserve">חקיקה שאוזכרה: </w:t>
      </w:r>
    </w:p>
    <w:p w14:paraId="57882B19" w14:textId="77777777" w:rsidR="00DC4870" w:rsidRPr="00DC4870" w:rsidRDefault="00DC4870" w:rsidP="00DC4870">
      <w:pPr>
        <w:spacing w:before="120" w:after="120" w:line="240" w:lineRule="exact"/>
        <w:ind w:left="283" w:hanging="283"/>
        <w:jc w:val="both"/>
        <w:rPr>
          <w:rFonts w:ascii="FrankRuehl" w:hAnsi="FrankRuehl" w:cs="FrankRuehl"/>
          <w:rtl/>
        </w:rPr>
      </w:pPr>
      <w:hyperlink r:id="rId7" w:history="1">
        <w:r w:rsidRPr="00DC4870">
          <w:rPr>
            <w:rFonts w:ascii="FrankRuehl" w:hAnsi="FrankRuehl" w:cs="FrankRuehl"/>
            <w:color w:val="0000FF"/>
            <w:rtl/>
          </w:rPr>
          <w:t>פקודת הסמים המסוכנים [נוסח חדש], תשל"ג-1973</w:t>
        </w:r>
      </w:hyperlink>
      <w:r w:rsidRPr="00DC4870">
        <w:rPr>
          <w:rFonts w:ascii="FrankRuehl" w:hAnsi="FrankRuehl" w:cs="FrankRuehl"/>
          <w:rtl/>
        </w:rPr>
        <w:t xml:space="preserve">: סע'  </w:t>
      </w:r>
      <w:hyperlink r:id="rId8" w:history="1">
        <w:r w:rsidRPr="00DC4870">
          <w:rPr>
            <w:rFonts w:ascii="FrankRuehl" w:hAnsi="FrankRuehl" w:cs="FrankRuehl"/>
            <w:color w:val="0000FF"/>
            <w:rtl/>
          </w:rPr>
          <w:t>7 (א)</w:t>
        </w:r>
      </w:hyperlink>
      <w:r w:rsidRPr="00DC4870">
        <w:rPr>
          <w:rFonts w:ascii="FrankRuehl" w:hAnsi="FrankRuehl" w:cs="FrankRuehl"/>
          <w:rtl/>
        </w:rPr>
        <w:t xml:space="preserve">, </w:t>
      </w:r>
      <w:hyperlink r:id="rId9" w:history="1">
        <w:r w:rsidRPr="00DC4870">
          <w:rPr>
            <w:rFonts w:ascii="FrankRuehl" w:hAnsi="FrankRuehl" w:cs="FrankRuehl"/>
            <w:color w:val="0000FF"/>
            <w:rtl/>
          </w:rPr>
          <w:t>7 (ג)</w:t>
        </w:r>
      </w:hyperlink>
    </w:p>
    <w:p w14:paraId="1DEA5419" w14:textId="77777777" w:rsidR="00DC4870" w:rsidRPr="00DC4870" w:rsidRDefault="00DC4870" w:rsidP="00DC4870">
      <w:pPr>
        <w:spacing w:before="120" w:after="120" w:line="240" w:lineRule="exact"/>
        <w:ind w:left="283" w:hanging="283"/>
        <w:jc w:val="both"/>
        <w:rPr>
          <w:rFonts w:ascii="FrankRuehl" w:hAnsi="FrankRuehl" w:cs="FrankRuehl"/>
          <w:rtl/>
        </w:rPr>
      </w:pPr>
      <w:hyperlink r:id="rId10" w:history="1">
        <w:r w:rsidRPr="00DC4870">
          <w:rPr>
            <w:rFonts w:ascii="FrankRuehl" w:hAnsi="FrankRuehl" w:cs="FrankRuehl"/>
            <w:color w:val="0000FF"/>
            <w:rtl/>
          </w:rPr>
          <w:t>חוק העונשין, תשל"ז-1977</w:t>
        </w:r>
      </w:hyperlink>
      <w:r w:rsidRPr="00DC4870">
        <w:rPr>
          <w:rFonts w:ascii="FrankRuehl" w:hAnsi="FrankRuehl" w:cs="FrankRuehl"/>
          <w:rtl/>
        </w:rPr>
        <w:t xml:space="preserve">: סע'  </w:t>
      </w:r>
      <w:hyperlink r:id="rId11" w:history="1">
        <w:r w:rsidRPr="00DC4870">
          <w:rPr>
            <w:rFonts w:ascii="FrankRuehl" w:hAnsi="FrankRuehl" w:cs="FrankRuehl"/>
            <w:color w:val="0000FF"/>
            <w:rtl/>
          </w:rPr>
          <w:t>40 ט'</w:t>
        </w:r>
      </w:hyperlink>
      <w:r w:rsidRPr="00DC4870">
        <w:rPr>
          <w:rFonts w:ascii="FrankRuehl" w:hAnsi="FrankRuehl" w:cs="FrankRuehl"/>
          <w:rtl/>
        </w:rPr>
        <w:t xml:space="preserve">, </w:t>
      </w:r>
      <w:hyperlink r:id="rId12" w:history="1">
        <w:r w:rsidRPr="00DC4870">
          <w:rPr>
            <w:rFonts w:ascii="FrankRuehl" w:hAnsi="FrankRuehl" w:cs="FrankRuehl"/>
            <w:color w:val="0000FF"/>
            <w:rtl/>
          </w:rPr>
          <w:t>40 יא'</w:t>
        </w:r>
      </w:hyperlink>
    </w:p>
    <w:p w14:paraId="41A8F9C8" w14:textId="77777777" w:rsidR="00DC4870" w:rsidRPr="00DC4870" w:rsidRDefault="00DC4870" w:rsidP="00DC4870">
      <w:pPr>
        <w:rPr>
          <w:rtl/>
        </w:rPr>
      </w:pPr>
      <w:bookmarkStart w:id="4" w:name="LawTable_End"/>
      <w:bookmarkEnd w:id="4"/>
    </w:p>
    <w:p w14:paraId="0A833810" w14:textId="77777777" w:rsidR="00022586" w:rsidRPr="00256C2C" w:rsidRDefault="00022586" w:rsidP="00256C2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379C" w:rsidRPr="00897614" w14:paraId="54DD4F4F" w14:textId="77777777" w:rsidTr="00D6379C">
        <w:trPr>
          <w:trHeight w:val="355"/>
          <w:jc w:val="center"/>
        </w:trPr>
        <w:tc>
          <w:tcPr>
            <w:tcW w:w="8820" w:type="dxa"/>
            <w:tcBorders>
              <w:top w:val="nil"/>
              <w:left w:val="nil"/>
              <w:bottom w:val="nil"/>
              <w:right w:val="nil"/>
            </w:tcBorders>
            <w:shd w:val="clear" w:color="auto" w:fill="auto"/>
          </w:tcPr>
          <w:p w14:paraId="670A7F73" w14:textId="77777777" w:rsidR="00022586" w:rsidRPr="00022586" w:rsidRDefault="00022586" w:rsidP="00022586">
            <w:pPr>
              <w:jc w:val="center"/>
              <w:rPr>
                <w:rFonts w:ascii="David" w:hAnsi="David"/>
                <w:b/>
                <w:bCs/>
                <w:sz w:val="32"/>
                <w:szCs w:val="32"/>
                <w:rtl/>
              </w:rPr>
            </w:pPr>
            <w:bookmarkStart w:id="5" w:name="PsakDin" w:colFirst="0" w:colLast="0"/>
            <w:r w:rsidRPr="00022586">
              <w:rPr>
                <w:rFonts w:ascii="David" w:hAnsi="David"/>
                <w:b/>
                <w:bCs/>
                <w:sz w:val="32"/>
                <w:szCs w:val="32"/>
                <w:rtl/>
              </w:rPr>
              <w:t>גזר דין</w:t>
            </w:r>
          </w:p>
          <w:p w14:paraId="18C83D1D" w14:textId="77777777" w:rsidR="00D6379C" w:rsidRPr="00022586" w:rsidRDefault="00D6379C" w:rsidP="00022586">
            <w:pPr>
              <w:jc w:val="center"/>
              <w:rPr>
                <w:rFonts w:ascii="David" w:hAnsi="David"/>
                <w:bCs/>
                <w:sz w:val="32"/>
                <w:szCs w:val="32"/>
                <w:rtl/>
              </w:rPr>
            </w:pPr>
          </w:p>
        </w:tc>
      </w:tr>
      <w:bookmarkEnd w:id="5"/>
    </w:tbl>
    <w:p w14:paraId="4938785E" w14:textId="77777777" w:rsidR="00D6379C" w:rsidRPr="000F2247" w:rsidRDefault="00D6379C" w:rsidP="00D6379C">
      <w:pPr>
        <w:rPr>
          <w:rFonts w:ascii="Arial" w:hAnsi="Arial"/>
          <w:b/>
          <w:bCs/>
          <w:sz w:val="26"/>
          <w:szCs w:val="26"/>
          <w:rtl/>
        </w:rPr>
      </w:pPr>
    </w:p>
    <w:p w14:paraId="166E92DB" w14:textId="77777777" w:rsidR="00D6379C" w:rsidRDefault="00D6379C" w:rsidP="00D6379C">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בעבירה של </w:t>
      </w:r>
      <w:r>
        <w:rPr>
          <w:rFonts w:ascii="David" w:hAnsi="David" w:cs="David"/>
          <w:b/>
          <w:bCs/>
          <w:sz w:val="24"/>
          <w:szCs w:val="24"/>
          <w:rtl/>
        </w:rPr>
        <w:t xml:space="preserve"> החזקת סם מסוכן שלא לצריכה עצמית</w:t>
      </w:r>
      <w:r>
        <w:rPr>
          <w:rFonts w:ascii="David" w:hAnsi="David" w:cs="David"/>
          <w:sz w:val="24"/>
          <w:szCs w:val="24"/>
          <w:rtl/>
        </w:rPr>
        <w:t xml:space="preserve">, לפי סעיף </w:t>
      </w:r>
      <w:hyperlink r:id="rId13" w:history="1">
        <w:r w:rsidR="00577009" w:rsidRPr="00577009">
          <w:rPr>
            <w:rStyle w:val="Hyperlink"/>
            <w:rFonts w:ascii="David" w:hAnsi="David" w:cs="David"/>
            <w:sz w:val="24"/>
            <w:szCs w:val="24"/>
            <w:rtl/>
          </w:rPr>
          <w:t>7 (א)</w:t>
        </w:r>
      </w:hyperlink>
      <w:r>
        <w:rPr>
          <w:rFonts w:ascii="David" w:hAnsi="David" w:cs="David"/>
          <w:sz w:val="24"/>
          <w:szCs w:val="24"/>
          <w:rtl/>
        </w:rPr>
        <w:t xml:space="preserve"> יחד עם סעיף </w:t>
      </w:r>
      <w:hyperlink r:id="rId14" w:history="1">
        <w:r w:rsidR="00577009" w:rsidRPr="00577009">
          <w:rPr>
            <w:rStyle w:val="Hyperlink"/>
            <w:rFonts w:ascii="David" w:hAnsi="David" w:cs="David"/>
            <w:sz w:val="24"/>
            <w:szCs w:val="24"/>
            <w:rtl/>
          </w:rPr>
          <w:t>7 (ג)</w:t>
        </w:r>
      </w:hyperlink>
      <w:r>
        <w:rPr>
          <w:rFonts w:ascii="David" w:hAnsi="David" w:cs="David"/>
          <w:sz w:val="24"/>
          <w:szCs w:val="24"/>
          <w:rtl/>
        </w:rPr>
        <w:t xml:space="preserve"> רישא ל</w:t>
      </w:r>
      <w:hyperlink r:id="rId15" w:history="1">
        <w:r w:rsidR="00022586" w:rsidRPr="0002258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w:t>
      </w:r>
    </w:p>
    <w:p w14:paraId="2B0493D5" w14:textId="77777777" w:rsidR="00D6379C" w:rsidRDefault="00D6379C" w:rsidP="00D6379C">
      <w:pPr>
        <w:pStyle w:val="ab"/>
        <w:numPr>
          <w:ilvl w:val="0"/>
          <w:numId w:val="2"/>
        </w:numPr>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בתאריך 24.05.23 הציגו הצדדים ההסדר דיוני, לפיו כתב האישום תוקן , הנאשם הודה והורשע במיוחס לו בכתב האישום. הצדדים לא הגיעו להסכמה עונשית.  </w:t>
      </w:r>
    </w:p>
    <w:p w14:paraId="69A815AA" w14:textId="77777777" w:rsidR="00D6379C" w:rsidRDefault="00D6379C" w:rsidP="00D6379C">
      <w:pPr>
        <w:pStyle w:val="ab"/>
        <w:numPr>
          <w:ilvl w:val="0"/>
          <w:numId w:val="2"/>
        </w:numPr>
        <w:spacing w:line="360" w:lineRule="auto"/>
        <w:jc w:val="both"/>
        <w:rPr>
          <w:rFonts w:ascii="David" w:hAnsi="David" w:cs="David"/>
          <w:sz w:val="24"/>
          <w:szCs w:val="24"/>
        </w:rPr>
      </w:pPr>
      <w:r w:rsidRPr="00D6379C">
        <w:rPr>
          <w:rFonts w:ascii="David" w:hAnsi="David" w:cs="David"/>
          <w:color w:val="000000"/>
          <w:sz w:val="24"/>
          <w:szCs w:val="24"/>
          <w:rtl/>
        </w:rPr>
        <w:t xml:space="preserve">על פי עובדות כתב האישום המתוקן, בתאריך 14.01.23 בסמוך לשעה 10:00, בתא המעוכבים בתחנת משטרת באר שבע החזיק הנאשם בסם מסוכן מסוג </w:t>
      </w:r>
      <w:r w:rsidRPr="00D6379C">
        <w:rPr>
          <w:rFonts w:ascii="David" w:hAnsi="David" w:cs="David"/>
          <w:color w:val="000000"/>
          <w:sz w:val="24"/>
          <w:szCs w:val="24"/>
        </w:rPr>
        <w:t>MethylMethCathinone</w:t>
      </w:r>
      <w:r w:rsidRPr="00D6379C">
        <w:rPr>
          <w:rFonts w:ascii="David" w:hAnsi="David" w:cs="David"/>
          <w:color w:val="000000"/>
          <w:sz w:val="24"/>
          <w:szCs w:val="24"/>
          <w:rtl/>
        </w:rPr>
        <w:t>-</w:t>
      </w:r>
      <w:r w:rsidRPr="00D6379C">
        <w:rPr>
          <w:rFonts w:ascii="David" w:hAnsi="David" w:cs="David"/>
          <w:color w:val="000000"/>
          <w:sz w:val="24"/>
          <w:szCs w:val="24"/>
        </w:rPr>
        <w:t>m</w:t>
      </w:r>
      <w:r w:rsidRPr="00D6379C">
        <w:rPr>
          <w:rFonts w:ascii="David" w:hAnsi="David" w:cs="David"/>
          <w:color w:val="000000"/>
          <w:sz w:val="24"/>
          <w:szCs w:val="24"/>
          <w:rtl/>
        </w:rPr>
        <w:t xml:space="preserve"> במשקל 4.2 גרם, ללא היתר או רישיון. </w:t>
      </w:r>
    </w:p>
    <w:p w14:paraId="7053F8F1" w14:textId="77777777" w:rsidR="00D6379C" w:rsidRDefault="00D6379C" w:rsidP="00D6379C">
      <w:pPr>
        <w:pStyle w:val="ab"/>
        <w:spacing w:line="360" w:lineRule="auto"/>
        <w:jc w:val="both"/>
        <w:rPr>
          <w:rFonts w:ascii="David" w:hAnsi="David" w:cs="David"/>
          <w:sz w:val="24"/>
          <w:szCs w:val="24"/>
          <w:highlight w:val="yellow"/>
        </w:rPr>
      </w:pPr>
    </w:p>
    <w:p w14:paraId="60821BC0" w14:textId="77777777" w:rsidR="00D6379C" w:rsidRDefault="00D6379C" w:rsidP="00D6379C">
      <w:pPr>
        <w:spacing w:line="360" w:lineRule="auto"/>
        <w:jc w:val="both"/>
        <w:rPr>
          <w:rFonts w:ascii="David" w:hAnsi="David"/>
          <w:bCs/>
          <w:u w:val="single"/>
        </w:rPr>
      </w:pPr>
      <w:r>
        <w:rPr>
          <w:rFonts w:ascii="David" w:hAnsi="David"/>
          <w:bCs/>
          <w:u w:val="single"/>
          <w:rtl/>
        </w:rPr>
        <w:t>טיעוני הצדדים</w:t>
      </w:r>
    </w:p>
    <w:p w14:paraId="7A6F8BA8" w14:textId="77777777" w:rsidR="00D6379C" w:rsidRDefault="00D6379C" w:rsidP="00D6379C">
      <w:pPr>
        <w:pStyle w:val="ab"/>
        <w:numPr>
          <w:ilvl w:val="0"/>
          <w:numId w:val="2"/>
        </w:numPr>
        <w:spacing w:line="360" w:lineRule="auto"/>
        <w:jc w:val="both"/>
        <w:rPr>
          <w:rFonts w:ascii="David" w:hAnsi="David" w:cs="David"/>
          <w:b/>
          <w:sz w:val="24"/>
          <w:szCs w:val="24"/>
          <w:rtl/>
        </w:rPr>
      </w:pPr>
      <w:r>
        <w:rPr>
          <w:rFonts w:ascii="David" w:hAnsi="David" w:cs="David"/>
          <w:b/>
          <w:sz w:val="24"/>
          <w:szCs w:val="24"/>
          <w:rtl/>
        </w:rPr>
        <w:lastRenderedPageBreak/>
        <w:t xml:space="preserve">ב"כ המאשימה הגישה גיליון הרשעות פלילי ותעבורתי של הנאשם (ת/1,ת/2) ממנו עולה כי הנאשם בעל עבר פלילי מכביד הכולל גם עבירות בתחום הסמים, בגינן אף ריצה מספר מאסרים בפועל. </w:t>
      </w:r>
    </w:p>
    <w:p w14:paraId="244DB65A" w14:textId="77777777" w:rsidR="00D6379C" w:rsidRDefault="00D6379C" w:rsidP="00D6379C">
      <w:pPr>
        <w:pStyle w:val="ab"/>
        <w:spacing w:line="360" w:lineRule="auto"/>
        <w:jc w:val="both"/>
        <w:rPr>
          <w:rFonts w:ascii="David" w:hAnsi="David" w:cs="David"/>
          <w:b/>
          <w:sz w:val="24"/>
          <w:szCs w:val="24"/>
        </w:rPr>
      </w:pPr>
      <w:r>
        <w:rPr>
          <w:rFonts w:ascii="David" w:hAnsi="David" w:cs="David"/>
          <w:b/>
          <w:sz w:val="24"/>
          <w:szCs w:val="24"/>
          <w:rtl/>
        </w:rPr>
        <w:t xml:space="preserve">עוד הוגשו טיעונים לעונש בכתב (ת/3). המאשימה ציינה שהנאשם נמצא מחזיק סם מסוג חדש יחסית שהשפעותיו הרסניות. הפגיעה בערכים המוגנים במקרה זה הינה ברף הבינוני. </w:t>
      </w:r>
    </w:p>
    <w:p w14:paraId="54595A29" w14:textId="77777777" w:rsidR="00D6379C" w:rsidRDefault="00D6379C" w:rsidP="00D6379C">
      <w:pPr>
        <w:pStyle w:val="ab"/>
        <w:spacing w:line="360" w:lineRule="auto"/>
        <w:jc w:val="both"/>
        <w:rPr>
          <w:rFonts w:ascii="David" w:hAnsi="David" w:cs="David"/>
          <w:b/>
          <w:sz w:val="24"/>
          <w:szCs w:val="24"/>
          <w:rtl/>
        </w:rPr>
      </w:pPr>
      <w:r>
        <w:rPr>
          <w:rFonts w:ascii="David" w:hAnsi="David" w:cs="David"/>
          <w:b/>
          <w:sz w:val="24"/>
          <w:szCs w:val="24"/>
          <w:rtl/>
        </w:rPr>
        <w:t xml:space="preserve">המאשימה עתרה למתחם ענישה בין 8 ל- 18 חודשי מאסר לצד עונשים נלווים. </w:t>
      </w:r>
    </w:p>
    <w:p w14:paraId="02E4AAF8" w14:textId="77777777" w:rsidR="00D6379C" w:rsidRDefault="00D6379C" w:rsidP="00D6379C">
      <w:pPr>
        <w:pStyle w:val="ab"/>
        <w:spacing w:line="360" w:lineRule="auto"/>
        <w:jc w:val="both"/>
        <w:rPr>
          <w:rFonts w:ascii="David" w:hAnsi="David" w:cs="David"/>
          <w:b/>
          <w:sz w:val="24"/>
          <w:szCs w:val="24"/>
          <w:rtl/>
        </w:rPr>
      </w:pPr>
      <w:r>
        <w:rPr>
          <w:rFonts w:ascii="David" w:hAnsi="David" w:cs="David"/>
          <w:b/>
          <w:sz w:val="24"/>
          <w:szCs w:val="24"/>
          <w:rtl/>
        </w:rPr>
        <w:t xml:space="preserve">המאשימה ציינה שהנאשם אומנם הודה במיוחס לו ולקח אחריות, אולם לא נערך בעניינו תסקיר ואין כל המלצה טיפולית בעניינו ולכן אין מקום לסטייה מהענישה. </w:t>
      </w:r>
    </w:p>
    <w:p w14:paraId="197F97EE" w14:textId="77777777" w:rsidR="00D6379C" w:rsidRDefault="00D6379C" w:rsidP="00D6379C">
      <w:pPr>
        <w:pStyle w:val="ab"/>
        <w:spacing w:line="360" w:lineRule="auto"/>
        <w:jc w:val="both"/>
        <w:rPr>
          <w:rFonts w:ascii="David" w:hAnsi="David" w:cs="David"/>
          <w:b/>
          <w:sz w:val="24"/>
          <w:szCs w:val="24"/>
          <w:rtl/>
        </w:rPr>
      </w:pPr>
      <w:r>
        <w:rPr>
          <w:rFonts w:ascii="David" w:hAnsi="David" w:cs="David"/>
          <w:b/>
          <w:sz w:val="24"/>
          <w:szCs w:val="24"/>
          <w:rtl/>
        </w:rPr>
        <w:t xml:space="preserve">המאשימה ציינה שהיות ומדובר בהרשעה שנייה בעבירות סמים יש להטיל גם פסילה בפועל וזאת בנוסף להטלת רכיבי ענישה נלווים של מאסר מותנה, קנס גבוה, פסילה על תנאי וחתימה על התחייבות. לעניין מיקומו של הנאשם בתוך מתחם הענישה, עתרה ב"כ המאשימה למיקומו ברף הבינוני- גבוה של המתחם. </w:t>
      </w:r>
    </w:p>
    <w:p w14:paraId="4EF442E7" w14:textId="77777777" w:rsidR="00D6379C" w:rsidRDefault="00D6379C" w:rsidP="00D6379C">
      <w:pPr>
        <w:pStyle w:val="ab"/>
        <w:numPr>
          <w:ilvl w:val="0"/>
          <w:numId w:val="2"/>
        </w:numPr>
        <w:spacing w:line="360" w:lineRule="auto"/>
        <w:jc w:val="both"/>
        <w:rPr>
          <w:rFonts w:ascii="David" w:hAnsi="David" w:cs="David"/>
          <w:b/>
          <w:sz w:val="24"/>
          <w:szCs w:val="24"/>
          <w:rtl/>
        </w:rPr>
      </w:pPr>
      <w:r>
        <w:rPr>
          <w:rFonts w:ascii="David" w:hAnsi="David" w:cs="David"/>
          <w:b/>
          <w:sz w:val="24"/>
          <w:szCs w:val="24"/>
          <w:rtl/>
        </w:rPr>
        <w:t xml:space="preserve">ב"כ הנאשם ציינה כי כתב האישום תוקן באופן משמעותי, הנאשם לקח אחריות מלאה והודה במיוחס לו, הנאשם צורך סמים והחזיק בסמים לצורך שימוש עצמי, עוד ציינה שהנאשם מצוי במעצר תקופה ארוכה. לגישתה המתחם בנסיבות תיק זה נע בין מספר חודשי מאסר שיכול וירוצו בעבודת שירות ועד 12 חודשי מאסר בפועל, תוך שעתרה למקם עונשו של הנאשם בשליש התחתון של המתחם, בעניין זה ציינה כמות הסם 4 גרם, אופן החזקת הסם ולעובדה שאין כל אינדיקציה כי הסם יועד למטרת הפצה. </w:t>
      </w:r>
    </w:p>
    <w:p w14:paraId="0BB786AA" w14:textId="77777777" w:rsidR="00D6379C" w:rsidRDefault="00D6379C" w:rsidP="00D6379C">
      <w:pPr>
        <w:pStyle w:val="ab"/>
        <w:spacing w:line="360" w:lineRule="auto"/>
        <w:jc w:val="both"/>
        <w:rPr>
          <w:rFonts w:ascii="David" w:hAnsi="David" w:cs="David"/>
          <w:b/>
          <w:sz w:val="24"/>
          <w:szCs w:val="24"/>
        </w:rPr>
      </w:pPr>
      <w:r>
        <w:rPr>
          <w:rFonts w:ascii="David" w:hAnsi="David" w:cs="David"/>
          <w:b/>
          <w:sz w:val="24"/>
          <w:szCs w:val="24"/>
          <w:rtl/>
        </w:rPr>
        <w:t xml:space="preserve">ב"כ הנאשם, ציינה שלמרות שמדובר בנאשם בעל עבר פלילי בתחום הסמים, אין לחובתו עבירות הנוגעות לסמים מסוג הנדון, הרשעותיו בעבירות סמים הינם לשימוש עצמי בלבד ובנסיבות תיק זה ניתן להסתפק בימי מעצרו, היא הסכימה לפסילה בפועל תוך שציינה כי הנאשם אינו בעל רישיון נהיגה. לגבי הקנס ביקשה להתחשב במצבו של הנאשם, עובדת היותו עצור מזה מספר חודשים וככל ויוטל קנס, להורות על פריסה לתשלומים. </w:t>
      </w:r>
    </w:p>
    <w:p w14:paraId="1AB5ED12" w14:textId="77777777" w:rsidR="00D6379C" w:rsidRDefault="00D6379C" w:rsidP="00D6379C">
      <w:pPr>
        <w:pStyle w:val="ab"/>
        <w:spacing w:line="360" w:lineRule="auto"/>
        <w:jc w:val="both"/>
        <w:rPr>
          <w:rFonts w:ascii="David" w:hAnsi="David" w:cs="David"/>
          <w:b/>
          <w:sz w:val="24"/>
          <w:szCs w:val="24"/>
          <w:rtl/>
        </w:rPr>
      </w:pPr>
      <w:r>
        <w:rPr>
          <w:rFonts w:ascii="David" w:hAnsi="David" w:cs="David"/>
          <w:b/>
          <w:sz w:val="24"/>
          <w:szCs w:val="24"/>
          <w:rtl/>
        </w:rPr>
        <w:t xml:space="preserve">הנאשם בדבריו טרם גזירת דינו, הביע צער על מעשיו, ציין שמעוניין לפתוח דף חדש ומעוניין בטיפול אותו ימשיך מול גורמי רש"א. </w:t>
      </w:r>
    </w:p>
    <w:p w14:paraId="50547FB0" w14:textId="77777777" w:rsidR="00D6379C" w:rsidRDefault="00D6379C" w:rsidP="00D6379C">
      <w:pPr>
        <w:pStyle w:val="ab"/>
        <w:spacing w:line="360" w:lineRule="auto"/>
        <w:jc w:val="both"/>
        <w:rPr>
          <w:rFonts w:ascii="David" w:hAnsi="David" w:cs="David"/>
          <w:sz w:val="24"/>
          <w:szCs w:val="24"/>
          <w:rtl/>
        </w:rPr>
      </w:pPr>
    </w:p>
    <w:p w14:paraId="54B36CF6" w14:textId="77777777" w:rsidR="00D6379C" w:rsidRDefault="00D6379C" w:rsidP="00D6379C">
      <w:pPr>
        <w:spacing w:line="360" w:lineRule="auto"/>
        <w:jc w:val="both"/>
        <w:rPr>
          <w:rFonts w:ascii="David" w:hAnsi="David"/>
          <w:bCs/>
          <w:u w:val="single"/>
          <w:rtl/>
        </w:rPr>
      </w:pPr>
      <w:r>
        <w:rPr>
          <w:rFonts w:ascii="David" w:hAnsi="David"/>
          <w:bCs/>
          <w:u w:val="single"/>
          <w:rtl/>
        </w:rPr>
        <w:t xml:space="preserve">דיון - קביעת מתחם העונש ההולם </w:t>
      </w:r>
    </w:p>
    <w:p w14:paraId="0267F409" w14:textId="77777777" w:rsidR="00D6379C" w:rsidRDefault="00D6379C" w:rsidP="00D6379C">
      <w:pPr>
        <w:pStyle w:val="a"/>
        <w:numPr>
          <w:ilvl w:val="0"/>
          <w:numId w:val="2"/>
        </w:numPr>
        <w:tabs>
          <w:tab w:val="left" w:pos="720"/>
        </w:tabs>
        <w:jc w:val="both"/>
        <w:rPr>
          <w:rtl/>
        </w:rPr>
      </w:pPr>
      <w:r>
        <w:rPr>
          <w:rFonts w:hint="cs"/>
          <w:rtl/>
        </w:rPr>
        <w:t xml:space="preserve">המלחמה בנגע הסמים הינה קשה ובלתי פוסקת, </w:t>
      </w:r>
      <w:r>
        <w:rPr>
          <w:rFonts w:hint="cs"/>
          <w:b/>
          <w:bCs/>
          <w:rtl/>
        </w:rPr>
        <w:t xml:space="preserve">עבירות הסמים פוגעת בערכים חברתיים </w:t>
      </w:r>
      <w:r>
        <w:rPr>
          <w:rFonts w:hint="cs"/>
          <w:rtl/>
        </w:rPr>
        <w:t xml:space="preserve">של הגנה על הציבור בכללותו מפני הנזקים הישירים והעקיפים 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החזקת סם שלא לצריכה עצמית הינה </w:t>
      </w:r>
      <w:r>
        <w:rPr>
          <w:rFonts w:hint="cs"/>
          <w:b/>
          <w:bCs/>
          <w:rtl/>
        </w:rPr>
        <w:t>ברף הגבוה</w:t>
      </w:r>
      <w:r>
        <w:rPr>
          <w:rFonts w:hint="cs"/>
          <w:rtl/>
        </w:rPr>
        <w:t>.</w:t>
      </w:r>
      <w:r w:rsidRPr="00D6379C">
        <w:rPr>
          <w:rFonts w:ascii="Calibri" w:eastAsia="Calibri" w:hAnsi="Calibri" w:cs="Arial"/>
          <w:color w:val="auto"/>
          <w:sz w:val="22"/>
          <w:szCs w:val="22"/>
          <w:rtl/>
        </w:rPr>
        <w:t xml:space="preserve"> </w:t>
      </w:r>
      <w:r>
        <w:rPr>
          <w:rFonts w:hint="cs"/>
          <w:rtl/>
        </w:rPr>
        <w:t xml:space="preserve">הנאשם נמצא מחזיק ברשותו בסם מסוכן מסוג </w:t>
      </w:r>
      <w:r>
        <w:t>MethylMethCathinone</w:t>
      </w:r>
      <w:r>
        <w:rPr>
          <w:rFonts w:hint="cs"/>
          <w:rtl/>
        </w:rPr>
        <w:t>-</w:t>
      </w:r>
      <w:r>
        <w:t>m</w:t>
      </w:r>
      <w:r>
        <w:rPr>
          <w:rtl/>
        </w:rPr>
        <w:t xml:space="preserve"> </w:t>
      </w:r>
      <w:r>
        <w:rPr>
          <w:rFonts w:hint="cs"/>
          <w:rtl/>
        </w:rPr>
        <w:t xml:space="preserve">בכמות שאינה לצריכה עצמית. יש לתת ביטוי לכך שמדובר בסם שאינו נמנה על הסמים "הקלים"  מדובר בסם פיצוציות. יש לתת את הדעת לכך שהנאשם נמצא מחזיק הסם בעודו מעוכב בתחנת המשטרה.  </w:t>
      </w:r>
    </w:p>
    <w:p w14:paraId="6909A880" w14:textId="77777777" w:rsidR="00D6379C" w:rsidRDefault="00D6379C" w:rsidP="00D6379C">
      <w:pPr>
        <w:pStyle w:val="ab"/>
        <w:numPr>
          <w:ilvl w:val="0"/>
          <w:numId w:val="2"/>
        </w:numPr>
        <w:spacing w:line="360" w:lineRule="auto"/>
        <w:jc w:val="both"/>
        <w:rPr>
          <w:rFonts w:ascii="David" w:hAnsi="David" w:cs="David"/>
          <w:sz w:val="24"/>
          <w:szCs w:val="24"/>
        </w:rPr>
      </w:pPr>
      <w:r>
        <w:rPr>
          <w:rFonts w:ascii="David" w:hAnsi="David" w:cs="David"/>
          <w:sz w:val="24"/>
          <w:szCs w:val="24"/>
          <w:rtl/>
        </w:rPr>
        <w:lastRenderedPageBreak/>
        <w:t xml:space="preserve">במסגרת </w:t>
      </w:r>
      <w:r>
        <w:rPr>
          <w:rFonts w:ascii="David" w:hAnsi="David" w:cs="David"/>
          <w:b/>
          <w:bCs/>
          <w:sz w:val="24"/>
          <w:szCs w:val="24"/>
          <w:rtl/>
        </w:rPr>
        <w:t xml:space="preserve">הנסיבות הקשורות בביצוע העבירה </w:t>
      </w:r>
      <w:r>
        <w:rPr>
          <w:rFonts w:ascii="David" w:hAnsi="David" w:cs="David"/>
          <w:sz w:val="24"/>
          <w:szCs w:val="24"/>
          <w:rtl/>
        </w:rPr>
        <w:t xml:space="preserve">(סעיף </w:t>
      </w:r>
      <w:hyperlink r:id="rId16" w:history="1">
        <w:r w:rsidR="00577009" w:rsidRPr="00577009">
          <w:rPr>
            <w:rStyle w:val="Hyperlink"/>
            <w:rFonts w:ascii="David" w:hAnsi="David" w:cs="David"/>
            <w:sz w:val="24"/>
            <w:szCs w:val="24"/>
            <w:rtl/>
          </w:rPr>
          <w:t>40 ט'</w:t>
        </w:r>
      </w:hyperlink>
      <w:r>
        <w:rPr>
          <w:rFonts w:ascii="David" w:hAnsi="David" w:cs="David"/>
          <w:sz w:val="24"/>
          <w:szCs w:val="24"/>
          <w:rtl/>
        </w:rPr>
        <w:t xml:space="preserve"> לחוק), יש לתת את הדעת לשיקולים הבאים:  הנאשם נתפס מחזיק</w:t>
      </w:r>
      <w:r>
        <w:rPr>
          <w:rFonts w:cs="David"/>
          <w:sz w:val="24"/>
          <w:szCs w:val="24"/>
          <w:rtl/>
        </w:rPr>
        <w:t xml:space="preserve"> בסם מסוכן מסוג </w:t>
      </w:r>
      <w:r>
        <w:rPr>
          <w:rFonts w:cs="David"/>
          <w:sz w:val="24"/>
          <w:szCs w:val="24"/>
        </w:rPr>
        <w:t>MethylMethCathinone</w:t>
      </w:r>
      <w:r>
        <w:rPr>
          <w:rFonts w:cs="David"/>
          <w:sz w:val="24"/>
          <w:szCs w:val="24"/>
          <w:rtl/>
        </w:rPr>
        <w:t>-</w:t>
      </w:r>
      <w:r>
        <w:rPr>
          <w:rFonts w:cs="David"/>
          <w:sz w:val="24"/>
          <w:szCs w:val="24"/>
        </w:rPr>
        <w:t>m</w:t>
      </w:r>
      <w:r>
        <w:rPr>
          <w:rFonts w:cs="David"/>
          <w:sz w:val="24"/>
          <w:szCs w:val="24"/>
          <w:rtl/>
        </w:rPr>
        <w:t xml:space="preserve"> </w:t>
      </w:r>
      <w:r>
        <w:rPr>
          <w:rFonts w:cs="David" w:hint="cs"/>
          <w:sz w:val="24"/>
          <w:szCs w:val="24"/>
          <w:rtl/>
        </w:rPr>
        <w:t xml:space="preserve"> במשקל כולל של 4.7 גרם, </w:t>
      </w:r>
      <w:r>
        <w:rPr>
          <w:rFonts w:ascii="David" w:hAnsi="David" w:cs="David"/>
          <w:sz w:val="24"/>
          <w:szCs w:val="24"/>
          <w:rtl/>
        </w:rPr>
        <w:t xml:space="preserve">מדובר  בסם ממריץ הידוע כ"סם פיצוציות", והוא נצרך בעיקר על ידי צעירים ומתבגרים שרבים מהם לא מודעים לסיכונים הכרוכים בצריכתו (ראה הנאמר בת"פ 212147-08-21 </w:t>
      </w:r>
      <w:r>
        <w:rPr>
          <w:rFonts w:ascii="David" w:hAnsi="David" w:cs="David"/>
          <w:b/>
          <w:bCs/>
          <w:sz w:val="24"/>
          <w:szCs w:val="24"/>
          <w:rtl/>
        </w:rPr>
        <w:t>אבקסיס נ' מדינת ישראל</w:t>
      </w:r>
      <w:r>
        <w:rPr>
          <w:rFonts w:ascii="David" w:hAnsi="David" w:cs="David"/>
          <w:sz w:val="24"/>
          <w:szCs w:val="24"/>
          <w:rtl/>
        </w:rPr>
        <w:t xml:space="preserve"> (24.01.23) וב</w:t>
      </w:r>
      <w:hyperlink r:id="rId17" w:history="1">
        <w:r w:rsidR="00022586" w:rsidRPr="00022586">
          <w:rPr>
            <w:rFonts w:ascii="David" w:hAnsi="David" w:cs="David"/>
            <w:color w:val="0000FF"/>
            <w:sz w:val="24"/>
            <w:szCs w:val="24"/>
            <w:u w:val="single"/>
            <w:rtl/>
          </w:rPr>
          <w:t>ת"פ 21127-08-21</w:t>
        </w:r>
      </w:hyperlink>
      <w:r>
        <w:rPr>
          <w:rFonts w:ascii="David" w:hAnsi="David" w:cs="David"/>
          <w:sz w:val="24"/>
          <w:szCs w:val="24"/>
          <w:rtl/>
        </w:rPr>
        <w:t xml:space="preserve"> </w:t>
      </w:r>
      <w:r>
        <w:rPr>
          <w:rFonts w:ascii="David" w:hAnsi="David" w:cs="David"/>
          <w:b/>
          <w:bCs/>
          <w:sz w:val="24"/>
          <w:szCs w:val="24"/>
          <w:rtl/>
        </w:rPr>
        <w:t>מדינת ישראל נ' בן חמו</w:t>
      </w:r>
      <w:r>
        <w:rPr>
          <w:rFonts w:ascii="David" w:hAnsi="David" w:cs="David"/>
          <w:sz w:val="24"/>
          <w:szCs w:val="24"/>
          <w:rtl/>
        </w:rPr>
        <w:t xml:space="preserve"> (27.06.22) בנוגע להגדרתו כסם מסוכן וכן לנזקים הנגרמים משימוש בסם זה והצורך בהוקעת השימוש בסם ובהרתעת המספקים סם זה). </w:t>
      </w:r>
    </w:p>
    <w:p w14:paraId="32922F4A" w14:textId="77777777" w:rsidR="00D6379C" w:rsidRDefault="00D6379C" w:rsidP="00D6379C">
      <w:pPr>
        <w:spacing w:line="360" w:lineRule="auto"/>
        <w:jc w:val="both"/>
        <w:rPr>
          <w:rFonts w:ascii="David" w:hAnsi="David"/>
          <w:rtl/>
        </w:rPr>
      </w:pPr>
    </w:p>
    <w:p w14:paraId="2D2CECDF" w14:textId="77777777" w:rsidR="00D6379C" w:rsidRPr="00C36FC8" w:rsidRDefault="00D6379C" w:rsidP="00D6379C">
      <w:pPr>
        <w:spacing w:line="360" w:lineRule="auto"/>
        <w:jc w:val="both"/>
        <w:rPr>
          <w:rFonts w:ascii="David" w:hAnsi="David"/>
          <w:rtl/>
        </w:rPr>
      </w:pPr>
    </w:p>
    <w:p w14:paraId="2F87E953" w14:textId="77777777" w:rsidR="00D6379C" w:rsidRDefault="00D6379C" w:rsidP="00D6379C">
      <w:pPr>
        <w:pStyle w:val="a"/>
        <w:numPr>
          <w:ilvl w:val="0"/>
          <w:numId w:val="2"/>
        </w:numPr>
        <w:tabs>
          <w:tab w:val="left" w:pos="720"/>
        </w:tabs>
        <w:jc w:val="both"/>
        <w:rPr>
          <w:rtl/>
        </w:rPr>
      </w:pPr>
      <w:r>
        <w:rPr>
          <w:rFonts w:hint="cs"/>
          <w:rtl/>
        </w:rPr>
        <w:t xml:space="preserve">בחינת </w:t>
      </w:r>
      <w:r>
        <w:rPr>
          <w:rFonts w:hint="cs"/>
          <w:b/>
          <w:bCs/>
          <w:rtl/>
        </w:rPr>
        <w:t>מדיניות הענישה</w:t>
      </w:r>
      <w:r>
        <w:rPr>
          <w:rFonts w:hint="cs"/>
          <w:rtl/>
        </w:rPr>
        <w:t xml:space="preserve"> הנוהגת במקרים דומים הוטלו על נאשמים עונשים במנעד רחב כמפורט להלן:</w:t>
      </w:r>
    </w:p>
    <w:p w14:paraId="0C0EE57B" w14:textId="77777777" w:rsidR="00D6379C" w:rsidRDefault="00022586" w:rsidP="00D6379C">
      <w:pPr>
        <w:pStyle w:val="ab"/>
        <w:numPr>
          <w:ilvl w:val="0"/>
          <w:numId w:val="3"/>
        </w:numPr>
        <w:spacing w:line="360" w:lineRule="auto"/>
        <w:jc w:val="both"/>
        <w:rPr>
          <w:rFonts w:cs="David"/>
          <w:sz w:val="24"/>
          <w:szCs w:val="24"/>
        </w:rPr>
      </w:pPr>
      <w:hyperlink r:id="rId18" w:history="1">
        <w:r w:rsidRPr="00022586">
          <w:rPr>
            <w:rFonts w:cs="David" w:hint="cs"/>
            <w:color w:val="0000FF"/>
            <w:sz w:val="24"/>
            <w:szCs w:val="24"/>
            <w:u w:val="single"/>
            <w:rtl/>
          </w:rPr>
          <w:t>רע</w:t>
        </w:r>
        <w:r w:rsidRPr="00022586">
          <w:rPr>
            <w:rFonts w:cs="David"/>
            <w:color w:val="0000FF"/>
            <w:sz w:val="24"/>
            <w:szCs w:val="24"/>
            <w:u w:val="single"/>
            <w:rtl/>
          </w:rPr>
          <w:t>"</w:t>
        </w:r>
        <w:r w:rsidRPr="00022586">
          <w:rPr>
            <w:rFonts w:cs="David" w:hint="cs"/>
            <w:color w:val="0000FF"/>
            <w:sz w:val="24"/>
            <w:szCs w:val="24"/>
            <w:u w:val="single"/>
            <w:rtl/>
          </w:rPr>
          <w:t>פ</w:t>
        </w:r>
        <w:r w:rsidRPr="00022586">
          <w:rPr>
            <w:rFonts w:cs="David"/>
            <w:color w:val="0000FF"/>
            <w:sz w:val="24"/>
            <w:szCs w:val="24"/>
            <w:u w:val="single"/>
            <w:rtl/>
          </w:rPr>
          <w:t xml:space="preserve"> 1473/18</w:t>
        </w:r>
      </w:hyperlink>
      <w:r w:rsidR="00D6379C">
        <w:rPr>
          <w:rFonts w:cs="David"/>
          <w:sz w:val="24"/>
          <w:szCs w:val="24"/>
          <w:rtl/>
        </w:rPr>
        <w:t xml:space="preserve"> </w:t>
      </w:r>
      <w:r w:rsidR="00D6379C">
        <w:rPr>
          <w:rFonts w:cs="David"/>
          <w:b/>
          <w:bCs/>
          <w:sz w:val="24"/>
          <w:szCs w:val="24"/>
          <w:rtl/>
        </w:rPr>
        <w:t>אוחיון נ' מדינת ישראל</w:t>
      </w:r>
      <w:r w:rsidR="00D6379C">
        <w:rPr>
          <w:rFonts w:cs="David"/>
          <w:sz w:val="24"/>
          <w:szCs w:val="24"/>
          <w:rtl/>
        </w:rPr>
        <w:t xml:space="preserve"> (22.4.18), הנאשם הורשע בהתאם הודאתו, בעבירה של החזקת סמים שלא לצריכה עצמית, בכך שהחזיק 4 יחידות סם מסוג קוקאין במשקל 1.6888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sidR="00D6379C">
        <w:rPr>
          <w:rFonts w:cs="David"/>
          <w:b/>
          <w:bCs/>
          <w:sz w:val="24"/>
          <w:szCs w:val="24"/>
          <w:rtl/>
        </w:rPr>
        <w:t>המתחם העונש ההולם נע בין מאסר לתקופה של 6 חודשים ובין מאסר לתקופה של 12 חודשים.</w:t>
      </w:r>
      <w:r w:rsidR="00D6379C">
        <w:rPr>
          <w:rFonts w:cs="David"/>
          <w:sz w:val="24"/>
          <w:szCs w:val="24"/>
          <w:rtl/>
        </w:rPr>
        <w:t xml:space="preserve"> בית המשפט המחוזי הטיל על הנאשם מאסר לתקופה של חודשיים בדרך של עבודות שירות. בית המשפט העליון דחה את בקשת הנאשם לרשות ערעור. </w:t>
      </w:r>
    </w:p>
    <w:p w14:paraId="3286485F" w14:textId="77777777" w:rsidR="00D6379C" w:rsidRPr="00D6379C" w:rsidRDefault="00022586" w:rsidP="00D6379C">
      <w:pPr>
        <w:pStyle w:val="ab"/>
        <w:numPr>
          <w:ilvl w:val="0"/>
          <w:numId w:val="3"/>
        </w:numPr>
        <w:shd w:val="clear" w:color="auto" w:fill="FFFFFF"/>
        <w:spacing w:after="0" w:line="360" w:lineRule="auto"/>
        <w:jc w:val="both"/>
        <w:rPr>
          <w:rtl/>
        </w:rPr>
      </w:pPr>
      <w:hyperlink r:id="rId19" w:history="1">
        <w:r w:rsidRPr="00022586">
          <w:rPr>
            <w:rFonts w:cs="David" w:hint="cs"/>
            <w:color w:val="0000FF"/>
            <w:sz w:val="24"/>
            <w:szCs w:val="24"/>
            <w:u w:val="single"/>
            <w:rtl/>
          </w:rPr>
          <w:t>רע</w:t>
        </w:r>
        <w:r w:rsidRPr="00022586">
          <w:rPr>
            <w:rFonts w:cs="David"/>
            <w:color w:val="0000FF"/>
            <w:sz w:val="24"/>
            <w:szCs w:val="24"/>
            <w:u w:val="single"/>
            <w:rtl/>
          </w:rPr>
          <w:t>"</w:t>
        </w:r>
        <w:r w:rsidRPr="00022586">
          <w:rPr>
            <w:rFonts w:cs="David" w:hint="cs"/>
            <w:color w:val="0000FF"/>
            <w:sz w:val="24"/>
            <w:szCs w:val="24"/>
            <w:u w:val="single"/>
            <w:rtl/>
          </w:rPr>
          <w:t>פ</w:t>
        </w:r>
        <w:r w:rsidRPr="00022586">
          <w:rPr>
            <w:rFonts w:cs="David"/>
            <w:color w:val="0000FF"/>
            <w:sz w:val="24"/>
            <w:szCs w:val="24"/>
            <w:u w:val="single"/>
            <w:rtl/>
          </w:rPr>
          <w:t xml:space="preserve"> 1122/17</w:t>
        </w:r>
      </w:hyperlink>
      <w:r w:rsidR="00D6379C">
        <w:rPr>
          <w:rFonts w:cs="David"/>
          <w:sz w:val="24"/>
          <w:szCs w:val="24"/>
          <w:rtl/>
        </w:rPr>
        <w:t xml:space="preserve"> </w:t>
      </w:r>
      <w:r w:rsidR="00D6379C">
        <w:rPr>
          <w:rFonts w:cs="David"/>
          <w:b/>
          <w:bCs/>
          <w:sz w:val="24"/>
          <w:szCs w:val="24"/>
          <w:rtl/>
        </w:rPr>
        <w:t xml:space="preserve">אלון גולדשטיין נ' מדינת ישראל </w:t>
      </w:r>
      <w:r w:rsidR="00D6379C">
        <w:rPr>
          <w:rFonts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D6379C">
        <w:rPr>
          <w:rFonts w:cs="David"/>
          <w:sz w:val="24"/>
          <w:szCs w:val="24"/>
        </w:rPr>
        <w:t>MDMA</w:t>
      </w:r>
      <w:r w:rsidR="00D6379C">
        <w:rPr>
          <w:rFonts w:cs="David"/>
          <w:sz w:val="24"/>
          <w:szCs w:val="24"/>
          <w:rtl/>
        </w:rPr>
        <w:t xml:space="preserve"> במשקל של</w:t>
      </w:r>
      <w:r>
        <w:rPr>
          <w:rFonts w:cs="David"/>
          <w:sz w:val="24"/>
          <w:szCs w:val="24"/>
          <w:rtl/>
        </w:rPr>
        <w:t xml:space="preserve">  </w:t>
      </w:r>
      <w:r w:rsidR="00D6379C">
        <w:rPr>
          <w:rFonts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D6379C">
        <w:rPr>
          <w:rFonts w:cs="David"/>
          <w:b/>
          <w:bCs/>
          <w:sz w:val="24"/>
          <w:szCs w:val="24"/>
          <w:rtl/>
        </w:rPr>
        <w:t>המתחם נע בין 10-24 חודשי מאסר והחמיר את עונשו של המבקש, ל-10 חודשי מאסר בפועל</w:t>
      </w:r>
      <w:r w:rsidR="00D6379C">
        <w:rPr>
          <w:rFonts w:cs="David"/>
          <w:sz w:val="24"/>
          <w:szCs w:val="24"/>
          <w:rtl/>
        </w:rPr>
        <w:t xml:space="preserve">. בקשת רשות ערעור נדחתה. </w:t>
      </w:r>
    </w:p>
    <w:p w14:paraId="64933030" w14:textId="77777777" w:rsidR="00D6379C" w:rsidRDefault="00022586" w:rsidP="00D6379C">
      <w:pPr>
        <w:pStyle w:val="ab"/>
        <w:numPr>
          <w:ilvl w:val="0"/>
          <w:numId w:val="3"/>
        </w:numPr>
        <w:shd w:val="clear" w:color="auto" w:fill="FFFFFF"/>
        <w:spacing w:after="0" w:line="360" w:lineRule="auto"/>
        <w:jc w:val="both"/>
      </w:pPr>
      <w:hyperlink r:id="rId20" w:history="1">
        <w:r w:rsidRPr="00022586">
          <w:rPr>
            <w:rFonts w:cs="David" w:hint="cs"/>
            <w:color w:val="0000FF"/>
            <w:sz w:val="24"/>
            <w:szCs w:val="24"/>
            <w:u w:val="single"/>
            <w:rtl/>
          </w:rPr>
          <w:t>רע</w:t>
        </w:r>
        <w:r w:rsidRPr="00022586">
          <w:rPr>
            <w:rFonts w:cs="David"/>
            <w:color w:val="0000FF"/>
            <w:sz w:val="24"/>
            <w:szCs w:val="24"/>
            <w:u w:val="single"/>
            <w:rtl/>
          </w:rPr>
          <w:t>"</w:t>
        </w:r>
        <w:r w:rsidRPr="00022586">
          <w:rPr>
            <w:rFonts w:cs="David" w:hint="cs"/>
            <w:color w:val="0000FF"/>
            <w:sz w:val="24"/>
            <w:szCs w:val="24"/>
            <w:u w:val="single"/>
            <w:rtl/>
          </w:rPr>
          <w:t>פ</w:t>
        </w:r>
        <w:r w:rsidRPr="00022586">
          <w:rPr>
            <w:rFonts w:cs="David"/>
            <w:color w:val="0000FF"/>
            <w:sz w:val="24"/>
            <w:szCs w:val="24"/>
            <w:u w:val="single"/>
            <w:rtl/>
          </w:rPr>
          <w:t xml:space="preserve"> 747/14</w:t>
        </w:r>
      </w:hyperlink>
      <w:r w:rsidR="00D6379C">
        <w:rPr>
          <w:rFonts w:cs="David"/>
          <w:sz w:val="24"/>
          <w:szCs w:val="24"/>
          <w:rtl/>
        </w:rPr>
        <w:t xml:space="preserve"> </w:t>
      </w:r>
      <w:r w:rsidR="00D6379C">
        <w:rPr>
          <w:rFonts w:cs="David"/>
          <w:b/>
          <w:bCs/>
          <w:sz w:val="24"/>
          <w:szCs w:val="24"/>
          <w:rtl/>
        </w:rPr>
        <w:t>לוי נ' מדינת ישראל</w:t>
      </w:r>
      <w:r w:rsidR="00D6379C">
        <w:rPr>
          <w:rFonts w:cs="David"/>
          <w:sz w:val="24"/>
          <w:szCs w:val="24"/>
          <w:rtl/>
        </w:rPr>
        <w:t xml:space="preserve"> (11.2.14), הנאשם הורשע לאחר ניהול הוכחות בעבירה של החזקת סמים שלא לצריכה עצמית – הנאשם החזיק כ- 5</w:t>
      </w:r>
      <w:r>
        <w:rPr>
          <w:rFonts w:cs="David"/>
          <w:sz w:val="24"/>
          <w:szCs w:val="24"/>
          <w:rtl/>
        </w:rPr>
        <w:t xml:space="preserve"> </w:t>
      </w:r>
      <w:r w:rsidR="00D6379C">
        <w:rPr>
          <w:rFonts w:cs="David"/>
          <w:sz w:val="24"/>
          <w:szCs w:val="24"/>
          <w:rtl/>
        </w:rPr>
        <w:t xml:space="preserve"> גר' הרואין מחולק ל- 6 מנות ו- 0.0.95 גרם קוקאין בית משפט השלום קבע כי </w:t>
      </w:r>
      <w:r w:rsidR="00D6379C">
        <w:rPr>
          <w:rFonts w:cs="David"/>
          <w:b/>
          <w:bCs/>
          <w:sz w:val="24"/>
          <w:szCs w:val="24"/>
          <w:rtl/>
        </w:rPr>
        <w:t xml:space="preserve">מתחם העונש הנע בין 8-18 חודשי מאסר בפועל </w:t>
      </w:r>
      <w:r w:rsidR="00D6379C">
        <w:rPr>
          <w:rFonts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7DAC8CCE" w14:textId="77777777" w:rsidR="00D6379C" w:rsidRDefault="00D6379C" w:rsidP="00D6379C">
      <w:pPr>
        <w:pStyle w:val="a"/>
        <w:numPr>
          <w:ilvl w:val="0"/>
          <w:numId w:val="0"/>
        </w:numPr>
        <w:tabs>
          <w:tab w:val="left" w:pos="720"/>
        </w:tabs>
        <w:ind w:left="720" w:hanging="720"/>
        <w:jc w:val="both"/>
        <w:rPr>
          <w:u w:val="single"/>
        </w:rPr>
      </w:pPr>
    </w:p>
    <w:p w14:paraId="5FA2C633" w14:textId="77777777" w:rsidR="00D6379C" w:rsidRDefault="00D6379C" w:rsidP="00D6379C">
      <w:pPr>
        <w:pStyle w:val="a"/>
        <w:numPr>
          <w:ilvl w:val="0"/>
          <w:numId w:val="0"/>
        </w:numPr>
        <w:tabs>
          <w:tab w:val="left" w:pos="720"/>
        </w:tabs>
        <w:jc w:val="both"/>
        <w:rPr>
          <w:u w:val="single"/>
          <w:rtl/>
        </w:rPr>
      </w:pPr>
      <w:r>
        <w:rPr>
          <w:rFonts w:hint="cs"/>
          <w:u w:val="single"/>
          <w:rtl/>
        </w:rPr>
        <w:t xml:space="preserve">לאור כל המפורט לעיל ולאחר שעיינתי בפסיקה שהובאה לעיוני מטעם הצדדים  ובשים לב לנסיבות תיק זה, אני קובע כי מתחם העונש ההולם בתיק זה נע החל מ 8 חודשי מאסר בפועל  ועד ל- 16  חודשי מאסר בפועל בצירוף ענישה נלווית. </w:t>
      </w:r>
    </w:p>
    <w:p w14:paraId="029A8D0A" w14:textId="77777777" w:rsidR="00D6379C" w:rsidRDefault="00D6379C" w:rsidP="00D6379C">
      <w:pPr>
        <w:spacing w:line="360" w:lineRule="auto"/>
        <w:jc w:val="both"/>
        <w:rPr>
          <w:rFonts w:ascii="David" w:hAnsi="David"/>
          <w:bCs/>
          <w:u w:val="single"/>
        </w:rPr>
      </w:pPr>
      <w:r>
        <w:rPr>
          <w:rFonts w:ascii="David" w:hAnsi="David"/>
          <w:rtl/>
        </w:rPr>
        <w:tab/>
      </w:r>
    </w:p>
    <w:p w14:paraId="7E216B6E" w14:textId="77777777" w:rsidR="00D6379C" w:rsidRDefault="00D6379C" w:rsidP="00D6379C">
      <w:pPr>
        <w:pStyle w:val="ab"/>
        <w:numPr>
          <w:ilvl w:val="0"/>
          <w:numId w:val="2"/>
        </w:numPr>
        <w:spacing w:after="0" w:line="360" w:lineRule="auto"/>
        <w:rPr>
          <w:rFonts w:ascii="David" w:hAnsi="David" w:cs="David"/>
          <w:bCs/>
          <w:sz w:val="24"/>
          <w:szCs w:val="24"/>
          <w:u w:val="single"/>
        </w:rPr>
      </w:pPr>
      <w:r>
        <w:rPr>
          <w:rFonts w:ascii="David" w:hAnsi="David" w:cs="David"/>
          <w:bCs/>
          <w:sz w:val="24"/>
          <w:szCs w:val="24"/>
          <w:u w:val="single"/>
          <w:rtl/>
        </w:rPr>
        <w:t>גזירת העונש המתאים לנאשם</w:t>
      </w:r>
    </w:p>
    <w:p w14:paraId="63236102" w14:textId="77777777" w:rsidR="00D6379C" w:rsidRDefault="00D6379C" w:rsidP="00D6379C">
      <w:pPr>
        <w:pStyle w:val="ab"/>
        <w:tabs>
          <w:tab w:val="num" w:pos="720"/>
        </w:tabs>
        <w:spacing w:after="120" w:line="360" w:lineRule="auto"/>
        <w:jc w:val="both"/>
        <w:rPr>
          <w:rFonts w:cs="David"/>
          <w:color w:val="000000"/>
          <w:sz w:val="24"/>
          <w:szCs w:val="24"/>
        </w:rPr>
      </w:pPr>
      <w:r>
        <w:rPr>
          <w:rFonts w:ascii="David" w:hAnsi="David" w:cs="David"/>
          <w:color w:val="000000"/>
          <w:sz w:val="24"/>
          <w:szCs w:val="24"/>
          <w:rtl/>
        </w:rPr>
        <w:t xml:space="preserve">בגזירת העונש המתאים לנאשם, בגדרי מתחם העונש ההולם, יש להתחשב </w:t>
      </w:r>
      <w:r>
        <w:rPr>
          <w:rFonts w:ascii="David" w:hAnsi="David" w:cs="David"/>
          <w:b/>
          <w:bCs/>
          <w:color w:val="000000"/>
          <w:sz w:val="24"/>
          <w:szCs w:val="24"/>
          <w:rtl/>
        </w:rPr>
        <w:t>בנסיבות שאינן קשורות בביצוע העבירה</w:t>
      </w:r>
      <w:r>
        <w:rPr>
          <w:rFonts w:ascii="David" w:hAnsi="David" w:cs="David"/>
          <w:color w:val="000000"/>
          <w:sz w:val="24"/>
          <w:szCs w:val="24"/>
          <w:rtl/>
        </w:rPr>
        <w:t xml:space="preserve"> (סעיף </w:t>
      </w:r>
      <w:hyperlink r:id="rId21" w:history="1">
        <w:r w:rsidR="00577009" w:rsidRPr="00577009">
          <w:rPr>
            <w:rStyle w:val="Hyperlink"/>
            <w:rFonts w:ascii="David" w:hAnsi="David" w:cs="David"/>
            <w:sz w:val="24"/>
            <w:szCs w:val="24"/>
            <w:rtl/>
          </w:rPr>
          <w:t>40 יא'</w:t>
        </w:r>
      </w:hyperlink>
      <w:r>
        <w:rPr>
          <w:rFonts w:ascii="David" w:hAnsi="David" w:cs="David"/>
          <w:color w:val="000000"/>
          <w:sz w:val="24"/>
          <w:szCs w:val="24"/>
          <w:rtl/>
        </w:rPr>
        <w:t xml:space="preserve">). במסגרת זו </w:t>
      </w:r>
      <w:r>
        <w:rPr>
          <w:rFonts w:cs="David"/>
          <w:color w:val="000000"/>
          <w:sz w:val="24"/>
          <w:szCs w:val="24"/>
          <w:rtl/>
        </w:rPr>
        <w:t xml:space="preserve">מן הראוי לתת את הדעת לשיקולים הבאים: </w:t>
      </w:r>
    </w:p>
    <w:p w14:paraId="5F4D78D8" w14:textId="77777777" w:rsidR="00D6379C" w:rsidRDefault="00D6379C" w:rsidP="00D6379C">
      <w:pPr>
        <w:pStyle w:val="ab"/>
        <w:tabs>
          <w:tab w:val="num" w:pos="720"/>
        </w:tabs>
        <w:spacing w:after="120" w:line="360" w:lineRule="auto"/>
        <w:jc w:val="both"/>
        <w:rPr>
          <w:rFonts w:cs="David"/>
          <w:color w:val="000000"/>
          <w:sz w:val="24"/>
          <w:szCs w:val="24"/>
          <w:rtl/>
        </w:rPr>
      </w:pPr>
      <w:r>
        <w:rPr>
          <w:rFonts w:cs="David"/>
          <w:color w:val="000000"/>
          <w:sz w:val="24"/>
          <w:szCs w:val="24"/>
          <w:rtl/>
        </w:rPr>
        <w:t>הנאשם בן 27 לחובתו מספר הרשעות קודמות ב</w:t>
      </w:r>
      <w:r>
        <w:rPr>
          <w:rFonts w:cs="David" w:hint="cs"/>
          <w:color w:val="000000"/>
          <w:sz w:val="24"/>
          <w:szCs w:val="24"/>
          <w:rtl/>
        </w:rPr>
        <w:t>י</w:t>
      </w:r>
      <w:r>
        <w:rPr>
          <w:rFonts w:cs="David"/>
          <w:color w:val="000000"/>
          <w:sz w:val="24"/>
          <w:szCs w:val="24"/>
          <w:rtl/>
        </w:rPr>
        <w:t xml:space="preserve">ניהם בתחום הסמים, הנאשם ריצה בעבר מאסרים בפועל. מצוי במעצר בגין תיק זה החל מיום 14.01.23. </w:t>
      </w:r>
    </w:p>
    <w:p w14:paraId="3A21DE9F" w14:textId="77777777" w:rsidR="00D6379C" w:rsidRPr="00D6379C" w:rsidRDefault="00D6379C" w:rsidP="00D6379C">
      <w:pPr>
        <w:pStyle w:val="ab"/>
        <w:tabs>
          <w:tab w:val="num" w:pos="720"/>
        </w:tabs>
        <w:spacing w:after="120" w:line="360" w:lineRule="auto"/>
        <w:jc w:val="both"/>
        <w:rPr>
          <w:rFonts w:ascii="David" w:hAnsi="David" w:cs="David"/>
          <w:sz w:val="24"/>
          <w:szCs w:val="24"/>
          <w:rtl/>
        </w:rPr>
      </w:pPr>
      <w:r>
        <w:rPr>
          <w:rFonts w:cs="David"/>
          <w:color w:val="000000"/>
          <w:sz w:val="24"/>
          <w:szCs w:val="24"/>
          <w:rtl/>
        </w:rPr>
        <w:t xml:space="preserve">הנאשם הודה במיוחס לו ונטל אחריות על מעשיו, הביע צער על מעשיו ציין שמעוניין לשקם את חייו ולהיכנס לטיפול במסגרת רש"א. </w:t>
      </w:r>
    </w:p>
    <w:p w14:paraId="40663FAC" w14:textId="77777777" w:rsidR="00D6379C" w:rsidRDefault="00D6379C" w:rsidP="00D6379C">
      <w:pPr>
        <w:pStyle w:val="ab"/>
        <w:tabs>
          <w:tab w:val="num" w:pos="720"/>
        </w:tabs>
        <w:spacing w:after="120" w:line="360" w:lineRule="auto"/>
        <w:jc w:val="both"/>
        <w:rPr>
          <w:rFonts w:ascii="David" w:hAnsi="David" w:cs="David"/>
          <w:sz w:val="24"/>
          <w:szCs w:val="24"/>
          <w:rtl/>
        </w:rPr>
      </w:pPr>
      <w:r>
        <w:rPr>
          <w:rFonts w:ascii="David" w:hAnsi="David" w:cs="David"/>
          <w:sz w:val="24"/>
          <w:szCs w:val="24"/>
          <w:rtl/>
        </w:rPr>
        <w:t xml:space="preserve">נתתי דעתי לסוג הסם, הכמות שהחזיק ונסיבות ההחזקה וכן לשיקול הרתעת היחיד והרבים. לאור כל האמור מצאתי כי יש למקם עונשו של הנאשם בשליש התחתון אולם לא בתחתית המתחם. </w:t>
      </w:r>
    </w:p>
    <w:p w14:paraId="2DA56F05" w14:textId="77777777" w:rsidR="00D6379C" w:rsidRDefault="00D6379C" w:rsidP="00D6379C">
      <w:pPr>
        <w:pStyle w:val="ab"/>
        <w:tabs>
          <w:tab w:val="num" w:pos="720"/>
        </w:tabs>
        <w:spacing w:after="120" w:line="360" w:lineRule="auto"/>
        <w:jc w:val="both"/>
        <w:rPr>
          <w:rFonts w:ascii="David" w:hAnsi="David" w:cs="David"/>
          <w:sz w:val="24"/>
          <w:szCs w:val="24"/>
          <w:rtl/>
        </w:rPr>
      </w:pPr>
      <w:r>
        <w:rPr>
          <w:rFonts w:ascii="David" w:hAnsi="David" w:cs="David"/>
          <w:sz w:val="24"/>
          <w:szCs w:val="24"/>
          <w:rtl/>
        </w:rPr>
        <w:t xml:space="preserve">נוכח העבירה בה הורשע, יש להטיל רכיב כלכלי על מנת לפגוע בכדאיות ביצוע העבירה, אולם אתחשב בנסיבות והנימוקים שפורטו על יד ב"כ הנאשם והרכיב הכלכלי יהיה מתון. </w:t>
      </w:r>
    </w:p>
    <w:p w14:paraId="3EA0DBDF" w14:textId="77777777" w:rsidR="00D6379C" w:rsidRDefault="00D6379C" w:rsidP="00D6379C">
      <w:pPr>
        <w:spacing w:line="360" w:lineRule="auto"/>
        <w:ind w:left="720"/>
        <w:jc w:val="both"/>
        <w:rPr>
          <w:rFonts w:ascii="David" w:hAnsi="David"/>
          <w:rtl/>
        </w:rPr>
      </w:pPr>
    </w:p>
    <w:p w14:paraId="3C1FD7AC" w14:textId="77777777" w:rsidR="00D6379C" w:rsidRDefault="00D6379C" w:rsidP="00D6379C">
      <w:pPr>
        <w:numPr>
          <w:ilvl w:val="0"/>
          <w:numId w:val="2"/>
        </w:numPr>
        <w:spacing w:after="160" w:line="360" w:lineRule="auto"/>
        <w:jc w:val="both"/>
        <w:rPr>
          <w:rFonts w:ascii="David" w:hAnsi="David"/>
        </w:rPr>
      </w:pPr>
      <w:r>
        <w:rPr>
          <w:rFonts w:ascii="David" w:hAnsi="David"/>
          <w:b/>
          <w:bCs/>
          <w:u w:val="single"/>
          <w:rtl/>
        </w:rPr>
        <w:t>אשר על-כן, הנני גוזר על הנאשם את העונשים הבאים</w:t>
      </w:r>
      <w:r>
        <w:rPr>
          <w:rFonts w:ascii="David" w:hAnsi="David"/>
          <w:rtl/>
        </w:rPr>
        <w:t>:</w:t>
      </w:r>
    </w:p>
    <w:p w14:paraId="2CA1BD46" w14:textId="77777777" w:rsidR="00D6379C" w:rsidRDefault="00D6379C" w:rsidP="00D6379C">
      <w:pPr>
        <w:numPr>
          <w:ilvl w:val="0"/>
          <w:numId w:val="4"/>
        </w:numPr>
        <w:tabs>
          <w:tab w:val="num" w:pos="716"/>
        </w:tabs>
        <w:spacing w:line="360" w:lineRule="auto"/>
        <w:ind w:left="925" w:hanging="539"/>
        <w:jc w:val="both"/>
      </w:pPr>
      <w:r>
        <w:rPr>
          <w:rFonts w:hint="cs"/>
          <w:rtl/>
        </w:rPr>
        <w:t xml:space="preserve">9 חודשי מאסר בפועל בניכוי ימי מעצרו. </w:t>
      </w:r>
    </w:p>
    <w:p w14:paraId="53E6ED76" w14:textId="77777777" w:rsidR="00D6379C" w:rsidRDefault="00D6379C" w:rsidP="00D6379C">
      <w:pPr>
        <w:numPr>
          <w:ilvl w:val="0"/>
          <w:numId w:val="4"/>
        </w:numPr>
        <w:tabs>
          <w:tab w:val="num" w:pos="716"/>
        </w:tabs>
        <w:spacing w:line="360" w:lineRule="auto"/>
        <w:ind w:left="925" w:hanging="539"/>
        <w:jc w:val="both"/>
        <w:rPr>
          <w:rtl/>
        </w:rPr>
      </w:pPr>
      <w:r>
        <w:rPr>
          <w:rFonts w:hint="cs"/>
          <w:rtl/>
        </w:rPr>
        <w:t xml:space="preserve">7 חודשי מאסר על תנאי, לתקופה של 3 שנים מתום ריצוי מאסרו, שלא יעבור כל עבירה על </w:t>
      </w:r>
      <w:hyperlink r:id="rId22" w:history="1">
        <w:r w:rsidR="00022586" w:rsidRPr="00022586">
          <w:rPr>
            <w:color w:val="0000FF"/>
            <w:u w:val="single"/>
            <w:rtl/>
          </w:rPr>
          <w:t>פקודת הסמים המסוכנים</w:t>
        </w:r>
      </w:hyperlink>
      <w:r>
        <w:rPr>
          <w:rFonts w:hint="cs"/>
          <w:rtl/>
        </w:rPr>
        <w:t xml:space="preserve"> מסוג פשע. </w:t>
      </w:r>
    </w:p>
    <w:p w14:paraId="5D30A933" w14:textId="77777777" w:rsidR="00D6379C" w:rsidRDefault="00D6379C" w:rsidP="00D6379C">
      <w:pPr>
        <w:numPr>
          <w:ilvl w:val="0"/>
          <w:numId w:val="4"/>
        </w:numPr>
        <w:tabs>
          <w:tab w:val="num" w:pos="716"/>
        </w:tabs>
        <w:spacing w:line="360" w:lineRule="auto"/>
        <w:ind w:left="925" w:hanging="539"/>
        <w:jc w:val="both"/>
      </w:pPr>
      <w:r>
        <w:rPr>
          <w:rFonts w:hint="cs"/>
          <w:rtl/>
        </w:rPr>
        <w:t xml:space="preserve">3 חודשי מאסר על תנאי, לתקופה של 3 שנים מתום ריצוי מאסרו, שלא יעבור כל עבירה על </w:t>
      </w:r>
      <w:hyperlink r:id="rId23" w:history="1">
        <w:r w:rsidR="00022586" w:rsidRPr="00022586">
          <w:rPr>
            <w:color w:val="0000FF"/>
            <w:u w:val="single"/>
            <w:rtl/>
          </w:rPr>
          <w:t>פקודת הסמים המסוכנים</w:t>
        </w:r>
      </w:hyperlink>
      <w:r>
        <w:rPr>
          <w:rFonts w:hint="cs"/>
          <w:rtl/>
        </w:rPr>
        <w:t xml:space="preserve"> מסוג עוון. </w:t>
      </w:r>
    </w:p>
    <w:p w14:paraId="2ED7E17F" w14:textId="77777777" w:rsidR="00D6379C" w:rsidRDefault="00D6379C" w:rsidP="00D6379C">
      <w:pPr>
        <w:numPr>
          <w:ilvl w:val="0"/>
          <w:numId w:val="4"/>
        </w:numPr>
        <w:tabs>
          <w:tab w:val="num" w:pos="716"/>
        </w:tabs>
        <w:spacing w:line="360" w:lineRule="auto"/>
        <w:ind w:left="925" w:hanging="539"/>
        <w:jc w:val="both"/>
      </w:pPr>
      <w:r>
        <w:rPr>
          <w:rFonts w:hint="cs"/>
          <w:rtl/>
        </w:rPr>
        <w:t>קנס כספי בסך 3,000 ₪ או 30 ימי מאסר תמורתו. הקנס ישולם ב - 6 תשלומים חודשיים שווים ורצופים, החל מיום 1.10.23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2AF2820E" w14:textId="77777777" w:rsidR="00D6379C" w:rsidRDefault="00D6379C" w:rsidP="00D6379C">
      <w:pPr>
        <w:spacing w:line="360" w:lineRule="auto"/>
        <w:ind w:firstLine="720"/>
        <w:jc w:val="both"/>
      </w:pPr>
      <w:r>
        <w:rPr>
          <w:rFonts w:hint="cs"/>
          <w:rtl/>
        </w:rPr>
        <w:t xml:space="preserve">את הקנס ניתן לשלם באחת מהדרכים הבאות: </w:t>
      </w:r>
    </w:p>
    <w:p w14:paraId="3474206A" w14:textId="77777777" w:rsidR="00D6379C" w:rsidRDefault="00D6379C" w:rsidP="00D6379C">
      <w:pPr>
        <w:numPr>
          <w:ilvl w:val="0"/>
          <w:numId w:val="5"/>
        </w:numPr>
        <w:spacing w:line="360" w:lineRule="auto"/>
        <w:jc w:val="both"/>
      </w:pPr>
      <w:r>
        <w:rPr>
          <w:rFonts w:hint="cs"/>
          <w:rtl/>
        </w:rPr>
        <w:t xml:space="preserve">בכרטיס אשראי – באתר המקוון של רשות האכיפה והגבייה, </w:t>
      </w:r>
      <w:hyperlink r:id="rId24" w:history="1">
        <w:r>
          <w:rPr>
            <w:rStyle w:val="Hyperlink"/>
          </w:rPr>
          <w:t>www.eca.gov.il</w:t>
        </w:r>
      </w:hyperlink>
      <w:r>
        <w:t xml:space="preserve"> </w:t>
      </w:r>
      <w:r>
        <w:rPr>
          <w:rFonts w:hint="cs"/>
          <w:rtl/>
        </w:rPr>
        <w:t>.</w:t>
      </w:r>
    </w:p>
    <w:p w14:paraId="660C475D" w14:textId="77777777" w:rsidR="00D6379C" w:rsidRDefault="00D6379C" w:rsidP="00D6379C">
      <w:pPr>
        <w:numPr>
          <w:ilvl w:val="0"/>
          <w:numId w:val="5"/>
        </w:numPr>
        <w:spacing w:line="360" w:lineRule="auto"/>
        <w:jc w:val="both"/>
        <w:rPr>
          <w:rtl/>
        </w:rPr>
      </w:pPr>
      <w:r>
        <w:rPr>
          <w:rFonts w:hint="cs"/>
          <w:rtl/>
        </w:rPr>
        <w:t>מוקד שירות טלפוני בשרות עצמי (מרכז גבייה)</w:t>
      </w:r>
      <w:r w:rsidR="00022586">
        <w:rPr>
          <w:rFonts w:hint="cs"/>
          <w:rtl/>
        </w:rPr>
        <w:t xml:space="preserve"> </w:t>
      </w:r>
      <w:r>
        <w:rPr>
          <w:rFonts w:hint="cs"/>
          <w:rtl/>
        </w:rPr>
        <w:t xml:space="preserve"> – בטלפון 35592* או בטלפון 073-2055000.</w:t>
      </w:r>
    </w:p>
    <w:p w14:paraId="001AB838" w14:textId="77777777" w:rsidR="00D6379C" w:rsidRDefault="00D6379C" w:rsidP="00D6379C">
      <w:pPr>
        <w:numPr>
          <w:ilvl w:val="0"/>
          <w:numId w:val="5"/>
        </w:numPr>
        <w:spacing w:line="360" w:lineRule="auto"/>
        <w:jc w:val="both"/>
        <w:rPr>
          <w:rtl/>
        </w:rPr>
      </w:pPr>
      <w:r>
        <w:rPr>
          <w:rFonts w:hint="cs"/>
          <w:rtl/>
        </w:rPr>
        <w:t>במזומן בכל סניף של בנק הדואר – בהצגת תעודת זהות בלבד (אין צורך בהצגת בשוברי תשלום).</w:t>
      </w:r>
    </w:p>
    <w:p w14:paraId="1C19F25F" w14:textId="77777777" w:rsidR="00D6379C" w:rsidRDefault="00D6379C" w:rsidP="00D6379C">
      <w:pPr>
        <w:rPr>
          <w:rFonts w:ascii="Arial" w:hAnsi="Arial" w:cs="Arial"/>
          <w:sz w:val="22"/>
          <w:szCs w:val="22"/>
        </w:rPr>
      </w:pPr>
    </w:p>
    <w:p w14:paraId="2A73D891" w14:textId="77777777" w:rsidR="00D6379C" w:rsidRDefault="00D6379C" w:rsidP="00D6379C">
      <w:pPr>
        <w:numPr>
          <w:ilvl w:val="0"/>
          <w:numId w:val="4"/>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25" w:history="1">
        <w:r w:rsidR="00022586" w:rsidRPr="00022586">
          <w:rPr>
            <w:color w:val="0000FF"/>
            <w:u w:val="single"/>
            <w:rtl/>
          </w:rPr>
          <w:t>פקודת הסמים המסוכנים</w:t>
        </w:r>
      </w:hyperlink>
      <w:r>
        <w:rPr>
          <w:rFonts w:hint="cs"/>
          <w:rtl/>
        </w:rPr>
        <w:t>. ההתחייבות תהא לתקופה של שנתיים מתום ריצוי מאסרו ובסך של 2,500 ₪.</w:t>
      </w:r>
    </w:p>
    <w:p w14:paraId="3948016D" w14:textId="77777777" w:rsidR="00D6379C" w:rsidRDefault="00D6379C" w:rsidP="00D6379C">
      <w:pPr>
        <w:numPr>
          <w:ilvl w:val="0"/>
          <w:numId w:val="4"/>
        </w:numPr>
        <w:tabs>
          <w:tab w:val="num" w:pos="716"/>
        </w:tabs>
        <w:spacing w:line="360" w:lineRule="auto"/>
        <w:ind w:left="925" w:hanging="539"/>
        <w:jc w:val="both"/>
      </w:pPr>
      <w:r>
        <w:rPr>
          <w:rFonts w:hint="cs"/>
          <w:rtl/>
        </w:rPr>
        <w:t>אני פוסל את הנאשם מלהחזיק או לקבל רישיון נהיגה, וזאת למשך 5 חודשים מתום ריצוי מאסרו. רשמתי בפני הצהרת הנאשם כי אינו מחזיק ברישיון נהיגה. לפיכך, הפסילה תיכנס לתוקף מיד עם שחרורו ללא צורך בהפקדת רישיון הנהיגה.</w:t>
      </w:r>
    </w:p>
    <w:p w14:paraId="1A6B88C5" w14:textId="77777777" w:rsidR="00D6379C" w:rsidRDefault="00D6379C" w:rsidP="00D6379C">
      <w:pPr>
        <w:numPr>
          <w:ilvl w:val="0"/>
          <w:numId w:val="4"/>
        </w:numPr>
        <w:tabs>
          <w:tab w:val="num" w:pos="716"/>
        </w:tabs>
        <w:spacing w:line="360" w:lineRule="auto"/>
        <w:ind w:left="716" w:hanging="348"/>
        <w:contextualSpacing/>
        <w:jc w:val="both"/>
        <w:rPr>
          <w:rtl/>
        </w:rPr>
      </w:pPr>
      <w:r>
        <w:rPr>
          <w:rFonts w:hint="cs"/>
          <w:rtl/>
        </w:rPr>
        <w:t xml:space="preserve">פסילה על תנאי למשך 6 חודשים מלהחזיק או לקבל רישיון נהיגה, וזאת למשך שנתיים מתום ריצוי מאסרו ככל ויעבור עבירה על </w:t>
      </w:r>
      <w:hyperlink r:id="rId26" w:history="1">
        <w:r w:rsidR="00022586" w:rsidRPr="00022586">
          <w:rPr>
            <w:color w:val="0000FF"/>
            <w:u w:val="single"/>
            <w:rtl/>
          </w:rPr>
          <w:t>פקודת הסמים המסוכנים</w:t>
        </w:r>
      </w:hyperlink>
      <w:r>
        <w:rPr>
          <w:rFonts w:hint="cs"/>
          <w:rtl/>
        </w:rPr>
        <w:t>.</w:t>
      </w:r>
    </w:p>
    <w:p w14:paraId="2A6A9CB3" w14:textId="77777777" w:rsidR="00D6379C" w:rsidRPr="00C36FC8" w:rsidRDefault="00D6379C" w:rsidP="00D6379C">
      <w:pPr>
        <w:pStyle w:val="ab"/>
        <w:rPr>
          <w:rFonts w:ascii="David" w:hAnsi="David" w:cs="David"/>
          <w:sz w:val="24"/>
          <w:szCs w:val="24"/>
          <w:rtl/>
        </w:rPr>
      </w:pPr>
    </w:p>
    <w:p w14:paraId="570A3C2B" w14:textId="77777777" w:rsidR="00D6379C" w:rsidRDefault="00D6379C" w:rsidP="00D6379C">
      <w:pPr>
        <w:spacing w:line="360" w:lineRule="auto"/>
        <w:jc w:val="both"/>
        <w:rPr>
          <w:rFonts w:ascii="David" w:hAnsi="David"/>
          <w:b/>
          <w:bCs/>
          <w:rtl/>
        </w:rPr>
      </w:pPr>
      <w:r w:rsidRPr="00C36FC8">
        <w:rPr>
          <w:rFonts w:ascii="David" w:hAnsi="David"/>
          <w:b/>
          <w:bCs/>
          <w:rtl/>
        </w:rPr>
        <w:t xml:space="preserve">מוצג הסמים, יושמדו. </w:t>
      </w:r>
    </w:p>
    <w:p w14:paraId="3EB31FDA" w14:textId="77777777" w:rsidR="00D6379C" w:rsidRDefault="00D6379C" w:rsidP="00D6379C">
      <w:pPr>
        <w:spacing w:line="360" w:lineRule="auto"/>
        <w:jc w:val="both"/>
        <w:rPr>
          <w:rFonts w:ascii="David" w:hAnsi="David"/>
          <w:b/>
          <w:bCs/>
          <w:rtl/>
        </w:rPr>
      </w:pPr>
    </w:p>
    <w:p w14:paraId="78D9CD0D" w14:textId="77777777" w:rsidR="00D6379C" w:rsidRPr="00C36FC8" w:rsidRDefault="00022586" w:rsidP="00D6379C">
      <w:pPr>
        <w:spacing w:line="360" w:lineRule="auto"/>
        <w:jc w:val="both"/>
        <w:rPr>
          <w:rFonts w:ascii="David" w:hAnsi="David"/>
          <w:b/>
          <w:bCs/>
          <w:rtl/>
        </w:rPr>
      </w:pPr>
      <w:r w:rsidRPr="00022586">
        <w:rPr>
          <w:rFonts w:ascii="David" w:hAnsi="David"/>
          <w:b/>
          <w:bCs/>
          <w:color w:val="FFFFFF"/>
          <w:sz w:val="2"/>
          <w:szCs w:val="2"/>
          <w:rtl/>
        </w:rPr>
        <w:t>5129371</w:t>
      </w:r>
      <w:r w:rsidR="00D6379C" w:rsidRPr="00C36FC8">
        <w:rPr>
          <w:rFonts w:ascii="David" w:hAnsi="David"/>
          <w:b/>
          <w:bCs/>
          <w:rtl/>
        </w:rPr>
        <w:t xml:space="preserve">הודעה זכות ערעור לבית-המשפט המחוזי תוך 45 ימים. </w:t>
      </w:r>
    </w:p>
    <w:p w14:paraId="569C6A47" w14:textId="77777777" w:rsidR="00D6379C" w:rsidRPr="00022586" w:rsidRDefault="00022586" w:rsidP="00D6379C">
      <w:pPr>
        <w:rPr>
          <w:rFonts w:ascii="Arial" w:hAnsi="Arial"/>
          <w:b/>
          <w:bCs/>
          <w:color w:val="FFFFFF"/>
          <w:sz w:val="2"/>
          <w:szCs w:val="2"/>
          <w:rtl/>
        </w:rPr>
      </w:pPr>
      <w:r w:rsidRPr="00022586">
        <w:rPr>
          <w:rFonts w:ascii="Arial" w:hAnsi="Arial"/>
          <w:b/>
          <w:bCs/>
          <w:color w:val="FFFFFF"/>
          <w:sz w:val="2"/>
          <w:szCs w:val="2"/>
          <w:rtl/>
        </w:rPr>
        <w:t>54678313</w:t>
      </w:r>
    </w:p>
    <w:p w14:paraId="49A5F7B0" w14:textId="77777777" w:rsidR="00D6379C" w:rsidRPr="000F2247" w:rsidRDefault="00D6379C" w:rsidP="00D6379C">
      <w:pPr>
        <w:rPr>
          <w:rFonts w:ascii="Arial" w:hAnsi="Arial"/>
          <w:b/>
          <w:bCs/>
          <w:sz w:val="26"/>
          <w:szCs w:val="26"/>
          <w:rtl/>
        </w:rPr>
      </w:pPr>
    </w:p>
    <w:p w14:paraId="7F1C093A" w14:textId="77777777" w:rsidR="00D6379C" w:rsidRPr="000F2247" w:rsidRDefault="00022586" w:rsidP="00D6379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סיוון תשפ"ג, 31 מאי 2023, בהעדר הצדדים. </w:t>
      </w:r>
      <w:bookmarkEnd w:id="8"/>
      <w:r w:rsidR="00D6379C">
        <w:rPr>
          <w:rFonts w:ascii="Arial" w:hAnsi="Arial"/>
          <w:b/>
          <w:bCs/>
          <w:sz w:val="26"/>
          <w:szCs w:val="26"/>
          <w:rtl/>
        </w:rPr>
        <w:tab/>
      </w:r>
      <w:r w:rsidR="00D6379C">
        <w:rPr>
          <w:rFonts w:ascii="Arial" w:hAnsi="Arial"/>
          <w:b/>
          <w:bCs/>
          <w:sz w:val="26"/>
          <w:szCs w:val="26"/>
          <w:rtl/>
        </w:rPr>
        <w:tab/>
      </w:r>
      <w:r w:rsidR="00D6379C">
        <w:rPr>
          <w:rFonts w:ascii="Arial" w:hAnsi="Arial"/>
          <w:b/>
          <w:bCs/>
          <w:sz w:val="26"/>
          <w:szCs w:val="26"/>
          <w:rtl/>
        </w:rPr>
        <w:tab/>
      </w:r>
      <w:r w:rsidR="00D6379C">
        <w:rPr>
          <w:rFonts w:ascii="Arial" w:hAnsi="Arial"/>
          <w:b/>
          <w:bCs/>
          <w:sz w:val="26"/>
          <w:szCs w:val="26"/>
          <w:rtl/>
        </w:rPr>
        <w:tab/>
      </w:r>
      <w:r w:rsidR="00D6379C">
        <w:rPr>
          <w:rFonts w:ascii="Arial" w:hAnsi="Arial"/>
          <w:b/>
          <w:bCs/>
          <w:sz w:val="26"/>
          <w:szCs w:val="26"/>
          <w:rtl/>
        </w:rPr>
        <w:tab/>
      </w:r>
      <w:r w:rsidR="00D6379C">
        <w:rPr>
          <w:rFonts w:ascii="Arial" w:hAnsi="Arial"/>
          <w:b/>
          <w:bCs/>
          <w:sz w:val="26"/>
          <w:szCs w:val="26"/>
          <w:rtl/>
        </w:rPr>
        <w:tab/>
      </w:r>
      <w:r w:rsidR="00D6379C">
        <w:rPr>
          <w:rFonts w:ascii="Arial" w:hAnsi="Arial"/>
          <w:b/>
          <w:bCs/>
          <w:sz w:val="26"/>
          <w:szCs w:val="26"/>
          <w:rtl/>
        </w:rPr>
        <w:tab/>
      </w:r>
      <w:r w:rsidR="00D6379C">
        <w:rPr>
          <w:rFonts w:ascii="Arial" w:hAnsi="Arial" w:hint="cs"/>
          <w:b/>
          <w:bCs/>
          <w:sz w:val="26"/>
          <w:szCs w:val="26"/>
          <w:rtl/>
        </w:rPr>
        <w:t xml:space="preserve">         </w:t>
      </w:r>
    </w:p>
    <w:p w14:paraId="719B04A8" w14:textId="77777777" w:rsidR="00022586" w:rsidRDefault="00022586" w:rsidP="00022586">
      <w:pPr>
        <w:rPr>
          <w:rtl/>
        </w:rPr>
      </w:pPr>
    </w:p>
    <w:p w14:paraId="630E9458" w14:textId="77777777" w:rsidR="00022586" w:rsidRDefault="00022586" w:rsidP="0002258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15DE2CA" w14:textId="77777777" w:rsidR="00577009" w:rsidRPr="00577009" w:rsidRDefault="00577009" w:rsidP="00577009">
      <w:pPr>
        <w:keepNext/>
        <w:rPr>
          <w:rFonts w:ascii="David" w:hAnsi="David"/>
          <w:color w:val="000000"/>
          <w:sz w:val="22"/>
          <w:szCs w:val="22"/>
          <w:rtl/>
        </w:rPr>
      </w:pPr>
    </w:p>
    <w:p w14:paraId="49D22BA9" w14:textId="77777777" w:rsidR="00577009" w:rsidRPr="00577009" w:rsidRDefault="00577009" w:rsidP="00577009">
      <w:pPr>
        <w:keepNext/>
        <w:rPr>
          <w:rFonts w:ascii="David" w:hAnsi="David"/>
          <w:color w:val="000000"/>
          <w:sz w:val="22"/>
          <w:szCs w:val="22"/>
          <w:rtl/>
        </w:rPr>
      </w:pPr>
      <w:r w:rsidRPr="00577009">
        <w:rPr>
          <w:rFonts w:ascii="David" w:hAnsi="David"/>
          <w:color w:val="000000"/>
          <w:sz w:val="22"/>
          <w:szCs w:val="22"/>
          <w:rtl/>
        </w:rPr>
        <w:t>אבישי כהן 54678313-/</w:t>
      </w:r>
    </w:p>
    <w:p w14:paraId="1EE1C8CA" w14:textId="77777777" w:rsidR="00022586" w:rsidRPr="00022586" w:rsidRDefault="00577009" w:rsidP="00577009">
      <w:pPr>
        <w:rPr>
          <w:color w:val="0000FF"/>
          <w:u w:val="single"/>
        </w:rPr>
      </w:pPr>
      <w:r w:rsidRPr="00577009">
        <w:rPr>
          <w:color w:val="000000"/>
          <w:u w:val="single"/>
          <w:rtl/>
        </w:rPr>
        <w:t>נוסח מסמך זה כפוף לשינויי ניסוח ועריכה</w:t>
      </w:r>
    </w:p>
    <w:sectPr w:rsidR="00022586" w:rsidRPr="00022586" w:rsidSect="00577009">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232FF" w14:textId="77777777" w:rsidR="00E00B08" w:rsidRDefault="00E00B08" w:rsidP="00F9325E">
      <w:r>
        <w:separator/>
      </w:r>
    </w:p>
  </w:endnote>
  <w:endnote w:type="continuationSeparator" w:id="0">
    <w:p w14:paraId="42898B9C" w14:textId="77777777" w:rsidR="00E00B08" w:rsidRDefault="00E00B08" w:rsidP="00F9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305B" w14:textId="77777777" w:rsidR="00577009" w:rsidRDefault="00577009" w:rsidP="0057700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AEC230" w14:textId="77777777" w:rsidR="00C5599E" w:rsidRPr="00577009" w:rsidRDefault="00577009" w:rsidP="00577009">
    <w:pPr>
      <w:pStyle w:val="a6"/>
      <w:pBdr>
        <w:top w:val="single" w:sz="4" w:space="1" w:color="auto"/>
        <w:between w:val="single" w:sz="4" w:space="0" w:color="auto"/>
      </w:pBdr>
      <w:spacing w:after="60"/>
      <w:jc w:val="center"/>
      <w:rPr>
        <w:rFonts w:ascii="FrankRuehl" w:hAnsi="FrankRuehl" w:cs="FrankRuehl"/>
        <w:color w:val="000000"/>
      </w:rPr>
    </w:pPr>
    <w:r w:rsidRPr="005770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495C8" w14:textId="77777777" w:rsidR="00577009" w:rsidRDefault="00577009" w:rsidP="0057700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6BA4">
      <w:rPr>
        <w:rFonts w:ascii="FrankRuehl" w:hAnsi="FrankRuehl" w:cs="FrankRuehl"/>
        <w:noProof/>
        <w:rtl/>
      </w:rPr>
      <w:t>1</w:t>
    </w:r>
    <w:r>
      <w:rPr>
        <w:rFonts w:ascii="FrankRuehl" w:hAnsi="FrankRuehl" w:cs="FrankRuehl"/>
        <w:rtl/>
      </w:rPr>
      <w:fldChar w:fldCharType="end"/>
    </w:r>
  </w:p>
  <w:p w14:paraId="5552F884" w14:textId="77777777" w:rsidR="00C5599E" w:rsidRPr="00577009" w:rsidRDefault="00577009" w:rsidP="00577009">
    <w:pPr>
      <w:pStyle w:val="a6"/>
      <w:pBdr>
        <w:top w:val="single" w:sz="4" w:space="1" w:color="auto"/>
        <w:between w:val="single" w:sz="4" w:space="0" w:color="auto"/>
      </w:pBdr>
      <w:spacing w:after="60"/>
      <w:jc w:val="center"/>
      <w:rPr>
        <w:rFonts w:ascii="FrankRuehl" w:hAnsi="FrankRuehl" w:cs="FrankRuehl"/>
        <w:color w:val="000000"/>
      </w:rPr>
    </w:pPr>
    <w:r w:rsidRPr="00577009">
      <w:rPr>
        <w:rFonts w:ascii="FrankRuehl" w:hAnsi="FrankRuehl" w:cs="FrankRuehl"/>
        <w:color w:val="000000"/>
      </w:rPr>
      <w:pict w14:anchorId="51AD3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32D04" w14:textId="77777777" w:rsidR="00E00B08" w:rsidRDefault="00E00B08" w:rsidP="00F9325E">
      <w:r>
        <w:separator/>
      </w:r>
    </w:p>
  </w:footnote>
  <w:footnote w:type="continuationSeparator" w:id="0">
    <w:p w14:paraId="44717CB5" w14:textId="77777777" w:rsidR="00E00B08" w:rsidRDefault="00E00B08" w:rsidP="00F93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FD8F2" w14:textId="77777777" w:rsidR="00022586" w:rsidRPr="00577009" w:rsidRDefault="00577009" w:rsidP="0057700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44503-01-23</w:t>
    </w:r>
    <w:r>
      <w:rPr>
        <w:rFonts w:ascii="David" w:hAnsi="David"/>
        <w:color w:val="000000"/>
        <w:sz w:val="22"/>
        <w:szCs w:val="22"/>
        <w:rtl/>
      </w:rPr>
      <w:tab/>
      <w:t xml:space="preserve"> מדינת ישראל נ' רוני שומוב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4C900" w14:textId="77777777" w:rsidR="00022586" w:rsidRPr="00577009" w:rsidRDefault="00577009" w:rsidP="0057700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44503-01-23</w:t>
    </w:r>
    <w:r>
      <w:rPr>
        <w:rFonts w:ascii="David" w:hAnsi="David"/>
        <w:color w:val="000000"/>
        <w:sz w:val="22"/>
        <w:szCs w:val="22"/>
        <w:rtl/>
      </w:rPr>
      <w:tab/>
      <w:t xml:space="preserve"> מדינת ישראל נ' רוני שומוב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55563A2C"/>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2B2D76"/>
    <w:multiLevelType w:val="hybridMultilevel"/>
    <w:tmpl w:val="5522802A"/>
    <w:lvl w:ilvl="0" w:tplc="83FCFD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6818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7792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56082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61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488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379C"/>
    <w:rsid w:val="00022586"/>
    <w:rsid w:val="00153117"/>
    <w:rsid w:val="001B5A3B"/>
    <w:rsid w:val="00256C2C"/>
    <w:rsid w:val="00577009"/>
    <w:rsid w:val="007A12A6"/>
    <w:rsid w:val="009F7BC7"/>
    <w:rsid w:val="00AE6CA0"/>
    <w:rsid w:val="00C5599E"/>
    <w:rsid w:val="00C96B7A"/>
    <w:rsid w:val="00CA0DC7"/>
    <w:rsid w:val="00D6379C"/>
    <w:rsid w:val="00D66BA4"/>
    <w:rsid w:val="00DC4870"/>
    <w:rsid w:val="00E00B08"/>
    <w:rsid w:val="00F93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0E284F"/>
  <w15:chartTrackingRefBased/>
  <w15:docId w15:val="{9D57DBAB-9D7E-4D67-AF53-3795A48C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6379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6379C"/>
    <w:pPr>
      <w:tabs>
        <w:tab w:val="center" w:pos="4153"/>
        <w:tab w:val="right" w:pos="8306"/>
      </w:tabs>
    </w:pPr>
  </w:style>
  <w:style w:type="character" w:customStyle="1" w:styleId="a5">
    <w:name w:val="כותרת עליונה תו"/>
    <w:link w:val="a4"/>
    <w:rsid w:val="00D6379C"/>
    <w:rPr>
      <w:rFonts w:ascii="Times New Roman" w:eastAsia="Times New Roman" w:hAnsi="Times New Roman" w:cs="David"/>
      <w:sz w:val="24"/>
      <w:szCs w:val="24"/>
    </w:rPr>
  </w:style>
  <w:style w:type="paragraph" w:styleId="a6">
    <w:name w:val="footer"/>
    <w:basedOn w:val="a0"/>
    <w:link w:val="a7"/>
    <w:rsid w:val="00D6379C"/>
    <w:pPr>
      <w:tabs>
        <w:tab w:val="center" w:pos="4153"/>
        <w:tab w:val="right" w:pos="8306"/>
      </w:tabs>
    </w:pPr>
  </w:style>
  <w:style w:type="character" w:customStyle="1" w:styleId="a7">
    <w:name w:val="כותרת תחתונה תו"/>
    <w:link w:val="a6"/>
    <w:rsid w:val="00D6379C"/>
    <w:rPr>
      <w:rFonts w:ascii="Times New Roman" w:eastAsia="Times New Roman" w:hAnsi="Times New Roman" w:cs="David"/>
      <w:sz w:val="24"/>
      <w:szCs w:val="24"/>
    </w:rPr>
  </w:style>
  <w:style w:type="table" w:styleId="a8">
    <w:name w:val="Table Grid"/>
    <w:basedOn w:val="a2"/>
    <w:rsid w:val="00D637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6379C"/>
  </w:style>
  <w:style w:type="character" w:customStyle="1" w:styleId="aa">
    <w:name w:val="פיסקת רשימה תו"/>
    <w:link w:val="ab"/>
    <w:locked/>
    <w:rsid w:val="00D6379C"/>
  </w:style>
  <w:style w:type="paragraph" w:styleId="ab">
    <w:name w:val="List Paragraph"/>
    <w:basedOn w:val="a0"/>
    <w:link w:val="aa"/>
    <w:qFormat/>
    <w:rsid w:val="00D6379C"/>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D6379C"/>
    <w:pPr>
      <w:numPr>
        <w:numId w:val="1"/>
      </w:numPr>
      <w:spacing w:after="120" w:line="360" w:lineRule="auto"/>
    </w:pPr>
    <w:rPr>
      <w:rFonts w:ascii="David" w:hAnsi="David"/>
      <w:color w:val="000000"/>
    </w:rPr>
  </w:style>
  <w:style w:type="character" w:styleId="Hyperlink">
    <w:name w:val="Hyperlink"/>
    <w:rsid w:val="00D63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3750765"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7848746"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1127920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eca.gov.i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221795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1497</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8970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7864368</vt:i4>
      </vt:variant>
      <vt:variant>
        <vt:i4>51</vt:i4>
      </vt:variant>
      <vt:variant>
        <vt:i4>0</vt:i4>
      </vt:variant>
      <vt:variant>
        <vt:i4>5</vt:i4>
      </vt:variant>
      <vt:variant>
        <vt:lpwstr>http://www.eca.gov.il/</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3801200</vt:i4>
      </vt:variant>
      <vt:variant>
        <vt:i4>39</vt:i4>
      </vt:variant>
      <vt:variant>
        <vt:i4>0</vt:i4>
      </vt:variant>
      <vt:variant>
        <vt:i4>5</vt:i4>
      </vt:variant>
      <vt:variant>
        <vt:lpwstr>http://www.nevo.co.il/case/11279208</vt:lpwstr>
      </vt:variant>
      <vt:variant>
        <vt:lpwstr/>
      </vt:variant>
      <vt:variant>
        <vt:i4>3276926</vt:i4>
      </vt:variant>
      <vt:variant>
        <vt:i4>36</vt:i4>
      </vt:variant>
      <vt:variant>
        <vt:i4>0</vt:i4>
      </vt:variant>
      <vt:variant>
        <vt:i4>5</vt:i4>
      </vt:variant>
      <vt:variant>
        <vt:lpwstr>http://www.nevo.co.il/case/22217955</vt:lpwstr>
      </vt:variant>
      <vt:variant>
        <vt:lpwstr/>
      </vt:variant>
      <vt:variant>
        <vt:i4>3342453</vt:i4>
      </vt:variant>
      <vt:variant>
        <vt:i4>33</vt:i4>
      </vt:variant>
      <vt:variant>
        <vt:i4>0</vt:i4>
      </vt:variant>
      <vt:variant>
        <vt:i4>5</vt:i4>
      </vt:variant>
      <vt:variant>
        <vt:lpwstr>http://www.nevo.co.il/case/23750765</vt:lpwstr>
      </vt:variant>
      <vt:variant>
        <vt:lpwstr/>
      </vt:variant>
      <vt:variant>
        <vt:i4>3539056</vt:i4>
      </vt:variant>
      <vt:variant>
        <vt:i4>30</vt:i4>
      </vt:variant>
      <vt:variant>
        <vt:i4>0</vt:i4>
      </vt:variant>
      <vt:variant>
        <vt:i4>5</vt:i4>
      </vt:variant>
      <vt:variant>
        <vt:lpwstr>http://www.nevo.co.il/case/27848746</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44503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רוני שומוב  </vt:lpwstr>
  </property>
  <property fmtid="{D5CDD505-2E9C-101B-9397-08002B2CF9AE}" pid="10" name="LAWYER">
    <vt:lpwstr>לי מגן;פאולה ברוש</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20230531</vt:lpwstr>
  </property>
  <property fmtid="{D5CDD505-2E9C-101B-9397-08002B2CF9AE}" pid="14" name="TYPE_N_DATE">
    <vt:lpwstr>38020230531</vt:lpwstr>
  </property>
  <property fmtid="{D5CDD505-2E9C-101B-9397-08002B2CF9AE}" pid="15" name="WORDNUMPAGES">
    <vt:lpwstr>5</vt:lpwstr>
  </property>
  <property fmtid="{D5CDD505-2E9C-101B-9397-08002B2CF9AE}" pid="16" name="TYPE_ABS_DATE">
    <vt:lpwstr>380020230531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27848746;23750765;22217955;11279208</vt:lpwstr>
  </property>
  <property fmtid="{D5CDD505-2E9C-101B-9397-08002B2CF9AE}" pid="36" name="LAWLISTTMP1">
    <vt:lpwstr>4216/007.a;007.c</vt:lpwstr>
  </property>
  <property fmtid="{D5CDD505-2E9C-101B-9397-08002B2CF9AE}" pid="37" name="LAWLISTTMP2">
    <vt:lpwstr>70301/040i;40ja</vt:lpwstr>
  </property>
</Properties>
</file>